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C2A79" w14:textId="77777777" w:rsidR="00FC2F8E" w:rsidRDefault="00FC2F8E">
      <w:pPr>
        <w:spacing w:before="100" w:beforeAutospacing="1" w:after="100" w:afterAutospacing="1"/>
        <w:jc w:val="center"/>
        <w:rPr>
          <w:rFonts w:ascii="Times New Roman" w:hAnsi="Times New Roman" w:cs="Times New Roman"/>
          <w:b/>
          <w:bCs/>
          <w:sz w:val="24"/>
          <w:szCs w:val="24"/>
        </w:rPr>
      </w:pPr>
    </w:p>
    <w:p w14:paraId="219634BB" w14:textId="77777777" w:rsidR="00FC2F8E" w:rsidRDefault="00AE16DB">
      <w:pPr>
        <w:spacing w:before="100" w:beforeAutospacing="1" w:after="100" w:afterAutospacing="1"/>
        <w:rPr>
          <w:rFonts w:ascii="Times New Roman" w:hAnsi="Times New Roman" w:cs="Times New Roman"/>
          <w:b/>
          <w:bCs/>
          <w:sz w:val="24"/>
          <w:szCs w:val="24"/>
        </w:rPr>
      </w:pPr>
      <w:r>
        <w:rPr>
          <w:rFonts w:ascii="Times New Roman"/>
          <w:b/>
          <w:sz w:val="24"/>
          <w:szCs w:val="24"/>
        </w:rPr>
        <w:t>HEALTH WORKERS' EXPERIENCE IN WOMEN'S HEALTH EDUCATION DURING ANTENATAL AND IMMUNIZATION CLINICS IN AEFUTHA EBONYI STATE</w:t>
      </w:r>
    </w:p>
    <w:p w14:paraId="1A71BC6F" w14:textId="77777777" w:rsidR="00FC2F8E" w:rsidRDefault="00FC2F8E">
      <w:pPr>
        <w:spacing w:before="100" w:beforeAutospacing="1" w:after="100" w:afterAutospacing="1"/>
        <w:jc w:val="center"/>
        <w:rPr>
          <w:rFonts w:ascii="Times New Roman" w:hAnsi="Times New Roman" w:cs="Times New Roman"/>
          <w:b/>
          <w:bCs/>
          <w:sz w:val="24"/>
          <w:szCs w:val="24"/>
        </w:rPr>
      </w:pPr>
    </w:p>
    <w:p w14:paraId="0FEC7773" w14:textId="77777777" w:rsidR="005F181E" w:rsidRDefault="005F181E">
      <w:pPr>
        <w:spacing w:before="100" w:beforeAutospacing="1" w:after="100" w:afterAutospacing="1"/>
        <w:rPr>
          <w:rFonts w:ascii="Times New Roman" w:hAnsi="Times New Roman" w:cs="Times New Roman"/>
          <w:b/>
          <w:bCs/>
          <w:sz w:val="24"/>
          <w:szCs w:val="24"/>
        </w:rPr>
      </w:pPr>
    </w:p>
    <w:p w14:paraId="366EE1F4" w14:textId="77777777" w:rsidR="00D53ABA" w:rsidRDefault="00D53ABA">
      <w:pPr>
        <w:spacing w:before="100" w:beforeAutospacing="1" w:after="100" w:afterAutospacing="1"/>
        <w:rPr>
          <w:rFonts w:ascii="Times New Roman" w:hAnsi="Times New Roman" w:cs="Times New Roman"/>
          <w:bCs/>
          <w:i/>
          <w:sz w:val="24"/>
          <w:szCs w:val="24"/>
        </w:rPr>
      </w:pPr>
    </w:p>
    <w:p w14:paraId="7DAF242E" w14:textId="77777777" w:rsidR="00FC2F8E" w:rsidRDefault="00AE16DB">
      <w:pPr>
        <w:pStyle w:val="Heading1"/>
        <w:spacing w:line="240" w:lineRule="auto"/>
      </w:pPr>
      <w:bookmarkStart w:id="0" w:name="_Toc5760"/>
      <w:r>
        <w:rPr>
          <w:szCs w:val="24"/>
        </w:rPr>
        <w:t>ABSTRACT</w:t>
      </w:r>
      <w:bookmarkEnd w:id="0"/>
      <w:r>
        <w:rPr>
          <w:szCs w:val="24"/>
        </w:rPr>
        <w:t xml:space="preserve">   </w:t>
      </w:r>
    </w:p>
    <w:p w14:paraId="430BFBC3" w14:textId="77777777" w:rsidR="00FC2F8E" w:rsidRDefault="00AE16DB">
      <w:pPr>
        <w:spacing w:before="100" w:beforeAutospacing="1" w:after="100" w:afterAutospacing="1"/>
        <w:jc w:val="both"/>
        <w:rPr>
          <w:rFonts w:ascii="Times New Roman" w:hAnsi="Times New Roman" w:cs="Times New Roman"/>
          <w:sz w:val="24"/>
          <w:szCs w:val="24"/>
        </w:rPr>
      </w:pPr>
      <w:r>
        <w:rPr>
          <w:rStyle w:val="Strong"/>
          <w:rFonts w:ascii="Times New Roman" w:hAnsi="Times New Roman" w:cs="Times New Roman"/>
          <w:sz w:val="24"/>
          <w:szCs w:val="24"/>
        </w:rPr>
        <w:t xml:space="preserve">Background: </w:t>
      </w:r>
      <w:r>
        <w:rPr>
          <w:rFonts w:ascii="Times New Roman" w:hAnsi="Times New Roman" w:cs="Times New Roman"/>
          <w:sz w:val="24"/>
          <w:szCs w:val="24"/>
        </w:rPr>
        <w:t xml:space="preserve">Women’s health education during antenatal and immunization clinics is a critical strategy for improving maternal and child health outcomes. Health workers play a central role in delivering this education, yet their experiences, challenges, and motivating factors remain underexplored. This study examined the lived experiences of health workers in providing women’s health education at Alex Ekwueme Federal University Teaching Hospital Abakaliki (AEFUTHA), Ebonyi State. </w:t>
      </w:r>
    </w:p>
    <w:p w14:paraId="3DC635D7" w14:textId="77777777" w:rsidR="00FC2F8E" w:rsidRDefault="00AE16DB">
      <w:pPr>
        <w:spacing w:before="100" w:beforeAutospacing="1" w:after="100" w:afterAutospacing="1"/>
        <w:jc w:val="both"/>
        <w:rPr>
          <w:rFonts w:ascii="Times New Roman" w:hAnsi="Times New Roman" w:cs="Times New Roman"/>
          <w:sz w:val="24"/>
          <w:szCs w:val="24"/>
        </w:rPr>
      </w:pPr>
      <w:r>
        <w:rPr>
          <w:rStyle w:val="Strong"/>
          <w:rFonts w:ascii="Times New Roman" w:hAnsi="Times New Roman" w:cs="Times New Roman"/>
          <w:sz w:val="24"/>
          <w:szCs w:val="24"/>
        </w:rPr>
        <w:t>Methods:</w:t>
      </w:r>
      <w:r>
        <w:rPr>
          <w:rFonts w:ascii="Times New Roman" w:hAnsi="Times New Roman" w:cs="Times New Roman"/>
          <w:sz w:val="24"/>
          <w:szCs w:val="24"/>
        </w:rPr>
        <w:t xml:space="preserve"> A mixed-methods design was used, combining a quantitative survey of 79 health workers with qualitative key informant interviews. Quantitative data were analyzed using IBM SPSS Version 30, while qualitative data were analyzed thematically with NVIVO 15.</w:t>
      </w:r>
    </w:p>
    <w:p w14:paraId="780C5650" w14:textId="77777777" w:rsidR="00FC2F8E" w:rsidRDefault="00AE16DB">
      <w:pPr>
        <w:spacing w:before="100" w:beforeAutospacing="1" w:after="100" w:afterAutospacing="1"/>
        <w:jc w:val="both"/>
        <w:rPr>
          <w:rFonts w:ascii="Times New Roman" w:hAnsi="Times New Roman" w:cs="Times New Roman"/>
          <w:sz w:val="24"/>
          <w:szCs w:val="24"/>
        </w:rPr>
      </w:pPr>
      <w:r>
        <w:rPr>
          <w:rStyle w:val="Strong"/>
          <w:rFonts w:ascii="Times New Roman" w:hAnsi="Times New Roman" w:cs="Times New Roman"/>
          <w:sz w:val="24"/>
          <w:szCs w:val="24"/>
        </w:rPr>
        <w:t>Results:</w:t>
      </w:r>
      <w:r>
        <w:rPr>
          <w:rFonts w:ascii="Times New Roman" w:hAnsi="Times New Roman" w:cs="Times New Roman"/>
          <w:sz w:val="24"/>
          <w:szCs w:val="24"/>
        </w:rPr>
        <w:t xml:space="preserve"> Findings showed that 51.3% strongly agreed and 27.6% agreed that they felt confident delivering women’s health education, while 48.7% strongly agreed and 39.5% agreed they felt fulfilled. Challenges included heavy workload (32.9%), staff shortages (36.8%), low literacy among women (36.8%), and poor infrastructure (46.1%). Enabling factors were continuous training (52.6%), positive feedback (61.8%), and management recognition (60.5%). Qualitative findings confirmed fulfillment but highlighted language barriers, lack of teaching aids, unconducive environments, and staffing shortages.</w:t>
      </w:r>
    </w:p>
    <w:p w14:paraId="0C5839C5" w14:textId="77777777" w:rsidR="00FC2F8E" w:rsidRDefault="00AE16DB">
      <w:pPr>
        <w:spacing w:before="100" w:beforeAutospacing="1" w:after="100" w:afterAutospacing="1"/>
        <w:jc w:val="both"/>
        <w:rPr>
          <w:rFonts w:ascii="Times New Roman" w:hAnsi="Times New Roman" w:cs="Times New Roman"/>
          <w:sz w:val="24"/>
          <w:szCs w:val="24"/>
        </w:rPr>
      </w:pPr>
      <w:r>
        <w:rPr>
          <w:rStyle w:val="Strong"/>
          <w:rFonts w:ascii="Times New Roman" w:hAnsi="Times New Roman" w:cs="Times New Roman"/>
          <w:sz w:val="24"/>
          <w:szCs w:val="24"/>
        </w:rPr>
        <w:t>Conclusion:</w:t>
      </w:r>
      <w:r>
        <w:rPr>
          <w:rFonts w:ascii="Times New Roman" w:hAnsi="Times New Roman" w:cs="Times New Roman"/>
          <w:sz w:val="24"/>
          <w:szCs w:val="24"/>
        </w:rPr>
        <w:t xml:space="preserve"> Triangulation of the quantitative and qualitative findings shows that health workers experience confidence and fulfillment when educating women, but systemic and institutional barriers hinder optimal delivery. Strengthening infrastructure, providing teaching aids, developing clear guidelines, and improving institutional support are essential to enhance women’s health education during antenatal and immunization clinics.</w:t>
      </w:r>
    </w:p>
    <w:p w14:paraId="2FACF40A"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Women’s health education, Antenatal clinics, Immunization clinics, Health workers’ experience, Maternal health, Nigeria</w:t>
      </w:r>
    </w:p>
    <w:p w14:paraId="191AE353" w14:textId="77777777" w:rsidR="00FC2F8E" w:rsidRDefault="00FC2F8E">
      <w:pPr>
        <w:spacing w:before="100" w:beforeAutospacing="1" w:after="100" w:afterAutospacing="1"/>
        <w:jc w:val="both"/>
        <w:rPr>
          <w:rFonts w:ascii="Times New Roman" w:hAnsi="Times New Roman" w:cs="Times New Roman"/>
          <w:sz w:val="24"/>
          <w:szCs w:val="24"/>
        </w:rPr>
      </w:pPr>
    </w:p>
    <w:p w14:paraId="378FA9C4" w14:textId="77777777" w:rsidR="00FC2F8E" w:rsidRDefault="00AE16DB">
      <w:pPr>
        <w:pStyle w:val="Heading1"/>
        <w:spacing w:line="240" w:lineRule="auto"/>
        <w:jc w:val="left"/>
        <w:rPr>
          <w:b w:val="0"/>
          <w:bCs w:val="0"/>
        </w:rPr>
      </w:pPr>
      <w:bookmarkStart w:id="1" w:name="_Toc20079"/>
      <w:r>
        <w:rPr>
          <w:rStyle w:val="Strong"/>
          <w:b/>
          <w:bCs/>
          <w:szCs w:val="24"/>
        </w:rPr>
        <w:t>INTRODUCTION</w:t>
      </w:r>
      <w:bookmarkEnd w:id="1"/>
    </w:p>
    <w:p w14:paraId="1D708A0A"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Maternal health remains a major public health concern globally, particularly in low- and middle-income countries (LMICs), where preventable maternal and neonatal morbidity and mortality continue to persist despite decades of interventions. The World Health Organization defines maternal health as the health of women during pregnancy, childbirth, and the postnatal period, emphasizing that access to quality antenatal, intrapartum, and postnatal services is fundamental to achieving safe motherhood (WHO, 2023). Globally, although maternal mortality has declined over the past two decades, progress has been uneven </w:t>
      </w:r>
      <w:r>
        <w:rPr>
          <w:rFonts w:ascii="Times New Roman" w:hAnsi="Times New Roman" w:cs="Times New Roman"/>
          <w:sz w:val="24"/>
          <w:szCs w:val="24"/>
        </w:rPr>
        <w:lastRenderedPageBreak/>
        <w:t>and fragile. Sub-Saharan Africa continues to account for approximately 70% of global maternal deaths,  approximately 287,000 women died globally from pregnancy-related causes in 2020, and most of these deaths were preventable through quality maternal care, adequate health education, and timely health service utilization.  Health education for women during antenatal and immunization clinics plays a pivotal role in empowering mothers with the knowledge and skills necessary to make informed health decisions for themselves and their children (United Nations, 2023). In Nigeria, maternal mortality remains alarmingly high, with a maternal mortality ratio of 512 deaths per 100,000 live births (Nigeria Demographic and Health Survey [NDHS], 2018; WHO, 2023). These disparities highlight not only gaps in service availability but also deficiencies in the quality and effectiveness of maternal healthcare interventions.</w:t>
      </w:r>
    </w:p>
    <w:p w14:paraId="016C6034"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Antenatal care (ANC) is widely recognized as one of the most critical strategies for reducing maternal and neonatal mortality. Beyond clinical monitoring, ANC provides a preventive platform for early identification of pregnancy-related complications, management of pre-existing conditions, and promotion of healthy behaviours. The WHO currently recommends a minimum of eight antenatal contacts during pregnancy to optimize maternal and neonatal outcomes and to enhance the delivery of structured health education (Olapeju et al., 2025). The shift from four to eight contacts underscores the growing recognition that frequent interaction between pregnant women and skilled health providers improves both clinical outcomes and health literacy.</w:t>
      </w:r>
    </w:p>
    <w:p w14:paraId="35B351B4"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Importantly, antenatal clinics are not solely biomedical service points; they are structured educational environments. During ANC sessions, health workers are expected to provide comprehensive education on maternal nutrition, danger signs in pregnancy, birth preparedness and complication readiness, prevention of mother-to-child transmission of infections, exclusive breastfeeding, postpartum care, family planning, and newborn care practices. Empirical evidence indicates that well-structured antenatal education significantly improves maternal knowledge, increases preparedness for childbirth, and contributes to positive labour outcomes (Hooper et al., 2022; Zanetti et al., 2024). These findings suggest that the quality of health education delivered during ANC visits may be as crucial as the clinical services provided.</w:t>
      </w:r>
    </w:p>
    <w:p w14:paraId="3B5243AE"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Similarly, immunization clinics serve as continuous points of maternal engagement during the postnatal period. The establishment of the Expanded Programme on Immunization (EPI) by the World Health Organization strengthened global vaccination systems and positioned routine immunization clinics as recurring contact opportunities between mothers and healthcare providers (WHO, 2024). In Nigeria, immunization sessions typically include group health talks covering exclusive breastfeeding, complementary feeding, growth monitoring, hygiene practices, and postpartum maternal health. These sessions offer critical reinforcement of messages initially introduced during antenatal visits, creating a continuum of maternal education across the reproductive cycle.</w:t>
      </w:r>
    </w:p>
    <w:p w14:paraId="5DFB2E9E"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despite these structured opportunities, evidence suggests that immunization service delivery in Nigeria faces multiple barriers. Studies have identified health system constraints such as inadequate staffing, supply shortages, irregular vaccine availability, and poor infrastructure as significant challenges (Balogun et al., 2025; Preprints, 2024). Sociocultural factors, including misconceptions about vaccines and low maternal education levels, further complicate service delivery. These challenges may inadvertently affect the time, quality, and consistency of health education provided during immunization clinics.</w:t>
      </w:r>
    </w:p>
    <w:p w14:paraId="08385D63"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Health workers occupy a central role in translating maternal health policies into practice. Their competence, professional training, communication skills, attitudes, and motivation directly shape how </w:t>
      </w:r>
      <w:r>
        <w:rPr>
          <w:rFonts w:ascii="Times New Roman" w:eastAsia="Times New Roman" w:hAnsi="Times New Roman" w:cs="Times New Roman"/>
          <w:sz w:val="24"/>
          <w:szCs w:val="24"/>
        </w:rPr>
        <w:lastRenderedPageBreak/>
        <w:t>health education is delivered and received. Research indicates that supportive supervision and targeted training significantly enhance health workers’ ability to provide effective maternal health education (Adefolarin et al., 2021). In Nigerian primary healthcare settings, gaps in knowledge and inadequate training have been linked to suboptimal delivery of prenatal nutrition education, ultimately influencing maternal understanding and behavioural outcomes (Ibikunle et al., 2021). These findings emphasize that health education effectiveness is dependent not only on policy frameworks but also on frontline provider capacity.</w:t>
      </w:r>
    </w:p>
    <w:p w14:paraId="75634759"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Nevertheless, health workers operate within complex institutional and systemic environments that may either enable or constrain their performance. High patient volumes, workforce shortages, limited educational materials, time constraints, and inadequate infrastructural support can compromise the depth and interactivity of health education sessions. A systematic review examining barriers to adequate antenatal care utilization in low-resource settings identified structural deficiencies, weak referral systems, and limited provider-client interaction time as recurring challenges (Barriers to Timely and Adequate Antenatal Care, 2023). Furthermore, evidence from health workforce studies suggests that motivational factors including recognition, career progression opportunities, availability of supplies, and workload balance significantly influence performance outcomes (BMJ Global Health, 2026). When health workers experience burnout or dissatisfaction, the quality of health education delivery may be adversely affected.</w:t>
      </w:r>
    </w:p>
    <w:p w14:paraId="7CB51DDC"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Nigeria, maternal healthcare delivery is embedded within a multi-tiered health system characterized by variability in infrastructure, funding, and institutional capacity. While numerous studies have focused on maternal service utilization rates, immunization coverage, and patient satisfaction (Isika et al., 2025), relatively limited attention has been given to understanding the lived experiences of health workers responsible for delivering women’s health education  particularly within tertiary healthcare institutions. Yet, these providers are instrumental in shaping maternal knowledge, influencing health behaviours, and reinforcing preventive practices across antenatal and immunization settings.</w:t>
      </w:r>
    </w:p>
    <w:p w14:paraId="4B477CEE"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Alex Ekwueme Federal University Teaching Hospital serves as a major referral and teaching hospital in Ebonyi State, catering to a diverse population of pregnant and postpartum women. As a tertiary institution, it is expected to maintain high standards of maternal healthcare delivery, including structured, evidence-based health education. However, tertiary settings often experience high client loads, referral complexities, academic responsibilities, and resource allocation challenges that may influence how health education sessions are conducted. Institutional culture, staffing ratios, availability of educational aids, and supervisory mechanisms may all shape the experiences of health workers delivering maternal education.</w:t>
      </w:r>
    </w:p>
    <w:p w14:paraId="1090819E"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the existing literature clearly establishes the benefits of antenatal education and highlights the importance of immunization services, there remains a paucity of qualitative, context-specific research exploring how health workers experience the process of delivering women’s health education within both antenatal and immunization clinics in tertiary institutions in South-Eastern Nigeria. Much of the current evidence is quantitative and outcome-focused, with limited exploration of provider perspectives, emotional labour, institutional dynamics, and systemic influences.</w:t>
      </w:r>
    </w:p>
    <w:p w14:paraId="12C944FF"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Understanding these lived experiences is essential because the effectiveness of maternal health education depends not only on curriculum content but also on the realities of implementation. Health workers’ perceptions of their roles, the challenges they encounter, and the motivating or enabling factors within their environment directly influence the depth, clarity, and consistency of education provided to women.</w:t>
      </w:r>
    </w:p>
    <w:p w14:paraId="4E689FC3" w14:textId="77777777" w:rsidR="00FC2F8E" w:rsidRDefault="00AE16DB">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this study seeks to explore the lived experiences of health workers in delivering women’s health education during antenatal and immunization clinics in AE-FUTHA, Ebonyi State. By identifying </w:t>
      </w:r>
      <w:r>
        <w:rPr>
          <w:rFonts w:ascii="Times New Roman" w:eastAsia="Times New Roman" w:hAnsi="Times New Roman" w:cs="Times New Roman"/>
          <w:sz w:val="24"/>
          <w:szCs w:val="24"/>
        </w:rPr>
        <w:lastRenderedPageBreak/>
        <w:t>the challenges, individual and institutional constraints, and enabling systemic factors influencing education delivery, the study aims to generate context-specific evidence that can inform institutional improvements, strengthen health worker support systems, and ultimately enhance maternal and child health outcomes.</w:t>
      </w:r>
      <w:r>
        <w:rPr>
          <w:rFonts w:ascii="Times New Roman" w:eastAsia="Calibri" w:hAnsi="Times New Roman" w:cs="Times New Roman"/>
          <w:sz w:val="24"/>
          <w:szCs w:val="24"/>
        </w:rPr>
        <w:t xml:space="preserve"> </w:t>
      </w:r>
    </w:p>
    <w:p w14:paraId="1EC5CD5D" w14:textId="77777777" w:rsidR="00FC2F8E" w:rsidRDefault="00AE16DB">
      <w:pPr>
        <w:pStyle w:val="Heading2"/>
        <w:spacing w:line="240" w:lineRule="auto"/>
      </w:pPr>
      <w:bookmarkStart w:id="2" w:name="_Toc23129"/>
      <w:r>
        <w:rPr>
          <w:rStyle w:val="Strong"/>
          <w:b/>
          <w:bCs/>
        </w:rPr>
        <w:t>1.3 Aim of the Study</w:t>
      </w:r>
      <w:bookmarkEnd w:id="2"/>
    </w:p>
    <w:p w14:paraId="2564343D"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The main aim of this study is </w:t>
      </w:r>
      <w:r>
        <w:rPr>
          <w:rStyle w:val="Strong"/>
          <w:rFonts w:ascii="Times New Roman" w:hAnsi="Times New Roman" w:cs="Times New Roman"/>
          <w:b w:val="0"/>
          <w:bCs w:val="0"/>
          <w:sz w:val="24"/>
          <w:szCs w:val="24"/>
        </w:rPr>
        <w:t>to explore the experiences of health workers in delivering women’s health education during antenatal and immunization clinics in AE-FUTHA, Ebonyi State.</w:t>
      </w:r>
    </w:p>
    <w:p w14:paraId="1034DEA1" w14:textId="77777777" w:rsidR="00FC2F8E" w:rsidRDefault="00AE16DB">
      <w:pPr>
        <w:pStyle w:val="Heading2"/>
        <w:spacing w:line="240" w:lineRule="auto"/>
      </w:pPr>
      <w:bookmarkStart w:id="3" w:name="_Toc26552"/>
      <w:r>
        <w:rPr>
          <w:rStyle w:val="Strong"/>
          <w:b/>
          <w:bCs/>
        </w:rPr>
        <w:t>1.4 Specific Objectives</w:t>
      </w:r>
      <w:bookmarkEnd w:id="3"/>
    </w:p>
    <w:p w14:paraId="574D917E" w14:textId="77777777" w:rsidR="00FC2F8E" w:rsidRDefault="00AE16DB">
      <w:pPr>
        <w:pStyle w:val="ListParagraph"/>
        <w:numPr>
          <w:ilvl w:val="0"/>
          <w:numId w:val="1"/>
        </w:numPr>
        <w:spacing w:before="100" w:beforeAutospacing="1" w:after="100" w:afterAutospacing="1"/>
        <w:jc w:val="both"/>
        <w:rPr>
          <w:rFonts w:ascii="Times New Roman" w:hAnsi="Times New Roman" w:cs="Times New Roman"/>
          <w:sz w:val="24"/>
          <w:szCs w:val="24"/>
        </w:rPr>
      </w:pPr>
      <w:r>
        <w:rPr>
          <w:rStyle w:val="Strong"/>
          <w:rFonts w:ascii="Times New Roman" w:hAnsi="Times New Roman" w:cs="Times New Roman"/>
          <w:b w:val="0"/>
          <w:bCs w:val="0"/>
          <w:sz w:val="24"/>
          <w:szCs w:val="24"/>
        </w:rPr>
        <w:t>To explore the lived experiences of health workers in delivering women’s health education during antenatal and immunization clinics in AE-FUTHA, Ebonyi State.</w:t>
      </w:r>
    </w:p>
    <w:p w14:paraId="55D361CB" w14:textId="77777777" w:rsidR="00FC2F8E" w:rsidRDefault="00AE16DB">
      <w:pPr>
        <w:pStyle w:val="ListParagraph"/>
        <w:numPr>
          <w:ilvl w:val="0"/>
          <w:numId w:val="1"/>
        </w:numPr>
        <w:spacing w:before="100" w:beforeAutospacing="1" w:after="100" w:afterAutospacing="1"/>
        <w:jc w:val="both"/>
        <w:rPr>
          <w:rStyle w:val="Strong"/>
          <w:b w:val="0"/>
          <w:bCs w:val="0"/>
        </w:rPr>
      </w:pPr>
      <w:r>
        <w:rPr>
          <w:rStyle w:val="Strong"/>
          <w:rFonts w:ascii="Times New Roman" w:hAnsi="Times New Roman" w:cs="Times New Roman"/>
          <w:b w:val="0"/>
          <w:bCs w:val="0"/>
          <w:sz w:val="24"/>
          <w:szCs w:val="24"/>
        </w:rPr>
        <w:t>To identify challenges encountered by health workers during women’s health education sessions in antenatal and immunization clinics.</w:t>
      </w:r>
      <w:bookmarkStart w:id="4" w:name="_Toc17438"/>
    </w:p>
    <w:p w14:paraId="295B8C7A" w14:textId="77777777" w:rsidR="00FC2F8E" w:rsidRDefault="00AE16DB">
      <w:pPr>
        <w:spacing w:before="100" w:beforeAutospacing="1" w:after="100" w:afterAutospacing="1"/>
        <w:jc w:val="both"/>
        <w:rPr>
          <w:b/>
        </w:rPr>
      </w:pPr>
      <w:r>
        <w:rPr>
          <w:rFonts w:ascii="Calibri"/>
          <w:b/>
        </w:rPr>
        <w:t>RESEARCH METHODOLOGY</w:t>
      </w:r>
      <w:bookmarkEnd w:id="4"/>
    </w:p>
    <w:p w14:paraId="3828F518" w14:textId="77777777" w:rsidR="00FC2F8E" w:rsidRDefault="00AE16DB">
      <w:pPr>
        <w:pStyle w:val="Heading1"/>
        <w:spacing w:line="240" w:lineRule="auto"/>
        <w:jc w:val="both"/>
        <w:rPr>
          <w:rFonts w:eastAsiaTheme="minorEastAsia"/>
          <w:b w:val="0"/>
          <w:bCs w:val="0"/>
          <w:szCs w:val="24"/>
        </w:rPr>
      </w:pPr>
      <w:bookmarkStart w:id="5" w:name="_Toc24829"/>
      <w:r>
        <w:rPr>
          <w:rFonts w:eastAsiaTheme="minorEastAsia"/>
          <w:b w:val="0"/>
          <w:bCs w:val="0"/>
          <w:szCs w:val="24"/>
        </w:rPr>
        <w:t>The study employed a mixed-methods research that used both quantitative and qualitative approaches. Women's health education at AE-FUTHA served the entire health worker population directly offering maternal and education during antenatal, immunization clinics. The overall population included seventy-nine (79) health workers. For the quantitative part a census was used as a sampling technique that involved all eligible health workers. Using a census, every cadre of health workers involved women patients in terms of education were amply represented in the study, and this was advantageous in equating sampling bias. The qualitative component made use of no clear sample size determination but, rather, allowed for deep interviewing and continual interviewing till data saturation was reached, whereby no new themes or revelations recurred as a result of additional interviews. That ensured depth and richness but not redundancy in information. A pretest was done among health workers at David Umahi Federal University Teaching Hospital (DUFHUS), Uburu, which was similar to AE-FUTHA and far from the study area not to contaminate the main study population. The pilot test included the use of 10% of the total population (7 copies). An attempt also was made to determine the reliability of the quantitative instrument by the test-retest method, this time to see its stability over time. The questionnaire has been administered to the selected respondents initially. One week after that, the instrument was re-administered under the same conditions. The two sets of responses were entered into SPSS version 30. The internal consistency was determined through the Cronbach’s alpha coefficient. This is generally accepted in measuring the internal consistency reliability of Likert-scale instruments. The coefficient value 0. within 87 and 0.93 is promising and above 0.93 is particularly good. Cronbach’s alpha value of 0.93 was obtained which means it had good reliability when used for the main study.</w:t>
      </w:r>
    </w:p>
    <w:p w14:paraId="164F6C38" w14:textId="77777777" w:rsidR="00FC2F8E" w:rsidRDefault="00AE16DB">
      <w:pPr>
        <w:pStyle w:val="Heading1"/>
        <w:spacing w:line="240" w:lineRule="auto"/>
        <w:jc w:val="left"/>
      </w:pPr>
      <w:r>
        <w:rPr>
          <w:szCs w:val="24"/>
        </w:rPr>
        <w:t>RESULT AND DISCUSSION</w:t>
      </w:r>
      <w:bookmarkEnd w:id="5"/>
    </w:p>
    <w:p w14:paraId="7FF7534B"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eastAsia="Calibri" w:hAnsi="Times New Roman" w:cs="Times New Roman"/>
          <w:sz w:val="24"/>
          <w:szCs w:val="24"/>
        </w:rPr>
        <w:t>The results of the data analysis are presented in this chapter along with their interpretations. of the seventy-nine (79) copies of the questionnaire that were provided, seventy-six (96.2%) were returned, correctly completed, and fitted for analysis.</w:t>
      </w:r>
    </w:p>
    <w:p w14:paraId="4E4351DE" w14:textId="77777777" w:rsidR="00FC2F8E" w:rsidRDefault="00AE16DB">
      <w:pPr>
        <w:pStyle w:val="Heading2"/>
        <w:spacing w:line="240" w:lineRule="auto"/>
      </w:pPr>
      <w:bookmarkStart w:id="6" w:name="_Toc13854"/>
      <w:r>
        <w:t>4.1</w:t>
      </w:r>
      <w:r>
        <w:tab/>
        <w:t>Results and Analysis</w:t>
      </w:r>
      <w:bookmarkEnd w:id="6"/>
      <w:r>
        <w:t xml:space="preserve"> </w:t>
      </w:r>
    </w:p>
    <w:p w14:paraId="07A8819A" w14:textId="77777777" w:rsidR="00FC2F8E" w:rsidRDefault="00AE16DB">
      <w:pPr>
        <w:pStyle w:val="Heading3"/>
        <w:spacing w:line="240" w:lineRule="auto"/>
      </w:pPr>
      <w:bookmarkStart w:id="7" w:name="_Toc5296"/>
      <w:r>
        <w:t>4.1.1</w:t>
      </w:r>
      <w:r>
        <w:tab/>
        <w:t>Results and Analysis of Quantitative Data</w:t>
      </w:r>
      <w:bookmarkEnd w:id="7"/>
    </w:p>
    <w:p w14:paraId="66809D27" w14:textId="77777777" w:rsidR="00FC2F8E" w:rsidRDefault="00AE16DB">
      <w:pPr>
        <w:pStyle w:val="Title"/>
      </w:pPr>
      <w:bookmarkStart w:id="8" w:name="_Toc224670844"/>
      <w:r>
        <w:rPr>
          <w:rStyle w:val="BookTitle1"/>
          <w:b/>
          <w:bCs/>
        </w:rPr>
        <w:t xml:space="preserve">Table </w:t>
      </w:r>
      <w:r>
        <w:rPr>
          <w:rStyle w:val="BookTitle1"/>
          <w:b/>
          <w:bCs/>
        </w:rPr>
        <w:fldChar w:fldCharType="begin"/>
      </w:r>
      <w:r>
        <w:rPr>
          <w:rStyle w:val="BookTitle1"/>
          <w:b/>
          <w:bCs/>
        </w:rPr>
        <w:instrText xml:space="preserve"> SEQ Table \* ARABIC </w:instrText>
      </w:r>
      <w:r>
        <w:rPr>
          <w:rStyle w:val="BookTitle1"/>
          <w:b/>
          <w:bCs/>
        </w:rPr>
        <w:fldChar w:fldCharType="separate"/>
      </w:r>
      <w:r>
        <w:rPr>
          <w:rStyle w:val="BookTitle1"/>
          <w:b/>
          <w:bCs/>
        </w:rPr>
        <w:t>1</w:t>
      </w:r>
      <w:r>
        <w:rPr>
          <w:rStyle w:val="BookTitle1"/>
          <w:b/>
          <w:bCs/>
        </w:rPr>
        <w:fldChar w:fldCharType="end"/>
      </w:r>
      <w:r>
        <w:t>: Sociodemographic Characteristics of Health Workers in AEFUTHA Ebonyi State</w:t>
      </w:r>
      <w:bookmarkEnd w:id="8"/>
    </w:p>
    <w:tbl>
      <w:tblPr>
        <w:tblStyle w:val="TableGrid"/>
        <w:tblW w:w="9498" w:type="dxa"/>
        <w:tblInd w:w="0" w:type="dxa"/>
        <w:tblBorders>
          <w:top w:val="single" w:sz="12" w:space="0" w:color="auto"/>
          <w:left w:val="none" w:sz="4" w:space="0" w:color="auto"/>
          <w:bottom w:val="single" w:sz="12" w:space="0" w:color="auto"/>
          <w:right w:val="none" w:sz="4" w:space="0" w:color="auto"/>
          <w:insideH w:val="none" w:sz="4" w:space="0" w:color="auto"/>
          <w:insideV w:val="none" w:sz="4" w:space="0" w:color="auto"/>
        </w:tblBorders>
        <w:tblLook w:val="04A0" w:firstRow="1" w:lastRow="0" w:firstColumn="1" w:lastColumn="0" w:noHBand="0" w:noVBand="1"/>
      </w:tblPr>
      <w:tblGrid>
        <w:gridCol w:w="5670"/>
        <w:gridCol w:w="2115"/>
        <w:gridCol w:w="1713"/>
      </w:tblGrid>
      <w:tr w:rsidR="00FC2F8E" w14:paraId="72106413" w14:textId="77777777">
        <w:tc>
          <w:tcPr>
            <w:tcW w:w="5670" w:type="dxa"/>
            <w:tcBorders>
              <w:top w:val="single" w:sz="12" w:space="0" w:color="auto"/>
              <w:left w:val="none" w:sz="0" w:space="0" w:color="000000"/>
              <w:bottom w:val="single" w:sz="12" w:space="0" w:color="auto"/>
              <w:right w:val="none" w:sz="0" w:space="0" w:color="000000"/>
            </w:tcBorders>
          </w:tcPr>
          <w:p w14:paraId="6F19C173" w14:textId="77777777" w:rsidR="00FC2F8E" w:rsidRDefault="00AE16DB">
            <w:pPr>
              <w:spacing w:before="100" w:beforeAutospacing="1" w:after="100" w:afterAutospacing="1"/>
              <w:jc w:val="both"/>
              <w:rPr>
                <w:rFonts w:ascii="Times New Roman" w:hAnsi="Times New Roman" w:cs="Times New Roman" w:hint="default"/>
                <w:b/>
                <w:bCs/>
                <w:sz w:val="24"/>
                <w:szCs w:val="24"/>
              </w:rPr>
            </w:pPr>
            <w:r>
              <w:rPr>
                <w:rFonts w:ascii="Times New Roman" w:eastAsia="Calibri" w:hAnsi="Times New Roman" w:cs="Times New Roman" w:hint="default"/>
                <w:b/>
                <w:bCs/>
                <w:sz w:val="24"/>
                <w:szCs w:val="24"/>
              </w:rPr>
              <w:lastRenderedPageBreak/>
              <w:t>Characteristics</w:t>
            </w:r>
          </w:p>
        </w:tc>
        <w:tc>
          <w:tcPr>
            <w:tcW w:w="2115" w:type="dxa"/>
            <w:tcBorders>
              <w:top w:val="single" w:sz="12" w:space="0" w:color="auto"/>
              <w:left w:val="none" w:sz="0" w:space="0" w:color="000000"/>
              <w:bottom w:val="single" w:sz="12" w:space="0" w:color="auto"/>
              <w:right w:val="none" w:sz="0" w:space="0" w:color="000000"/>
            </w:tcBorders>
          </w:tcPr>
          <w:p w14:paraId="4A1F4247" w14:textId="77777777" w:rsidR="00FC2F8E" w:rsidRDefault="00AE16DB">
            <w:pPr>
              <w:spacing w:before="100" w:beforeAutospacing="1" w:after="100" w:afterAutospacing="1"/>
              <w:jc w:val="both"/>
              <w:rPr>
                <w:rFonts w:ascii="Times New Roman" w:hAnsi="Times New Roman" w:cs="Times New Roman" w:hint="default"/>
                <w:b/>
                <w:bCs/>
                <w:sz w:val="24"/>
                <w:szCs w:val="24"/>
              </w:rPr>
            </w:pPr>
            <w:r>
              <w:rPr>
                <w:rFonts w:ascii="Times New Roman" w:eastAsia="Calibri" w:hAnsi="Times New Roman" w:cs="Times New Roman" w:hint="default"/>
                <w:b/>
                <w:bCs/>
                <w:sz w:val="24"/>
                <w:szCs w:val="24"/>
              </w:rPr>
              <w:t>Frequency</w:t>
            </w:r>
          </w:p>
        </w:tc>
        <w:tc>
          <w:tcPr>
            <w:tcW w:w="1713" w:type="dxa"/>
            <w:tcBorders>
              <w:top w:val="single" w:sz="12" w:space="0" w:color="auto"/>
              <w:left w:val="none" w:sz="0" w:space="0" w:color="000000"/>
              <w:bottom w:val="single" w:sz="12" w:space="0" w:color="auto"/>
              <w:right w:val="none" w:sz="0" w:space="0" w:color="000000"/>
            </w:tcBorders>
          </w:tcPr>
          <w:p w14:paraId="2C3E6E0B" w14:textId="77777777" w:rsidR="00FC2F8E" w:rsidRDefault="00AE16DB">
            <w:pPr>
              <w:spacing w:before="100" w:beforeAutospacing="1" w:after="100" w:afterAutospacing="1"/>
              <w:jc w:val="both"/>
              <w:rPr>
                <w:rFonts w:ascii="Times New Roman" w:hAnsi="Times New Roman" w:cs="Times New Roman" w:hint="default"/>
                <w:b/>
                <w:bCs/>
                <w:sz w:val="24"/>
                <w:szCs w:val="24"/>
              </w:rPr>
            </w:pPr>
            <w:r>
              <w:rPr>
                <w:rFonts w:ascii="Times New Roman" w:eastAsia="Calibri" w:hAnsi="Times New Roman" w:cs="Times New Roman" w:hint="default"/>
                <w:b/>
                <w:bCs/>
                <w:sz w:val="24"/>
                <w:szCs w:val="24"/>
              </w:rPr>
              <w:t>Percentage</w:t>
            </w:r>
          </w:p>
        </w:tc>
      </w:tr>
      <w:tr w:rsidR="00FC2F8E" w14:paraId="604F83B7" w14:textId="77777777">
        <w:tc>
          <w:tcPr>
            <w:tcW w:w="5670" w:type="dxa"/>
            <w:tcBorders>
              <w:top w:val="none" w:sz="0" w:space="0" w:color="000000"/>
              <w:left w:val="none" w:sz="0" w:space="0" w:color="000000"/>
              <w:bottom w:val="none" w:sz="0" w:space="0" w:color="000000"/>
              <w:right w:val="none" w:sz="0" w:space="0" w:color="000000"/>
            </w:tcBorders>
            <w:vAlign w:val="bottom"/>
          </w:tcPr>
          <w:p w14:paraId="79DC2310" w14:textId="77777777" w:rsidR="00FC2F8E" w:rsidRDefault="00AE16DB">
            <w:pPr>
              <w:spacing w:before="100" w:beforeAutospacing="1" w:after="100" w:afterAutospacing="1"/>
              <w:jc w:val="both"/>
              <w:rPr>
                <w:rFonts w:ascii="Times New Roman" w:eastAsia="Times New Roman" w:hAnsi="Times New Roman" w:cs="Times New Roman" w:hint="default"/>
                <w:b/>
                <w:bCs/>
                <w:sz w:val="24"/>
                <w:szCs w:val="24"/>
              </w:rPr>
            </w:pPr>
            <w:r>
              <w:rPr>
                <w:rFonts w:ascii="Times New Roman" w:eastAsia="Times New Roman" w:hAnsi="Times New Roman" w:cs="Times New Roman" w:hint="default"/>
                <w:b/>
                <w:bCs/>
                <w:sz w:val="24"/>
                <w:szCs w:val="24"/>
              </w:rPr>
              <w:t>Age (Years)</w:t>
            </w:r>
          </w:p>
        </w:tc>
        <w:tc>
          <w:tcPr>
            <w:tcW w:w="2115" w:type="dxa"/>
            <w:tcBorders>
              <w:top w:val="none" w:sz="0" w:space="0" w:color="000000"/>
              <w:left w:val="none" w:sz="0" w:space="0" w:color="000000"/>
              <w:bottom w:val="none" w:sz="0" w:space="0" w:color="000000"/>
              <w:right w:val="none" w:sz="0" w:space="0" w:color="000000"/>
            </w:tcBorders>
            <w:vAlign w:val="bottom"/>
          </w:tcPr>
          <w:p w14:paraId="0D3A07E3"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064D58AC"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 </w:t>
            </w:r>
          </w:p>
        </w:tc>
      </w:tr>
      <w:tr w:rsidR="00FC2F8E" w14:paraId="24B1B4FD" w14:textId="77777777">
        <w:tc>
          <w:tcPr>
            <w:tcW w:w="5670" w:type="dxa"/>
            <w:tcBorders>
              <w:top w:val="none" w:sz="0" w:space="0" w:color="000000"/>
              <w:left w:val="none" w:sz="0" w:space="0" w:color="000000"/>
              <w:bottom w:val="none" w:sz="0" w:space="0" w:color="000000"/>
              <w:right w:val="none" w:sz="0" w:space="0" w:color="000000"/>
            </w:tcBorders>
            <w:vAlign w:val="bottom"/>
          </w:tcPr>
          <w:p w14:paraId="657CFD63"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20 - 29</w:t>
            </w:r>
          </w:p>
        </w:tc>
        <w:tc>
          <w:tcPr>
            <w:tcW w:w="2115" w:type="dxa"/>
            <w:tcBorders>
              <w:top w:val="none" w:sz="0" w:space="0" w:color="000000"/>
              <w:left w:val="none" w:sz="0" w:space="0" w:color="000000"/>
              <w:bottom w:val="none" w:sz="0" w:space="0" w:color="000000"/>
              <w:right w:val="none" w:sz="0" w:space="0" w:color="000000"/>
            </w:tcBorders>
            <w:vAlign w:val="bottom"/>
          </w:tcPr>
          <w:p w14:paraId="0711AD1D"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21</w:t>
            </w:r>
          </w:p>
        </w:tc>
        <w:tc>
          <w:tcPr>
            <w:tcW w:w="1713" w:type="dxa"/>
            <w:tcBorders>
              <w:top w:val="none" w:sz="0" w:space="0" w:color="000000"/>
              <w:left w:val="none" w:sz="0" w:space="0" w:color="000000"/>
              <w:bottom w:val="none" w:sz="0" w:space="0" w:color="000000"/>
              <w:right w:val="none" w:sz="0" w:space="0" w:color="000000"/>
            </w:tcBorders>
            <w:vAlign w:val="bottom"/>
          </w:tcPr>
          <w:p w14:paraId="4C2AE576"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27.6</w:t>
            </w:r>
          </w:p>
        </w:tc>
      </w:tr>
      <w:tr w:rsidR="00FC2F8E" w14:paraId="7EAFBE38" w14:textId="77777777">
        <w:tc>
          <w:tcPr>
            <w:tcW w:w="5670" w:type="dxa"/>
            <w:tcBorders>
              <w:top w:val="none" w:sz="0" w:space="0" w:color="000000"/>
              <w:left w:val="none" w:sz="0" w:space="0" w:color="000000"/>
              <w:bottom w:val="none" w:sz="0" w:space="0" w:color="000000"/>
              <w:right w:val="none" w:sz="0" w:space="0" w:color="000000"/>
            </w:tcBorders>
            <w:vAlign w:val="bottom"/>
          </w:tcPr>
          <w:p w14:paraId="50790E93"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30 - 39</w:t>
            </w:r>
          </w:p>
        </w:tc>
        <w:tc>
          <w:tcPr>
            <w:tcW w:w="2115" w:type="dxa"/>
            <w:tcBorders>
              <w:top w:val="none" w:sz="0" w:space="0" w:color="000000"/>
              <w:left w:val="none" w:sz="0" w:space="0" w:color="000000"/>
              <w:bottom w:val="none" w:sz="0" w:space="0" w:color="000000"/>
              <w:right w:val="none" w:sz="0" w:space="0" w:color="000000"/>
            </w:tcBorders>
            <w:vAlign w:val="bottom"/>
          </w:tcPr>
          <w:p w14:paraId="4F30EDE0"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17</w:t>
            </w:r>
          </w:p>
        </w:tc>
        <w:tc>
          <w:tcPr>
            <w:tcW w:w="1713" w:type="dxa"/>
            <w:tcBorders>
              <w:top w:val="none" w:sz="0" w:space="0" w:color="000000"/>
              <w:left w:val="none" w:sz="0" w:space="0" w:color="000000"/>
              <w:bottom w:val="none" w:sz="0" w:space="0" w:color="000000"/>
              <w:right w:val="none" w:sz="0" w:space="0" w:color="000000"/>
            </w:tcBorders>
            <w:vAlign w:val="bottom"/>
          </w:tcPr>
          <w:p w14:paraId="2322875D"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22.4</w:t>
            </w:r>
          </w:p>
        </w:tc>
      </w:tr>
      <w:tr w:rsidR="00FC2F8E" w14:paraId="60D823E2" w14:textId="77777777">
        <w:tc>
          <w:tcPr>
            <w:tcW w:w="5670" w:type="dxa"/>
            <w:tcBorders>
              <w:top w:val="none" w:sz="0" w:space="0" w:color="000000"/>
              <w:left w:val="none" w:sz="0" w:space="0" w:color="000000"/>
              <w:bottom w:val="none" w:sz="0" w:space="0" w:color="000000"/>
              <w:right w:val="none" w:sz="0" w:space="0" w:color="000000"/>
            </w:tcBorders>
            <w:vAlign w:val="bottom"/>
          </w:tcPr>
          <w:p w14:paraId="37215677"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40 - 49</w:t>
            </w:r>
          </w:p>
        </w:tc>
        <w:tc>
          <w:tcPr>
            <w:tcW w:w="2115" w:type="dxa"/>
            <w:tcBorders>
              <w:top w:val="none" w:sz="0" w:space="0" w:color="000000"/>
              <w:left w:val="none" w:sz="0" w:space="0" w:color="000000"/>
              <w:bottom w:val="none" w:sz="0" w:space="0" w:color="000000"/>
              <w:right w:val="none" w:sz="0" w:space="0" w:color="000000"/>
            </w:tcBorders>
            <w:vAlign w:val="bottom"/>
          </w:tcPr>
          <w:p w14:paraId="14FEF145"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28</w:t>
            </w:r>
          </w:p>
        </w:tc>
        <w:tc>
          <w:tcPr>
            <w:tcW w:w="1713" w:type="dxa"/>
            <w:tcBorders>
              <w:top w:val="none" w:sz="0" w:space="0" w:color="000000"/>
              <w:left w:val="none" w:sz="0" w:space="0" w:color="000000"/>
              <w:bottom w:val="none" w:sz="0" w:space="0" w:color="000000"/>
              <w:right w:val="none" w:sz="0" w:space="0" w:color="000000"/>
            </w:tcBorders>
            <w:vAlign w:val="bottom"/>
          </w:tcPr>
          <w:p w14:paraId="137A95F9"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36.8</w:t>
            </w:r>
          </w:p>
        </w:tc>
      </w:tr>
      <w:tr w:rsidR="00FC2F8E" w14:paraId="483AD7A7" w14:textId="77777777">
        <w:tc>
          <w:tcPr>
            <w:tcW w:w="5670" w:type="dxa"/>
            <w:tcBorders>
              <w:top w:val="none" w:sz="0" w:space="0" w:color="000000"/>
              <w:left w:val="none" w:sz="0" w:space="0" w:color="000000"/>
              <w:bottom w:val="none" w:sz="0" w:space="0" w:color="000000"/>
              <w:right w:val="none" w:sz="0" w:space="0" w:color="000000"/>
            </w:tcBorders>
            <w:vAlign w:val="bottom"/>
          </w:tcPr>
          <w:p w14:paraId="5EE5784E"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50 and above</w:t>
            </w:r>
          </w:p>
        </w:tc>
        <w:tc>
          <w:tcPr>
            <w:tcW w:w="2115" w:type="dxa"/>
            <w:tcBorders>
              <w:top w:val="none" w:sz="0" w:space="0" w:color="000000"/>
              <w:left w:val="none" w:sz="0" w:space="0" w:color="000000"/>
              <w:bottom w:val="none" w:sz="0" w:space="0" w:color="000000"/>
              <w:right w:val="none" w:sz="0" w:space="0" w:color="000000"/>
            </w:tcBorders>
            <w:vAlign w:val="bottom"/>
          </w:tcPr>
          <w:p w14:paraId="2445350F"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10</w:t>
            </w:r>
          </w:p>
        </w:tc>
        <w:tc>
          <w:tcPr>
            <w:tcW w:w="1713" w:type="dxa"/>
            <w:tcBorders>
              <w:top w:val="none" w:sz="0" w:space="0" w:color="000000"/>
              <w:left w:val="none" w:sz="0" w:space="0" w:color="000000"/>
              <w:bottom w:val="none" w:sz="0" w:space="0" w:color="000000"/>
              <w:right w:val="none" w:sz="0" w:space="0" w:color="000000"/>
            </w:tcBorders>
            <w:vAlign w:val="bottom"/>
          </w:tcPr>
          <w:p w14:paraId="0E11496F"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13.2</w:t>
            </w:r>
          </w:p>
        </w:tc>
      </w:tr>
      <w:tr w:rsidR="00FC2F8E" w14:paraId="28261591" w14:textId="77777777">
        <w:tc>
          <w:tcPr>
            <w:tcW w:w="5670" w:type="dxa"/>
            <w:tcBorders>
              <w:top w:val="none" w:sz="0" w:space="0" w:color="000000"/>
              <w:left w:val="none" w:sz="0" w:space="0" w:color="000000"/>
              <w:bottom w:val="none" w:sz="0" w:space="0" w:color="000000"/>
              <w:right w:val="none" w:sz="0" w:space="0" w:color="000000"/>
            </w:tcBorders>
            <w:vAlign w:val="bottom"/>
          </w:tcPr>
          <w:p w14:paraId="14700194" w14:textId="77777777" w:rsidR="00FC2F8E" w:rsidRDefault="00AE16DB">
            <w:pPr>
              <w:spacing w:before="100" w:beforeAutospacing="1" w:after="100" w:afterAutospacing="1"/>
              <w:jc w:val="both"/>
              <w:rPr>
                <w:rFonts w:ascii="Times New Roman" w:eastAsia="Times New Roman" w:hAnsi="Times New Roman" w:cs="Times New Roman" w:hint="default"/>
                <w:b/>
                <w:bCs/>
                <w:sz w:val="24"/>
                <w:szCs w:val="24"/>
              </w:rPr>
            </w:pPr>
            <w:r>
              <w:rPr>
                <w:rFonts w:ascii="Times New Roman" w:eastAsia="Times New Roman" w:hAnsi="Times New Roman" w:cs="Times New Roman" w:hint="default"/>
                <w:b/>
                <w:bCs/>
                <w:sz w:val="24"/>
                <w:szCs w:val="24"/>
              </w:rPr>
              <w:t>Sex</w:t>
            </w:r>
          </w:p>
        </w:tc>
        <w:tc>
          <w:tcPr>
            <w:tcW w:w="2115" w:type="dxa"/>
            <w:tcBorders>
              <w:top w:val="none" w:sz="0" w:space="0" w:color="000000"/>
              <w:left w:val="none" w:sz="0" w:space="0" w:color="000000"/>
              <w:bottom w:val="none" w:sz="0" w:space="0" w:color="000000"/>
              <w:right w:val="none" w:sz="0" w:space="0" w:color="000000"/>
            </w:tcBorders>
            <w:vAlign w:val="bottom"/>
          </w:tcPr>
          <w:p w14:paraId="27F9516D"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22B58117"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 </w:t>
            </w:r>
          </w:p>
        </w:tc>
      </w:tr>
      <w:tr w:rsidR="00FC2F8E" w14:paraId="68B2A3D7" w14:textId="77777777">
        <w:tc>
          <w:tcPr>
            <w:tcW w:w="5670" w:type="dxa"/>
            <w:tcBorders>
              <w:top w:val="none" w:sz="0" w:space="0" w:color="000000"/>
              <w:left w:val="none" w:sz="0" w:space="0" w:color="000000"/>
              <w:bottom w:val="none" w:sz="0" w:space="0" w:color="000000"/>
              <w:right w:val="none" w:sz="0" w:space="0" w:color="000000"/>
            </w:tcBorders>
            <w:vAlign w:val="bottom"/>
          </w:tcPr>
          <w:p w14:paraId="581616B8"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Male</w:t>
            </w:r>
          </w:p>
        </w:tc>
        <w:tc>
          <w:tcPr>
            <w:tcW w:w="2115" w:type="dxa"/>
            <w:tcBorders>
              <w:top w:val="none" w:sz="0" w:space="0" w:color="000000"/>
              <w:left w:val="none" w:sz="0" w:space="0" w:color="000000"/>
              <w:bottom w:val="none" w:sz="0" w:space="0" w:color="000000"/>
              <w:right w:val="none" w:sz="0" w:space="0" w:color="000000"/>
            </w:tcBorders>
            <w:vAlign w:val="bottom"/>
          </w:tcPr>
          <w:p w14:paraId="62726FC7"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none" w:sz="0" w:space="0" w:color="000000"/>
              <w:right w:val="none" w:sz="0" w:space="0" w:color="000000"/>
            </w:tcBorders>
            <w:vAlign w:val="bottom"/>
          </w:tcPr>
          <w:p w14:paraId="5B370473"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5.3</w:t>
            </w:r>
          </w:p>
        </w:tc>
      </w:tr>
      <w:tr w:rsidR="00FC2F8E" w14:paraId="521BADD6" w14:textId="77777777">
        <w:tc>
          <w:tcPr>
            <w:tcW w:w="5670" w:type="dxa"/>
            <w:tcBorders>
              <w:top w:val="none" w:sz="0" w:space="0" w:color="000000"/>
              <w:left w:val="none" w:sz="0" w:space="0" w:color="000000"/>
              <w:bottom w:val="none" w:sz="0" w:space="0" w:color="000000"/>
              <w:right w:val="none" w:sz="0" w:space="0" w:color="000000"/>
            </w:tcBorders>
            <w:vAlign w:val="bottom"/>
          </w:tcPr>
          <w:p w14:paraId="284456CF"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Female</w:t>
            </w:r>
          </w:p>
        </w:tc>
        <w:tc>
          <w:tcPr>
            <w:tcW w:w="2115" w:type="dxa"/>
            <w:tcBorders>
              <w:top w:val="none" w:sz="0" w:space="0" w:color="000000"/>
              <w:left w:val="none" w:sz="0" w:space="0" w:color="000000"/>
              <w:bottom w:val="none" w:sz="0" w:space="0" w:color="000000"/>
              <w:right w:val="none" w:sz="0" w:space="0" w:color="000000"/>
            </w:tcBorders>
            <w:vAlign w:val="bottom"/>
          </w:tcPr>
          <w:p w14:paraId="60C305A9"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72</w:t>
            </w:r>
          </w:p>
        </w:tc>
        <w:tc>
          <w:tcPr>
            <w:tcW w:w="1713" w:type="dxa"/>
            <w:tcBorders>
              <w:top w:val="none" w:sz="0" w:space="0" w:color="000000"/>
              <w:left w:val="none" w:sz="0" w:space="0" w:color="000000"/>
              <w:bottom w:val="none" w:sz="0" w:space="0" w:color="000000"/>
              <w:right w:val="none" w:sz="0" w:space="0" w:color="000000"/>
            </w:tcBorders>
            <w:vAlign w:val="bottom"/>
          </w:tcPr>
          <w:p w14:paraId="34BD02A8"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94.7</w:t>
            </w:r>
          </w:p>
        </w:tc>
      </w:tr>
      <w:tr w:rsidR="00FC2F8E" w14:paraId="3360CE08" w14:textId="77777777">
        <w:tc>
          <w:tcPr>
            <w:tcW w:w="5670" w:type="dxa"/>
            <w:tcBorders>
              <w:top w:val="none" w:sz="0" w:space="0" w:color="000000"/>
              <w:left w:val="none" w:sz="0" w:space="0" w:color="000000"/>
              <w:bottom w:val="none" w:sz="0" w:space="0" w:color="000000"/>
              <w:right w:val="none" w:sz="0" w:space="0" w:color="000000"/>
            </w:tcBorders>
            <w:vAlign w:val="bottom"/>
          </w:tcPr>
          <w:p w14:paraId="0AE8DD89" w14:textId="77777777" w:rsidR="00FC2F8E" w:rsidRDefault="00AE16DB">
            <w:pPr>
              <w:spacing w:before="100" w:beforeAutospacing="1" w:after="100" w:afterAutospacing="1"/>
              <w:jc w:val="both"/>
              <w:rPr>
                <w:rFonts w:ascii="Times New Roman" w:hAnsi="Times New Roman" w:cs="Times New Roman" w:hint="default"/>
                <w:b/>
                <w:bCs/>
                <w:sz w:val="24"/>
                <w:szCs w:val="24"/>
              </w:rPr>
            </w:pPr>
            <w:r>
              <w:rPr>
                <w:rFonts w:ascii="Times New Roman" w:eastAsia="Times New Roman" w:hAnsi="Times New Roman" w:cs="Times New Roman" w:hint="default"/>
                <w:b/>
                <w:bCs/>
                <w:sz w:val="24"/>
                <w:szCs w:val="24"/>
              </w:rPr>
              <w:t>Professional cadre</w:t>
            </w:r>
          </w:p>
        </w:tc>
        <w:tc>
          <w:tcPr>
            <w:tcW w:w="2115" w:type="dxa"/>
            <w:tcBorders>
              <w:top w:val="none" w:sz="0" w:space="0" w:color="000000"/>
              <w:left w:val="none" w:sz="0" w:space="0" w:color="000000"/>
              <w:bottom w:val="none" w:sz="0" w:space="0" w:color="000000"/>
              <w:right w:val="none" w:sz="0" w:space="0" w:color="000000"/>
            </w:tcBorders>
            <w:vAlign w:val="bottom"/>
          </w:tcPr>
          <w:p w14:paraId="22878EBD" w14:textId="77777777" w:rsidR="00FC2F8E" w:rsidRDefault="00AE16DB">
            <w:pPr>
              <w:spacing w:before="100" w:beforeAutospacing="1" w:after="100" w:afterAutospacing="1"/>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457BA474" w14:textId="77777777" w:rsidR="00FC2F8E" w:rsidRDefault="00AE16DB">
            <w:pPr>
              <w:spacing w:before="100" w:beforeAutospacing="1" w:after="100" w:afterAutospacing="1"/>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 </w:t>
            </w:r>
          </w:p>
        </w:tc>
      </w:tr>
      <w:tr w:rsidR="00FC2F8E" w14:paraId="5E963805" w14:textId="77777777">
        <w:tc>
          <w:tcPr>
            <w:tcW w:w="5670" w:type="dxa"/>
            <w:tcBorders>
              <w:top w:val="none" w:sz="0" w:space="0" w:color="000000"/>
              <w:left w:val="none" w:sz="0" w:space="0" w:color="000000"/>
              <w:bottom w:val="none" w:sz="0" w:space="0" w:color="000000"/>
              <w:right w:val="none" w:sz="0" w:space="0" w:color="000000"/>
            </w:tcBorders>
            <w:vAlign w:val="bottom"/>
          </w:tcPr>
          <w:p w14:paraId="23CCE538" w14:textId="77777777" w:rsidR="00FC2F8E" w:rsidRDefault="00AE16DB">
            <w:pPr>
              <w:spacing w:before="100" w:beforeAutospacing="1" w:after="100" w:afterAutospacing="1"/>
              <w:ind w:left="252"/>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Nurse/Midwife</w:t>
            </w:r>
          </w:p>
        </w:tc>
        <w:tc>
          <w:tcPr>
            <w:tcW w:w="2115" w:type="dxa"/>
            <w:tcBorders>
              <w:top w:val="none" w:sz="0" w:space="0" w:color="000000"/>
              <w:left w:val="none" w:sz="0" w:space="0" w:color="000000"/>
              <w:bottom w:val="none" w:sz="0" w:space="0" w:color="000000"/>
              <w:right w:val="none" w:sz="0" w:space="0" w:color="000000"/>
            </w:tcBorders>
            <w:vAlign w:val="bottom"/>
          </w:tcPr>
          <w:p w14:paraId="068266CB" w14:textId="77777777" w:rsidR="00FC2F8E" w:rsidRDefault="00AE16DB">
            <w:pPr>
              <w:spacing w:before="100" w:beforeAutospacing="1" w:after="100" w:afterAutospacing="1"/>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35</w:t>
            </w:r>
          </w:p>
        </w:tc>
        <w:tc>
          <w:tcPr>
            <w:tcW w:w="1713" w:type="dxa"/>
            <w:tcBorders>
              <w:top w:val="none" w:sz="0" w:space="0" w:color="000000"/>
              <w:left w:val="none" w:sz="0" w:space="0" w:color="000000"/>
              <w:bottom w:val="none" w:sz="0" w:space="0" w:color="000000"/>
              <w:right w:val="none" w:sz="0" w:space="0" w:color="000000"/>
            </w:tcBorders>
            <w:vAlign w:val="bottom"/>
          </w:tcPr>
          <w:p w14:paraId="53AE3E3B" w14:textId="77777777" w:rsidR="00FC2F8E" w:rsidRDefault="00AE16DB">
            <w:pPr>
              <w:spacing w:before="100" w:beforeAutospacing="1" w:after="100" w:afterAutospacing="1"/>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46.1</w:t>
            </w:r>
          </w:p>
        </w:tc>
      </w:tr>
      <w:tr w:rsidR="00FC2F8E" w14:paraId="273D028A" w14:textId="77777777">
        <w:tc>
          <w:tcPr>
            <w:tcW w:w="5670" w:type="dxa"/>
            <w:tcBorders>
              <w:top w:val="none" w:sz="0" w:space="0" w:color="000000"/>
              <w:left w:val="none" w:sz="0" w:space="0" w:color="000000"/>
              <w:bottom w:val="none" w:sz="0" w:space="0" w:color="000000"/>
              <w:right w:val="none" w:sz="0" w:space="0" w:color="000000"/>
            </w:tcBorders>
            <w:vAlign w:val="bottom"/>
          </w:tcPr>
          <w:p w14:paraId="43F008CF" w14:textId="77777777" w:rsidR="00FC2F8E" w:rsidRDefault="00AE16DB">
            <w:pPr>
              <w:spacing w:before="100" w:beforeAutospacing="1" w:after="100" w:afterAutospacing="1"/>
              <w:ind w:left="252"/>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Dietician/Nutritionist</w:t>
            </w:r>
          </w:p>
        </w:tc>
        <w:tc>
          <w:tcPr>
            <w:tcW w:w="2115" w:type="dxa"/>
            <w:tcBorders>
              <w:top w:val="none" w:sz="0" w:space="0" w:color="000000"/>
              <w:left w:val="none" w:sz="0" w:space="0" w:color="000000"/>
              <w:bottom w:val="none" w:sz="0" w:space="0" w:color="000000"/>
              <w:right w:val="none" w:sz="0" w:space="0" w:color="000000"/>
            </w:tcBorders>
            <w:vAlign w:val="bottom"/>
          </w:tcPr>
          <w:p w14:paraId="6A8EC3BD" w14:textId="77777777" w:rsidR="00FC2F8E" w:rsidRDefault="00AE16DB">
            <w:pPr>
              <w:spacing w:before="100" w:beforeAutospacing="1" w:after="100" w:afterAutospacing="1"/>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30</w:t>
            </w:r>
          </w:p>
        </w:tc>
        <w:tc>
          <w:tcPr>
            <w:tcW w:w="1713" w:type="dxa"/>
            <w:tcBorders>
              <w:top w:val="none" w:sz="0" w:space="0" w:color="000000"/>
              <w:left w:val="none" w:sz="0" w:space="0" w:color="000000"/>
              <w:bottom w:val="none" w:sz="0" w:space="0" w:color="000000"/>
              <w:right w:val="none" w:sz="0" w:space="0" w:color="000000"/>
            </w:tcBorders>
            <w:vAlign w:val="bottom"/>
          </w:tcPr>
          <w:p w14:paraId="01F82200" w14:textId="77777777" w:rsidR="00FC2F8E" w:rsidRDefault="00AE16DB">
            <w:pPr>
              <w:spacing w:before="100" w:beforeAutospacing="1" w:after="100" w:afterAutospacing="1"/>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39.5</w:t>
            </w:r>
          </w:p>
        </w:tc>
      </w:tr>
      <w:tr w:rsidR="00FC2F8E" w14:paraId="0C8E8DDD" w14:textId="77777777">
        <w:tc>
          <w:tcPr>
            <w:tcW w:w="5670" w:type="dxa"/>
            <w:tcBorders>
              <w:top w:val="none" w:sz="0" w:space="0" w:color="000000"/>
              <w:left w:val="none" w:sz="0" w:space="0" w:color="000000"/>
              <w:bottom w:val="none" w:sz="0" w:space="0" w:color="000000"/>
              <w:right w:val="none" w:sz="0" w:space="0" w:color="000000"/>
            </w:tcBorders>
            <w:vAlign w:val="bottom"/>
          </w:tcPr>
          <w:p w14:paraId="6A9725E0" w14:textId="77777777" w:rsidR="00FC2F8E" w:rsidRDefault="00AE16DB">
            <w:pPr>
              <w:spacing w:before="100" w:beforeAutospacing="1" w:after="100" w:afterAutospacing="1"/>
              <w:ind w:left="252"/>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Health Educator</w:t>
            </w:r>
          </w:p>
        </w:tc>
        <w:tc>
          <w:tcPr>
            <w:tcW w:w="2115" w:type="dxa"/>
            <w:tcBorders>
              <w:top w:val="none" w:sz="0" w:space="0" w:color="000000"/>
              <w:left w:val="none" w:sz="0" w:space="0" w:color="000000"/>
              <w:bottom w:val="none" w:sz="0" w:space="0" w:color="000000"/>
              <w:right w:val="none" w:sz="0" w:space="0" w:color="000000"/>
            </w:tcBorders>
            <w:vAlign w:val="bottom"/>
          </w:tcPr>
          <w:p w14:paraId="4394E6A1" w14:textId="77777777" w:rsidR="00FC2F8E" w:rsidRDefault="00AE16DB">
            <w:pPr>
              <w:spacing w:before="100" w:beforeAutospacing="1" w:after="100" w:afterAutospacing="1"/>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none" w:sz="0" w:space="0" w:color="000000"/>
              <w:right w:val="none" w:sz="0" w:space="0" w:color="000000"/>
            </w:tcBorders>
            <w:vAlign w:val="bottom"/>
          </w:tcPr>
          <w:p w14:paraId="426089AD" w14:textId="77777777" w:rsidR="00FC2F8E" w:rsidRDefault="00AE16DB">
            <w:pPr>
              <w:spacing w:before="100" w:beforeAutospacing="1" w:after="100" w:afterAutospacing="1"/>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5.3</w:t>
            </w:r>
          </w:p>
        </w:tc>
      </w:tr>
      <w:tr w:rsidR="00FC2F8E" w14:paraId="49208F16" w14:textId="77777777">
        <w:tc>
          <w:tcPr>
            <w:tcW w:w="5670" w:type="dxa"/>
            <w:tcBorders>
              <w:top w:val="none" w:sz="0" w:space="0" w:color="000000"/>
              <w:left w:val="none" w:sz="0" w:space="0" w:color="000000"/>
              <w:bottom w:val="none" w:sz="0" w:space="0" w:color="000000"/>
              <w:right w:val="none" w:sz="0" w:space="0" w:color="000000"/>
            </w:tcBorders>
            <w:vAlign w:val="bottom"/>
          </w:tcPr>
          <w:p w14:paraId="53E50CDC" w14:textId="77777777" w:rsidR="00FC2F8E" w:rsidRDefault="00AE16DB">
            <w:pPr>
              <w:spacing w:before="100" w:beforeAutospacing="1" w:after="100" w:afterAutospacing="1"/>
              <w:ind w:left="252"/>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Community Health Officer/Extention worker</w:t>
            </w:r>
          </w:p>
        </w:tc>
        <w:tc>
          <w:tcPr>
            <w:tcW w:w="2115" w:type="dxa"/>
            <w:tcBorders>
              <w:top w:val="none" w:sz="0" w:space="0" w:color="000000"/>
              <w:left w:val="none" w:sz="0" w:space="0" w:color="000000"/>
              <w:bottom w:val="none" w:sz="0" w:space="0" w:color="000000"/>
              <w:right w:val="none" w:sz="0" w:space="0" w:color="000000"/>
            </w:tcBorders>
            <w:vAlign w:val="bottom"/>
          </w:tcPr>
          <w:p w14:paraId="152B28E5" w14:textId="77777777" w:rsidR="00FC2F8E" w:rsidRDefault="00AE16DB">
            <w:pPr>
              <w:spacing w:before="100" w:beforeAutospacing="1" w:after="100" w:afterAutospacing="1"/>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5</w:t>
            </w:r>
          </w:p>
        </w:tc>
        <w:tc>
          <w:tcPr>
            <w:tcW w:w="1713" w:type="dxa"/>
            <w:tcBorders>
              <w:top w:val="none" w:sz="0" w:space="0" w:color="000000"/>
              <w:left w:val="none" w:sz="0" w:space="0" w:color="000000"/>
              <w:bottom w:val="none" w:sz="0" w:space="0" w:color="000000"/>
              <w:right w:val="none" w:sz="0" w:space="0" w:color="000000"/>
            </w:tcBorders>
            <w:vAlign w:val="bottom"/>
          </w:tcPr>
          <w:p w14:paraId="33CC8BEB" w14:textId="77777777" w:rsidR="00FC2F8E" w:rsidRDefault="00AE16DB">
            <w:pPr>
              <w:spacing w:before="100" w:beforeAutospacing="1" w:after="100" w:afterAutospacing="1"/>
              <w:jc w:val="both"/>
              <w:rPr>
                <w:rFonts w:ascii="Times New Roman" w:hAnsi="Times New Roman" w:cs="Times New Roman" w:hint="default"/>
                <w:sz w:val="24"/>
                <w:szCs w:val="24"/>
              </w:rPr>
            </w:pPr>
            <w:r>
              <w:rPr>
                <w:rFonts w:ascii="Times New Roman" w:eastAsia="Times New Roman" w:hAnsi="Times New Roman" w:cs="Times New Roman" w:hint="default"/>
                <w:sz w:val="24"/>
                <w:szCs w:val="24"/>
              </w:rPr>
              <w:t>6.6</w:t>
            </w:r>
          </w:p>
        </w:tc>
      </w:tr>
      <w:tr w:rsidR="00FC2F8E" w14:paraId="3C4331DD" w14:textId="77777777">
        <w:tc>
          <w:tcPr>
            <w:tcW w:w="5670" w:type="dxa"/>
            <w:tcBorders>
              <w:top w:val="none" w:sz="0" w:space="0" w:color="000000"/>
              <w:left w:val="none" w:sz="0" w:space="0" w:color="000000"/>
              <w:bottom w:val="none" w:sz="0" w:space="0" w:color="000000"/>
              <w:right w:val="none" w:sz="0" w:space="0" w:color="000000"/>
            </w:tcBorders>
            <w:vAlign w:val="bottom"/>
          </w:tcPr>
          <w:p w14:paraId="011E1B3C"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Physiotherapist</w:t>
            </w:r>
          </w:p>
        </w:tc>
        <w:tc>
          <w:tcPr>
            <w:tcW w:w="2115" w:type="dxa"/>
            <w:tcBorders>
              <w:top w:val="none" w:sz="0" w:space="0" w:color="000000"/>
              <w:left w:val="none" w:sz="0" w:space="0" w:color="000000"/>
              <w:bottom w:val="none" w:sz="0" w:space="0" w:color="000000"/>
              <w:right w:val="none" w:sz="0" w:space="0" w:color="000000"/>
            </w:tcBorders>
            <w:vAlign w:val="bottom"/>
          </w:tcPr>
          <w:p w14:paraId="7B0770E9"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2</w:t>
            </w:r>
          </w:p>
        </w:tc>
        <w:tc>
          <w:tcPr>
            <w:tcW w:w="1713" w:type="dxa"/>
            <w:tcBorders>
              <w:top w:val="none" w:sz="0" w:space="0" w:color="000000"/>
              <w:left w:val="none" w:sz="0" w:space="0" w:color="000000"/>
              <w:bottom w:val="none" w:sz="0" w:space="0" w:color="000000"/>
              <w:right w:val="none" w:sz="0" w:space="0" w:color="000000"/>
            </w:tcBorders>
            <w:vAlign w:val="bottom"/>
          </w:tcPr>
          <w:p w14:paraId="6783899D"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2.5</w:t>
            </w:r>
          </w:p>
        </w:tc>
      </w:tr>
      <w:tr w:rsidR="00FC2F8E" w14:paraId="27ECD57C" w14:textId="77777777">
        <w:tc>
          <w:tcPr>
            <w:tcW w:w="5670" w:type="dxa"/>
            <w:tcBorders>
              <w:top w:val="none" w:sz="0" w:space="0" w:color="000000"/>
              <w:left w:val="none" w:sz="0" w:space="0" w:color="000000"/>
              <w:bottom w:val="none" w:sz="0" w:space="0" w:color="000000"/>
              <w:right w:val="none" w:sz="0" w:space="0" w:color="000000"/>
            </w:tcBorders>
            <w:vAlign w:val="bottom"/>
          </w:tcPr>
          <w:p w14:paraId="78DCBF5A" w14:textId="77777777" w:rsidR="00FC2F8E" w:rsidRDefault="00AE16DB">
            <w:pPr>
              <w:spacing w:before="100" w:beforeAutospacing="1" w:after="100" w:afterAutospacing="1"/>
              <w:jc w:val="both"/>
              <w:rPr>
                <w:rFonts w:ascii="Times New Roman" w:eastAsia="Times New Roman" w:hAnsi="Times New Roman" w:cs="Times New Roman" w:hint="default"/>
                <w:b/>
                <w:bCs/>
                <w:sz w:val="24"/>
                <w:szCs w:val="24"/>
              </w:rPr>
            </w:pPr>
            <w:r>
              <w:rPr>
                <w:rFonts w:ascii="Times New Roman" w:eastAsia="Times New Roman" w:hAnsi="Times New Roman" w:cs="Times New Roman" w:hint="default"/>
                <w:b/>
                <w:bCs/>
                <w:sz w:val="24"/>
                <w:szCs w:val="24"/>
              </w:rPr>
              <w:t>Highest educational qualification</w:t>
            </w:r>
          </w:p>
        </w:tc>
        <w:tc>
          <w:tcPr>
            <w:tcW w:w="2115" w:type="dxa"/>
            <w:tcBorders>
              <w:top w:val="none" w:sz="0" w:space="0" w:color="000000"/>
              <w:left w:val="none" w:sz="0" w:space="0" w:color="000000"/>
              <w:bottom w:val="none" w:sz="0" w:space="0" w:color="000000"/>
              <w:right w:val="none" w:sz="0" w:space="0" w:color="000000"/>
            </w:tcBorders>
            <w:vAlign w:val="bottom"/>
          </w:tcPr>
          <w:p w14:paraId="47A5D841"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4066197E"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 </w:t>
            </w:r>
          </w:p>
        </w:tc>
      </w:tr>
      <w:tr w:rsidR="00FC2F8E" w14:paraId="499078DC" w14:textId="77777777">
        <w:tc>
          <w:tcPr>
            <w:tcW w:w="5670" w:type="dxa"/>
            <w:tcBorders>
              <w:top w:val="none" w:sz="0" w:space="0" w:color="000000"/>
              <w:left w:val="none" w:sz="0" w:space="0" w:color="000000"/>
              <w:bottom w:val="none" w:sz="0" w:space="0" w:color="000000"/>
              <w:right w:val="none" w:sz="0" w:space="0" w:color="000000"/>
            </w:tcBorders>
            <w:vAlign w:val="bottom"/>
          </w:tcPr>
          <w:p w14:paraId="43C6C04D"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Diploma</w:t>
            </w:r>
          </w:p>
        </w:tc>
        <w:tc>
          <w:tcPr>
            <w:tcW w:w="2115" w:type="dxa"/>
            <w:tcBorders>
              <w:top w:val="none" w:sz="0" w:space="0" w:color="000000"/>
              <w:left w:val="none" w:sz="0" w:space="0" w:color="000000"/>
              <w:bottom w:val="none" w:sz="0" w:space="0" w:color="000000"/>
              <w:right w:val="none" w:sz="0" w:space="0" w:color="000000"/>
            </w:tcBorders>
            <w:vAlign w:val="bottom"/>
          </w:tcPr>
          <w:p w14:paraId="3ACC2409"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14</w:t>
            </w:r>
          </w:p>
        </w:tc>
        <w:tc>
          <w:tcPr>
            <w:tcW w:w="1713" w:type="dxa"/>
            <w:tcBorders>
              <w:top w:val="none" w:sz="0" w:space="0" w:color="000000"/>
              <w:left w:val="none" w:sz="0" w:space="0" w:color="000000"/>
              <w:bottom w:val="none" w:sz="0" w:space="0" w:color="000000"/>
              <w:right w:val="none" w:sz="0" w:space="0" w:color="000000"/>
            </w:tcBorders>
            <w:vAlign w:val="bottom"/>
          </w:tcPr>
          <w:p w14:paraId="448F53D9"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18.4</w:t>
            </w:r>
          </w:p>
        </w:tc>
      </w:tr>
      <w:tr w:rsidR="00FC2F8E" w14:paraId="1329C806" w14:textId="77777777">
        <w:tc>
          <w:tcPr>
            <w:tcW w:w="5670" w:type="dxa"/>
            <w:tcBorders>
              <w:top w:val="none" w:sz="0" w:space="0" w:color="000000"/>
              <w:left w:val="none" w:sz="0" w:space="0" w:color="000000"/>
              <w:bottom w:val="none" w:sz="0" w:space="0" w:color="000000"/>
              <w:right w:val="none" w:sz="0" w:space="0" w:color="000000"/>
            </w:tcBorders>
            <w:vAlign w:val="bottom"/>
          </w:tcPr>
          <w:p w14:paraId="46795F45"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B.Sc</w:t>
            </w:r>
          </w:p>
        </w:tc>
        <w:tc>
          <w:tcPr>
            <w:tcW w:w="2115" w:type="dxa"/>
            <w:tcBorders>
              <w:top w:val="none" w:sz="0" w:space="0" w:color="000000"/>
              <w:left w:val="none" w:sz="0" w:space="0" w:color="000000"/>
              <w:bottom w:val="none" w:sz="0" w:space="0" w:color="000000"/>
              <w:right w:val="none" w:sz="0" w:space="0" w:color="000000"/>
            </w:tcBorders>
            <w:vAlign w:val="bottom"/>
          </w:tcPr>
          <w:p w14:paraId="3948C19E"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42</w:t>
            </w:r>
          </w:p>
        </w:tc>
        <w:tc>
          <w:tcPr>
            <w:tcW w:w="1713" w:type="dxa"/>
            <w:tcBorders>
              <w:top w:val="none" w:sz="0" w:space="0" w:color="000000"/>
              <w:left w:val="none" w:sz="0" w:space="0" w:color="000000"/>
              <w:bottom w:val="none" w:sz="0" w:space="0" w:color="000000"/>
              <w:right w:val="none" w:sz="0" w:space="0" w:color="000000"/>
            </w:tcBorders>
            <w:vAlign w:val="bottom"/>
          </w:tcPr>
          <w:p w14:paraId="3738A54A"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55.2</w:t>
            </w:r>
          </w:p>
        </w:tc>
      </w:tr>
      <w:tr w:rsidR="00FC2F8E" w14:paraId="2976762B" w14:textId="77777777">
        <w:tc>
          <w:tcPr>
            <w:tcW w:w="5670" w:type="dxa"/>
            <w:tcBorders>
              <w:top w:val="none" w:sz="0" w:space="0" w:color="000000"/>
              <w:left w:val="none" w:sz="0" w:space="0" w:color="000000"/>
              <w:bottom w:val="none" w:sz="0" w:space="0" w:color="000000"/>
              <w:right w:val="none" w:sz="0" w:space="0" w:color="000000"/>
            </w:tcBorders>
            <w:vAlign w:val="bottom"/>
          </w:tcPr>
          <w:p w14:paraId="44EB543D"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Post-graduate Diploma</w:t>
            </w:r>
          </w:p>
        </w:tc>
        <w:tc>
          <w:tcPr>
            <w:tcW w:w="2115" w:type="dxa"/>
            <w:tcBorders>
              <w:top w:val="none" w:sz="0" w:space="0" w:color="000000"/>
              <w:left w:val="none" w:sz="0" w:space="0" w:color="000000"/>
              <w:bottom w:val="none" w:sz="0" w:space="0" w:color="000000"/>
              <w:right w:val="none" w:sz="0" w:space="0" w:color="000000"/>
            </w:tcBorders>
            <w:vAlign w:val="bottom"/>
          </w:tcPr>
          <w:p w14:paraId="130B7BA2"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none" w:sz="0" w:space="0" w:color="000000"/>
              <w:right w:val="none" w:sz="0" w:space="0" w:color="000000"/>
            </w:tcBorders>
            <w:vAlign w:val="bottom"/>
          </w:tcPr>
          <w:p w14:paraId="3A92B6AA"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5.3</w:t>
            </w:r>
          </w:p>
        </w:tc>
      </w:tr>
      <w:tr w:rsidR="00FC2F8E" w14:paraId="0DAEED1F" w14:textId="77777777">
        <w:tc>
          <w:tcPr>
            <w:tcW w:w="5670" w:type="dxa"/>
            <w:tcBorders>
              <w:top w:val="none" w:sz="0" w:space="0" w:color="000000"/>
              <w:left w:val="none" w:sz="0" w:space="0" w:color="000000"/>
              <w:bottom w:val="none" w:sz="0" w:space="0" w:color="000000"/>
              <w:right w:val="none" w:sz="0" w:space="0" w:color="000000"/>
            </w:tcBorders>
            <w:vAlign w:val="bottom"/>
          </w:tcPr>
          <w:p w14:paraId="40A0245E"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Master's Degree</w:t>
            </w:r>
          </w:p>
        </w:tc>
        <w:tc>
          <w:tcPr>
            <w:tcW w:w="2115" w:type="dxa"/>
            <w:tcBorders>
              <w:top w:val="none" w:sz="0" w:space="0" w:color="000000"/>
              <w:left w:val="none" w:sz="0" w:space="0" w:color="000000"/>
              <w:bottom w:val="none" w:sz="0" w:space="0" w:color="000000"/>
              <w:right w:val="none" w:sz="0" w:space="0" w:color="000000"/>
            </w:tcBorders>
            <w:vAlign w:val="bottom"/>
          </w:tcPr>
          <w:p w14:paraId="5A9FEE55"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12</w:t>
            </w:r>
          </w:p>
        </w:tc>
        <w:tc>
          <w:tcPr>
            <w:tcW w:w="1713" w:type="dxa"/>
            <w:tcBorders>
              <w:top w:val="none" w:sz="0" w:space="0" w:color="000000"/>
              <w:left w:val="none" w:sz="0" w:space="0" w:color="000000"/>
              <w:bottom w:val="none" w:sz="0" w:space="0" w:color="000000"/>
              <w:right w:val="none" w:sz="0" w:space="0" w:color="000000"/>
            </w:tcBorders>
            <w:vAlign w:val="bottom"/>
          </w:tcPr>
          <w:p w14:paraId="448717F5"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15.8</w:t>
            </w:r>
          </w:p>
        </w:tc>
      </w:tr>
      <w:tr w:rsidR="00FC2F8E" w14:paraId="44B50F51" w14:textId="77777777">
        <w:tc>
          <w:tcPr>
            <w:tcW w:w="5670" w:type="dxa"/>
            <w:tcBorders>
              <w:top w:val="none" w:sz="0" w:space="0" w:color="000000"/>
              <w:left w:val="none" w:sz="0" w:space="0" w:color="000000"/>
              <w:bottom w:val="single" w:sz="4" w:space="0" w:color="auto"/>
              <w:right w:val="none" w:sz="0" w:space="0" w:color="000000"/>
            </w:tcBorders>
            <w:vAlign w:val="bottom"/>
          </w:tcPr>
          <w:p w14:paraId="0ACB6CF2" w14:textId="77777777" w:rsidR="00FC2F8E" w:rsidRDefault="00AE16DB">
            <w:pPr>
              <w:spacing w:before="100" w:beforeAutospacing="1" w:after="100" w:afterAutospacing="1"/>
              <w:ind w:left="252"/>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Others (Specify)</w:t>
            </w:r>
          </w:p>
        </w:tc>
        <w:tc>
          <w:tcPr>
            <w:tcW w:w="2115" w:type="dxa"/>
            <w:tcBorders>
              <w:top w:val="none" w:sz="0" w:space="0" w:color="000000"/>
              <w:left w:val="none" w:sz="0" w:space="0" w:color="000000"/>
              <w:bottom w:val="single" w:sz="4" w:space="0" w:color="auto"/>
              <w:right w:val="none" w:sz="0" w:space="0" w:color="000000"/>
            </w:tcBorders>
            <w:vAlign w:val="bottom"/>
          </w:tcPr>
          <w:p w14:paraId="391F399C"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single" w:sz="4" w:space="0" w:color="auto"/>
              <w:right w:val="none" w:sz="0" w:space="0" w:color="000000"/>
            </w:tcBorders>
            <w:vAlign w:val="bottom"/>
          </w:tcPr>
          <w:p w14:paraId="7DF1EA43" w14:textId="77777777" w:rsidR="00FC2F8E" w:rsidRDefault="00AE16DB">
            <w:pPr>
              <w:spacing w:before="100" w:beforeAutospacing="1" w:after="100" w:afterAutospacing="1"/>
              <w:jc w:val="both"/>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5.3</w:t>
            </w:r>
          </w:p>
        </w:tc>
      </w:tr>
    </w:tbl>
    <w:p w14:paraId="71195D61" w14:textId="77777777" w:rsidR="00FC2F8E" w:rsidRDefault="00AE16DB">
      <w:pPr>
        <w:spacing w:before="100" w:beforeAutospacing="1" w:after="100" w:afterAutospacing="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result in Table 1 presents the sociodemographic characteristics of health workers at AEFUTHA, Ebonyi State, Nigeria, showing that the majority were aged 40–49 years 28 (36.8%), followed by those aged 20–29 years 21 (27.6%). In terms of sex, most respondents were female 72 (94.7%), whereas only 4 (5.3%) were male. Regarding professional cadre, nurses/midwives 35 (46.1%) and dieticians/nutritionists 30 (39.5%) dominated. With respect to educational qualification, the majority had B.Sc degrees 42 (55.3%), followed by diplomas 14 (18.4%) and master’s degrees 12 (15.8%). Years of professional experience varied, with 25 (32.9%) having less than 5 years, 16 (21.1%) between 5–10 years, 17 (22.4%) between 11–15 years, and 18 (23.7%) above 15 years, as shown in Figure </w:t>
      </w:r>
      <w:r w:rsidR="00964562">
        <w:rPr>
          <w:rFonts w:ascii="Times New Roman" w:eastAsia="Calibri" w:hAnsi="Times New Roman" w:cs="Times New Roman"/>
          <w:sz w:val="24"/>
          <w:szCs w:val="24"/>
        </w:rPr>
        <w:t>1</w:t>
      </w:r>
      <w:r>
        <w:rPr>
          <w:rFonts w:ascii="Times New Roman" w:eastAsia="Calibri" w:hAnsi="Times New Roman" w:cs="Times New Roman"/>
          <w:sz w:val="24"/>
          <w:szCs w:val="24"/>
        </w:rPr>
        <w:t>. Furthermore, years of working in ANC/Immunization clinics showed that most respondents had less than 1 year 32 (42.1%) or 1–5 years 30 (39.5%) of experience, while fewer had 6–10 years 11 (14.5%) and above 10 years 3 (3.9%).</w:t>
      </w:r>
    </w:p>
    <w:p w14:paraId="752052F6" w14:textId="77777777" w:rsidR="00FC2F8E" w:rsidRDefault="00AE16DB">
      <w:pPr>
        <w:spacing w:before="100" w:beforeAutospacing="1" w:after="100" w:afterAutospacing="1"/>
        <w:jc w:val="both"/>
        <w:rPr>
          <w:rFonts w:ascii="Times New Roman" w:hAnsi="Times New Roman" w:cs="Times New Roman"/>
          <w:sz w:val="24"/>
          <w:szCs w:val="24"/>
        </w:rPr>
      </w:pPr>
      <w:r>
        <w:rPr>
          <w:rFonts w:ascii="Calibri"/>
          <w:noProof/>
        </w:rPr>
        <w:lastRenderedPageBreak/>
        <w:drawing>
          <wp:inline distT="0" distB="0" distL="0" distR="0" wp14:anchorId="3D15C85A" wp14:editId="07B3E789">
            <wp:extent cx="5775959" cy="4777745"/>
            <wp:effectExtent l="0" t="0" r="15240" b="3810"/>
            <wp:docPr id="5565539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41BA9F7" w14:textId="77777777" w:rsidR="00FC2F8E" w:rsidRDefault="00AE16DB">
      <w:pPr>
        <w:pStyle w:val="Title"/>
      </w:pPr>
      <w:bookmarkStart w:id="9" w:name="_Toc224670966"/>
      <w:r>
        <w:t xml:space="preserve">Figure </w:t>
      </w:r>
      <w:r w:rsidR="00964562">
        <w:t>1</w:t>
      </w:r>
      <w:r>
        <w:t>: Bar Chart Showing Years of Professional Experience among Health Workers in AEFUTHA Ebonyi State</w:t>
      </w:r>
      <w:bookmarkEnd w:id="9"/>
    </w:p>
    <w:p w14:paraId="645459A5" w14:textId="77777777" w:rsidR="00FC2F8E" w:rsidRDefault="00AE16DB">
      <w:pPr>
        <w:spacing w:before="100" w:beforeAutospacing="1" w:after="100" w:afterAutospacing="1"/>
        <w:jc w:val="both"/>
        <w:rPr>
          <w:rFonts w:ascii="Times New Roman" w:hAnsi="Times New Roman" w:cs="Times New Roman"/>
          <w:sz w:val="24"/>
          <w:szCs w:val="24"/>
        </w:rPr>
      </w:pPr>
      <w:r>
        <w:rPr>
          <w:rFonts w:ascii="Calibri"/>
          <w:noProof/>
        </w:rPr>
        <w:lastRenderedPageBreak/>
        <w:drawing>
          <wp:inline distT="0" distB="0" distL="0" distR="0" wp14:anchorId="1BC62726" wp14:editId="1BD88F02">
            <wp:extent cx="5806445" cy="4937754"/>
            <wp:effectExtent l="0" t="0" r="3810" b="15240"/>
            <wp:docPr id="209921694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30004F5" w14:textId="77777777" w:rsidR="00FC2F8E" w:rsidRDefault="00AE16DB">
      <w:pPr>
        <w:pStyle w:val="Title"/>
      </w:pPr>
      <w:bookmarkStart w:id="10" w:name="_Toc224670967"/>
      <w:r>
        <w:t xml:space="preserve">Figure </w:t>
      </w:r>
      <w:r w:rsidR="00964562">
        <w:t>2</w:t>
      </w:r>
      <w:r>
        <w:t>: Bar Chart Showing Years of working in ANC/ Immunization clinics among Health Workers in AEFUTHA Ebonyi State</w:t>
      </w:r>
      <w:bookmarkEnd w:id="10"/>
    </w:p>
    <w:p w14:paraId="02CAE1B5" w14:textId="77777777" w:rsidR="00964562" w:rsidRDefault="00964562">
      <w:pPr>
        <w:pStyle w:val="Title"/>
      </w:pPr>
      <w:bookmarkStart w:id="11" w:name="_Toc224670846"/>
    </w:p>
    <w:p w14:paraId="3C4180CC" w14:textId="77777777" w:rsidR="00FC2F8E" w:rsidRDefault="00AE16DB">
      <w:pPr>
        <w:pStyle w:val="Title"/>
      </w:pPr>
      <w:r>
        <w:t xml:space="preserve">Table </w:t>
      </w:r>
      <w:fldSimple w:instr=" SEQ Table \* ARABIC ">
        <w:r>
          <w:t>2</w:t>
        </w:r>
      </w:fldSimple>
      <w:r>
        <w:t xml:space="preserve">: Challenges Encountered in Delivering Health Education among Health Workers </w:t>
      </w:r>
      <w:r>
        <w:rPr>
          <w:rFonts w:eastAsia="Calibri"/>
        </w:rPr>
        <w:t>in AEFUTHA Ebonyi State</w:t>
      </w:r>
      <w:bookmarkEnd w:id="11"/>
    </w:p>
    <w:tbl>
      <w:tblPr>
        <w:tblStyle w:val="TableGrid"/>
        <w:tblW w:w="9720" w:type="dxa"/>
        <w:tblInd w:w="0" w:type="dxa"/>
        <w:tblBorders>
          <w:left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344"/>
        <w:gridCol w:w="811"/>
        <w:gridCol w:w="803"/>
        <w:gridCol w:w="803"/>
        <w:gridCol w:w="803"/>
        <w:gridCol w:w="942"/>
        <w:gridCol w:w="1167"/>
        <w:gridCol w:w="1047"/>
      </w:tblGrid>
      <w:tr w:rsidR="00FC2F8E" w14:paraId="2D924CD2" w14:textId="77777777">
        <w:tc>
          <w:tcPr>
            <w:tcW w:w="3344" w:type="dxa"/>
            <w:tcBorders>
              <w:top w:val="single" w:sz="12" w:space="0" w:color="auto"/>
              <w:left w:val="none" w:sz="0" w:space="0" w:color="000000"/>
              <w:bottom w:val="single" w:sz="12" w:space="0" w:color="auto"/>
              <w:right w:val="none" w:sz="0" w:space="0" w:color="000000"/>
            </w:tcBorders>
          </w:tcPr>
          <w:p w14:paraId="37F6D3C0" w14:textId="77777777" w:rsidR="00FC2F8E" w:rsidRDefault="00AE16DB">
            <w:pPr>
              <w:spacing w:before="100" w:beforeAutospacing="1" w:after="100" w:afterAutospacing="1"/>
              <w:jc w:val="both"/>
              <w:rPr>
                <w:rFonts w:ascii="Times New Roman" w:hAnsi="Times New Roman" w:cs="Times New Roman" w:hint="default"/>
                <w:b/>
                <w:bCs/>
              </w:rPr>
            </w:pPr>
            <w:r>
              <w:rPr>
                <w:rFonts w:ascii="Times New Roman" w:hAnsi="Times New Roman" w:cs="Times New Roman" w:hint="default"/>
                <w:b/>
                <w:bCs/>
              </w:rPr>
              <w:t>Statement</w:t>
            </w:r>
          </w:p>
        </w:tc>
        <w:tc>
          <w:tcPr>
            <w:tcW w:w="811" w:type="dxa"/>
            <w:tcBorders>
              <w:top w:val="single" w:sz="12" w:space="0" w:color="auto"/>
              <w:left w:val="none" w:sz="0" w:space="0" w:color="000000"/>
              <w:bottom w:val="single" w:sz="12" w:space="0" w:color="auto"/>
              <w:right w:val="none" w:sz="0" w:space="0" w:color="000000"/>
            </w:tcBorders>
          </w:tcPr>
          <w:p w14:paraId="13263BBA"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SD</w:t>
            </w:r>
          </w:p>
          <w:p w14:paraId="3CCE1348"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 xml:space="preserve">n </w:t>
            </w:r>
          </w:p>
        </w:tc>
        <w:tc>
          <w:tcPr>
            <w:tcW w:w="803" w:type="dxa"/>
            <w:tcBorders>
              <w:top w:val="single" w:sz="12" w:space="0" w:color="auto"/>
              <w:left w:val="none" w:sz="0" w:space="0" w:color="000000"/>
              <w:bottom w:val="single" w:sz="12" w:space="0" w:color="auto"/>
              <w:right w:val="none" w:sz="0" w:space="0" w:color="000000"/>
            </w:tcBorders>
          </w:tcPr>
          <w:p w14:paraId="48C67A49"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D</w:t>
            </w:r>
          </w:p>
          <w:p w14:paraId="014E2727"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 xml:space="preserve">n </w:t>
            </w:r>
          </w:p>
        </w:tc>
        <w:tc>
          <w:tcPr>
            <w:tcW w:w="803" w:type="dxa"/>
            <w:tcBorders>
              <w:top w:val="single" w:sz="12" w:space="0" w:color="auto"/>
              <w:left w:val="none" w:sz="0" w:space="0" w:color="000000"/>
              <w:bottom w:val="single" w:sz="12" w:space="0" w:color="auto"/>
              <w:right w:val="none" w:sz="0" w:space="0" w:color="000000"/>
            </w:tcBorders>
          </w:tcPr>
          <w:p w14:paraId="2E40B479"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Ne</w:t>
            </w:r>
          </w:p>
          <w:p w14:paraId="03584D5E"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 xml:space="preserve">n </w:t>
            </w:r>
          </w:p>
        </w:tc>
        <w:tc>
          <w:tcPr>
            <w:tcW w:w="803" w:type="dxa"/>
            <w:tcBorders>
              <w:top w:val="single" w:sz="12" w:space="0" w:color="auto"/>
              <w:left w:val="none" w:sz="0" w:space="0" w:color="000000"/>
              <w:bottom w:val="single" w:sz="12" w:space="0" w:color="auto"/>
              <w:right w:val="none" w:sz="0" w:space="0" w:color="000000"/>
            </w:tcBorders>
          </w:tcPr>
          <w:p w14:paraId="6D9CD218"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A</w:t>
            </w:r>
          </w:p>
          <w:p w14:paraId="3434DB18"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 xml:space="preserve">n </w:t>
            </w:r>
          </w:p>
        </w:tc>
        <w:tc>
          <w:tcPr>
            <w:tcW w:w="942" w:type="dxa"/>
            <w:tcBorders>
              <w:top w:val="single" w:sz="12" w:space="0" w:color="auto"/>
              <w:left w:val="none" w:sz="0" w:space="0" w:color="000000"/>
              <w:bottom w:val="single" w:sz="12" w:space="0" w:color="auto"/>
              <w:right w:val="none" w:sz="0" w:space="0" w:color="000000"/>
            </w:tcBorders>
          </w:tcPr>
          <w:p w14:paraId="6AC5E708"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SA</w:t>
            </w:r>
          </w:p>
          <w:p w14:paraId="453D0A67"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 xml:space="preserve">n </w:t>
            </w:r>
          </w:p>
        </w:tc>
        <w:tc>
          <w:tcPr>
            <w:tcW w:w="1167" w:type="dxa"/>
            <w:tcBorders>
              <w:top w:val="single" w:sz="12" w:space="0" w:color="auto"/>
              <w:left w:val="none" w:sz="0" w:space="0" w:color="000000"/>
              <w:bottom w:val="single" w:sz="12" w:space="0" w:color="auto"/>
              <w:right w:val="none" w:sz="0" w:space="0" w:color="000000"/>
            </w:tcBorders>
          </w:tcPr>
          <w:p w14:paraId="51C4EBDB"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Mean±SD</w:t>
            </w:r>
          </w:p>
        </w:tc>
        <w:tc>
          <w:tcPr>
            <w:tcW w:w="1047" w:type="dxa"/>
            <w:tcBorders>
              <w:top w:val="single" w:sz="12" w:space="0" w:color="auto"/>
              <w:left w:val="none" w:sz="0" w:space="0" w:color="000000"/>
              <w:bottom w:val="single" w:sz="12" w:space="0" w:color="auto"/>
              <w:right w:val="none" w:sz="0" w:space="0" w:color="000000"/>
            </w:tcBorders>
          </w:tcPr>
          <w:p w14:paraId="0A99139E" w14:textId="77777777" w:rsidR="00FC2F8E" w:rsidRDefault="00AE16DB">
            <w:pPr>
              <w:spacing w:before="100" w:beforeAutospacing="1" w:after="100" w:afterAutospacing="1"/>
              <w:jc w:val="center"/>
              <w:rPr>
                <w:rFonts w:ascii="Times New Roman" w:hAnsi="Times New Roman" w:cs="Times New Roman" w:hint="default"/>
                <w:b/>
                <w:bCs/>
              </w:rPr>
            </w:pPr>
            <w:r>
              <w:rPr>
                <w:rFonts w:ascii="Times New Roman" w:hAnsi="Times New Roman" w:cs="Times New Roman" w:hint="default"/>
                <w:b/>
                <w:bCs/>
              </w:rPr>
              <w:t>Decision</w:t>
            </w:r>
          </w:p>
        </w:tc>
      </w:tr>
      <w:tr w:rsidR="00FC2F8E" w14:paraId="6683246D" w14:textId="77777777">
        <w:trPr>
          <w:trHeight w:val="1167"/>
        </w:trPr>
        <w:tc>
          <w:tcPr>
            <w:tcW w:w="3344" w:type="dxa"/>
            <w:tcBorders>
              <w:top w:val="single" w:sz="12" w:space="0" w:color="auto"/>
              <w:left w:val="none" w:sz="0" w:space="0" w:color="000000"/>
              <w:bottom w:val="none" w:sz="0" w:space="0" w:color="000000"/>
              <w:right w:val="none" w:sz="0" w:space="0" w:color="000000"/>
            </w:tcBorders>
          </w:tcPr>
          <w:p w14:paraId="6099E582" w14:textId="77777777" w:rsidR="00FC2F8E" w:rsidRDefault="00AE16DB">
            <w:pPr>
              <w:spacing w:before="100" w:beforeAutospacing="1" w:after="100" w:afterAutospacing="1"/>
              <w:jc w:val="both"/>
              <w:rPr>
                <w:rFonts w:ascii="Times New Roman" w:hAnsi="Times New Roman" w:cs="Times New Roman" w:hint="default"/>
              </w:rPr>
            </w:pPr>
            <w:r>
              <w:rPr>
                <w:rFonts w:ascii="Times New Roman" w:hAnsi="Times New Roman" w:cs="Times New Roman" w:hint="default"/>
              </w:rPr>
              <w:t>Heavy work load limits the time I spend on health education</w:t>
            </w:r>
          </w:p>
        </w:tc>
        <w:tc>
          <w:tcPr>
            <w:tcW w:w="811" w:type="dxa"/>
            <w:tcBorders>
              <w:top w:val="single" w:sz="12" w:space="0" w:color="auto"/>
              <w:left w:val="none" w:sz="0" w:space="0" w:color="000000"/>
              <w:bottom w:val="none" w:sz="0" w:space="0" w:color="000000"/>
              <w:right w:val="none" w:sz="0" w:space="0" w:color="000000"/>
            </w:tcBorders>
          </w:tcPr>
          <w:p w14:paraId="0B06A889"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7</w:t>
            </w:r>
          </w:p>
        </w:tc>
        <w:tc>
          <w:tcPr>
            <w:tcW w:w="803" w:type="dxa"/>
            <w:tcBorders>
              <w:top w:val="single" w:sz="12" w:space="0" w:color="auto"/>
              <w:left w:val="none" w:sz="0" w:space="0" w:color="000000"/>
              <w:bottom w:val="none" w:sz="0" w:space="0" w:color="000000"/>
              <w:right w:val="none" w:sz="0" w:space="0" w:color="000000"/>
            </w:tcBorders>
          </w:tcPr>
          <w:p w14:paraId="197C505C"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8</w:t>
            </w:r>
          </w:p>
        </w:tc>
        <w:tc>
          <w:tcPr>
            <w:tcW w:w="803" w:type="dxa"/>
            <w:tcBorders>
              <w:top w:val="single" w:sz="12" w:space="0" w:color="auto"/>
              <w:left w:val="none" w:sz="0" w:space="0" w:color="000000"/>
              <w:bottom w:val="none" w:sz="0" w:space="0" w:color="000000"/>
              <w:right w:val="none" w:sz="0" w:space="0" w:color="000000"/>
            </w:tcBorders>
          </w:tcPr>
          <w:p w14:paraId="5123A2ED"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15</w:t>
            </w:r>
          </w:p>
        </w:tc>
        <w:tc>
          <w:tcPr>
            <w:tcW w:w="803" w:type="dxa"/>
            <w:tcBorders>
              <w:top w:val="single" w:sz="12" w:space="0" w:color="auto"/>
              <w:left w:val="none" w:sz="0" w:space="0" w:color="000000"/>
              <w:bottom w:val="none" w:sz="0" w:space="0" w:color="000000"/>
              <w:right w:val="none" w:sz="0" w:space="0" w:color="000000"/>
            </w:tcBorders>
          </w:tcPr>
          <w:p w14:paraId="5F2E3F34"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21</w:t>
            </w:r>
          </w:p>
        </w:tc>
        <w:tc>
          <w:tcPr>
            <w:tcW w:w="942" w:type="dxa"/>
            <w:tcBorders>
              <w:top w:val="single" w:sz="12" w:space="0" w:color="auto"/>
              <w:left w:val="none" w:sz="0" w:space="0" w:color="000000"/>
              <w:bottom w:val="none" w:sz="0" w:space="0" w:color="000000"/>
              <w:right w:val="none" w:sz="0" w:space="0" w:color="000000"/>
            </w:tcBorders>
          </w:tcPr>
          <w:p w14:paraId="0C3B9751"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25</w:t>
            </w:r>
          </w:p>
        </w:tc>
        <w:tc>
          <w:tcPr>
            <w:tcW w:w="1167" w:type="dxa"/>
            <w:tcBorders>
              <w:top w:val="single" w:sz="12" w:space="0" w:color="auto"/>
              <w:left w:val="none" w:sz="0" w:space="0" w:color="000000"/>
              <w:bottom w:val="none" w:sz="0" w:space="0" w:color="000000"/>
              <w:right w:val="none" w:sz="0" w:space="0" w:color="000000"/>
            </w:tcBorders>
          </w:tcPr>
          <w:p w14:paraId="6528C7B4"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3.7±1.36</w:t>
            </w:r>
          </w:p>
        </w:tc>
        <w:tc>
          <w:tcPr>
            <w:tcW w:w="1047" w:type="dxa"/>
            <w:tcBorders>
              <w:top w:val="single" w:sz="12" w:space="0" w:color="auto"/>
              <w:left w:val="none" w:sz="0" w:space="0" w:color="000000"/>
              <w:bottom w:val="none" w:sz="0" w:space="0" w:color="000000"/>
              <w:right w:val="none" w:sz="0" w:space="0" w:color="000000"/>
            </w:tcBorders>
          </w:tcPr>
          <w:p w14:paraId="688236F4"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Accepted</w:t>
            </w:r>
          </w:p>
        </w:tc>
      </w:tr>
      <w:tr w:rsidR="00FC2F8E" w14:paraId="1B991ADD" w14:textId="77777777">
        <w:trPr>
          <w:trHeight w:val="900"/>
        </w:trPr>
        <w:tc>
          <w:tcPr>
            <w:tcW w:w="3344" w:type="dxa"/>
            <w:tcBorders>
              <w:top w:val="none" w:sz="0" w:space="0" w:color="000000"/>
              <w:left w:val="none" w:sz="0" w:space="0" w:color="000000"/>
              <w:bottom w:val="none" w:sz="0" w:space="0" w:color="000000"/>
              <w:right w:val="none" w:sz="0" w:space="0" w:color="000000"/>
            </w:tcBorders>
          </w:tcPr>
          <w:p w14:paraId="5019581E" w14:textId="77777777" w:rsidR="00FC2F8E" w:rsidRDefault="00AE16DB">
            <w:pPr>
              <w:spacing w:before="100" w:beforeAutospacing="1" w:after="100" w:afterAutospacing="1"/>
              <w:jc w:val="both"/>
              <w:rPr>
                <w:rFonts w:ascii="Times New Roman" w:hAnsi="Times New Roman" w:cs="Times New Roman" w:hint="default"/>
              </w:rPr>
            </w:pPr>
            <w:r>
              <w:rPr>
                <w:rFonts w:ascii="Times New Roman" w:hAnsi="Times New Roman" w:cs="Times New Roman" w:hint="default"/>
              </w:rPr>
              <w:t>Staff shortage affects the quality of health education sessions</w:t>
            </w:r>
          </w:p>
        </w:tc>
        <w:tc>
          <w:tcPr>
            <w:tcW w:w="811" w:type="dxa"/>
            <w:tcBorders>
              <w:top w:val="none" w:sz="0" w:space="0" w:color="000000"/>
              <w:left w:val="none" w:sz="0" w:space="0" w:color="000000"/>
              <w:bottom w:val="none" w:sz="0" w:space="0" w:color="000000"/>
              <w:right w:val="none" w:sz="0" w:space="0" w:color="000000"/>
            </w:tcBorders>
          </w:tcPr>
          <w:p w14:paraId="77564DAA"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44EE59A2"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8</w:t>
            </w:r>
          </w:p>
        </w:tc>
        <w:tc>
          <w:tcPr>
            <w:tcW w:w="803" w:type="dxa"/>
            <w:tcBorders>
              <w:top w:val="none" w:sz="0" w:space="0" w:color="000000"/>
              <w:left w:val="none" w:sz="0" w:space="0" w:color="000000"/>
              <w:bottom w:val="none" w:sz="0" w:space="0" w:color="000000"/>
              <w:right w:val="none" w:sz="0" w:space="0" w:color="000000"/>
            </w:tcBorders>
          </w:tcPr>
          <w:p w14:paraId="06F184D4"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11</w:t>
            </w:r>
          </w:p>
        </w:tc>
        <w:tc>
          <w:tcPr>
            <w:tcW w:w="803" w:type="dxa"/>
            <w:tcBorders>
              <w:top w:val="none" w:sz="0" w:space="0" w:color="000000"/>
              <w:left w:val="none" w:sz="0" w:space="0" w:color="000000"/>
              <w:bottom w:val="none" w:sz="0" w:space="0" w:color="000000"/>
              <w:right w:val="none" w:sz="0" w:space="0" w:color="000000"/>
            </w:tcBorders>
          </w:tcPr>
          <w:p w14:paraId="7A817ED8"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22</w:t>
            </w:r>
          </w:p>
        </w:tc>
        <w:tc>
          <w:tcPr>
            <w:tcW w:w="942" w:type="dxa"/>
            <w:tcBorders>
              <w:top w:val="none" w:sz="0" w:space="0" w:color="000000"/>
              <w:left w:val="none" w:sz="0" w:space="0" w:color="000000"/>
              <w:bottom w:val="none" w:sz="0" w:space="0" w:color="000000"/>
              <w:right w:val="none" w:sz="0" w:space="0" w:color="000000"/>
            </w:tcBorders>
          </w:tcPr>
          <w:p w14:paraId="54EC2FC2"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28</w:t>
            </w:r>
          </w:p>
        </w:tc>
        <w:tc>
          <w:tcPr>
            <w:tcW w:w="1167" w:type="dxa"/>
            <w:tcBorders>
              <w:top w:val="none" w:sz="0" w:space="0" w:color="000000"/>
              <w:left w:val="none" w:sz="0" w:space="0" w:color="000000"/>
              <w:bottom w:val="none" w:sz="0" w:space="0" w:color="000000"/>
              <w:right w:val="none" w:sz="0" w:space="0" w:color="000000"/>
            </w:tcBorders>
          </w:tcPr>
          <w:p w14:paraId="03F11918"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3.78±1.31</w:t>
            </w:r>
          </w:p>
        </w:tc>
        <w:tc>
          <w:tcPr>
            <w:tcW w:w="1047" w:type="dxa"/>
            <w:tcBorders>
              <w:top w:val="none" w:sz="0" w:space="0" w:color="000000"/>
              <w:left w:val="none" w:sz="0" w:space="0" w:color="000000"/>
              <w:bottom w:val="none" w:sz="0" w:space="0" w:color="000000"/>
              <w:right w:val="none" w:sz="0" w:space="0" w:color="000000"/>
            </w:tcBorders>
          </w:tcPr>
          <w:p w14:paraId="535C6B9C"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Accepted</w:t>
            </w:r>
          </w:p>
        </w:tc>
      </w:tr>
      <w:tr w:rsidR="00FC2F8E" w14:paraId="7A5AF232" w14:textId="77777777">
        <w:trPr>
          <w:trHeight w:val="1179"/>
        </w:trPr>
        <w:tc>
          <w:tcPr>
            <w:tcW w:w="3344" w:type="dxa"/>
            <w:tcBorders>
              <w:top w:val="none" w:sz="0" w:space="0" w:color="000000"/>
              <w:left w:val="none" w:sz="0" w:space="0" w:color="000000"/>
              <w:bottom w:val="none" w:sz="0" w:space="0" w:color="000000"/>
              <w:right w:val="none" w:sz="0" w:space="0" w:color="000000"/>
            </w:tcBorders>
          </w:tcPr>
          <w:p w14:paraId="5BA845EF" w14:textId="77777777" w:rsidR="00FC2F8E" w:rsidRDefault="00AE16DB">
            <w:pPr>
              <w:spacing w:before="100" w:beforeAutospacing="1" w:after="100" w:afterAutospacing="1"/>
              <w:jc w:val="both"/>
              <w:rPr>
                <w:rFonts w:ascii="Times New Roman" w:hAnsi="Times New Roman" w:cs="Times New Roman" w:hint="default"/>
              </w:rPr>
            </w:pPr>
            <w:r>
              <w:rPr>
                <w:rFonts w:ascii="Times New Roman" w:hAnsi="Times New Roman" w:cs="Times New Roman" w:hint="default"/>
              </w:rPr>
              <w:t>Limited time during clinics reduces the depth of information i provide</w:t>
            </w:r>
          </w:p>
        </w:tc>
        <w:tc>
          <w:tcPr>
            <w:tcW w:w="811" w:type="dxa"/>
            <w:tcBorders>
              <w:top w:val="none" w:sz="0" w:space="0" w:color="000000"/>
              <w:left w:val="none" w:sz="0" w:space="0" w:color="000000"/>
              <w:bottom w:val="none" w:sz="0" w:space="0" w:color="000000"/>
              <w:right w:val="none" w:sz="0" w:space="0" w:color="000000"/>
            </w:tcBorders>
          </w:tcPr>
          <w:p w14:paraId="618FBDC2"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626FB6CF"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72C4FC49"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11</w:t>
            </w:r>
          </w:p>
        </w:tc>
        <w:tc>
          <w:tcPr>
            <w:tcW w:w="803" w:type="dxa"/>
            <w:tcBorders>
              <w:top w:val="none" w:sz="0" w:space="0" w:color="000000"/>
              <w:left w:val="none" w:sz="0" w:space="0" w:color="000000"/>
              <w:bottom w:val="none" w:sz="0" w:space="0" w:color="000000"/>
              <w:right w:val="none" w:sz="0" w:space="0" w:color="000000"/>
            </w:tcBorders>
          </w:tcPr>
          <w:p w14:paraId="0A0F7B9A"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26</w:t>
            </w:r>
          </w:p>
        </w:tc>
        <w:tc>
          <w:tcPr>
            <w:tcW w:w="942" w:type="dxa"/>
            <w:tcBorders>
              <w:top w:val="none" w:sz="0" w:space="0" w:color="000000"/>
              <w:left w:val="none" w:sz="0" w:space="0" w:color="000000"/>
              <w:bottom w:val="none" w:sz="0" w:space="0" w:color="000000"/>
              <w:right w:val="none" w:sz="0" w:space="0" w:color="000000"/>
            </w:tcBorders>
          </w:tcPr>
          <w:p w14:paraId="0F0578D2"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25</w:t>
            </w:r>
          </w:p>
        </w:tc>
        <w:tc>
          <w:tcPr>
            <w:tcW w:w="1167" w:type="dxa"/>
            <w:tcBorders>
              <w:top w:val="none" w:sz="0" w:space="0" w:color="000000"/>
              <w:left w:val="none" w:sz="0" w:space="0" w:color="000000"/>
              <w:bottom w:val="none" w:sz="0" w:space="0" w:color="000000"/>
              <w:right w:val="none" w:sz="0" w:space="0" w:color="000000"/>
            </w:tcBorders>
          </w:tcPr>
          <w:p w14:paraId="5FF8DAC4"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3.7±1.33</w:t>
            </w:r>
          </w:p>
        </w:tc>
        <w:tc>
          <w:tcPr>
            <w:tcW w:w="1047" w:type="dxa"/>
            <w:tcBorders>
              <w:top w:val="none" w:sz="0" w:space="0" w:color="000000"/>
              <w:left w:val="none" w:sz="0" w:space="0" w:color="000000"/>
              <w:bottom w:val="none" w:sz="0" w:space="0" w:color="000000"/>
              <w:right w:val="none" w:sz="0" w:space="0" w:color="000000"/>
            </w:tcBorders>
          </w:tcPr>
          <w:p w14:paraId="68ED802B"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Accepted</w:t>
            </w:r>
          </w:p>
        </w:tc>
      </w:tr>
      <w:tr w:rsidR="00FC2F8E" w14:paraId="27C75C01" w14:textId="77777777">
        <w:trPr>
          <w:trHeight w:val="891"/>
        </w:trPr>
        <w:tc>
          <w:tcPr>
            <w:tcW w:w="3344" w:type="dxa"/>
            <w:tcBorders>
              <w:top w:val="none" w:sz="0" w:space="0" w:color="000000"/>
              <w:left w:val="none" w:sz="0" w:space="0" w:color="000000"/>
              <w:bottom w:val="none" w:sz="0" w:space="0" w:color="000000"/>
              <w:right w:val="none" w:sz="0" w:space="0" w:color="000000"/>
            </w:tcBorders>
          </w:tcPr>
          <w:p w14:paraId="0E0A5CAE" w14:textId="77777777" w:rsidR="00FC2F8E" w:rsidRDefault="00AE16DB">
            <w:pPr>
              <w:spacing w:before="100" w:beforeAutospacing="1" w:after="100" w:afterAutospacing="1"/>
              <w:jc w:val="both"/>
              <w:rPr>
                <w:rFonts w:ascii="Times New Roman" w:hAnsi="Times New Roman" w:cs="Times New Roman" w:hint="default"/>
              </w:rPr>
            </w:pPr>
            <w:r>
              <w:rPr>
                <w:rFonts w:ascii="Times New Roman" w:hAnsi="Times New Roman" w:cs="Times New Roman" w:hint="default"/>
              </w:rPr>
              <w:lastRenderedPageBreak/>
              <w:t>Women low literacy level makes health education difficult</w:t>
            </w:r>
          </w:p>
        </w:tc>
        <w:tc>
          <w:tcPr>
            <w:tcW w:w="811" w:type="dxa"/>
            <w:tcBorders>
              <w:top w:val="none" w:sz="0" w:space="0" w:color="000000"/>
              <w:left w:val="none" w:sz="0" w:space="0" w:color="000000"/>
              <w:bottom w:val="none" w:sz="0" w:space="0" w:color="000000"/>
              <w:right w:val="none" w:sz="0" w:space="0" w:color="000000"/>
            </w:tcBorders>
          </w:tcPr>
          <w:p w14:paraId="3E924412"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4</w:t>
            </w:r>
          </w:p>
        </w:tc>
        <w:tc>
          <w:tcPr>
            <w:tcW w:w="803" w:type="dxa"/>
            <w:tcBorders>
              <w:top w:val="none" w:sz="0" w:space="0" w:color="000000"/>
              <w:left w:val="none" w:sz="0" w:space="0" w:color="000000"/>
              <w:bottom w:val="none" w:sz="0" w:space="0" w:color="000000"/>
              <w:right w:val="none" w:sz="0" w:space="0" w:color="000000"/>
            </w:tcBorders>
          </w:tcPr>
          <w:p w14:paraId="0C4A3D9C"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9</w:t>
            </w:r>
          </w:p>
        </w:tc>
        <w:tc>
          <w:tcPr>
            <w:tcW w:w="803" w:type="dxa"/>
            <w:tcBorders>
              <w:top w:val="none" w:sz="0" w:space="0" w:color="000000"/>
              <w:left w:val="none" w:sz="0" w:space="0" w:color="000000"/>
              <w:bottom w:val="none" w:sz="0" w:space="0" w:color="000000"/>
              <w:right w:val="none" w:sz="0" w:space="0" w:color="000000"/>
            </w:tcBorders>
          </w:tcPr>
          <w:p w14:paraId="172A3FB3"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13</w:t>
            </w:r>
          </w:p>
        </w:tc>
        <w:tc>
          <w:tcPr>
            <w:tcW w:w="803" w:type="dxa"/>
            <w:tcBorders>
              <w:top w:val="none" w:sz="0" w:space="0" w:color="000000"/>
              <w:left w:val="none" w:sz="0" w:space="0" w:color="000000"/>
              <w:bottom w:val="none" w:sz="0" w:space="0" w:color="000000"/>
              <w:right w:val="none" w:sz="0" w:space="0" w:color="000000"/>
            </w:tcBorders>
          </w:tcPr>
          <w:p w14:paraId="4ADA6814"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21</w:t>
            </w:r>
          </w:p>
        </w:tc>
        <w:tc>
          <w:tcPr>
            <w:tcW w:w="942" w:type="dxa"/>
            <w:tcBorders>
              <w:top w:val="none" w:sz="0" w:space="0" w:color="000000"/>
              <w:left w:val="none" w:sz="0" w:space="0" w:color="000000"/>
              <w:bottom w:val="none" w:sz="0" w:space="0" w:color="000000"/>
              <w:right w:val="none" w:sz="0" w:space="0" w:color="000000"/>
            </w:tcBorders>
          </w:tcPr>
          <w:p w14:paraId="37D7ADFE"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28</w:t>
            </w:r>
          </w:p>
        </w:tc>
        <w:tc>
          <w:tcPr>
            <w:tcW w:w="1167" w:type="dxa"/>
            <w:tcBorders>
              <w:top w:val="none" w:sz="0" w:space="0" w:color="000000"/>
              <w:left w:val="none" w:sz="0" w:space="0" w:color="000000"/>
              <w:bottom w:val="none" w:sz="0" w:space="0" w:color="000000"/>
              <w:right w:val="none" w:sz="0" w:space="0" w:color="000000"/>
            </w:tcBorders>
          </w:tcPr>
          <w:p w14:paraId="683AC43C"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3.87±1.33</w:t>
            </w:r>
          </w:p>
        </w:tc>
        <w:tc>
          <w:tcPr>
            <w:tcW w:w="1047" w:type="dxa"/>
            <w:tcBorders>
              <w:top w:val="none" w:sz="0" w:space="0" w:color="000000"/>
              <w:left w:val="none" w:sz="0" w:space="0" w:color="000000"/>
              <w:bottom w:val="none" w:sz="0" w:space="0" w:color="000000"/>
              <w:right w:val="none" w:sz="0" w:space="0" w:color="000000"/>
            </w:tcBorders>
          </w:tcPr>
          <w:p w14:paraId="31871F45"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Accepted</w:t>
            </w:r>
          </w:p>
        </w:tc>
      </w:tr>
      <w:tr w:rsidR="00FC2F8E" w14:paraId="6967E14D" w14:textId="77777777">
        <w:tc>
          <w:tcPr>
            <w:tcW w:w="3344" w:type="dxa"/>
            <w:tcBorders>
              <w:top w:val="none" w:sz="0" w:space="0" w:color="000000"/>
              <w:left w:val="none" w:sz="0" w:space="0" w:color="000000"/>
              <w:bottom w:val="none" w:sz="0" w:space="0" w:color="000000"/>
              <w:right w:val="none" w:sz="0" w:space="0" w:color="000000"/>
            </w:tcBorders>
          </w:tcPr>
          <w:p w14:paraId="26216636" w14:textId="77777777" w:rsidR="00FC2F8E" w:rsidRDefault="00AE16DB">
            <w:pPr>
              <w:spacing w:before="100" w:beforeAutospacing="1" w:after="100" w:afterAutospacing="1"/>
              <w:jc w:val="both"/>
              <w:rPr>
                <w:rFonts w:ascii="Times New Roman" w:hAnsi="Times New Roman" w:cs="Times New Roman" w:hint="default"/>
              </w:rPr>
            </w:pPr>
            <w:r>
              <w:rPr>
                <w:rFonts w:ascii="Times New Roman" w:hAnsi="Times New Roman" w:cs="Times New Roman" w:hint="default"/>
              </w:rPr>
              <w:t>Cultural belief sometimes interferes with health education delivery</w:t>
            </w:r>
          </w:p>
        </w:tc>
        <w:tc>
          <w:tcPr>
            <w:tcW w:w="811" w:type="dxa"/>
            <w:tcBorders>
              <w:top w:val="none" w:sz="0" w:space="0" w:color="000000"/>
              <w:left w:val="none" w:sz="0" w:space="0" w:color="000000"/>
              <w:bottom w:val="none" w:sz="0" w:space="0" w:color="000000"/>
              <w:right w:val="none" w:sz="0" w:space="0" w:color="000000"/>
            </w:tcBorders>
          </w:tcPr>
          <w:p w14:paraId="6A5AE2E8"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3BBFCE73"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3</w:t>
            </w:r>
          </w:p>
        </w:tc>
        <w:tc>
          <w:tcPr>
            <w:tcW w:w="803" w:type="dxa"/>
            <w:tcBorders>
              <w:top w:val="none" w:sz="0" w:space="0" w:color="000000"/>
              <w:left w:val="none" w:sz="0" w:space="0" w:color="000000"/>
              <w:bottom w:val="none" w:sz="0" w:space="0" w:color="000000"/>
              <w:right w:val="none" w:sz="0" w:space="0" w:color="000000"/>
            </w:tcBorders>
          </w:tcPr>
          <w:p w14:paraId="485FE865"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14</w:t>
            </w:r>
          </w:p>
        </w:tc>
        <w:tc>
          <w:tcPr>
            <w:tcW w:w="803" w:type="dxa"/>
            <w:tcBorders>
              <w:top w:val="none" w:sz="0" w:space="0" w:color="000000"/>
              <w:left w:val="none" w:sz="0" w:space="0" w:color="000000"/>
              <w:bottom w:val="none" w:sz="0" w:space="0" w:color="000000"/>
              <w:right w:val="none" w:sz="0" w:space="0" w:color="000000"/>
            </w:tcBorders>
          </w:tcPr>
          <w:p w14:paraId="226343A2"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33</w:t>
            </w:r>
          </w:p>
        </w:tc>
        <w:tc>
          <w:tcPr>
            <w:tcW w:w="942" w:type="dxa"/>
            <w:tcBorders>
              <w:top w:val="none" w:sz="0" w:space="0" w:color="000000"/>
              <w:left w:val="none" w:sz="0" w:space="0" w:color="000000"/>
              <w:bottom w:val="none" w:sz="0" w:space="0" w:color="000000"/>
              <w:right w:val="none" w:sz="0" w:space="0" w:color="000000"/>
            </w:tcBorders>
          </w:tcPr>
          <w:p w14:paraId="552668A1" w14:textId="77777777" w:rsidR="00FC2F8E" w:rsidRDefault="00AE16DB">
            <w:pPr>
              <w:spacing w:before="100" w:beforeAutospacing="1" w:after="100" w:afterAutospacing="1"/>
              <w:jc w:val="center"/>
              <w:rPr>
                <w:rFonts w:ascii="Times New Roman" w:hAnsi="Times New Roman" w:cs="Times New Roman" w:hint="default"/>
              </w:rPr>
            </w:pPr>
            <w:r>
              <w:rPr>
                <w:rFonts w:ascii="Calibri"/>
                <w:color w:val="000000"/>
              </w:rPr>
              <w:t>18</w:t>
            </w:r>
          </w:p>
        </w:tc>
        <w:tc>
          <w:tcPr>
            <w:tcW w:w="1167" w:type="dxa"/>
            <w:tcBorders>
              <w:top w:val="none" w:sz="0" w:space="0" w:color="000000"/>
              <w:left w:val="none" w:sz="0" w:space="0" w:color="000000"/>
              <w:bottom w:val="none" w:sz="0" w:space="0" w:color="000000"/>
              <w:right w:val="none" w:sz="0" w:space="0" w:color="000000"/>
            </w:tcBorders>
          </w:tcPr>
          <w:p w14:paraId="3D88CCF8"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3.7±1.22</w:t>
            </w:r>
          </w:p>
        </w:tc>
        <w:tc>
          <w:tcPr>
            <w:tcW w:w="1047" w:type="dxa"/>
            <w:tcBorders>
              <w:top w:val="none" w:sz="0" w:space="0" w:color="000000"/>
              <w:left w:val="none" w:sz="0" w:space="0" w:color="000000"/>
              <w:bottom w:val="none" w:sz="0" w:space="0" w:color="000000"/>
              <w:right w:val="none" w:sz="0" w:space="0" w:color="000000"/>
            </w:tcBorders>
          </w:tcPr>
          <w:p w14:paraId="442C0FD3"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Accepted</w:t>
            </w:r>
          </w:p>
        </w:tc>
      </w:tr>
      <w:tr w:rsidR="00FC2F8E" w14:paraId="1E6D20F4" w14:textId="77777777">
        <w:tc>
          <w:tcPr>
            <w:tcW w:w="3344" w:type="dxa"/>
            <w:tcBorders>
              <w:top w:val="none" w:sz="0" w:space="0" w:color="000000"/>
              <w:left w:val="none" w:sz="0" w:space="0" w:color="000000"/>
              <w:bottom w:val="single" w:sz="12" w:space="0" w:color="auto"/>
              <w:right w:val="none" w:sz="0" w:space="0" w:color="000000"/>
            </w:tcBorders>
          </w:tcPr>
          <w:p w14:paraId="513B2408" w14:textId="77777777" w:rsidR="00FC2F8E" w:rsidRDefault="00AE16DB">
            <w:pPr>
              <w:spacing w:before="100" w:beforeAutospacing="1" w:after="100" w:afterAutospacing="1"/>
              <w:jc w:val="both"/>
              <w:rPr>
                <w:rFonts w:ascii="Times New Roman" w:hAnsi="Times New Roman" w:cs="Times New Roman" w:hint="default"/>
              </w:rPr>
            </w:pPr>
            <w:r>
              <w:rPr>
                <w:rFonts w:ascii="Times New Roman" w:hAnsi="Times New Roman" w:cs="Times New Roman" w:hint="default"/>
              </w:rPr>
              <w:t>Grand mean</w:t>
            </w:r>
          </w:p>
        </w:tc>
        <w:tc>
          <w:tcPr>
            <w:tcW w:w="811" w:type="dxa"/>
            <w:tcBorders>
              <w:top w:val="none" w:sz="0" w:space="0" w:color="000000"/>
              <w:left w:val="none" w:sz="0" w:space="0" w:color="000000"/>
              <w:bottom w:val="single" w:sz="12" w:space="0" w:color="auto"/>
              <w:right w:val="none" w:sz="0" w:space="0" w:color="000000"/>
            </w:tcBorders>
          </w:tcPr>
          <w:p w14:paraId="64E237AC" w14:textId="77777777" w:rsidR="00FC2F8E" w:rsidRDefault="00FC2F8E">
            <w:pPr>
              <w:spacing w:before="100" w:beforeAutospacing="1" w:after="100" w:afterAutospacing="1"/>
              <w:jc w:val="center"/>
              <w:rPr>
                <w:rFonts w:ascii="Times New Roman" w:hAnsi="Times New Roman" w:cs="Times New Roman" w:hint="default"/>
              </w:rPr>
            </w:pPr>
          </w:p>
        </w:tc>
        <w:tc>
          <w:tcPr>
            <w:tcW w:w="803" w:type="dxa"/>
            <w:tcBorders>
              <w:top w:val="none" w:sz="0" w:space="0" w:color="000000"/>
              <w:left w:val="none" w:sz="0" w:space="0" w:color="000000"/>
              <w:bottom w:val="single" w:sz="12" w:space="0" w:color="auto"/>
              <w:right w:val="none" w:sz="0" w:space="0" w:color="000000"/>
            </w:tcBorders>
          </w:tcPr>
          <w:p w14:paraId="557EA97C" w14:textId="77777777" w:rsidR="00FC2F8E" w:rsidRDefault="00FC2F8E">
            <w:pPr>
              <w:spacing w:before="100" w:beforeAutospacing="1" w:after="100" w:afterAutospacing="1"/>
              <w:jc w:val="center"/>
              <w:rPr>
                <w:rFonts w:ascii="Times New Roman" w:hAnsi="Times New Roman" w:cs="Times New Roman" w:hint="default"/>
              </w:rPr>
            </w:pPr>
          </w:p>
        </w:tc>
        <w:tc>
          <w:tcPr>
            <w:tcW w:w="803" w:type="dxa"/>
            <w:tcBorders>
              <w:top w:val="none" w:sz="0" w:space="0" w:color="000000"/>
              <w:left w:val="none" w:sz="0" w:space="0" w:color="000000"/>
              <w:bottom w:val="single" w:sz="12" w:space="0" w:color="auto"/>
              <w:right w:val="none" w:sz="0" w:space="0" w:color="000000"/>
            </w:tcBorders>
          </w:tcPr>
          <w:p w14:paraId="7738D861" w14:textId="77777777" w:rsidR="00FC2F8E" w:rsidRDefault="00FC2F8E">
            <w:pPr>
              <w:spacing w:before="100" w:beforeAutospacing="1" w:after="100" w:afterAutospacing="1"/>
              <w:jc w:val="center"/>
              <w:rPr>
                <w:rFonts w:ascii="Times New Roman" w:hAnsi="Times New Roman" w:cs="Times New Roman" w:hint="default"/>
              </w:rPr>
            </w:pPr>
          </w:p>
        </w:tc>
        <w:tc>
          <w:tcPr>
            <w:tcW w:w="803" w:type="dxa"/>
            <w:tcBorders>
              <w:top w:val="none" w:sz="0" w:space="0" w:color="000000"/>
              <w:left w:val="none" w:sz="0" w:space="0" w:color="000000"/>
              <w:bottom w:val="single" w:sz="12" w:space="0" w:color="auto"/>
              <w:right w:val="none" w:sz="0" w:space="0" w:color="000000"/>
            </w:tcBorders>
          </w:tcPr>
          <w:p w14:paraId="5AD1F560" w14:textId="77777777" w:rsidR="00FC2F8E" w:rsidRDefault="00FC2F8E">
            <w:pPr>
              <w:spacing w:before="100" w:beforeAutospacing="1" w:after="100" w:afterAutospacing="1"/>
              <w:jc w:val="center"/>
              <w:rPr>
                <w:rFonts w:ascii="Times New Roman" w:hAnsi="Times New Roman" w:cs="Times New Roman" w:hint="default"/>
              </w:rPr>
            </w:pPr>
          </w:p>
        </w:tc>
        <w:tc>
          <w:tcPr>
            <w:tcW w:w="942" w:type="dxa"/>
            <w:tcBorders>
              <w:top w:val="none" w:sz="0" w:space="0" w:color="000000"/>
              <w:left w:val="none" w:sz="0" w:space="0" w:color="000000"/>
              <w:bottom w:val="single" w:sz="12" w:space="0" w:color="auto"/>
              <w:right w:val="none" w:sz="0" w:space="0" w:color="000000"/>
            </w:tcBorders>
          </w:tcPr>
          <w:p w14:paraId="43BF52B2" w14:textId="77777777" w:rsidR="00FC2F8E" w:rsidRDefault="00FC2F8E">
            <w:pPr>
              <w:spacing w:before="100" w:beforeAutospacing="1" w:after="100" w:afterAutospacing="1"/>
              <w:jc w:val="center"/>
              <w:rPr>
                <w:rFonts w:ascii="Times New Roman" w:hAnsi="Times New Roman" w:cs="Times New Roman" w:hint="default"/>
              </w:rPr>
            </w:pPr>
          </w:p>
        </w:tc>
        <w:tc>
          <w:tcPr>
            <w:tcW w:w="1167" w:type="dxa"/>
            <w:tcBorders>
              <w:top w:val="none" w:sz="0" w:space="0" w:color="000000"/>
              <w:left w:val="none" w:sz="0" w:space="0" w:color="000000"/>
              <w:bottom w:val="single" w:sz="12" w:space="0" w:color="auto"/>
              <w:right w:val="none" w:sz="0" w:space="0" w:color="000000"/>
            </w:tcBorders>
          </w:tcPr>
          <w:p w14:paraId="1DD442F2"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3.75±1.13</w:t>
            </w:r>
          </w:p>
        </w:tc>
        <w:tc>
          <w:tcPr>
            <w:tcW w:w="1047" w:type="dxa"/>
            <w:tcBorders>
              <w:top w:val="none" w:sz="0" w:space="0" w:color="000000"/>
              <w:left w:val="none" w:sz="0" w:space="0" w:color="000000"/>
              <w:bottom w:val="single" w:sz="12" w:space="0" w:color="auto"/>
              <w:right w:val="none" w:sz="0" w:space="0" w:color="000000"/>
            </w:tcBorders>
          </w:tcPr>
          <w:p w14:paraId="7318EDF1" w14:textId="77777777" w:rsidR="00FC2F8E" w:rsidRDefault="00AE16DB">
            <w:pPr>
              <w:spacing w:before="100" w:beforeAutospacing="1" w:after="100" w:afterAutospacing="1"/>
              <w:jc w:val="center"/>
              <w:rPr>
                <w:rFonts w:ascii="Times New Roman" w:hAnsi="Times New Roman" w:cs="Times New Roman" w:hint="default"/>
              </w:rPr>
            </w:pPr>
            <w:r>
              <w:rPr>
                <w:rFonts w:ascii="Times New Roman" w:hAnsi="Times New Roman" w:cs="Times New Roman" w:hint="default"/>
              </w:rPr>
              <w:t>Accepted</w:t>
            </w:r>
          </w:p>
        </w:tc>
      </w:tr>
    </w:tbl>
    <w:p w14:paraId="5B95E16B" w14:textId="77777777" w:rsidR="00FC2F8E" w:rsidRDefault="00AE16DB">
      <w:pPr>
        <w:jc w:val="both"/>
        <w:rPr>
          <w:rFonts w:ascii="Times New Roman" w:hAnsi="Times New Roman" w:cs="Times New Roman"/>
          <w:b/>
          <w:bCs/>
        </w:rPr>
      </w:pPr>
      <w:r>
        <w:rPr>
          <w:rFonts w:ascii="Times New Roman" w:eastAsia="Calibri" w:hAnsi="Times New Roman" w:cs="Times New Roman"/>
          <w:b/>
          <w:bCs/>
        </w:rPr>
        <w:t>SD = Strongly Disagree; D = Disagree; Ne = Neutral; A = Agree; SA = Strongly Agree</w:t>
      </w:r>
    </w:p>
    <w:p w14:paraId="1FF5A93A"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eastAsia="Calibri" w:hAnsi="Times New Roman" w:cs="Times New Roman"/>
          <w:sz w:val="24"/>
          <w:szCs w:val="24"/>
        </w:rPr>
        <w:t xml:space="preserve">The result in Table 2 presents the challenges encountered by health workers in delivering health education at AEFUTHA, Ebonyi State. All the items were accepted, with weighted mean scores above the mean criterion of 3.0. The highest mean score was observed for the statement “Women’s low literacy level makes health education difficult”, with a mean of 3.87±1.33, indicating that literacy barriers are a major challenge in effective health education delivery. This was closely followed by “Staff shortage affects the quality of health education sessions” with a mean of 3.78±1.31, highlighting human resource constraints as a significant limitation. Heavy workload and limited time during clinics both had mean scores of 3.70±1.36 and 3.70±1.33 respectively, showing that time pressure and workload reduce the depth and quality of information provided. Similarly, “Cultural beliefs sometimes interfere with health education delivery” recorded a mean of 3.70±1.22, reflecting socio-cultural barriers that hinder effective communication. Overall, the grand mean score of 3.75±1.13 suggests that health workers generally encounter notable challenges in delivering health education. </w:t>
      </w:r>
    </w:p>
    <w:p w14:paraId="2E69EA5E" w14:textId="77777777" w:rsidR="00FC2F8E" w:rsidRDefault="00AE16DB">
      <w:pPr>
        <w:pStyle w:val="Heading2"/>
        <w:spacing w:line="240" w:lineRule="auto"/>
      </w:pPr>
      <w:bookmarkStart w:id="12" w:name="_Toc9218"/>
      <w:r>
        <w:t>4.2 Discussion of Findings</w:t>
      </w:r>
      <w:bookmarkEnd w:id="12"/>
    </w:p>
    <w:p w14:paraId="3050D8E3"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eastAsia="Calibri" w:hAnsi="Times New Roman" w:cs="Times New Roman"/>
          <w:sz w:val="24"/>
          <w:szCs w:val="24"/>
        </w:rPr>
        <w:t>This section discusses the findings of the present study in relation to existing evidence on the lived experiences, challenges, enabling factors, and systemic influences affecting health workers in delivering women’s health education during antenatal and immunization clinics in AE-FUTHA, Ebonyi State. The results obtained from this tertiary hospital are compared with previous studies conducted within Nigeria and internationally, highlighting areas of convergence and divergence. The discussion integrates both quantitative and qualitative strands of the study with empirical reviews, showing how health workers’ confidence, fulfillment, and motivation are reinforced by women’s eagerness to learn, while systemic and institutional barriers such as poor infrastructure, staff shortages, and lack of standardized guidelines continue to limit effectiveness.</w:t>
      </w:r>
    </w:p>
    <w:p w14:paraId="289D53E8" w14:textId="77777777" w:rsidR="00FC2F8E" w:rsidRDefault="00AE16DB">
      <w:pPr>
        <w:pStyle w:val="Title"/>
      </w:pPr>
      <w:r>
        <w:t>4.2.2 Challenges Encountered by Health Workers in Delivering Women’s Health Education during Antenatal and Immunization Clinics</w:t>
      </w:r>
    </w:p>
    <w:p w14:paraId="36A8C426"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eastAsia="Calibri" w:hAnsi="Times New Roman" w:cs="Times New Roman"/>
          <w:sz w:val="24"/>
          <w:szCs w:val="24"/>
        </w:rPr>
        <w:t>The findings of this study as related to research question two on the challenges encountered by health workers, as shown in Table 3 of the quantitative part and Theme 2 of the qualitative part, revealed that respondents experienced several barriers in the course of delivering women’s health education. The quantitative results indicated that women’s low literacy level was the most significant challenge, with a mean score of 3.87±1.33, suggesting that literacy barriers hinder effective communication. This was closely followed by staff shortages (3.78±1.31), heavy workload (3.70±1.36), limited time during clinics (3.70±1.33), and cultural beliefs interfering with health education delivery (3.70±1.22). Overall, the grand mean score of 3.75±1.13 suggests that health workers generally encounter notable challenges in delivering health education.</w:t>
      </w:r>
    </w:p>
    <w:p w14:paraId="0379A99E"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eastAsia="Calibri" w:hAnsi="Times New Roman" w:cs="Times New Roman"/>
          <w:sz w:val="24"/>
          <w:szCs w:val="24"/>
        </w:rPr>
        <w:t xml:space="preserve">These quantitative findings are consistent with qualitative accounts where participants described language barriers, time constraints, lack of teaching aids, poor infrastructure, and staff shortages as major obstacles. One CHEW explained, “Some of them, they don’t understand your own language and I too don’t understand their own… except general English that we can use. Some of them don’t understand English.” </w:t>
      </w:r>
      <w:r>
        <w:rPr>
          <w:rFonts w:ascii="Times New Roman" w:eastAsia="Calibri" w:hAnsi="Times New Roman" w:cs="Times New Roman"/>
          <w:sz w:val="24"/>
          <w:szCs w:val="24"/>
        </w:rPr>
        <w:lastRenderedPageBreak/>
        <w:t>Similarly, a nurse emphasized, “The mother-in-law or caregiver might not understand English… being the caregiver, I might not be able to speak their language that will relay the message down to them.” These narratives illustrate how literacy and language barriers reduce the effectiveness of health talks, aligning with the quantitative evidence that low literacy levels are a major challenge.</w:t>
      </w:r>
    </w:p>
    <w:p w14:paraId="6D6CD4A2"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eastAsia="Calibri" w:hAnsi="Times New Roman" w:cs="Times New Roman"/>
          <w:sz w:val="24"/>
          <w:szCs w:val="24"/>
        </w:rPr>
        <w:t>The issue of time constraints was also highlighted in both strands. Quantitatively, time pressure recorded a mean score of 3.70±1.33, while qualitatively, nurses explained that mothers often preferred quick services over health talks. One nurse noted, “Most of them… just want to come and vaccinate… they always consider time.” Another added, “Women will always complain that they want to rush somewhere… they feel we are disturbing them through the head talk.” These accounts reflect the socio-economic realities mothers face, which undermine their willingness to engage in health education sessions. This finding resonates with Ekhaguere and Ekpenyong (2026), who identified time constraints as a major barrier in immunization clinics.</w:t>
      </w:r>
    </w:p>
    <w:p w14:paraId="03263A93"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eastAsia="Calibri" w:hAnsi="Times New Roman" w:cs="Times New Roman"/>
          <w:sz w:val="24"/>
          <w:szCs w:val="24"/>
        </w:rPr>
        <w:t>The lack of teaching aids and poor infrastructure also emerged as significant challenges. Participants lamented the absence of visual aids, demonstration tools, and conducive environments. One dietician explained, “We don’t have some instruments, so you use masks to educate them.” Another nurse added, “Sometimes, you will need simulator, flex, flip charts… but we don’t have those teaching aids.” These experiences mirror Abubakar (2024), who reported insufficient educational materials and poor infrastructure as hindrances to effective health education.</w:t>
      </w:r>
    </w:p>
    <w:p w14:paraId="6CA1C648" w14:textId="77777777" w:rsidR="00FC2F8E" w:rsidRDefault="00AE16DB">
      <w:pPr>
        <w:spacing w:before="100" w:beforeAutospacing="1" w:after="100" w:afterAutospacing="1"/>
        <w:jc w:val="both"/>
        <w:rPr>
          <w:rFonts w:ascii="Times New Roman" w:eastAsia="Calibri" w:hAnsi="Times New Roman" w:cs="Times New Roman"/>
          <w:sz w:val="24"/>
          <w:szCs w:val="24"/>
        </w:rPr>
      </w:pPr>
      <w:r>
        <w:rPr>
          <w:rFonts w:ascii="Times New Roman" w:eastAsia="Calibri" w:hAnsi="Times New Roman" w:cs="Times New Roman"/>
          <w:sz w:val="24"/>
          <w:szCs w:val="24"/>
        </w:rPr>
        <w:t>Staff shortages and heavy workload were further emphasized, with nurses explaining that limited manpower forced them to rush through sessions. One nurse stated, “We are short staffed… sometimes you’ll be overwhelmed with work that you won’t have time to give the necessary information.” This aligns with the quantitative score of 3.78±1.31 for staff shortages and 3.70±1.36 for workload. These findings are consistent with Adefolarin et al. (2021), who found that without structured training and adequate staffing, health workers struggled to deliver comprehensive maternal health education.</w:t>
      </w:r>
    </w:p>
    <w:p w14:paraId="1540B0CC" w14:textId="77777777" w:rsidR="00FC2F8E" w:rsidRDefault="00AE16DB">
      <w:pPr>
        <w:pStyle w:val="Heading2"/>
        <w:spacing w:line="240" w:lineRule="auto"/>
      </w:pPr>
      <w:bookmarkStart w:id="13" w:name="_Toc5562"/>
      <w:r>
        <w:t>Conclusion</w:t>
      </w:r>
      <w:bookmarkEnd w:id="13"/>
    </w:p>
    <w:p w14:paraId="6DCB373B"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eastAsia="Calibri" w:hAnsi="Times New Roman" w:cs="Times New Roman"/>
          <w:sz w:val="24"/>
          <w:szCs w:val="24"/>
        </w:rPr>
        <w:t>This study examined the lived experiences, challenges, enabling factors, and systemic influences affecting health workers in delivering women’s health education during antenatal and immunization clinics in AE-FUTHA, Ebonyi State. The findings revealed that health workers generally expressed confidence, fulfillment, and motivation in their roles, reinforced by women’s eagerness to learn and positive feedback. However, their performance was constrained by literacy barriers, staff shortages, poor infrastructure, lack of teaching aids, and absence of standardized guidelines. The study further highlighted that individual factors such as training, years of experience, and confidence play a critical role in shaping effective health education delivery, while institutional recognition, supportive supervision, and continuous professional training serve as strong motivators. At the systemic level, infrastructural improvements, provision of teaching materials, structured guidelines, and policy support from government and NGOs were identified as essential for sustaining effective health education.</w:t>
      </w:r>
    </w:p>
    <w:p w14:paraId="2812CA52" w14:textId="77777777" w:rsidR="00FC2F8E" w:rsidRDefault="00AE16DB">
      <w:pPr>
        <w:pStyle w:val="Heading2"/>
        <w:spacing w:line="240" w:lineRule="auto"/>
      </w:pPr>
      <w:bookmarkStart w:id="14" w:name="_Toc26550"/>
      <w:r>
        <w:t>Recommendations</w:t>
      </w:r>
      <w:bookmarkEnd w:id="14"/>
    </w:p>
    <w:p w14:paraId="73E8773D" w14:textId="77777777" w:rsidR="00FC2F8E" w:rsidRDefault="00AE16DB">
      <w:pPr>
        <w:spacing w:before="100" w:beforeAutospacing="1" w:after="100" w:afterAutospacing="1"/>
        <w:jc w:val="both"/>
        <w:rPr>
          <w:rFonts w:ascii="Times New Roman" w:hAnsi="Times New Roman" w:cs="Times New Roman"/>
          <w:sz w:val="24"/>
          <w:szCs w:val="24"/>
        </w:rPr>
      </w:pPr>
      <w:r>
        <w:rPr>
          <w:rFonts w:ascii="Times New Roman" w:eastAsia="Calibri" w:hAnsi="Times New Roman" w:cs="Times New Roman"/>
          <w:sz w:val="24"/>
          <w:szCs w:val="24"/>
        </w:rPr>
        <w:t>Based on the findings of this study, the following recommendations are proposed to improve the delivery of women’s health education during antenatal and immunization clinics in AE-FUTHA, Ebonyi State:</w:t>
      </w:r>
    </w:p>
    <w:p w14:paraId="38335BFE" w14:textId="77777777" w:rsidR="00FC2F8E"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lastRenderedPageBreak/>
        <w:t>Firstly, hospital management should provide adequate teaching aids and visual demonstration tools such as projectors, simulators, and flip charts to enhance clarity and engagement during health education sessions.</w:t>
      </w:r>
    </w:p>
    <w:p w14:paraId="255CEA6E" w14:textId="77777777" w:rsidR="00FC2F8E"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Secondly, infrastructural improvements such as provision of fans, air conditioning, adequate space, and reliable electricity supply should be prioritized to create a conducive environment for mothers and health workers.</w:t>
      </w:r>
    </w:p>
    <w:p w14:paraId="789A388D" w14:textId="77777777" w:rsidR="00FC2F8E"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Thirdly, continuous professional training and supportive supervision should be strengthened to build health workers’ confidence, update their knowledge, and improve communication skills.</w:t>
      </w:r>
    </w:p>
    <w:p w14:paraId="4F787B13" w14:textId="77777777" w:rsidR="00FC2F8E"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Fourthly, incentives should be introduced for both mothers and health workers. Motivational gifts for mothers can encourage participation, while recognition and rewards for staff can boost morale and performance. </w:t>
      </w:r>
    </w:p>
    <w:p w14:paraId="5C16597F" w14:textId="77777777" w:rsidR="00FC2F8E" w:rsidRDefault="00AE16DB">
      <w:pPr>
        <w:pStyle w:val="Heading1"/>
        <w:spacing w:line="240" w:lineRule="auto"/>
        <w:jc w:val="left"/>
      </w:pPr>
      <w:bookmarkStart w:id="15" w:name="_Toc30533"/>
      <w:r>
        <w:rPr>
          <w:szCs w:val="24"/>
        </w:rPr>
        <w:t>REFERENCES</w:t>
      </w:r>
      <w:bookmarkEnd w:id="15"/>
    </w:p>
    <w:p w14:paraId="607455EB"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Abubakar, B. D. (2024). Health workers’ perceived hindrances to implementation of the National Programme on Immunization among people in Kwara State, Nigeria. </w:t>
      </w:r>
      <w:r>
        <w:rPr>
          <w:rStyle w:val="Emphasis"/>
          <w:rFonts w:ascii="Times New Roman" w:hAnsi="Times New Roman" w:cs="Times New Roman"/>
          <w:sz w:val="24"/>
          <w:szCs w:val="24"/>
        </w:rPr>
        <w:t>Pan-African Journal of Health and Environmental Science</w:t>
      </w:r>
      <w:r>
        <w:rPr>
          <w:rFonts w:ascii="Times New Roman" w:hAnsi="Times New Roman" w:cs="Times New Roman"/>
          <w:sz w:val="24"/>
          <w:szCs w:val="24"/>
        </w:rPr>
        <w:t xml:space="preserve">, 3(1), 12–26. </w:t>
      </w:r>
      <w:hyperlink r:id="rId11">
        <w:r>
          <w:rPr>
            <w:rStyle w:val="Hyperlink"/>
            <w:rFonts w:ascii="Times New Roman" w:hAnsi="Times New Roman" w:cs="Times New Roman"/>
            <w:sz w:val="24"/>
            <w:szCs w:val="24"/>
          </w:rPr>
          <w:t>https://doi.org/10.56893/ajhes2024v03i01.02</w:t>
        </w:r>
      </w:hyperlink>
    </w:p>
    <w:p w14:paraId="6A111114"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 Adefolarin, A. O., Gershim, A., Sola, A. O., &amp; Oye, G. (2021). The effect of training and supervision on primary health care workers’ competence to deliver maternal depression–inclusive health education in Ibadan, Nigeria: A quasi-experimental study. </w:t>
      </w:r>
      <w:r>
        <w:rPr>
          <w:rStyle w:val="Emphasis"/>
          <w:rFonts w:ascii="Times New Roman" w:hAnsi="Times New Roman" w:cs="Times New Roman"/>
          <w:sz w:val="24"/>
          <w:szCs w:val="24"/>
        </w:rPr>
        <w:t>BMC Health Services Research, 21</w:t>
      </w:r>
      <w:r>
        <w:rPr>
          <w:rFonts w:ascii="Times New Roman" w:hAnsi="Times New Roman" w:cs="Times New Roman"/>
          <w:sz w:val="24"/>
          <w:szCs w:val="24"/>
        </w:rPr>
        <w:t xml:space="preserve">, Article 1302. </w:t>
      </w:r>
      <w:hyperlink r:id="rId12">
        <w:r>
          <w:rPr>
            <w:rStyle w:val="Hyperlink"/>
            <w:rFonts w:ascii="Times New Roman" w:hAnsi="Times New Roman" w:cs="Times New Roman"/>
            <w:sz w:val="24"/>
            <w:szCs w:val="24"/>
          </w:rPr>
          <w:t>https://doi.org/10.1186/s12913-021-07282-0</w:t>
        </w:r>
      </w:hyperlink>
    </w:p>
    <w:p w14:paraId="2BC91E02"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Adeniyi, A. A., Oyapero, A., &amp; Ajieroh, V. (2020). Effect of health education intervention conducted by primary health care workers on oral health knowledge and practices of nursing mothers in Lagos State. </w:t>
      </w:r>
      <w:r>
        <w:rPr>
          <w:rStyle w:val="Emphasis"/>
          <w:rFonts w:ascii="Times New Roman" w:hAnsi="Times New Roman" w:cs="Times New Roman"/>
          <w:sz w:val="24"/>
          <w:szCs w:val="24"/>
        </w:rPr>
        <w:t>Journal of Public Health in Africa, 9</w:t>
      </w:r>
      <w:r>
        <w:rPr>
          <w:rFonts w:ascii="Times New Roman" w:hAnsi="Times New Roman" w:cs="Times New Roman"/>
          <w:sz w:val="24"/>
          <w:szCs w:val="24"/>
        </w:rPr>
        <w:t xml:space="preserve">(1), 793. </w:t>
      </w:r>
      <w:hyperlink r:id="rId13">
        <w:r>
          <w:rPr>
            <w:rStyle w:val="Hyperlink"/>
            <w:rFonts w:ascii="Times New Roman" w:hAnsi="Times New Roman" w:cs="Times New Roman"/>
            <w:sz w:val="24"/>
            <w:szCs w:val="24"/>
          </w:rPr>
          <w:t>https://doi.org/10.4081/jphia.2018.793</w:t>
        </w:r>
      </w:hyperlink>
    </w:p>
    <w:p w14:paraId="5D910239" w14:textId="77777777" w:rsidR="00FC2F8E" w:rsidRDefault="00AE16DB">
      <w:pPr>
        <w:spacing w:before="100" w:beforeAutospacing="1" w:after="100" w:afterAutospacing="1"/>
        <w:ind w:left="810" w:hanging="810"/>
        <w:jc w:val="both"/>
      </w:pPr>
      <w:r>
        <w:rPr>
          <w:rFonts w:ascii="Times New Roman" w:hAnsi="Times New Roman" w:cs="Times New Roman"/>
          <w:sz w:val="24"/>
          <w:szCs w:val="24"/>
        </w:rPr>
        <w:t xml:space="preserve">AlKhunaizi, A. N. Alhamidi, S.A, Al-Otaibi A.G, Al Abudulah A.A, Kawther S.A, AlZayer M.J (2025). Exploring healthcare providers’ perspectives of childbirth education classes for quality of care and positive child birth experience. </w:t>
      </w:r>
      <w:r>
        <w:rPr>
          <w:rStyle w:val="Emphasis"/>
          <w:rFonts w:ascii="Times New Roman" w:hAnsi="Times New Roman" w:cs="Times New Roman"/>
          <w:sz w:val="24"/>
          <w:szCs w:val="24"/>
        </w:rPr>
        <w:t>BMC Pregnancy and Childbirth, 14 may 2025:25</w:t>
      </w:r>
      <w:r>
        <w:rPr>
          <w:rFonts w:ascii="Times New Roman" w:hAnsi="Times New Roman" w:cs="Times New Roman"/>
          <w:sz w:val="24"/>
          <w:szCs w:val="24"/>
        </w:rPr>
        <w:t xml:space="preserve">(1), 118. </w:t>
      </w:r>
      <w:hyperlink r:id="rId14">
        <w:r>
          <w:rPr>
            <w:rStyle w:val="Hyperlink"/>
            <w:rFonts w:ascii="Times New Roman" w:hAnsi="Times New Roman" w:cs="Times New Roman"/>
            <w:color w:val="auto"/>
            <w:sz w:val="24"/>
            <w:szCs w:val="24"/>
          </w:rPr>
          <w:t>https://doi.org/10.1186/s12884-025-06914-0</w:t>
        </w:r>
      </w:hyperlink>
    </w:p>
    <w:p w14:paraId="1F0F3A32"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ASME Publications. (2025). Researching lived experience in health professional education. </w:t>
      </w:r>
      <w:r>
        <w:rPr>
          <w:rStyle w:val="Emphasis"/>
          <w:rFonts w:ascii="Times New Roman" w:hAnsi="Times New Roman" w:cs="Times New Roman"/>
          <w:sz w:val="24"/>
          <w:szCs w:val="24"/>
        </w:rPr>
        <w:t>Medical Education Journal</w:t>
      </w:r>
      <w:r>
        <w:rPr>
          <w:rFonts w:ascii="Times New Roman" w:hAnsi="Times New Roman" w:cs="Times New Roman"/>
          <w:sz w:val="24"/>
          <w:szCs w:val="24"/>
        </w:rPr>
        <w:t>.</w:t>
      </w:r>
    </w:p>
    <w:p w14:paraId="263862D0"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Balogun, F. M., Omobowale, O. C., &amp; Akindolire, A. E. (2025). Enablers and barriers to older women's support of infant immunization timeliness and completion in selected urban slum communities of Ibadan, Nigeria. </w:t>
      </w:r>
      <w:r>
        <w:rPr>
          <w:rStyle w:val="Emphasis"/>
          <w:rFonts w:ascii="Times New Roman" w:hAnsi="Times New Roman" w:cs="Times New Roman"/>
          <w:sz w:val="24"/>
          <w:szCs w:val="24"/>
        </w:rPr>
        <w:t>Vaccine: X</w:t>
      </w:r>
      <w:r>
        <w:rPr>
          <w:rFonts w:ascii="Times New Roman" w:hAnsi="Times New Roman" w:cs="Times New Roman"/>
          <w:sz w:val="24"/>
          <w:szCs w:val="24"/>
        </w:rPr>
        <w:t>, 17, 100347.</w:t>
      </w:r>
    </w:p>
    <w:p w14:paraId="5C338673" w14:textId="77777777" w:rsidR="00FC2F8E" w:rsidRDefault="00AE16DB">
      <w:pPr>
        <w:spacing w:before="100" w:beforeAutospacing="1" w:after="100" w:afterAutospacing="1"/>
        <w:ind w:left="810" w:hanging="810"/>
        <w:jc w:val="both"/>
      </w:pPr>
      <w:r>
        <w:rPr>
          <w:rFonts w:ascii="Times New Roman" w:hAnsi="Times New Roman" w:cs="Times New Roman"/>
          <w:sz w:val="24"/>
          <w:szCs w:val="24"/>
        </w:rPr>
        <w:t xml:space="preserve">Binagwaho, A., Scott, K. W., Rosewall, T., &amp; colleagues. (2023). Three decades of community health workers in primary healthcare in Rwanda. </w:t>
      </w:r>
      <w:r>
        <w:rPr>
          <w:rStyle w:val="Emphasis"/>
          <w:rFonts w:ascii="Times New Roman" w:eastAsia="SimSun" w:hAnsi="Times New Roman" w:cs="Times New Roman"/>
          <w:sz w:val="24"/>
          <w:szCs w:val="24"/>
        </w:rPr>
        <w:t>Global Health: Science and Practice</w:t>
      </w:r>
      <w:r>
        <w:rPr>
          <w:rFonts w:ascii="Times New Roman" w:hAnsi="Times New Roman" w:cs="Times New Roman"/>
          <w:sz w:val="24"/>
          <w:szCs w:val="24"/>
        </w:rPr>
        <w:t xml:space="preserve">, 8(3), 377–392. </w:t>
      </w:r>
      <w:hyperlink r:id="rId15">
        <w:r>
          <w:rPr>
            <w:rStyle w:val="Hyperlink"/>
            <w:rFonts w:ascii="Times New Roman" w:eastAsia="SimSun" w:hAnsi="Times New Roman" w:cs="Times New Roman"/>
            <w:sz w:val="24"/>
            <w:szCs w:val="24"/>
          </w:rPr>
          <w:t>https://pmc.ncbi.nlm.nih.gov</w:t>
        </w:r>
      </w:hyperlink>
    </w:p>
    <w:p w14:paraId="3FB9CF28"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BMJ Global Health. (2026). Understanding motivating and demotivating factors among maternal health workers in low-resource settings. </w:t>
      </w:r>
      <w:r>
        <w:rPr>
          <w:rStyle w:val="Emphasis"/>
          <w:rFonts w:ascii="Times New Roman" w:hAnsi="Times New Roman" w:cs="Times New Roman"/>
          <w:sz w:val="24"/>
          <w:szCs w:val="24"/>
        </w:rPr>
        <w:t>BMJ Global Health, 11</w:t>
      </w:r>
      <w:r>
        <w:rPr>
          <w:rFonts w:ascii="Times New Roman" w:hAnsi="Times New Roman" w:cs="Times New Roman"/>
          <w:sz w:val="24"/>
          <w:szCs w:val="24"/>
        </w:rPr>
        <w:t>(3), e012345.</w:t>
      </w:r>
    </w:p>
    <w:p w14:paraId="564D0227"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Bogale, K. A., Yenesew, M. A., Alemu, K., &amp; Muchie, K. F. (2025). Facilitators and barriers of malaria prevention and treatment services to pregnant women in Ethiopia: A multi-level health system analysis. </w:t>
      </w:r>
      <w:r>
        <w:rPr>
          <w:rStyle w:val="Emphasis"/>
          <w:rFonts w:ascii="Times New Roman" w:hAnsi="Times New Roman" w:cs="Times New Roman"/>
          <w:sz w:val="24"/>
          <w:szCs w:val="24"/>
        </w:rPr>
        <w:t>Malaria Journal</w:t>
      </w:r>
      <w:r>
        <w:rPr>
          <w:rFonts w:ascii="Times New Roman" w:hAnsi="Times New Roman" w:cs="Times New Roman"/>
          <w:sz w:val="24"/>
          <w:szCs w:val="24"/>
        </w:rPr>
        <w:t>, 24(1), 1–12.</w:t>
      </w:r>
    </w:p>
    <w:p w14:paraId="63587D17"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lastRenderedPageBreak/>
        <w:t xml:space="preserve">Bronfenbrenner, Urie. (1977). Toward an experimental ecology of human development. </w:t>
      </w:r>
      <w:r>
        <w:rPr>
          <w:rStyle w:val="Emphasis"/>
          <w:rFonts w:ascii="Times New Roman" w:hAnsi="Times New Roman" w:cs="Times New Roman"/>
          <w:sz w:val="24"/>
          <w:szCs w:val="24"/>
        </w:rPr>
        <w:t>American Psychologist</w:t>
      </w:r>
      <w:r>
        <w:rPr>
          <w:rFonts w:ascii="Times New Roman" w:hAnsi="Times New Roman" w:cs="Times New Roman"/>
          <w:sz w:val="24"/>
          <w:szCs w:val="24"/>
        </w:rPr>
        <w:t>, 32(7), 513–531.</w:t>
      </w:r>
    </w:p>
    <w:p w14:paraId="54C3BCE9"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 Carpenter, C. J. (2022). A meta-analysis of the effectiveness of Health Belief Model variables in predicting health behavior. </w:t>
      </w:r>
      <w:r>
        <w:rPr>
          <w:rStyle w:val="Emphasis"/>
          <w:rFonts w:ascii="Times New Roman" w:hAnsi="Times New Roman" w:cs="Times New Roman"/>
          <w:sz w:val="24"/>
          <w:szCs w:val="24"/>
        </w:rPr>
        <w:t>Health Communication</w:t>
      </w:r>
      <w:r>
        <w:rPr>
          <w:rFonts w:ascii="Times New Roman" w:hAnsi="Times New Roman" w:cs="Times New Roman"/>
          <w:sz w:val="24"/>
          <w:szCs w:val="24"/>
        </w:rPr>
        <w:t>, 37(8), 989–1000.</w:t>
      </w:r>
    </w:p>
    <w:p w14:paraId="74332383"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Champion, Victoria L., Skinner, Celette S. (2021). The Health Belief Model. In Karen Glanz, Barbara K. Rimer, and Kasisomayajula Viswanath (Eds.), </w:t>
      </w:r>
      <w:r>
        <w:rPr>
          <w:rStyle w:val="Emphasis"/>
          <w:rFonts w:ascii="Times New Roman" w:hAnsi="Times New Roman" w:cs="Times New Roman"/>
          <w:sz w:val="24"/>
          <w:szCs w:val="24"/>
        </w:rPr>
        <w:t>Health behavior: Theory, research, and practice</w:t>
      </w:r>
      <w:r>
        <w:rPr>
          <w:rFonts w:ascii="Times New Roman" w:hAnsi="Times New Roman" w:cs="Times New Roman"/>
          <w:sz w:val="24"/>
          <w:szCs w:val="24"/>
        </w:rPr>
        <w:t xml:space="preserve"> (6th ed., pp. 75–94). Jossey-Bass.</w:t>
      </w:r>
    </w:p>
    <w:p w14:paraId="68E655DE" w14:textId="77777777" w:rsidR="00FC2F8E" w:rsidRDefault="00AE16DB">
      <w:pPr>
        <w:spacing w:before="100" w:beforeAutospacing="1" w:after="100" w:afterAutospacing="1"/>
        <w:ind w:left="810" w:hanging="810"/>
        <w:jc w:val="both"/>
      </w:pPr>
      <w:r>
        <w:rPr>
          <w:rFonts w:ascii="Times New Roman" w:hAnsi="Times New Roman" w:cs="Times New Roman"/>
          <w:sz w:val="24"/>
          <w:szCs w:val="24"/>
        </w:rPr>
        <w:t xml:space="preserve">Chawla, S., Kumar, C., Bose, M., &amp; Shrivastav, S. M. (2025). Performance and challenges of Accredited Social Health Activists (ASHAs) in delivering key maternal and newborn health services in India: A systematic review and meta-analysis. </w:t>
      </w:r>
      <w:r>
        <w:rPr>
          <w:rStyle w:val="Emphasis"/>
          <w:rFonts w:ascii="Times New Roman" w:hAnsi="Times New Roman" w:cs="Times New Roman"/>
          <w:sz w:val="24"/>
          <w:szCs w:val="24"/>
        </w:rPr>
        <w:t>SSM – Health Systems</w:t>
      </w:r>
      <w:r>
        <w:rPr>
          <w:rFonts w:ascii="Times New Roman" w:hAnsi="Times New Roman" w:cs="Times New Roman"/>
          <w:sz w:val="24"/>
          <w:szCs w:val="24"/>
        </w:rPr>
        <w:t xml:space="preserve">. </w:t>
      </w:r>
      <w:hyperlink r:id="rId16">
        <w:r>
          <w:rPr>
            <w:rStyle w:val="Hyperlink"/>
            <w:rFonts w:ascii="Times New Roman" w:hAnsi="Times New Roman" w:cs="Times New Roman"/>
            <w:sz w:val="24"/>
            <w:szCs w:val="24"/>
          </w:rPr>
          <w:t>https://doi.org/10.1016/j.ssmhs.2025.100134</w:t>
        </w:r>
      </w:hyperlink>
    </w:p>
    <w:p w14:paraId="67791A76"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Ekhaguere, O. A., &amp; Ekpenyong, N. (2026). Content and factors influencing health education in immunisation clinics in Nigeria. </w:t>
      </w:r>
      <w:r>
        <w:rPr>
          <w:rStyle w:val="Emphasis"/>
          <w:rFonts w:ascii="Times New Roman" w:hAnsi="Times New Roman" w:cs="Times New Roman"/>
          <w:sz w:val="24"/>
          <w:szCs w:val="24"/>
        </w:rPr>
        <w:t>International Health</w:t>
      </w:r>
      <w:r>
        <w:rPr>
          <w:rFonts w:ascii="Times New Roman" w:hAnsi="Times New Roman" w:cs="Times New Roman"/>
          <w:sz w:val="24"/>
          <w:szCs w:val="24"/>
        </w:rPr>
        <w:t>. Advance online publication.</w:t>
      </w:r>
    </w:p>
    <w:p w14:paraId="2BF90187"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Glanz, Karen, Rimer, Barbara K., Viswanath, Kasisomayajula. (2021). </w:t>
      </w:r>
      <w:r>
        <w:rPr>
          <w:rStyle w:val="Emphasis"/>
          <w:rFonts w:ascii="Times New Roman" w:hAnsi="Times New Roman" w:cs="Times New Roman"/>
          <w:sz w:val="24"/>
          <w:szCs w:val="24"/>
        </w:rPr>
        <w:t>Health behavior: Theory, research, and practice</w:t>
      </w:r>
      <w:r>
        <w:rPr>
          <w:rFonts w:ascii="Times New Roman" w:hAnsi="Times New Roman" w:cs="Times New Roman"/>
          <w:sz w:val="24"/>
          <w:szCs w:val="24"/>
        </w:rPr>
        <w:t xml:space="preserve"> (6th ed.). Jossey-Bass.</w:t>
      </w:r>
    </w:p>
    <w:p w14:paraId="0ABC57A9"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Gliem, J. A., &amp; Gliem, R. R. (2021). Reliability and validity for Likert-type scales. In </w:t>
      </w:r>
      <w:r>
        <w:rPr>
          <w:rStyle w:val="Emphasis"/>
          <w:rFonts w:ascii="Times New Roman" w:hAnsi="Times New Roman" w:cs="Times New Roman"/>
          <w:sz w:val="24"/>
          <w:szCs w:val="24"/>
        </w:rPr>
        <w:t>Proceedings of the Midwest Research to Practice Conference in Adult, Continuing, and Community Education</w:t>
      </w:r>
      <w:r>
        <w:rPr>
          <w:rFonts w:ascii="Times New Roman" w:hAnsi="Times New Roman" w:cs="Times New Roman"/>
          <w:sz w:val="24"/>
          <w:szCs w:val="24"/>
        </w:rPr>
        <w:t xml:space="preserve"> (pp. 77–87). </w:t>
      </w:r>
      <w:hyperlink r:id="rId17">
        <w:r>
          <w:rPr>
            <w:rStyle w:val="Hyperlink"/>
            <w:rFonts w:ascii="Times New Roman" w:hAnsi="Times New Roman" w:cs="Times New Roman"/>
            <w:sz w:val="24"/>
            <w:szCs w:val="24"/>
          </w:rPr>
          <w:t>http://hdl.handle.net/1805/26782</w:t>
        </w:r>
      </w:hyperlink>
    </w:p>
    <w:p w14:paraId="767BAA09"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Gwaza, G. P., Zhou, D. T., &amp; Plüddemann, A. (2025). Use of integrated services in antenatal care: A case study of Mabvuku Polyclinic, Zimbabwe. </w:t>
      </w:r>
      <w:r>
        <w:rPr>
          <w:rStyle w:val="Emphasis"/>
          <w:rFonts w:ascii="Times New Roman" w:hAnsi="Times New Roman" w:cs="Times New Roman"/>
          <w:sz w:val="24"/>
          <w:szCs w:val="24"/>
        </w:rPr>
        <w:t>African Journal of Primary Health Care &amp; Family Medicine</w:t>
      </w:r>
      <w:r>
        <w:rPr>
          <w:rFonts w:ascii="Times New Roman" w:hAnsi="Times New Roman" w:cs="Times New Roman"/>
          <w:sz w:val="24"/>
          <w:szCs w:val="24"/>
        </w:rPr>
        <w:t>.</w:t>
      </w:r>
    </w:p>
    <w:p w14:paraId="01370B97"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Habobi, S. A., &amp; Alsanona, S. A. (2025). Transformational leadership and nursing outcomes: A systematic review of job satisfaction and productivity in global healthcare settings. </w:t>
      </w:r>
      <w:r>
        <w:rPr>
          <w:rStyle w:val="Emphasis"/>
          <w:rFonts w:ascii="Times New Roman" w:hAnsi="Times New Roman" w:cs="Times New Roman"/>
          <w:sz w:val="24"/>
          <w:szCs w:val="24"/>
        </w:rPr>
        <w:t>Journal of Nursing Education and Practice</w:t>
      </w:r>
      <w:r>
        <w:rPr>
          <w:rFonts w:ascii="Times New Roman" w:hAnsi="Times New Roman" w:cs="Times New Roman"/>
          <w:sz w:val="24"/>
          <w:szCs w:val="24"/>
        </w:rPr>
        <w:t>, 15(2), 45–58.</w:t>
      </w:r>
    </w:p>
    <w:p w14:paraId="37C45E1F"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Hooper, E., McCarthy, E., O’Neill, S., &amp; Kearney, P. M. (2025). The effectiveness of antenatal education on improving birth outcomes: A systematic review. </w:t>
      </w:r>
      <w:r>
        <w:rPr>
          <w:rStyle w:val="Emphasis"/>
          <w:rFonts w:ascii="Times New Roman" w:hAnsi="Times New Roman" w:cs="Times New Roman"/>
          <w:sz w:val="24"/>
          <w:szCs w:val="24"/>
        </w:rPr>
        <w:t>Patient Education and Counseling, 118</w:t>
      </w:r>
      <w:r>
        <w:rPr>
          <w:rFonts w:ascii="Times New Roman" w:hAnsi="Times New Roman" w:cs="Times New Roman"/>
          <w:sz w:val="24"/>
          <w:szCs w:val="24"/>
        </w:rPr>
        <w:t xml:space="preserve">, 109999. </w:t>
      </w:r>
      <w:hyperlink r:id="rId18">
        <w:r>
          <w:rPr>
            <w:rStyle w:val="Hyperlink"/>
            <w:rFonts w:ascii="Times New Roman" w:hAnsi="Times New Roman" w:cs="Times New Roman"/>
            <w:sz w:val="24"/>
            <w:szCs w:val="24"/>
          </w:rPr>
          <w:t>https://doi.org/10.1016/j.pec.2024.109999</w:t>
        </w:r>
      </w:hyperlink>
    </w:p>
    <w:p w14:paraId="035BA2EF"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Hooper, E., Mechkaroff, O., Upitis, A., Schofield, E., Carland, J. E., &amp; Henry, A. (2022). The effectiveness of antenatal education on improving labour and birth outcomes: A systematic review and meta-analysis. </w:t>
      </w:r>
      <w:r>
        <w:rPr>
          <w:rStyle w:val="Emphasis"/>
          <w:rFonts w:ascii="Times New Roman" w:hAnsi="Times New Roman" w:cs="Times New Roman"/>
          <w:sz w:val="24"/>
          <w:szCs w:val="24"/>
        </w:rPr>
        <w:t>Maternal and Child Health Journal, 26</w:t>
      </w:r>
      <w:r>
        <w:rPr>
          <w:rFonts w:ascii="Times New Roman" w:hAnsi="Times New Roman" w:cs="Times New Roman"/>
          <w:sz w:val="24"/>
          <w:szCs w:val="24"/>
        </w:rPr>
        <w:t xml:space="preserve">(1), 79–101. </w:t>
      </w:r>
      <w:hyperlink r:id="rId19">
        <w:r>
          <w:rPr>
            <w:rStyle w:val="Hyperlink"/>
            <w:rFonts w:ascii="Times New Roman" w:hAnsi="Times New Roman" w:cs="Times New Roman"/>
            <w:sz w:val="24"/>
            <w:szCs w:val="24"/>
          </w:rPr>
          <w:t>https://doi.org/10.1007/s10995-021-03299-w</w:t>
        </w:r>
      </w:hyperlink>
    </w:p>
    <w:p w14:paraId="6D865754" w14:textId="77777777" w:rsidR="00FC2F8E" w:rsidRDefault="00AE16DB">
      <w:pPr>
        <w:spacing w:before="100" w:beforeAutospacing="1" w:after="100" w:afterAutospacing="1"/>
        <w:ind w:left="810" w:hanging="810"/>
        <w:jc w:val="both"/>
      </w:pPr>
      <w:r>
        <w:rPr>
          <w:rFonts w:ascii="Times New Roman" w:hAnsi="Times New Roman" w:cs="Times New Roman"/>
          <w:sz w:val="24"/>
          <w:szCs w:val="24"/>
        </w:rPr>
        <w:t xml:space="preserve">Ibikunle, H. A., Okafor, I. P., &amp; Adejimi, A. A. (2021). Pre-natal nutrition education: Health care providers’ knowledge and quality of services in primary health care centres in Lagos, Nigeria. </w:t>
      </w:r>
      <w:r>
        <w:rPr>
          <w:rStyle w:val="Emphasis"/>
          <w:rFonts w:ascii="Times New Roman" w:hAnsi="Times New Roman" w:cs="Times New Roman"/>
          <w:sz w:val="24"/>
          <w:szCs w:val="24"/>
        </w:rPr>
        <w:t>PLOS ONE, 16</w:t>
      </w:r>
      <w:r>
        <w:rPr>
          <w:rFonts w:ascii="Times New Roman" w:hAnsi="Times New Roman" w:cs="Times New Roman"/>
          <w:sz w:val="24"/>
          <w:szCs w:val="24"/>
        </w:rPr>
        <w:t xml:space="preserve">(3), e0249876. </w:t>
      </w:r>
      <w:hyperlink r:id="rId20">
        <w:r>
          <w:rPr>
            <w:rStyle w:val="Hyperlink"/>
            <w:rFonts w:ascii="Times New Roman" w:hAnsi="Times New Roman" w:cs="Times New Roman"/>
            <w:color w:val="auto"/>
            <w:sz w:val="24"/>
            <w:szCs w:val="24"/>
          </w:rPr>
          <w:t>https://doi.org/10.1371/journal.pone.0249876</w:t>
        </w:r>
      </w:hyperlink>
    </w:p>
    <w:p w14:paraId="55D12DAC"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Jennings, L., Yebadokpo, A. S., Affo, J., &amp; Agbogbe, M. (2010). Antenatal counseling in maternal and newborn care: Use of job aids to improve health worker performance and maternal understanding in Benin. </w:t>
      </w:r>
      <w:r>
        <w:rPr>
          <w:rStyle w:val="Emphasis"/>
          <w:rFonts w:ascii="Times New Roman" w:hAnsi="Times New Roman" w:cs="Times New Roman"/>
          <w:sz w:val="24"/>
          <w:szCs w:val="24"/>
        </w:rPr>
        <w:t>BMC Pregnancy and Childbirth, 10</w:t>
      </w:r>
      <w:r>
        <w:rPr>
          <w:rFonts w:ascii="Times New Roman" w:hAnsi="Times New Roman" w:cs="Times New Roman"/>
          <w:sz w:val="24"/>
          <w:szCs w:val="24"/>
        </w:rPr>
        <w:t xml:space="preserve">, 75. </w:t>
      </w:r>
      <w:hyperlink r:id="rId21">
        <w:r>
          <w:rPr>
            <w:rStyle w:val="Hyperlink"/>
            <w:rFonts w:ascii="Times New Roman" w:hAnsi="Times New Roman" w:cs="Times New Roman"/>
            <w:sz w:val="24"/>
            <w:szCs w:val="24"/>
          </w:rPr>
          <w:t>https://doi.org/10.1186/1471-2393-10-75</w:t>
        </w:r>
      </w:hyperlink>
    </w:p>
    <w:p w14:paraId="54D1F893"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lastRenderedPageBreak/>
        <w:t xml:space="preserve">Jones, Cherie L., Jensen, Jakob D., Scherr, Courtney L., Brown, Nicole R., Christy, Katheryn, Weaver, Jane. (2022). The Health Belief Model as an explanatory framework in communication research. </w:t>
      </w:r>
      <w:r>
        <w:rPr>
          <w:rStyle w:val="Emphasis"/>
          <w:rFonts w:ascii="Times New Roman" w:hAnsi="Times New Roman" w:cs="Times New Roman"/>
          <w:sz w:val="24"/>
          <w:szCs w:val="24"/>
        </w:rPr>
        <w:t>Health Communication</w:t>
      </w:r>
      <w:r>
        <w:rPr>
          <w:rFonts w:ascii="Times New Roman" w:hAnsi="Times New Roman" w:cs="Times New Roman"/>
          <w:sz w:val="24"/>
          <w:szCs w:val="24"/>
        </w:rPr>
        <w:t>, 37(3), 345–356.</w:t>
      </w:r>
    </w:p>
    <w:p w14:paraId="1639F81F"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Kruk, M. E., Gage A.D, Arsenault C, Jordan K, Leslie H.H, Roder-Dewan S,Jamison D.T,Summers L.H, Alleyne G, Arrow K.J, S berkley (2022). Health system capacity and readiness for delivery of integrated primary healthcare services in low- and middle-income </w:t>
      </w:r>
    </w:p>
    <w:p w14:paraId="48F07323"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Lee, S., Kasibante, S., Eminai, A., Wani, S., Opii, D. J., Levine, L. D., &amp; Kanyike, A. M. (2025). Effectiveness of a community health worker-led education intervention on knowledge, attitude, and antenatal care attendance among pregnant women in Eastern Uganda. </w:t>
      </w:r>
      <w:r>
        <w:rPr>
          <w:rStyle w:val="Emphasis"/>
          <w:rFonts w:ascii="Times New Roman" w:hAnsi="Times New Roman" w:cs="Times New Roman"/>
          <w:sz w:val="24"/>
          <w:szCs w:val="24"/>
        </w:rPr>
        <w:t>Journal of Health, Population and Nutrition</w:t>
      </w:r>
      <w:r>
        <w:rPr>
          <w:rFonts w:ascii="Times New Roman" w:hAnsi="Times New Roman" w:cs="Times New Roman"/>
          <w:sz w:val="24"/>
          <w:szCs w:val="24"/>
        </w:rPr>
        <w:t>, 44(1), 232.</w:t>
      </w:r>
    </w:p>
    <w:p w14:paraId="4B7DD031"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McLeroy, Kenneth R., Bibeau, Daniel, Steckler, Allan, Glanz, Karen. (1988). An ecological perspective on health promotion programs. </w:t>
      </w:r>
      <w:r>
        <w:rPr>
          <w:rStyle w:val="Emphasis"/>
          <w:rFonts w:ascii="Times New Roman" w:hAnsi="Times New Roman" w:cs="Times New Roman"/>
          <w:sz w:val="24"/>
          <w:szCs w:val="24"/>
        </w:rPr>
        <w:t>Health Education Quarterly</w:t>
      </w:r>
      <w:r>
        <w:rPr>
          <w:rFonts w:ascii="Times New Roman" w:hAnsi="Times New Roman" w:cs="Times New Roman"/>
          <w:sz w:val="24"/>
          <w:szCs w:val="24"/>
        </w:rPr>
        <w:t>, 15(4), 351–377.</w:t>
      </w:r>
    </w:p>
    <w:p w14:paraId="34A8D6C5"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National Primary Health Care Development Agency (NPHCDA). (2023). </w:t>
      </w:r>
      <w:r>
        <w:rPr>
          <w:rStyle w:val="Emphasis"/>
          <w:rFonts w:ascii="Times New Roman" w:hAnsi="Times New Roman" w:cs="Times New Roman"/>
          <w:sz w:val="24"/>
          <w:szCs w:val="24"/>
        </w:rPr>
        <w:t>Nigeria Routine Immunization Coverage Report 2023.</w:t>
      </w:r>
      <w:r>
        <w:rPr>
          <w:rFonts w:ascii="Times New Roman" w:hAnsi="Times New Roman" w:cs="Times New Roman"/>
          <w:sz w:val="24"/>
          <w:szCs w:val="24"/>
        </w:rPr>
        <w:t xml:space="preserve"> Abuja: Federal Ministry of Health.</w:t>
      </w:r>
    </w:p>
    <w:p w14:paraId="4C441DC8"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Olapeju, B., Bride, M., Wamala, M., Atobrah, D., &amp; others. (2025). Antenatal care and breastfeeding practices in Sub-Saharan Africa: An analysis of demographic and health surveys. </w:t>
      </w:r>
      <w:r>
        <w:rPr>
          <w:rStyle w:val="Emphasis"/>
          <w:rFonts w:ascii="Times New Roman" w:hAnsi="Times New Roman" w:cs="Times New Roman"/>
          <w:sz w:val="24"/>
          <w:szCs w:val="24"/>
        </w:rPr>
        <w:t>BMC Pregnancy and Childbirth, 25</w:t>
      </w:r>
      <w:r>
        <w:rPr>
          <w:rFonts w:ascii="Times New Roman" w:hAnsi="Times New Roman" w:cs="Times New Roman"/>
          <w:sz w:val="24"/>
          <w:szCs w:val="24"/>
        </w:rPr>
        <w:t>, Article 112.</w:t>
      </w:r>
    </w:p>
    <w:p w14:paraId="6C374FCE"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Osungbade, K. O., &amp; Oginni, S. O. (2020). Content of antenatal care services in secondary health care facilities in Nigeria: Implication for quality of maternal health care. </w:t>
      </w:r>
      <w:r>
        <w:rPr>
          <w:rStyle w:val="Emphasis"/>
          <w:rFonts w:ascii="Times New Roman" w:hAnsi="Times New Roman" w:cs="Times New Roman"/>
          <w:sz w:val="24"/>
          <w:szCs w:val="24"/>
        </w:rPr>
        <w:t>International Journal for Quality in Health Care, 20</w:t>
      </w:r>
      <w:r>
        <w:rPr>
          <w:rFonts w:ascii="Times New Roman" w:hAnsi="Times New Roman" w:cs="Times New Roman"/>
          <w:sz w:val="24"/>
          <w:szCs w:val="24"/>
        </w:rPr>
        <w:t xml:space="preserve">(5), 346–351. </w:t>
      </w:r>
      <w:hyperlink r:id="rId22">
        <w:r>
          <w:rPr>
            <w:rStyle w:val="Hyperlink"/>
            <w:rFonts w:ascii="Times New Roman" w:hAnsi="Times New Roman" w:cs="Times New Roman"/>
            <w:sz w:val="24"/>
            <w:szCs w:val="24"/>
          </w:rPr>
          <w:t>https://doi.org/10.1093/intqhc/mzn025</w:t>
        </w:r>
      </w:hyperlink>
    </w:p>
    <w:p w14:paraId="20FD7CFC"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Rosenstock, Irwin M., Strecher, Victor J., Becker, Marshall H. (1988). Social learning theory and the Health Belief Model. </w:t>
      </w:r>
      <w:r>
        <w:rPr>
          <w:rStyle w:val="Emphasis"/>
          <w:rFonts w:ascii="Times New Roman" w:hAnsi="Times New Roman" w:cs="Times New Roman"/>
          <w:sz w:val="24"/>
          <w:szCs w:val="24"/>
        </w:rPr>
        <w:t>Health Education Quarterly</w:t>
      </w:r>
      <w:r>
        <w:rPr>
          <w:rFonts w:ascii="Times New Roman" w:hAnsi="Times New Roman" w:cs="Times New Roman"/>
          <w:sz w:val="24"/>
          <w:szCs w:val="24"/>
        </w:rPr>
        <w:t>, 15(2), 175–183.</w:t>
      </w:r>
    </w:p>
    <w:p w14:paraId="37B09FCC"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Sallis, James F., Owen, Neville, Fisher, Edwin B. (2022). Ecological models of health behavior. In Karen Glanz, Barbara K. Rimer, and Kasisomayajula Viswanath (Eds.), </w:t>
      </w:r>
      <w:r>
        <w:rPr>
          <w:rStyle w:val="Emphasis"/>
          <w:rFonts w:ascii="Times New Roman" w:hAnsi="Times New Roman" w:cs="Times New Roman"/>
          <w:sz w:val="24"/>
          <w:szCs w:val="24"/>
        </w:rPr>
        <w:t>Health behavior: Theory, research, and practice</w:t>
      </w:r>
      <w:r>
        <w:rPr>
          <w:rFonts w:ascii="Times New Roman" w:hAnsi="Times New Roman" w:cs="Times New Roman"/>
          <w:sz w:val="24"/>
          <w:szCs w:val="24"/>
        </w:rPr>
        <w:t xml:space="preserve"> (6th ed., pp. 43–64). Jossey-Bass.</w:t>
      </w:r>
    </w:p>
    <w:p w14:paraId="0DEF1D32"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Sari, E. N., Murti, B., &amp; Demartoto, A. (2025). Factors affecting job satisfaction and performance of health workers at community health centers. </w:t>
      </w:r>
      <w:r>
        <w:rPr>
          <w:rStyle w:val="Emphasis"/>
          <w:rFonts w:ascii="Times New Roman" w:hAnsi="Times New Roman" w:cs="Times New Roman"/>
          <w:sz w:val="24"/>
          <w:szCs w:val="24"/>
        </w:rPr>
        <w:t>Journal of Health Policy and Management</w:t>
      </w:r>
      <w:r>
        <w:rPr>
          <w:rFonts w:ascii="Times New Roman" w:hAnsi="Times New Roman" w:cs="Times New Roman"/>
          <w:sz w:val="24"/>
          <w:szCs w:val="24"/>
        </w:rPr>
        <w:t>, 10(1), 55–63.</w:t>
      </w:r>
    </w:p>
    <w:p w14:paraId="293FB09A"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Solanke, A. A., &amp; Apanisile, O. T. (2025). Effect of institutional quality on maternal and child health outcomes in Nigeria. </w:t>
      </w:r>
      <w:r>
        <w:rPr>
          <w:rStyle w:val="Emphasis"/>
          <w:rFonts w:ascii="Times New Roman" w:hAnsi="Times New Roman" w:cs="Times New Roman"/>
          <w:sz w:val="24"/>
          <w:szCs w:val="24"/>
        </w:rPr>
        <w:t>International Journal of Innovation and Economic Development</w:t>
      </w:r>
      <w:r>
        <w:rPr>
          <w:rFonts w:ascii="Times New Roman" w:hAnsi="Times New Roman" w:cs="Times New Roman"/>
          <w:sz w:val="24"/>
          <w:szCs w:val="24"/>
        </w:rPr>
        <w:t>, 11(1), 90–102.</w:t>
      </w:r>
    </w:p>
    <w:p w14:paraId="0B66C895" w14:textId="77777777" w:rsidR="00FC2F8E" w:rsidRDefault="00AE16DB">
      <w:pPr>
        <w:spacing w:before="100" w:beforeAutospacing="1" w:after="100" w:afterAutospacing="1"/>
        <w:ind w:left="810" w:hanging="810"/>
        <w:jc w:val="both"/>
      </w:pPr>
      <w:r>
        <w:rPr>
          <w:rFonts w:ascii="Times New Roman" w:hAnsi="Times New Roman" w:cs="Times New Roman"/>
          <w:sz w:val="24"/>
          <w:szCs w:val="24"/>
        </w:rPr>
        <w:t xml:space="preserve">Springer study on community health workers. (2023). The role of community health workers in primary healthcare in the United Kingdom: Negotiating the tensions between biomedical and community-based health promotion. </w:t>
      </w:r>
      <w:r>
        <w:rPr>
          <w:rStyle w:val="Emphasis"/>
          <w:rFonts w:ascii="Times New Roman" w:hAnsi="Times New Roman" w:cs="Times New Roman"/>
          <w:sz w:val="24"/>
          <w:szCs w:val="24"/>
        </w:rPr>
        <w:t>Journal of Public Health Policy</w:t>
      </w:r>
      <w:r>
        <w:rPr>
          <w:rFonts w:ascii="Times New Roman" w:hAnsi="Times New Roman" w:cs="Times New Roman"/>
          <w:sz w:val="24"/>
          <w:szCs w:val="24"/>
        </w:rPr>
        <w:t>.</w:t>
      </w:r>
      <w:hyperlink r:id="rId23">
        <w:r>
          <w:rPr>
            <w:rStyle w:val="Hyperlink"/>
            <w:rFonts w:ascii="Times New Roman" w:eastAsia="SimSun" w:hAnsi="Times New Roman" w:cs="Times New Roman"/>
            <w:sz w:val="24"/>
            <w:szCs w:val="24"/>
          </w:rPr>
          <w:t>https://link.springer.com</w:t>
        </w:r>
      </w:hyperlink>
    </w:p>
    <w:p w14:paraId="0129BE4B"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Tavakol, M., &amp; Dennick, R. (2020). Making sense of Cronbach’s alpha. </w:t>
      </w:r>
      <w:r>
        <w:rPr>
          <w:rStyle w:val="Emphasis"/>
          <w:rFonts w:ascii="Times New Roman" w:hAnsi="Times New Roman" w:cs="Times New Roman"/>
          <w:sz w:val="24"/>
          <w:szCs w:val="24"/>
        </w:rPr>
        <w:t>International Journal of Medical Education, 11</w:t>
      </w:r>
      <w:r>
        <w:rPr>
          <w:rFonts w:ascii="Times New Roman" w:hAnsi="Times New Roman" w:cs="Times New Roman"/>
          <w:sz w:val="24"/>
          <w:szCs w:val="24"/>
        </w:rPr>
        <w:t xml:space="preserve">, 53–55. </w:t>
      </w:r>
      <w:hyperlink r:id="rId24">
        <w:r>
          <w:rPr>
            <w:rStyle w:val="Hyperlink"/>
            <w:rFonts w:ascii="Times New Roman" w:hAnsi="Times New Roman" w:cs="Times New Roman"/>
            <w:sz w:val="24"/>
            <w:szCs w:val="24"/>
          </w:rPr>
          <w:t>https://doi.org/10.5116/ijme.5f73.3f31</w:t>
        </w:r>
      </w:hyperlink>
      <w:r>
        <w:rPr>
          <w:rFonts w:ascii="Times New Roman" w:hAnsi="Times New Roman" w:cs="Times New Roman"/>
          <w:sz w:val="24"/>
          <w:szCs w:val="24"/>
        </w:rPr>
        <w:t>.</w:t>
      </w:r>
    </w:p>
    <w:p w14:paraId="397605A2" w14:textId="77777777" w:rsidR="00FC2F8E" w:rsidRDefault="00AE16DB">
      <w:pPr>
        <w:spacing w:before="100" w:beforeAutospacing="1" w:after="100" w:afterAutospacing="1"/>
        <w:ind w:left="810" w:hanging="810"/>
        <w:jc w:val="both"/>
      </w:pPr>
      <w:r>
        <w:rPr>
          <w:rFonts w:ascii="Times New Roman" w:hAnsi="Times New Roman" w:cs="Times New Roman"/>
          <w:sz w:val="24"/>
          <w:szCs w:val="24"/>
        </w:rPr>
        <w:lastRenderedPageBreak/>
        <w:t xml:space="preserve">The Lancet. (2025). Health progress in a post-COVID-19 world. </w:t>
      </w:r>
      <w:r>
        <w:rPr>
          <w:rStyle w:val="Emphasis"/>
          <w:rFonts w:ascii="Times New Roman" w:hAnsi="Times New Roman" w:cs="Times New Roman"/>
          <w:sz w:val="24"/>
          <w:szCs w:val="24"/>
        </w:rPr>
        <w:t>The Lancet</w:t>
      </w:r>
      <w:r>
        <w:rPr>
          <w:rFonts w:ascii="Times New Roman" w:hAnsi="Times New Roman" w:cs="Times New Roman"/>
          <w:sz w:val="24"/>
          <w:szCs w:val="24"/>
        </w:rPr>
        <w:t xml:space="preserve">. </w:t>
      </w:r>
      <w:hyperlink r:id="rId25">
        <w:r>
          <w:rPr>
            <w:rStyle w:val="Hyperlink"/>
            <w:rFonts w:ascii="Times New Roman" w:hAnsi="Times New Roman" w:cs="Times New Roman"/>
            <w:sz w:val="24"/>
            <w:szCs w:val="24"/>
          </w:rPr>
          <w:t>https://www.thelancet.com</w:t>
        </w:r>
      </w:hyperlink>
    </w:p>
    <w:p w14:paraId="7FC2EF24"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United Nations Children’s Fund. (2023). </w:t>
      </w:r>
      <w:r>
        <w:rPr>
          <w:rStyle w:val="Emphasis"/>
          <w:rFonts w:ascii="Times New Roman" w:hAnsi="Times New Roman" w:cs="Times New Roman"/>
          <w:sz w:val="24"/>
          <w:szCs w:val="24"/>
        </w:rPr>
        <w:t>State of the world’s children 2023: For every child, vaccination</w:t>
      </w:r>
      <w:r>
        <w:rPr>
          <w:rFonts w:ascii="Times New Roman" w:hAnsi="Times New Roman" w:cs="Times New Roman"/>
          <w:sz w:val="24"/>
          <w:szCs w:val="24"/>
        </w:rPr>
        <w:t>. UNICEF.</w:t>
      </w:r>
    </w:p>
    <w:p w14:paraId="745D34D5"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United Nations. (2023). </w:t>
      </w:r>
      <w:r>
        <w:rPr>
          <w:rStyle w:val="Emphasis"/>
          <w:rFonts w:ascii="Times New Roman" w:hAnsi="Times New Roman" w:cs="Times New Roman"/>
          <w:sz w:val="24"/>
          <w:szCs w:val="24"/>
        </w:rPr>
        <w:t>Sustainable Development Goals Report 2023.</w:t>
      </w:r>
      <w:r>
        <w:rPr>
          <w:rFonts w:ascii="Times New Roman" w:hAnsi="Times New Roman" w:cs="Times New Roman"/>
          <w:sz w:val="24"/>
          <w:szCs w:val="24"/>
        </w:rPr>
        <w:t xml:space="preserve"> New York: United Nations.</w:t>
      </w:r>
    </w:p>
    <w:p w14:paraId="36C0B9DA" w14:textId="77777777" w:rsidR="00FC2F8E" w:rsidRDefault="00AE16DB">
      <w:pPr>
        <w:spacing w:before="100" w:beforeAutospacing="1" w:after="100" w:afterAutospacing="1"/>
        <w:ind w:left="810" w:hanging="810"/>
        <w:jc w:val="both"/>
      </w:pPr>
      <w:r>
        <w:rPr>
          <w:rFonts w:ascii="Times New Roman" w:hAnsi="Times New Roman" w:cs="Times New Roman"/>
          <w:sz w:val="24"/>
          <w:szCs w:val="24"/>
        </w:rPr>
        <w:t xml:space="preserve">Wahyuningsih, W. S., Rajagukguk, V. R., Laro, M.N. (2025). A scoping review of strategic approaches to enhance maternal health and antenatal care services in coastal areas. </w:t>
      </w:r>
      <w:r>
        <w:rPr>
          <w:rStyle w:val="Emphasis"/>
          <w:rFonts w:ascii="Times New Roman" w:hAnsi="Times New Roman" w:cs="Times New Roman"/>
          <w:sz w:val="24"/>
          <w:szCs w:val="24"/>
        </w:rPr>
        <w:t>Journal of Public Health for Tropical and Coastal Regions</w:t>
      </w:r>
      <w:r>
        <w:rPr>
          <w:rFonts w:ascii="Times New Roman" w:hAnsi="Times New Roman" w:cs="Times New Roman"/>
          <w:sz w:val="24"/>
          <w:szCs w:val="24"/>
        </w:rPr>
        <w:t xml:space="preserve">. </w:t>
      </w:r>
      <w:hyperlink r:id="rId26">
        <w:r>
          <w:rPr>
            <w:rStyle w:val="Hyperlink"/>
            <w:rFonts w:ascii="Times New Roman" w:hAnsi="Times New Roman" w:cs="Times New Roman"/>
            <w:sz w:val="24"/>
            <w:szCs w:val="24"/>
          </w:rPr>
          <w:t>https://ejournal2.undip.ac.id</w:t>
        </w:r>
      </w:hyperlink>
    </w:p>
    <w:p w14:paraId="1AA6BE62"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Wodajo, G. G., Berheto, T. M., Telila, H. K., Lemu , Y.Kl. (2025). Challenges and enablers in measles vaccination implementation in Ethiopia: Insights from a qualitative study. </w:t>
      </w:r>
      <w:r>
        <w:rPr>
          <w:rStyle w:val="Emphasis"/>
          <w:rFonts w:ascii="Times New Roman" w:hAnsi="Times New Roman" w:cs="Times New Roman"/>
          <w:sz w:val="24"/>
          <w:szCs w:val="24"/>
        </w:rPr>
        <w:t>PLOS Global Public Health</w:t>
      </w:r>
      <w:r>
        <w:rPr>
          <w:rFonts w:ascii="Times New Roman" w:hAnsi="Times New Roman" w:cs="Times New Roman"/>
          <w:sz w:val="24"/>
          <w:szCs w:val="24"/>
        </w:rPr>
        <w:t>, 5(2), e000134.</w:t>
      </w:r>
    </w:p>
    <w:p w14:paraId="09E27572"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World Health Organization (WHO). (2024). </w:t>
      </w:r>
      <w:r>
        <w:rPr>
          <w:rStyle w:val="Emphasis"/>
          <w:rFonts w:ascii="Times New Roman" w:hAnsi="Times New Roman" w:cs="Times New Roman"/>
          <w:sz w:val="24"/>
          <w:szCs w:val="24"/>
        </w:rPr>
        <w:t>Antenatal care for a positive pregnancy experience: Recommendations on maternal health promotion.</w:t>
      </w:r>
      <w:r>
        <w:rPr>
          <w:rFonts w:ascii="Times New Roman" w:hAnsi="Times New Roman" w:cs="Times New Roman"/>
          <w:sz w:val="24"/>
          <w:szCs w:val="24"/>
        </w:rPr>
        <w:t xml:space="preserve"> Geneva: WHO.</w:t>
      </w:r>
    </w:p>
    <w:p w14:paraId="4FC04099"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World Health Organization. (2020). </w:t>
      </w:r>
      <w:r>
        <w:rPr>
          <w:rStyle w:val="Emphasis"/>
          <w:rFonts w:ascii="Times New Roman" w:hAnsi="Times New Roman" w:cs="Times New Roman"/>
          <w:sz w:val="24"/>
          <w:szCs w:val="24"/>
        </w:rPr>
        <w:t>WHO recommendations on antenatal care for a positive pregnancy experience</w:t>
      </w:r>
      <w:r>
        <w:rPr>
          <w:rFonts w:ascii="Times New Roman" w:hAnsi="Times New Roman" w:cs="Times New Roman"/>
          <w:sz w:val="24"/>
          <w:szCs w:val="24"/>
        </w:rPr>
        <w:t>. WHO.</w:t>
      </w:r>
    </w:p>
    <w:p w14:paraId="1D7B118A"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World Health Organization. (2021). </w:t>
      </w:r>
      <w:r>
        <w:rPr>
          <w:rStyle w:val="Emphasis"/>
          <w:rFonts w:ascii="Times New Roman" w:hAnsi="Times New Roman" w:cs="Times New Roman"/>
          <w:sz w:val="24"/>
          <w:szCs w:val="24"/>
        </w:rPr>
        <w:t>Immunization agenda 2030: A global strategy to leave no one behind</w:t>
      </w:r>
      <w:r>
        <w:rPr>
          <w:rFonts w:ascii="Times New Roman" w:hAnsi="Times New Roman" w:cs="Times New Roman"/>
          <w:sz w:val="24"/>
          <w:szCs w:val="24"/>
        </w:rPr>
        <w:t>. WHO.</w:t>
      </w:r>
    </w:p>
    <w:p w14:paraId="155C9A73"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World Health Organization. (2021). </w:t>
      </w:r>
      <w:r>
        <w:rPr>
          <w:rStyle w:val="Emphasis"/>
          <w:rFonts w:ascii="Times New Roman" w:hAnsi="Times New Roman" w:cs="Times New Roman"/>
          <w:sz w:val="24"/>
          <w:szCs w:val="24"/>
        </w:rPr>
        <w:t>The state of the health workforce in the WHO African Region</w:t>
      </w:r>
      <w:r>
        <w:rPr>
          <w:rFonts w:ascii="Times New Roman" w:hAnsi="Times New Roman" w:cs="Times New Roman"/>
          <w:sz w:val="24"/>
          <w:szCs w:val="24"/>
        </w:rPr>
        <w:t>. WHO.</w:t>
      </w:r>
    </w:p>
    <w:p w14:paraId="1C9DF3EA"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World Health Organization. (2022). </w:t>
      </w:r>
      <w:r>
        <w:rPr>
          <w:rStyle w:val="Emphasis"/>
          <w:rFonts w:ascii="Times New Roman" w:hAnsi="Times New Roman" w:cs="Times New Roman"/>
          <w:sz w:val="24"/>
          <w:szCs w:val="24"/>
        </w:rPr>
        <w:t>Global health workforce statistics 2022</w:t>
      </w:r>
      <w:r>
        <w:rPr>
          <w:rFonts w:ascii="Times New Roman" w:hAnsi="Times New Roman" w:cs="Times New Roman"/>
          <w:sz w:val="24"/>
          <w:szCs w:val="24"/>
        </w:rPr>
        <w:t>. WHO.</w:t>
      </w:r>
    </w:p>
    <w:p w14:paraId="72A30C15"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World Health Organization. (2023). </w:t>
      </w:r>
      <w:r>
        <w:rPr>
          <w:rStyle w:val="Emphasis"/>
          <w:rFonts w:ascii="Times New Roman" w:hAnsi="Times New Roman" w:cs="Times New Roman"/>
          <w:sz w:val="24"/>
          <w:szCs w:val="24"/>
        </w:rPr>
        <w:t>Improving maternal and newborn health through antenatal and postnatal care.</w:t>
      </w:r>
      <w:r>
        <w:rPr>
          <w:rFonts w:ascii="Times New Roman" w:hAnsi="Times New Roman" w:cs="Times New Roman"/>
          <w:sz w:val="24"/>
          <w:szCs w:val="24"/>
        </w:rPr>
        <w:t xml:space="preserve"> Geneva: WHO Press.</w:t>
      </w:r>
    </w:p>
    <w:p w14:paraId="741364AE" w14:textId="77777777" w:rsidR="00FC2F8E" w:rsidRDefault="00AE16DB">
      <w:pPr>
        <w:spacing w:before="100" w:beforeAutospacing="1" w:after="100" w:afterAutospacing="1"/>
        <w:ind w:left="810" w:hanging="810"/>
        <w:jc w:val="both"/>
        <w:rPr>
          <w:rFonts w:ascii="Times New Roman" w:hAnsi="Times New Roman" w:cs="Times New Roman"/>
          <w:sz w:val="24"/>
          <w:szCs w:val="24"/>
        </w:rPr>
      </w:pPr>
      <w:r>
        <w:rPr>
          <w:rFonts w:ascii="Times New Roman" w:hAnsi="Times New Roman" w:cs="Times New Roman"/>
          <w:sz w:val="24"/>
          <w:szCs w:val="24"/>
        </w:rPr>
        <w:t xml:space="preserve">World Health Organization. (2023). </w:t>
      </w:r>
      <w:r>
        <w:rPr>
          <w:rStyle w:val="Emphasis"/>
          <w:rFonts w:ascii="Times New Roman" w:hAnsi="Times New Roman" w:cs="Times New Roman"/>
          <w:sz w:val="24"/>
          <w:szCs w:val="24"/>
        </w:rPr>
        <w:t>Strengthening the health workforce for maternal and child health</w:t>
      </w:r>
      <w:r>
        <w:rPr>
          <w:rFonts w:ascii="Times New Roman" w:hAnsi="Times New Roman" w:cs="Times New Roman"/>
          <w:sz w:val="24"/>
          <w:szCs w:val="24"/>
        </w:rPr>
        <w:t>. World Health Organization</w:t>
      </w:r>
    </w:p>
    <w:p w14:paraId="270A6C83" w14:textId="77777777" w:rsidR="00FC2F8E" w:rsidRDefault="00AE16DB">
      <w:pPr>
        <w:spacing w:before="100" w:beforeAutospacing="1" w:after="100" w:afterAutospacing="1"/>
        <w:ind w:left="810" w:hanging="810"/>
        <w:jc w:val="both"/>
      </w:pPr>
      <w:r>
        <w:rPr>
          <w:rFonts w:ascii="Times New Roman" w:hAnsi="Times New Roman" w:cs="Times New Roman"/>
          <w:sz w:val="24"/>
          <w:szCs w:val="24"/>
        </w:rPr>
        <w:t xml:space="preserve">World Health Organization. (2023). </w:t>
      </w:r>
      <w:r>
        <w:rPr>
          <w:rStyle w:val="Emphasis"/>
          <w:rFonts w:ascii="Times New Roman" w:hAnsi="Times New Roman" w:cs="Times New Roman"/>
          <w:sz w:val="24"/>
          <w:szCs w:val="24"/>
        </w:rPr>
        <w:t>World health statistics 2023: Monitoring health for the SDGs</w:t>
      </w:r>
      <w:r>
        <w:rPr>
          <w:rFonts w:ascii="Times New Roman" w:hAnsi="Times New Roman" w:cs="Times New Roman"/>
          <w:sz w:val="24"/>
          <w:szCs w:val="24"/>
        </w:rPr>
        <w:t xml:space="preserve">. WHO. </w:t>
      </w:r>
      <w:hyperlink r:id="rId27">
        <w:r>
          <w:rPr>
            <w:rStyle w:val="Hyperlink"/>
            <w:rFonts w:ascii="Times New Roman" w:hAnsi="Times New Roman" w:cs="Times New Roman"/>
            <w:sz w:val="24"/>
            <w:szCs w:val="24"/>
          </w:rPr>
          <w:t>https://www.who.int/data/gho/publications/world-health-statistics</w:t>
        </w:r>
      </w:hyperlink>
    </w:p>
    <w:p w14:paraId="55F19676" w14:textId="77777777" w:rsidR="00FC2F8E" w:rsidRDefault="00AE16DB">
      <w:pPr>
        <w:spacing w:before="100" w:beforeAutospacing="1" w:after="100" w:afterAutospacing="1"/>
        <w:ind w:left="810" w:hanging="810"/>
        <w:jc w:val="both"/>
      </w:pPr>
      <w:r>
        <w:rPr>
          <w:rFonts w:ascii="Times New Roman" w:hAnsi="Times New Roman" w:cs="Times New Roman"/>
          <w:sz w:val="24"/>
          <w:szCs w:val="24"/>
        </w:rPr>
        <w:t xml:space="preserve">World Health Organization. (2024). </w:t>
      </w:r>
      <w:r>
        <w:rPr>
          <w:rStyle w:val="Emphasis"/>
          <w:rFonts w:ascii="Times New Roman" w:hAnsi="Times New Roman" w:cs="Times New Roman"/>
          <w:sz w:val="24"/>
          <w:szCs w:val="24"/>
        </w:rPr>
        <w:t>Maternal health</w:t>
      </w:r>
      <w:r>
        <w:rPr>
          <w:rFonts w:ascii="Times New Roman" w:hAnsi="Times New Roman" w:cs="Times New Roman"/>
          <w:sz w:val="24"/>
          <w:szCs w:val="24"/>
        </w:rPr>
        <w:t xml:space="preserve">. </w:t>
      </w:r>
      <w:hyperlink r:id="rId28">
        <w:r>
          <w:rPr>
            <w:rStyle w:val="Hyperlink"/>
            <w:rFonts w:ascii="Times New Roman" w:hAnsi="Times New Roman" w:cs="Times New Roman"/>
            <w:color w:val="auto"/>
            <w:sz w:val="24"/>
            <w:szCs w:val="24"/>
          </w:rPr>
          <w:t>https://www.who.int</w:t>
        </w:r>
      </w:hyperlink>
    </w:p>
    <w:p w14:paraId="3026018A" w14:textId="77777777" w:rsidR="00FC2F8E" w:rsidRDefault="00AE16DB">
      <w:pPr>
        <w:spacing w:before="100" w:beforeAutospacing="1" w:after="100" w:afterAutospacing="1"/>
        <w:ind w:left="810" w:hanging="810"/>
        <w:jc w:val="both"/>
      </w:pPr>
      <w:r>
        <w:rPr>
          <w:rFonts w:ascii="Times New Roman" w:hAnsi="Times New Roman" w:cs="Times New Roman"/>
          <w:sz w:val="24"/>
          <w:szCs w:val="24"/>
        </w:rPr>
        <w:t xml:space="preserve">Zanetti, M., Sosa, C. G., Foster, T., &amp; Díaz-Rossello, J. L. (2024). What are the benefits of antenatal education as a maternal health promotion tool? A systematic review with meta-analysis. </w:t>
      </w:r>
      <w:r>
        <w:rPr>
          <w:rStyle w:val="Emphasis"/>
          <w:rFonts w:ascii="Times New Roman" w:hAnsi="Times New Roman" w:cs="Times New Roman"/>
          <w:sz w:val="24"/>
          <w:szCs w:val="24"/>
        </w:rPr>
        <w:t>ABCS Health Sciences, 49</w:t>
      </w:r>
      <w:r>
        <w:rPr>
          <w:rFonts w:ascii="Times New Roman" w:hAnsi="Times New Roman" w:cs="Times New Roman"/>
          <w:sz w:val="24"/>
          <w:szCs w:val="24"/>
        </w:rPr>
        <w:t xml:space="preserve">, e024305. </w:t>
      </w:r>
      <w:hyperlink r:id="rId29">
        <w:r>
          <w:rPr>
            <w:rStyle w:val="Hyperlink"/>
            <w:rFonts w:ascii="Times New Roman" w:hAnsi="Times New Roman" w:cs="Times New Roman"/>
            <w:color w:val="auto"/>
            <w:sz w:val="24"/>
            <w:szCs w:val="24"/>
          </w:rPr>
          <w:t>https://doi.org/10.7322/abcshs.2022150.2213</w:t>
        </w:r>
      </w:hyperlink>
    </w:p>
    <w:sectPr w:rsidR="00FC2F8E">
      <w:headerReference w:type="even" r:id="rId30"/>
      <w:headerReference w:type="default" r:id="rId31"/>
      <w:footerReference w:type="even" r:id="rId32"/>
      <w:footerReference w:type="default" r:id="rId33"/>
      <w:headerReference w:type="first" r:id="rId34"/>
      <w:footerReference w:type="first" r:id="rId35"/>
      <w:pgSz w:w="11909" w:h="16834"/>
      <w:pgMar w:top="1008" w:right="864" w:bottom="864" w:left="1008" w:header="576" w:footer="15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45482" w14:textId="77777777" w:rsidR="006327B9" w:rsidRDefault="006327B9">
      <w:r>
        <w:rPr>
          <w:rFonts w:ascii="Calibri"/>
        </w:rPr>
        <w:separator/>
      </w:r>
    </w:p>
  </w:endnote>
  <w:endnote w:type="continuationSeparator" w:id="0">
    <w:p w14:paraId="4DDEC20E" w14:textId="77777777" w:rsidR="006327B9" w:rsidRDefault="006327B9">
      <w:r>
        <w:rPr>
          <w:rFonts w:ascii="Calibr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heSans B4 SemiLight">
    <w:altName w:val="Arial"/>
    <w:charset w:val="00"/>
    <w:family w:val="auto"/>
    <w:pitch w:val="default"/>
    <w:sig w:usb0="00000000"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B1C7C" w14:textId="77777777" w:rsidR="0007614C" w:rsidRDefault="0007614C">
    <w:pPr>
      <w:pStyle w:val="Foote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343231"/>
    </w:sdtPr>
    <w:sdtContent>
      <w:p w14:paraId="0C0BBBEE" w14:textId="77777777" w:rsidR="00FC2F8E" w:rsidRDefault="00AE16DB">
        <w:pPr>
          <w:pStyle w:val="Footer"/>
          <w:jc w:val="center"/>
          <w:rPr>
            <w:rFonts w:hint="default"/>
          </w:rPr>
        </w:pPr>
        <w:r>
          <w:fldChar w:fldCharType="begin"/>
        </w:r>
        <w:r>
          <w:instrText xml:space="preserve"> PAGE   \* MERGEFORMAT </w:instrText>
        </w:r>
        <w:r>
          <w:fldChar w:fldCharType="separate"/>
        </w:r>
        <w:r>
          <w:rPr>
            <w:rFonts w:hint="default"/>
          </w:rPr>
          <w:t>14</w:t>
        </w:r>
        <w:r>
          <w:fldChar w:fldCharType="end"/>
        </w:r>
      </w:p>
    </w:sdtContent>
  </w:sdt>
  <w:p w14:paraId="39355986" w14:textId="77777777" w:rsidR="00FC2F8E" w:rsidRDefault="00FC2F8E">
    <w:pPr>
      <w:pStyle w:val="Footer"/>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B8D1" w14:textId="77777777" w:rsidR="0007614C" w:rsidRDefault="0007614C">
    <w:pPr>
      <w:pStyle w:val="Foo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865F7" w14:textId="77777777" w:rsidR="006327B9" w:rsidRDefault="006327B9">
      <w:r>
        <w:rPr>
          <w:rFonts w:ascii="Calibri"/>
        </w:rPr>
        <w:separator/>
      </w:r>
    </w:p>
  </w:footnote>
  <w:footnote w:type="continuationSeparator" w:id="0">
    <w:p w14:paraId="7D86DBCB" w14:textId="77777777" w:rsidR="006327B9" w:rsidRDefault="006327B9">
      <w:r>
        <w:rPr>
          <w:rFonts w:ascii="Calibri"/>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7068D" w14:textId="40CE2AE5" w:rsidR="0007614C" w:rsidRDefault="0007614C">
    <w:pPr>
      <w:pStyle w:val="Header"/>
    </w:pPr>
    <w:r>
      <w:rPr>
        <w:noProof/>
      </w:rPr>
      <w:pict w14:anchorId="5FE720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908391" o:spid="_x0000_s1026" type="#_x0000_t136" style="position:absolute;margin-left:0;margin-top:0;width:595.3pt;height:112.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36ED" w14:textId="5321C35E" w:rsidR="00FC2F8E" w:rsidRDefault="0007614C">
    <w:pPr>
      <w:pStyle w:val="Header"/>
    </w:pPr>
    <w:r>
      <w:rPr>
        <w:noProof/>
      </w:rPr>
      <w:pict w14:anchorId="3F9F08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908392" o:spid="_x0000_s1027" type="#_x0000_t136" style="position:absolute;margin-left:0;margin-top:0;width:595.3pt;height:112.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88E9" w14:textId="513916F3" w:rsidR="0007614C" w:rsidRDefault="0007614C">
    <w:pPr>
      <w:pStyle w:val="Header"/>
    </w:pPr>
    <w:r>
      <w:rPr>
        <w:noProof/>
      </w:rPr>
      <w:pict w14:anchorId="30874A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908390" o:spid="_x0000_s1025" type="#_x0000_t136" style="position:absolute;margin-left:0;margin-top:0;width:595.3pt;height:112.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256"/>
    <w:multiLevelType w:val="multilevel"/>
    <w:tmpl w:val="0194425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B362DD"/>
    <w:multiLevelType w:val="multilevel"/>
    <w:tmpl w:val="05B362D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FF1E59"/>
    <w:multiLevelType w:val="multilevel"/>
    <w:tmpl w:val="09FF1E5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FA70D78"/>
    <w:multiLevelType w:val="multilevel"/>
    <w:tmpl w:val="1FA70D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ABF2D06"/>
    <w:multiLevelType w:val="multilevel"/>
    <w:tmpl w:val="2ABF2D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D3A40FF"/>
    <w:multiLevelType w:val="multilevel"/>
    <w:tmpl w:val="2D3A40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D9310A3"/>
    <w:multiLevelType w:val="multilevel"/>
    <w:tmpl w:val="2D9310A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B21425"/>
    <w:multiLevelType w:val="multilevel"/>
    <w:tmpl w:val="2EB2142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24128E2"/>
    <w:multiLevelType w:val="multilevel"/>
    <w:tmpl w:val="324128E2"/>
    <w:lvl w:ilvl="0">
      <w:start w:val="1"/>
      <w:numFmt w:val="lowerLetter"/>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9" w15:restartNumberingAfterBreak="0">
    <w:nsid w:val="363D0D69"/>
    <w:multiLevelType w:val="multilevel"/>
    <w:tmpl w:val="363D0D6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C397549"/>
    <w:multiLevelType w:val="multilevel"/>
    <w:tmpl w:val="4C39754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08C2AC3"/>
    <w:multiLevelType w:val="multilevel"/>
    <w:tmpl w:val="608C2AC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16401BC"/>
    <w:multiLevelType w:val="multilevel"/>
    <w:tmpl w:val="616401B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7B7149B"/>
    <w:multiLevelType w:val="multilevel"/>
    <w:tmpl w:val="67B7149B"/>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2C71349"/>
    <w:multiLevelType w:val="hybridMultilevel"/>
    <w:tmpl w:val="3D208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C107E1"/>
    <w:multiLevelType w:val="multilevel"/>
    <w:tmpl w:val="73C107E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72E69A8"/>
    <w:multiLevelType w:val="multilevel"/>
    <w:tmpl w:val="772E69A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A38775B"/>
    <w:multiLevelType w:val="multilevel"/>
    <w:tmpl w:val="7A38775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88509837">
    <w:abstractNumId w:val="13"/>
  </w:num>
  <w:num w:numId="2" w16cid:durableId="1345010101">
    <w:abstractNumId w:val="15"/>
  </w:num>
  <w:num w:numId="3" w16cid:durableId="1959752588">
    <w:abstractNumId w:val="2"/>
  </w:num>
  <w:num w:numId="4" w16cid:durableId="364065056">
    <w:abstractNumId w:val="12"/>
  </w:num>
  <w:num w:numId="5" w16cid:durableId="125855585">
    <w:abstractNumId w:val="1"/>
  </w:num>
  <w:num w:numId="6" w16cid:durableId="1723482154">
    <w:abstractNumId w:val="3"/>
  </w:num>
  <w:num w:numId="7" w16cid:durableId="1929385087">
    <w:abstractNumId w:val="7"/>
  </w:num>
  <w:num w:numId="8" w16cid:durableId="237205740">
    <w:abstractNumId w:val="5"/>
  </w:num>
  <w:num w:numId="9" w16cid:durableId="66804836">
    <w:abstractNumId w:val="16"/>
  </w:num>
  <w:num w:numId="10" w16cid:durableId="1686638753">
    <w:abstractNumId w:val="10"/>
  </w:num>
  <w:num w:numId="11" w16cid:durableId="1649094494">
    <w:abstractNumId w:val="0"/>
  </w:num>
  <w:num w:numId="12" w16cid:durableId="368603379">
    <w:abstractNumId w:val="9"/>
  </w:num>
  <w:num w:numId="13" w16cid:durableId="1395395224">
    <w:abstractNumId w:val="11"/>
  </w:num>
  <w:num w:numId="14" w16cid:durableId="105662492">
    <w:abstractNumId w:val="17"/>
  </w:num>
  <w:num w:numId="15" w16cid:durableId="1662587075">
    <w:abstractNumId w:val="6"/>
  </w:num>
  <w:num w:numId="16" w16cid:durableId="1339887119">
    <w:abstractNumId w:val="4"/>
  </w:num>
  <w:num w:numId="17" w16cid:durableId="896085578">
    <w:abstractNumId w:val="8"/>
  </w:num>
  <w:num w:numId="18" w16cid:durableId="16759591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drawingGridVerticalSpacing w:val="156"/>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E20CA"/>
    <w:rsid w:val="00074479"/>
    <w:rsid w:val="0007614C"/>
    <w:rsid w:val="000B3968"/>
    <w:rsid w:val="000E1A33"/>
    <w:rsid w:val="00106A6E"/>
    <w:rsid w:val="00127F8F"/>
    <w:rsid w:val="001430DE"/>
    <w:rsid w:val="0015600D"/>
    <w:rsid w:val="0018113C"/>
    <w:rsid w:val="00193310"/>
    <w:rsid w:val="001D51C7"/>
    <w:rsid w:val="00235C7F"/>
    <w:rsid w:val="00246E0B"/>
    <w:rsid w:val="00292A88"/>
    <w:rsid w:val="002B6EBB"/>
    <w:rsid w:val="002E406E"/>
    <w:rsid w:val="002E42FE"/>
    <w:rsid w:val="002E4E20"/>
    <w:rsid w:val="00333BEA"/>
    <w:rsid w:val="00336FE3"/>
    <w:rsid w:val="00350EB3"/>
    <w:rsid w:val="00374315"/>
    <w:rsid w:val="00396B4F"/>
    <w:rsid w:val="003A17A9"/>
    <w:rsid w:val="003F2B2E"/>
    <w:rsid w:val="003F6B87"/>
    <w:rsid w:val="0041630E"/>
    <w:rsid w:val="004461F3"/>
    <w:rsid w:val="004547D6"/>
    <w:rsid w:val="004767E9"/>
    <w:rsid w:val="00527A59"/>
    <w:rsid w:val="00551665"/>
    <w:rsid w:val="005B2D3A"/>
    <w:rsid w:val="005D3215"/>
    <w:rsid w:val="005F181E"/>
    <w:rsid w:val="00606FE4"/>
    <w:rsid w:val="006115FF"/>
    <w:rsid w:val="00620565"/>
    <w:rsid w:val="00625BDA"/>
    <w:rsid w:val="006327B9"/>
    <w:rsid w:val="0063304F"/>
    <w:rsid w:val="006714AF"/>
    <w:rsid w:val="0068109A"/>
    <w:rsid w:val="0069544E"/>
    <w:rsid w:val="006D3C7F"/>
    <w:rsid w:val="006F4D64"/>
    <w:rsid w:val="007738B8"/>
    <w:rsid w:val="007A224A"/>
    <w:rsid w:val="007C4E0E"/>
    <w:rsid w:val="008047C0"/>
    <w:rsid w:val="00850389"/>
    <w:rsid w:val="00850E21"/>
    <w:rsid w:val="00872637"/>
    <w:rsid w:val="00884B4D"/>
    <w:rsid w:val="00887DDF"/>
    <w:rsid w:val="008B05D0"/>
    <w:rsid w:val="008B3E1A"/>
    <w:rsid w:val="008B743C"/>
    <w:rsid w:val="008B76F9"/>
    <w:rsid w:val="00917A00"/>
    <w:rsid w:val="00932A65"/>
    <w:rsid w:val="00964562"/>
    <w:rsid w:val="00A056F7"/>
    <w:rsid w:val="00A13A86"/>
    <w:rsid w:val="00A26AC3"/>
    <w:rsid w:val="00A32AF3"/>
    <w:rsid w:val="00A558AC"/>
    <w:rsid w:val="00A9060B"/>
    <w:rsid w:val="00AB6E74"/>
    <w:rsid w:val="00AE16DB"/>
    <w:rsid w:val="00B24EAD"/>
    <w:rsid w:val="00B62906"/>
    <w:rsid w:val="00B642C7"/>
    <w:rsid w:val="00B77B9A"/>
    <w:rsid w:val="00BA041E"/>
    <w:rsid w:val="00BB2500"/>
    <w:rsid w:val="00C27826"/>
    <w:rsid w:val="00C36B38"/>
    <w:rsid w:val="00C422B3"/>
    <w:rsid w:val="00C56CF6"/>
    <w:rsid w:val="00C73A66"/>
    <w:rsid w:val="00CB63D9"/>
    <w:rsid w:val="00CC169C"/>
    <w:rsid w:val="00D035CB"/>
    <w:rsid w:val="00D53ABA"/>
    <w:rsid w:val="00D616D2"/>
    <w:rsid w:val="00D676FF"/>
    <w:rsid w:val="00D8260C"/>
    <w:rsid w:val="00DA4E53"/>
    <w:rsid w:val="00DF130A"/>
    <w:rsid w:val="00E26EC7"/>
    <w:rsid w:val="00E36B47"/>
    <w:rsid w:val="00E61D98"/>
    <w:rsid w:val="00E75BB3"/>
    <w:rsid w:val="00E82332"/>
    <w:rsid w:val="00EA54F8"/>
    <w:rsid w:val="00EE79E5"/>
    <w:rsid w:val="00EF455C"/>
    <w:rsid w:val="00F00246"/>
    <w:rsid w:val="00F35054"/>
    <w:rsid w:val="00F52902"/>
    <w:rsid w:val="00F96FF1"/>
    <w:rsid w:val="00FC2F8E"/>
    <w:rsid w:val="00FD4956"/>
    <w:rsid w:val="02944E5B"/>
    <w:rsid w:val="036735C6"/>
    <w:rsid w:val="0A1D68AC"/>
    <w:rsid w:val="0B553FE2"/>
    <w:rsid w:val="130E20CA"/>
    <w:rsid w:val="1BC767FE"/>
    <w:rsid w:val="21BC76E5"/>
    <w:rsid w:val="23683F64"/>
    <w:rsid w:val="24FC4D41"/>
    <w:rsid w:val="25123DE1"/>
    <w:rsid w:val="2A5D4B5C"/>
    <w:rsid w:val="2B4D5018"/>
    <w:rsid w:val="2EBE2D45"/>
    <w:rsid w:val="2FE21398"/>
    <w:rsid w:val="363E0309"/>
    <w:rsid w:val="383D2534"/>
    <w:rsid w:val="39F01D9F"/>
    <w:rsid w:val="3A25235E"/>
    <w:rsid w:val="3D040CB5"/>
    <w:rsid w:val="3EA85341"/>
    <w:rsid w:val="454710BA"/>
    <w:rsid w:val="47861A1A"/>
    <w:rsid w:val="47CE672A"/>
    <w:rsid w:val="50346F21"/>
    <w:rsid w:val="565D343D"/>
    <w:rsid w:val="593F0F77"/>
    <w:rsid w:val="5F403799"/>
    <w:rsid w:val="624F23FA"/>
    <w:rsid w:val="717410B3"/>
    <w:rsid w:val="71B455DF"/>
    <w:rsid w:val="7DF93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E97CDAB"/>
  <w15:docId w15:val="{C479EA65-B34A-4532-88D6-644E61B8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header" w:qFormat="1"/>
    <w:lsdException w:name="footer" w:uiPriority="99" w:qFormat="1"/>
    <w:lsdException w:name="caption" w:unhideWhenUsed="1" w:qFormat="1"/>
    <w:lsdException w:name="table of figures" w:uiPriority="99"/>
    <w:lsdException w:name="annotation reference" w:qFormat="1"/>
    <w:lsdException w:name="Title" w:qFormat="1"/>
    <w:lsdException w:name="Default Paragraph Font" w:semiHidden="1" w:uiPriority="1" w:unhideWhenUsed="1"/>
    <w:lsdException w:name="Subtitle" w:qFormat="1"/>
    <w:lsdException w:name="Hyperlink" w:uiPriority="99" w:qFormat="1"/>
    <w:lsdException w:name="Followed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link w:val="Heading1Char"/>
    <w:qFormat/>
    <w:pPr>
      <w:spacing w:after="160" w:line="480" w:lineRule="auto"/>
      <w:jc w:val="center"/>
      <w:outlineLvl w:val="0"/>
    </w:pPr>
    <w:rPr>
      <w:rFonts w:eastAsia="Calibri"/>
      <w:b/>
      <w:bCs/>
      <w:kern w:val="2"/>
      <w:sz w:val="24"/>
      <w:szCs w:val="22"/>
      <w:lang w:eastAsia="zh-CN"/>
    </w:rPr>
  </w:style>
  <w:style w:type="paragraph" w:styleId="Heading2">
    <w:name w:val="heading 2"/>
    <w:next w:val="Normal"/>
    <w:link w:val="Heading2Char"/>
    <w:unhideWhenUsed/>
    <w:qFormat/>
    <w:pPr>
      <w:spacing w:after="160" w:line="256" w:lineRule="auto"/>
      <w:outlineLvl w:val="1"/>
    </w:pPr>
    <w:rPr>
      <w:rFonts w:eastAsia="Calibri"/>
      <w:b/>
      <w:bCs/>
      <w:kern w:val="2"/>
      <w:sz w:val="24"/>
      <w:szCs w:val="24"/>
      <w:lang w:eastAsia="zh-CN"/>
    </w:rPr>
  </w:style>
  <w:style w:type="paragraph" w:styleId="Heading3">
    <w:name w:val="heading 3"/>
    <w:basedOn w:val="Heading2"/>
    <w:next w:val="Normal"/>
    <w:link w:val="Heading3Char"/>
    <w:unhideWhenUsed/>
    <w:qFormat/>
    <w:pPr>
      <w:outlineLvl w:val="2"/>
    </w:pPr>
  </w:style>
  <w:style w:type="paragraph" w:styleId="Heading4">
    <w:name w:val="heading 4"/>
    <w:next w:val="Normal"/>
    <w:link w:val="Heading4Char"/>
    <w:semiHidden/>
    <w:unhideWhenUsed/>
    <w:qFormat/>
    <w:pPr>
      <w:keepNext/>
      <w:keepLines/>
      <w:spacing w:before="80" w:after="40" w:line="256" w:lineRule="auto"/>
      <w:outlineLvl w:val="3"/>
    </w:pPr>
    <w:rPr>
      <w:rFonts w:ascii="Calibri" w:eastAsia="Times New Roman" w:hAnsi="Calibri" w:hint="eastAsia"/>
      <w:i/>
      <w:iCs/>
      <w:color w:val="2F5496"/>
      <w:kern w:val="2"/>
      <w:sz w:val="24"/>
      <w:szCs w:val="22"/>
      <w:lang w:eastAsia="zh-CN"/>
    </w:rPr>
  </w:style>
  <w:style w:type="paragraph" w:styleId="Heading5">
    <w:name w:val="heading 5"/>
    <w:basedOn w:val="Normal"/>
    <w:next w:val="Normal"/>
    <w:link w:val="Heading5Char"/>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link w:val="Heading6Char"/>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link w:val="Heading7Char"/>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link w:val="Heading8Char"/>
    <w:semiHidden/>
    <w:unhideWhenUsed/>
    <w:qFormat/>
    <w:pPr>
      <w:keepNext/>
      <w:keepLines/>
      <w:spacing w:before="240" w:after="64" w:line="320" w:lineRule="auto"/>
      <w:outlineLvl w:val="7"/>
    </w:pPr>
    <w:rPr>
      <w:sz w:val="24"/>
      <w:szCs w:val="24"/>
    </w:rPr>
  </w:style>
  <w:style w:type="paragraph" w:styleId="Heading9">
    <w:name w:val="heading 9"/>
    <w:basedOn w:val="Normal"/>
    <w:next w:val="Normal"/>
    <w:link w:val="Heading9Char"/>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pPr>
      <w:spacing w:after="200"/>
    </w:pPr>
    <w:rPr>
      <w:i/>
      <w:iCs/>
      <w:color w:val="44546A" w:themeColor="text2"/>
      <w:sz w:val="18"/>
      <w:szCs w:val="18"/>
    </w:rPr>
  </w:style>
  <w:style w:type="character" w:styleId="CommentReference">
    <w:name w:val="annotation reference"/>
    <w:qFormat/>
    <w:rPr>
      <w:sz w:val="16"/>
      <w:szCs w:val="16"/>
    </w:rPr>
  </w:style>
  <w:style w:type="character" w:styleId="Emphasis">
    <w:name w:val="Emphasis"/>
    <w:basedOn w:val="DefaultParagraphFont"/>
    <w:qFormat/>
    <w:rPr>
      <w:i/>
      <w:iCs/>
    </w:rPr>
  </w:style>
  <w:style w:type="character" w:styleId="FollowedHyperlink">
    <w:name w:val="FollowedHyperlink"/>
    <w:qFormat/>
    <w:rPr>
      <w:color w:val="954F72"/>
      <w:u w:val="single"/>
    </w:rPr>
  </w:style>
  <w:style w:type="paragraph" w:styleId="Footer">
    <w:name w:val="footer"/>
    <w:link w:val="FooterChar"/>
    <w:uiPriority w:val="99"/>
    <w:qFormat/>
    <w:pPr>
      <w:tabs>
        <w:tab w:val="center" w:pos="4320"/>
        <w:tab w:val="right" w:pos="8640"/>
      </w:tabs>
    </w:pPr>
    <w:rPr>
      <w:rFonts w:ascii="Calibri" w:eastAsia="Times New Roman" w:hAnsi="Calibri" w:hint="eastAsia"/>
      <w:lang w:eastAsia="zh-CN"/>
    </w:rPr>
  </w:style>
  <w:style w:type="paragraph" w:styleId="Header">
    <w:name w:val="header"/>
    <w:basedOn w:val="Normal"/>
    <w:link w:val="HeaderChar"/>
    <w:qFormat/>
    <w:pPr>
      <w:tabs>
        <w:tab w:val="center" w:pos="4680"/>
        <w:tab w:val="right" w:pos="9360"/>
      </w:tabs>
    </w:pPr>
  </w:style>
  <w:style w:type="character" w:styleId="Hyperlink">
    <w:name w:val="Hyperlink"/>
    <w:uiPriority w:val="99"/>
    <w:qFormat/>
    <w:rPr>
      <w:color w:val="0000FF"/>
      <w:u w:val="single"/>
    </w:rPr>
  </w:style>
  <w:style w:type="paragraph" w:styleId="NormalWeb">
    <w:name w:val="Normal (Web)"/>
    <w:uiPriority w:val="99"/>
    <w:qFormat/>
    <w:pPr>
      <w:spacing w:beforeAutospacing="1" w:afterAutospacing="1"/>
    </w:pPr>
    <w:rPr>
      <w:rFonts w:eastAsia="Times New Roman"/>
      <w:sz w:val="24"/>
      <w:szCs w:val="24"/>
      <w:lang w:eastAsia="zh-CN"/>
    </w:rPr>
  </w:style>
  <w:style w:type="character" w:styleId="Strong">
    <w:name w:val="Strong"/>
    <w:basedOn w:val="DefaultParagraphFont"/>
    <w:uiPriority w:val="22"/>
    <w:qFormat/>
    <w:rPr>
      <w:b/>
      <w:bCs/>
    </w:rPr>
  </w:style>
  <w:style w:type="paragraph" w:styleId="Subtitle">
    <w:name w:val="Subtitle"/>
    <w:basedOn w:val="Normal"/>
    <w:link w:val="SubtitleChar"/>
    <w:qFormat/>
    <w:pPr>
      <w:spacing w:before="240" w:after="60" w:line="312" w:lineRule="auto"/>
      <w:jc w:val="center"/>
      <w:outlineLvl w:val="1"/>
    </w:pPr>
    <w:rPr>
      <w:rFonts w:ascii="Arial" w:hAnsi="Arial" w:cs="Arial"/>
      <w:b/>
      <w:bCs/>
      <w:kern w:val="28"/>
      <w:sz w:val="32"/>
      <w:szCs w:val="32"/>
    </w:rPr>
  </w:style>
  <w:style w:type="table" w:styleId="TableGrid">
    <w:name w:val="Table Grid"/>
    <w:qFormat/>
    <w:rPr>
      <w:rFonts w:hint="eastAsia"/>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paragraph" w:styleId="TableofFigures">
    <w:name w:val="table of figures"/>
    <w:basedOn w:val="Normal"/>
    <w:next w:val="Normal"/>
    <w:uiPriority w:val="99"/>
    <w:pPr>
      <w:ind w:leftChars="200" w:left="200" w:hangingChars="200" w:hanging="200"/>
    </w:pPr>
  </w:style>
  <w:style w:type="paragraph" w:styleId="Title">
    <w:name w:val="Title"/>
    <w:basedOn w:val="Normal"/>
    <w:next w:val="Normal"/>
    <w:link w:val="TitleChar"/>
    <w:qFormat/>
    <w:rPr>
      <w:rFonts w:ascii="Times New Roman" w:hAnsi="Times New Roman" w:cs="Times New Roman"/>
      <w:b/>
      <w:bCs/>
      <w:sz w:val="24"/>
      <w:szCs w:val="24"/>
    </w:rPr>
  </w:style>
  <w:style w:type="paragraph" w:styleId="TOC1">
    <w:name w:val="toc 1"/>
    <w:basedOn w:val="Normal"/>
    <w:next w:val="Normal"/>
    <w:autoRedefine/>
    <w:uiPriority w:val="39"/>
    <w:qFormat/>
    <w:pPr>
      <w:spacing w:after="100"/>
    </w:pPr>
  </w:style>
  <w:style w:type="paragraph" w:styleId="TOC2">
    <w:name w:val="toc 2"/>
    <w:basedOn w:val="Normal"/>
    <w:next w:val="Normal"/>
    <w:autoRedefine/>
    <w:uiPriority w:val="39"/>
    <w:qFormat/>
    <w:pPr>
      <w:spacing w:after="100"/>
      <w:ind w:left="200"/>
    </w:pPr>
  </w:style>
  <w:style w:type="paragraph" w:styleId="TOC3">
    <w:name w:val="toc 3"/>
    <w:basedOn w:val="Normal"/>
    <w:next w:val="Normal"/>
    <w:autoRedefine/>
    <w:uiPriority w:val="39"/>
    <w:qFormat/>
    <w:pPr>
      <w:spacing w:after="100"/>
      <w:ind w:left="400"/>
    </w:pPr>
  </w:style>
  <w:style w:type="paragraph" w:styleId="TOC4">
    <w:name w:val="toc 4"/>
    <w:basedOn w:val="Normal"/>
    <w:next w:val="Normal"/>
    <w:autoRedefine/>
    <w:uiPriority w:val="39"/>
    <w:unhideWhenUsed/>
    <w:qFormat/>
    <w:pPr>
      <w:spacing w:after="100" w:line="278" w:lineRule="auto"/>
      <w:ind w:left="720"/>
    </w:pPr>
    <w:rPr>
      <w:kern w:val="2"/>
      <w:sz w:val="24"/>
      <w:szCs w:val="24"/>
      <w:lang w:eastAsia="en-US"/>
      <w14:ligatures w14:val="standardContextual"/>
    </w:rPr>
  </w:style>
  <w:style w:type="paragraph" w:styleId="TOC5">
    <w:name w:val="toc 5"/>
    <w:basedOn w:val="Normal"/>
    <w:next w:val="Normal"/>
    <w:autoRedefine/>
    <w:uiPriority w:val="39"/>
    <w:unhideWhenUsed/>
    <w:qFormat/>
    <w:pPr>
      <w:spacing w:after="100" w:line="278" w:lineRule="auto"/>
      <w:ind w:left="960"/>
    </w:pPr>
    <w:rPr>
      <w:kern w:val="2"/>
      <w:sz w:val="24"/>
      <w:szCs w:val="24"/>
      <w:lang w:eastAsia="en-US"/>
      <w14:ligatures w14:val="standardContextual"/>
    </w:rPr>
  </w:style>
  <w:style w:type="paragraph" w:styleId="TOC6">
    <w:name w:val="toc 6"/>
    <w:basedOn w:val="Normal"/>
    <w:next w:val="Normal"/>
    <w:autoRedefine/>
    <w:uiPriority w:val="39"/>
    <w:unhideWhenUsed/>
    <w:qFormat/>
    <w:pPr>
      <w:spacing w:after="100" w:line="278" w:lineRule="auto"/>
      <w:ind w:left="1200"/>
    </w:pPr>
    <w:rPr>
      <w:kern w:val="2"/>
      <w:sz w:val="24"/>
      <w:szCs w:val="24"/>
      <w:lang w:eastAsia="en-US"/>
      <w14:ligatures w14:val="standardContextual"/>
    </w:rPr>
  </w:style>
  <w:style w:type="paragraph" w:styleId="TOC7">
    <w:name w:val="toc 7"/>
    <w:basedOn w:val="Normal"/>
    <w:next w:val="Normal"/>
    <w:autoRedefine/>
    <w:uiPriority w:val="39"/>
    <w:unhideWhenUsed/>
    <w:qFormat/>
    <w:pPr>
      <w:spacing w:after="100" w:line="278" w:lineRule="auto"/>
      <w:ind w:left="1440"/>
    </w:pPr>
    <w:rPr>
      <w:kern w:val="2"/>
      <w:sz w:val="24"/>
      <w:szCs w:val="24"/>
      <w:lang w:eastAsia="en-US"/>
      <w14:ligatures w14:val="standardContextual"/>
    </w:rPr>
  </w:style>
  <w:style w:type="paragraph" w:styleId="TOC8">
    <w:name w:val="toc 8"/>
    <w:basedOn w:val="Normal"/>
    <w:next w:val="Normal"/>
    <w:autoRedefine/>
    <w:uiPriority w:val="39"/>
    <w:unhideWhenUsed/>
    <w:qFormat/>
    <w:pPr>
      <w:spacing w:after="100" w:line="278" w:lineRule="auto"/>
      <w:ind w:left="1680"/>
    </w:pPr>
    <w:rPr>
      <w:kern w:val="2"/>
      <w:sz w:val="24"/>
      <w:szCs w:val="24"/>
      <w:lang w:eastAsia="en-US"/>
      <w14:ligatures w14:val="standardContextual"/>
    </w:rPr>
  </w:style>
  <w:style w:type="paragraph" w:styleId="TOC9">
    <w:name w:val="toc 9"/>
    <w:basedOn w:val="Normal"/>
    <w:next w:val="Normal"/>
    <w:autoRedefine/>
    <w:uiPriority w:val="39"/>
    <w:unhideWhenUsed/>
    <w:qFormat/>
    <w:pPr>
      <w:spacing w:after="100" w:line="278" w:lineRule="auto"/>
      <w:ind w:left="1920"/>
    </w:pPr>
    <w:rPr>
      <w:kern w:val="2"/>
      <w:sz w:val="24"/>
      <w:szCs w:val="24"/>
      <w:lang w:eastAsia="en-US"/>
      <w14:ligatures w14:val="standardContextual"/>
    </w:rPr>
  </w:style>
  <w:style w:type="character" w:customStyle="1" w:styleId="TitleChar">
    <w:name w:val="Title Char"/>
    <w:link w:val="Title"/>
    <w:qFormat/>
    <w:rPr>
      <w:rFonts w:eastAsiaTheme="minorEastAsia"/>
      <w:b/>
      <w:bCs/>
      <w:sz w:val="24"/>
      <w:szCs w:val="24"/>
      <w:lang w:eastAsia="zh-CN"/>
    </w:rPr>
  </w:style>
  <w:style w:type="paragraph" w:customStyle="1" w:styleId="z-BottomofForm1">
    <w:name w:val="z-Bottom of Form1"/>
    <w:link w:val="z-BottomofFormChar"/>
    <w:qFormat/>
    <w:pPr>
      <w:pBdr>
        <w:top w:val="single" w:sz="6" w:space="1" w:color="auto"/>
      </w:pBdr>
      <w:jc w:val="center"/>
    </w:pPr>
    <w:rPr>
      <w:rFonts w:ascii="Arial" w:eastAsia="Times New Roman" w:hAnsi="Arial"/>
      <w:vanish/>
      <w:sz w:val="16"/>
      <w:szCs w:val="16"/>
      <w:lang w:eastAsia="zh-CN"/>
    </w:rPr>
  </w:style>
  <w:style w:type="character" w:customStyle="1" w:styleId="Heading5Char">
    <w:name w:val="Heading 5 Char"/>
    <w:link w:val="Heading5"/>
    <w:qFormat/>
    <w:rPr>
      <w:rFonts w:ascii="Times New Roman" w:eastAsia="Times New Roman" w:hAnsi="Times New Roman" w:cs="Times New Roman" w:hint="default"/>
      <w:color w:val="2F5496"/>
      <w:sz w:val="24"/>
    </w:rPr>
  </w:style>
  <w:style w:type="character" w:customStyle="1" w:styleId="FooterChar">
    <w:name w:val="Footer Char"/>
    <w:link w:val="Footer"/>
    <w:uiPriority w:val="99"/>
    <w:qFormat/>
    <w:rPr>
      <w:rFonts w:ascii="Times New Roman" w:eastAsia="Times New Roman" w:hAnsi="Times New Roman" w:cs="Times New Roman" w:hint="default"/>
      <w:kern w:val="0"/>
      <w:sz w:val="20"/>
      <w:szCs w:val="20"/>
      <w:lang w:eastAsia="zh-CN"/>
    </w:rPr>
  </w:style>
  <w:style w:type="character" w:customStyle="1" w:styleId="z-BottomofFormChar">
    <w:name w:val="z-Bottom of Form Char"/>
    <w:link w:val="z-BottomofForm1"/>
    <w:qFormat/>
    <w:rPr>
      <w:rFonts w:ascii="Arial" w:eastAsia="Times New Roman" w:hAnsi="Arial" w:cs="Arial" w:hint="default"/>
      <w:vanish/>
      <w:kern w:val="0"/>
      <w:sz w:val="16"/>
      <w:szCs w:val="16"/>
      <w:lang w:val="en-US" w:eastAsia="en-US"/>
    </w:rPr>
  </w:style>
  <w:style w:type="character" w:customStyle="1" w:styleId="Heading2Char">
    <w:name w:val="Heading 2 Char"/>
    <w:link w:val="Heading2"/>
    <w:qFormat/>
    <w:rPr>
      <w:rFonts w:eastAsia="Calibri"/>
      <w:b/>
      <w:bCs/>
      <w:kern w:val="2"/>
      <w:sz w:val="24"/>
      <w:szCs w:val="24"/>
      <w:lang w:eastAsia="zh-CN"/>
    </w:rPr>
  </w:style>
  <w:style w:type="character" w:customStyle="1" w:styleId="Heading1Char">
    <w:name w:val="Heading 1 Char"/>
    <w:link w:val="Heading1"/>
    <w:qFormat/>
    <w:rPr>
      <w:rFonts w:eastAsia="Calibri"/>
      <w:b/>
      <w:bCs/>
      <w:kern w:val="2"/>
      <w:sz w:val="24"/>
      <w:szCs w:val="22"/>
      <w:lang w:eastAsia="zh-CN"/>
    </w:rPr>
  </w:style>
  <w:style w:type="character" w:customStyle="1" w:styleId="IntenseQuoteChar">
    <w:name w:val="Intense Quote Char"/>
    <w:qFormat/>
    <w:rPr>
      <w:rFonts w:ascii="Times New Roman" w:hAnsi="Times New Roman" w:cs="Times New Roman" w:hint="default"/>
      <w:i/>
      <w:iCs/>
      <w:color w:val="2F5496"/>
      <w:sz w:val="24"/>
    </w:rPr>
  </w:style>
  <w:style w:type="character" w:customStyle="1" w:styleId="SubtitleChar">
    <w:name w:val="Subtitle Char"/>
    <w:link w:val="Subtitle"/>
    <w:qFormat/>
    <w:rPr>
      <w:rFonts w:ascii="Times New Roman" w:eastAsia="Times New Roman" w:hAnsi="Times New Roman" w:cs="Times New Roman" w:hint="default"/>
      <w:color w:val="595959"/>
      <w:spacing w:val="15"/>
      <w:sz w:val="28"/>
      <w:szCs w:val="28"/>
    </w:rPr>
  </w:style>
  <w:style w:type="character" w:customStyle="1" w:styleId="QuoteChar">
    <w:name w:val="Quote Char"/>
    <w:qFormat/>
    <w:rPr>
      <w:rFonts w:ascii="Times New Roman" w:hAnsi="Times New Roman" w:cs="Times New Roman" w:hint="default"/>
      <w:i/>
      <w:iCs/>
      <w:color w:val="404040"/>
      <w:sz w:val="24"/>
    </w:rPr>
  </w:style>
  <w:style w:type="paragraph" w:customStyle="1" w:styleId="z-TopofForm1">
    <w:name w:val="z-Top of Form1"/>
    <w:link w:val="z-TopofFormChar"/>
    <w:qFormat/>
    <w:pPr>
      <w:pBdr>
        <w:bottom w:val="single" w:sz="6" w:space="1" w:color="auto"/>
      </w:pBdr>
      <w:jc w:val="center"/>
    </w:pPr>
    <w:rPr>
      <w:rFonts w:ascii="Arial" w:eastAsia="Times New Roman" w:hAnsi="Arial"/>
      <w:vanish/>
      <w:sz w:val="16"/>
      <w:szCs w:val="16"/>
      <w:lang w:eastAsia="zh-CN"/>
    </w:rPr>
  </w:style>
  <w:style w:type="character" w:customStyle="1" w:styleId="ArinzeStyleChar">
    <w:name w:val="Arinze Style Char"/>
    <w:qFormat/>
    <w:rPr>
      <w:rFonts w:ascii="Times New Roman" w:hAnsi="Times New Roman" w:cs="Times New Roman" w:hint="default"/>
      <w:b/>
      <w:sz w:val="24"/>
      <w:szCs w:val="24"/>
    </w:rPr>
  </w:style>
  <w:style w:type="character" w:customStyle="1" w:styleId="msointenseemphasis0">
    <w:name w:val="msointenseemphasis"/>
    <w:qFormat/>
    <w:rPr>
      <w:i/>
      <w:iCs/>
      <w:color w:val="2F5496"/>
    </w:rPr>
  </w:style>
  <w:style w:type="character" w:customStyle="1" w:styleId="Heading8Char">
    <w:name w:val="Heading 8 Char"/>
    <w:link w:val="Heading8"/>
    <w:qFormat/>
    <w:rPr>
      <w:rFonts w:ascii="Times New Roman" w:eastAsia="Times New Roman" w:hAnsi="Times New Roman" w:cs="Times New Roman" w:hint="default"/>
      <w:i/>
      <w:iCs/>
      <w:color w:val="272727"/>
      <w:sz w:val="24"/>
    </w:rPr>
  </w:style>
  <w:style w:type="character" w:customStyle="1" w:styleId="msointensereference0">
    <w:name w:val="msointensereference"/>
    <w:qFormat/>
    <w:rPr>
      <w:b/>
      <w:bCs/>
      <w:smallCaps/>
      <w:color w:val="2F5496"/>
      <w:spacing w:val="5"/>
    </w:rPr>
  </w:style>
  <w:style w:type="character" w:customStyle="1" w:styleId="Heading4Char">
    <w:name w:val="Heading 4 Char"/>
    <w:link w:val="Heading4"/>
    <w:qFormat/>
    <w:rPr>
      <w:rFonts w:ascii="Times New Roman" w:eastAsia="Times New Roman" w:hAnsi="Times New Roman" w:cs="Times New Roman" w:hint="default"/>
      <w:i/>
      <w:iCs/>
      <w:color w:val="2F5496"/>
      <w:sz w:val="24"/>
    </w:rPr>
  </w:style>
  <w:style w:type="character" w:customStyle="1" w:styleId="Heading3Char">
    <w:name w:val="Heading 3 Char"/>
    <w:link w:val="Heading3"/>
    <w:qFormat/>
    <w:rPr>
      <w:rFonts w:eastAsia="Calibri"/>
      <w:b/>
      <w:bCs/>
      <w:kern w:val="2"/>
      <w:sz w:val="24"/>
      <w:szCs w:val="24"/>
      <w:lang w:eastAsia="zh-CN"/>
    </w:rPr>
  </w:style>
  <w:style w:type="character" w:customStyle="1" w:styleId="z-TopofFormChar">
    <w:name w:val="z-Top of Form Char"/>
    <w:link w:val="z-TopofForm1"/>
    <w:qFormat/>
    <w:rPr>
      <w:rFonts w:ascii="Arial" w:eastAsia="Times New Roman" w:hAnsi="Arial" w:cs="Arial" w:hint="default"/>
      <w:vanish/>
      <w:kern w:val="0"/>
      <w:sz w:val="16"/>
      <w:szCs w:val="16"/>
      <w:lang w:val="en-US" w:eastAsia="en-US"/>
    </w:rPr>
  </w:style>
  <w:style w:type="character" w:customStyle="1" w:styleId="Heading6Char">
    <w:name w:val="Heading 6 Char"/>
    <w:link w:val="Heading6"/>
    <w:qFormat/>
    <w:rPr>
      <w:rFonts w:ascii="Times New Roman" w:eastAsia="Times New Roman" w:hAnsi="Times New Roman" w:cs="Times New Roman" w:hint="default"/>
      <w:i/>
      <w:iCs/>
      <w:color w:val="595959"/>
      <w:sz w:val="24"/>
    </w:rPr>
  </w:style>
  <w:style w:type="character" w:customStyle="1" w:styleId="Heading7Char">
    <w:name w:val="Heading 7 Char"/>
    <w:link w:val="Heading7"/>
    <w:qFormat/>
    <w:rPr>
      <w:rFonts w:ascii="Times New Roman" w:eastAsia="Times New Roman" w:hAnsi="Times New Roman" w:cs="Times New Roman" w:hint="default"/>
      <w:color w:val="595959"/>
      <w:sz w:val="24"/>
    </w:rPr>
  </w:style>
  <w:style w:type="character" w:customStyle="1" w:styleId="Heading9Char">
    <w:name w:val="Heading 9 Char"/>
    <w:link w:val="Heading9"/>
    <w:qFormat/>
    <w:rPr>
      <w:rFonts w:ascii="Times New Roman" w:eastAsia="Times New Roman" w:hAnsi="Times New Roman" w:cs="Times New Roman" w:hint="default"/>
      <w:color w:val="272727"/>
      <w:sz w:val="24"/>
    </w:rPr>
  </w:style>
  <w:style w:type="character" w:customStyle="1" w:styleId="ListofFiguresChar">
    <w:name w:val="List of Figures Char"/>
    <w:rPr>
      <w:rFonts w:ascii="Times New Roman" w:hAnsi="Times New Roman" w:cs="Times New Roman" w:hint="default"/>
      <w:b/>
      <w:bCs/>
      <w:color w:val="44546A"/>
      <w:sz w:val="24"/>
      <w:szCs w:val="18"/>
    </w:rPr>
  </w:style>
  <w:style w:type="paragraph" w:customStyle="1" w:styleId="DeptAddress">
    <w:name w:val="DeptAddress"/>
    <w:pPr>
      <w:tabs>
        <w:tab w:val="left" w:pos="7200"/>
      </w:tabs>
      <w:ind w:left="7200"/>
    </w:pPr>
    <w:rPr>
      <w:rFonts w:ascii="TheSans B4 SemiLight" w:eastAsia="Times New Roman" w:hAnsi="TheSans B4 SemiLight"/>
      <w:sz w:val="18"/>
      <w:szCs w:val="18"/>
      <w:lang w:eastAsia="zh-CN"/>
    </w:rPr>
  </w:style>
  <w:style w:type="paragraph" w:customStyle="1" w:styleId="msonospacing0">
    <w:name w:val="msonospacing"/>
    <w:rPr>
      <w:rFonts w:ascii="Calibri" w:eastAsia="Calibri" w:hAnsi="Calibri"/>
      <w:sz w:val="22"/>
      <w:szCs w:val="22"/>
      <w:lang w:eastAsia="zh-CN"/>
    </w:rPr>
  </w:style>
  <w:style w:type="character" w:customStyle="1" w:styleId="apple-converted-space">
    <w:name w:val="apple-converted-space"/>
  </w:style>
  <w:style w:type="paragraph" w:customStyle="1" w:styleId="Style47">
    <w:name w:val="_Style 47"/>
    <w:basedOn w:val="Normal"/>
    <w:next w:val="Normal"/>
    <w:pPr>
      <w:pBdr>
        <w:bottom w:val="single" w:sz="6" w:space="1" w:color="auto"/>
      </w:pBdr>
      <w:jc w:val="center"/>
    </w:pPr>
    <w:rPr>
      <w:rFonts w:ascii="Arial" w:eastAsia="SimSun"/>
      <w:vanish/>
      <w:sz w:val="16"/>
    </w:rPr>
  </w:style>
  <w:style w:type="paragraph" w:customStyle="1" w:styleId="Style48">
    <w:name w:val="_Style 48"/>
    <w:basedOn w:val="Normal"/>
    <w:next w:val="Normal"/>
    <w:pPr>
      <w:pBdr>
        <w:top w:val="single" w:sz="6" w:space="1" w:color="auto"/>
      </w:pBdr>
      <w:jc w:val="center"/>
    </w:pPr>
    <w:rPr>
      <w:rFonts w:ascii="Arial" w:eastAsia="SimSun"/>
      <w:vanish/>
      <w:sz w:val="16"/>
    </w:rPr>
  </w:style>
  <w:style w:type="paragraph" w:customStyle="1" w:styleId="Style49">
    <w:name w:val="_Style 49"/>
    <w:basedOn w:val="Normal"/>
    <w:next w:val="Normal"/>
    <w:pPr>
      <w:pBdr>
        <w:bottom w:val="single" w:sz="6" w:space="1" w:color="auto"/>
      </w:pBdr>
      <w:jc w:val="center"/>
    </w:pPr>
    <w:rPr>
      <w:rFonts w:ascii="Arial" w:eastAsia="SimSun"/>
      <w:vanish/>
      <w:sz w:val="16"/>
    </w:rPr>
  </w:style>
  <w:style w:type="paragraph" w:customStyle="1" w:styleId="Style50">
    <w:name w:val="_Style 50"/>
    <w:basedOn w:val="Normal"/>
    <w:next w:val="Normal"/>
    <w:pPr>
      <w:pBdr>
        <w:top w:val="single" w:sz="6" w:space="1" w:color="auto"/>
      </w:pBdr>
      <w:jc w:val="center"/>
    </w:pPr>
    <w:rPr>
      <w:rFonts w:ascii="Arial" w:eastAsia="SimSun"/>
      <w:vanish/>
      <w:sz w:val="16"/>
    </w:rPr>
  </w:style>
  <w:style w:type="paragraph" w:styleId="ListParagraph">
    <w:name w:val="List Paragraph"/>
    <w:basedOn w:val="Normal"/>
    <w:uiPriority w:val="34"/>
    <w:unhideWhenUsed/>
    <w:qFormat/>
    <w:pPr>
      <w:ind w:left="720"/>
      <w:contextualSpacing/>
    </w:pPr>
  </w:style>
  <w:style w:type="character" w:customStyle="1" w:styleId="BookTitle1">
    <w:name w:val="Book Title1"/>
    <w:uiPriority w:val="33"/>
    <w:qFormat/>
    <w:rPr>
      <w:rFonts w:ascii="Times New Roman" w:hAnsi="Times New Roman" w:cs="Times New Roman"/>
      <w:b/>
      <w:bCs/>
      <w:sz w:val="24"/>
      <w:szCs w:val="24"/>
    </w:rPr>
  </w:style>
  <w:style w:type="character" w:customStyle="1" w:styleId="HeaderChar">
    <w:name w:val="Header Char"/>
    <w:basedOn w:val="DefaultParagraphFont"/>
    <w:link w:val="Header"/>
    <w:rPr>
      <w:rFonts w:asciiTheme="minorHAnsi" w:eastAsiaTheme="minorEastAsia" w:hAnsiTheme="minorHAnsi" w:cstheme="minorBidi"/>
      <w:lang w:eastAsia="zh-CN"/>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5F18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668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081/jphia.2018.793" TargetMode="External"/><Relationship Id="rId18" Type="http://schemas.openxmlformats.org/officeDocument/2006/relationships/hyperlink" Target="https://doi.org/10.1016/j.pec.2024.109999" TargetMode="External"/><Relationship Id="rId26" Type="http://schemas.openxmlformats.org/officeDocument/2006/relationships/hyperlink" Target="https://ejournal2.undip.ac.id" TargetMode="External"/><Relationship Id="rId21" Type="http://schemas.openxmlformats.org/officeDocument/2006/relationships/hyperlink" Target="https://doi.org/10.1186/1471-2393-10-75" TargetMode="External"/><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doi.org/10.1186/s12913-021-07282-0" TargetMode="External"/><Relationship Id="rId17" Type="http://schemas.openxmlformats.org/officeDocument/2006/relationships/hyperlink" Target="http://hdl.handle.net/1805/26782" TargetMode="External"/><Relationship Id="rId25" Type="http://schemas.openxmlformats.org/officeDocument/2006/relationships/hyperlink" Target="https://www.thelancet.com"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doi.org/10.1016/j.ssmhs.2025.100134" TargetMode="External"/><Relationship Id="rId20" Type="http://schemas.openxmlformats.org/officeDocument/2006/relationships/hyperlink" Target="https://doi.org/10.1371/journal.pone.0249876" TargetMode="External"/><Relationship Id="rId29" Type="http://schemas.openxmlformats.org/officeDocument/2006/relationships/hyperlink" Target="https://doi.org/10.7322/abcshs.2022150.221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56893/ajhes2024v03i01.02" TargetMode="External"/><Relationship Id="rId24" Type="http://schemas.openxmlformats.org/officeDocument/2006/relationships/hyperlink" Target="https://doi.org/10.5116/ijme.5f73.3f31"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pmc.ncbi.nlm.nih.gov" TargetMode="External"/><Relationship Id="rId23" Type="http://schemas.openxmlformats.org/officeDocument/2006/relationships/hyperlink" Target="https://link.springer.com" TargetMode="External"/><Relationship Id="rId28" Type="http://schemas.openxmlformats.org/officeDocument/2006/relationships/hyperlink" Target="https://www.who.int" TargetMode="External"/><Relationship Id="rId36"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hyperlink" Target="https://doi.org/10.1007/s10995-021-03299-w"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hyperlink" Target="https://doi.org/10.1186/s12884-025-06914-0" TargetMode="External"/><Relationship Id="rId22" Type="http://schemas.openxmlformats.org/officeDocument/2006/relationships/hyperlink" Target="https://doi.org/10.1093/intqhc/mzn025" TargetMode="External"/><Relationship Id="rId27" Type="http://schemas.openxmlformats.org/officeDocument/2006/relationships/hyperlink" Target="https://www.who.int/data/gho/publications/world-health-statistics"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endnotes" Target="endnotes.xml"/><Relationship Id="rId3" Type="http://schemas.openxmlformats.org/officeDocument/2006/relationships/numbering" Target="numbering.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2026)%20RESEARCH\AMANDA%20MARC'S\Amanda%20Marcus%20questionnaire%20(Respons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2026)%20RESEARCH\AMANDA%20MARC'S\Amanda%20Marcus%20questionnaire%20(Respons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Sheet3!$F$2:$F$5</c:f>
              <c:strCache>
                <c:ptCount val="4"/>
                <c:pt idx="0">
                  <c:v>Less than 5 years</c:v>
                </c:pt>
                <c:pt idx="1">
                  <c:v>5 - 10 years</c:v>
                </c:pt>
                <c:pt idx="2">
                  <c:v>11 - 15 years</c:v>
                </c:pt>
                <c:pt idx="3">
                  <c:v>Above 15 years</c:v>
                </c:pt>
              </c:strCache>
            </c:strRef>
          </c:cat>
          <c:val>
            <c:numRef>
              <c:f>Sheet3!$I$2:$I$5</c:f>
              <c:numCache>
                <c:formatCode>0.0%</c:formatCode>
                <c:ptCount val="4"/>
                <c:pt idx="0">
                  <c:v>0.32900000000000001</c:v>
                </c:pt>
                <c:pt idx="1">
                  <c:v>0.21099999999999999</c:v>
                </c:pt>
                <c:pt idx="2">
                  <c:v>0.223</c:v>
                </c:pt>
                <c:pt idx="3">
                  <c:v>0.23699999999999999</c:v>
                </c:pt>
              </c:numCache>
            </c:numRef>
          </c:val>
          <c:extLst>
            <c:ext xmlns:c16="http://schemas.microsoft.com/office/drawing/2014/chart" uri="{C3380CC4-5D6E-409C-BE32-E72D297353CC}">
              <c16:uniqueId val="{00000000-E363-4111-9EE9-C7B8387FDC8C}"/>
            </c:ext>
          </c:extLst>
        </c:ser>
        <c:dLbls>
          <c:showLegendKey val="0"/>
          <c:showVal val="1"/>
          <c:showCatName val="0"/>
          <c:showSerName val="0"/>
          <c:showPercent val="0"/>
          <c:showBubbleSize val="0"/>
        </c:dLbls>
        <c:gapWidth val="164"/>
        <c:overlap val="-22"/>
        <c:axId val="1603239488"/>
        <c:axId val="1603229888"/>
      </c:barChart>
      <c:catAx>
        <c:axId val="1603239488"/>
        <c:scaling>
          <c:orientation val="minMax"/>
        </c:scaling>
        <c:delete val="0"/>
        <c:axPos val="b"/>
        <c:title>
          <c:tx>
            <c:rich>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Years of Experience</a:t>
                </a:r>
              </a:p>
            </c:rich>
          </c:tx>
          <c:overlay val="0"/>
          <c:spPr>
            <a:noFill/>
            <a:ln>
              <a:noFill/>
            </a:ln>
            <a:effectLst/>
          </c:spPr>
          <c:txPr>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29888"/>
        <c:crosses val="autoZero"/>
        <c:auto val="1"/>
        <c:lblAlgn val="ctr"/>
        <c:lblOffset val="100"/>
        <c:noMultiLvlLbl val="0"/>
      </c:catAx>
      <c:valAx>
        <c:axId val="1603229888"/>
        <c:scaling>
          <c:orientation val="minMax"/>
        </c:scaling>
        <c:delete val="0"/>
        <c:axPos val="l"/>
        <c:title>
          <c:tx>
            <c:rich>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39488"/>
        <c:crosses val="autoZero"/>
        <c:crossBetween val="between"/>
      </c:valAx>
      <c:spPr>
        <a:noFill/>
        <a:ln>
          <a:noFill/>
        </a:ln>
        <a:effectLst/>
      </c:spPr>
    </c:plotArea>
    <c:plotVisOnly val="1"/>
    <c:dispBlanksAs val="gap"/>
    <c:showDLblsOverMax val="0"/>
    <c:extLst>
      <c:ext uri="{0b15fc19-7d7d-44ad-8c2d-2c3a37ce22c3}">
        <chartProps xmlns="https://web.wps.cn/et/2018/main" chartId="{df6d0a9e-f22e-4d2a-b601-0000f4b40cf6}"/>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Sheet3!$F$7:$F$10</c:f>
              <c:strCache>
                <c:ptCount val="4"/>
                <c:pt idx="0">
                  <c:v>Less than 1 year</c:v>
                </c:pt>
                <c:pt idx="1">
                  <c:v>1 - 5 years</c:v>
                </c:pt>
                <c:pt idx="2">
                  <c:v>6 - 10 years</c:v>
                </c:pt>
                <c:pt idx="3">
                  <c:v>Above 10 years</c:v>
                </c:pt>
              </c:strCache>
            </c:strRef>
          </c:cat>
          <c:val>
            <c:numRef>
              <c:f>Sheet3!$I$7:$I$10</c:f>
              <c:numCache>
                <c:formatCode>0.0%</c:formatCode>
                <c:ptCount val="4"/>
                <c:pt idx="0">
                  <c:v>0.42099999999999999</c:v>
                </c:pt>
                <c:pt idx="1">
                  <c:v>0.39500000000000002</c:v>
                </c:pt>
                <c:pt idx="2">
                  <c:v>0.14499999999999999</c:v>
                </c:pt>
                <c:pt idx="3">
                  <c:v>3.9E-2</c:v>
                </c:pt>
              </c:numCache>
            </c:numRef>
          </c:val>
          <c:extLst>
            <c:ext xmlns:c16="http://schemas.microsoft.com/office/drawing/2014/chart" uri="{C3380CC4-5D6E-409C-BE32-E72D297353CC}">
              <c16:uniqueId val="{00000000-7FF5-4721-89F8-8739FDA036C6}"/>
            </c:ext>
          </c:extLst>
        </c:ser>
        <c:dLbls>
          <c:showLegendKey val="0"/>
          <c:showVal val="1"/>
          <c:showCatName val="0"/>
          <c:showSerName val="0"/>
          <c:showPercent val="0"/>
          <c:showBubbleSize val="0"/>
        </c:dLbls>
        <c:gapWidth val="164"/>
        <c:overlap val="-22"/>
        <c:axId val="1603239488"/>
        <c:axId val="1603229888"/>
      </c:barChart>
      <c:catAx>
        <c:axId val="1603239488"/>
        <c:scaling>
          <c:orientation val="minMax"/>
        </c:scaling>
        <c:delete val="0"/>
        <c:axPos val="b"/>
        <c:title>
          <c:tx>
            <c:rich>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Years of working in ANC/ Immunization Clinics</a:t>
                </a:r>
              </a:p>
            </c:rich>
          </c:tx>
          <c:overlay val="0"/>
          <c:spPr>
            <a:noFill/>
            <a:ln>
              <a:noFill/>
            </a:ln>
            <a:effectLst/>
          </c:spPr>
          <c:txPr>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29888"/>
        <c:crosses val="autoZero"/>
        <c:auto val="1"/>
        <c:lblAlgn val="ctr"/>
        <c:lblOffset val="100"/>
        <c:noMultiLvlLbl val="0"/>
      </c:catAx>
      <c:valAx>
        <c:axId val="1603229888"/>
        <c:scaling>
          <c:orientation val="minMax"/>
        </c:scaling>
        <c:delete val="0"/>
        <c:axPos val="l"/>
        <c:title>
          <c:tx>
            <c:rich>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39488"/>
        <c:crosses val="autoZero"/>
        <c:crossBetween val="between"/>
      </c:valAx>
      <c:spPr>
        <a:noFill/>
        <a:ln>
          <a:noFill/>
        </a:ln>
        <a:effectLst/>
      </c:spPr>
    </c:plotArea>
    <c:plotVisOnly val="1"/>
    <c:dispBlanksAs val="gap"/>
    <c:showDLblsOverMax val="0"/>
    <c:extLst>
      <c:ext uri="{0b15fc19-7d7d-44ad-8c2d-2c3a37ce22c3}">
        <chartProps xmlns="https://web.wps.cn/et/2018/main" chartId="{b2faec97-ce13-411f-bd57-e8547668df1e}"/>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E5A6BF-2024-4245-B07C-9E17FF8AF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5374</Words>
  <Characters>30635</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SDI 1084</cp:lastModifiedBy>
  <cp:revision>15</cp:revision>
  <dcterms:created xsi:type="dcterms:W3CDTF">2026-05-08T05:09:00Z</dcterms:created>
  <dcterms:modified xsi:type="dcterms:W3CDTF">2026-06-05T13:10:00Z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2057-12.2.0.23197</vt:lpwstr>
  </property>
  <property fmtid="{D5CDD505-2E9C-101B-9397-08002B2CF9AE}" pid="3" name="ICV">
    <vt:lpwstr>0BF000167C164F5B955047D002437334_11</vt:lpwstr>
  </property>
  <property fmtid="{D5CDD505-2E9C-101B-9397-08002B2CF9AE}" pid="4" name="GrammarlyDocumentId">
    <vt:lpwstr>b3005373-9f91-4405-8c6c-eb72ff61fd1f</vt:lpwstr>
  </property>
</Properties>
</file>