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116C7" w14:textId="77777777" w:rsidR="009D66D9" w:rsidRPr="00D3364D" w:rsidRDefault="003018FD" w:rsidP="002F35F6">
      <w:pPr>
        <w:spacing w:line="240" w:lineRule="auto"/>
        <w:jc w:val="center"/>
        <w:rPr>
          <w:b/>
          <w:bCs/>
        </w:rPr>
      </w:pPr>
      <w:r w:rsidRPr="00D3364D">
        <w:rPr>
          <w:b/>
          <w:bCs/>
        </w:rPr>
        <w:t>INFLUENCE OF HEALTH EDUCATION INTERVENTION BY NURSES ON IMMUNIZATION UPTAKE AMONG MOTHERS WITH UNDER-FIVE CHILDREN IN ALEX EKWUEME FEDERAL UNIVERSITY TEACHING HOSPITAL ABAKALIKI</w:t>
      </w:r>
    </w:p>
    <w:p w14:paraId="2169A312" w14:textId="77777777" w:rsidR="001548CE" w:rsidRDefault="001548CE" w:rsidP="004367C5">
      <w:pPr>
        <w:spacing w:before="0" w:beforeAutospacing="0" w:after="0" w:afterAutospacing="0" w:line="360" w:lineRule="auto"/>
        <w:jc w:val="both"/>
        <w:rPr>
          <w:b/>
          <w:bCs/>
        </w:rPr>
      </w:pPr>
    </w:p>
    <w:p w14:paraId="1C06CC30" w14:textId="77777777" w:rsidR="00A6336F" w:rsidRDefault="00A6336F" w:rsidP="004367C5">
      <w:pPr>
        <w:spacing w:before="0" w:beforeAutospacing="0" w:after="0" w:afterAutospacing="0" w:line="360" w:lineRule="auto"/>
        <w:jc w:val="both"/>
        <w:rPr>
          <w:i/>
          <w:sz w:val="20"/>
        </w:rPr>
      </w:pPr>
    </w:p>
    <w:p w14:paraId="4521BC43" w14:textId="1057472D" w:rsidR="009D66D9" w:rsidRPr="00B022DF" w:rsidRDefault="003018FD" w:rsidP="002F35F6">
      <w:pPr>
        <w:pStyle w:val="Heading1"/>
        <w:spacing w:line="240" w:lineRule="auto"/>
      </w:pPr>
      <w:bookmarkStart w:id="0" w:name="_Toc223317616"/>
      <w:bookmarkStart w:id="1" w:name="_Toc224180740"/>
      <w:r w:rsidRPr="00424CE5">
        <w:t>ABSTRACT</w:t>
      </w:r>
      <w:bookmarkEnd w:id="0"/>
      <w:bookmarkEnd w:id="1"/>
    </w:p>
    <w:p w14:paraId="393E5027" w14:textId="77777777" w:rsidR="00E059E3" w:rsidRDefault="00E059E3" w:rsidP="00E059E3">
      <w:pPr>
        <w:spacing w:line="240" w:lineRule="auto"/>
        <w:jc w:val="both"/>
        <w:rPr>
          <w:bCs/>
        </w:rPr>
      </w:pPr>
      <w:r w:rsidRPr="00E059E3">
        <w:rPr>
          <w:b/>
        </w:rPr>
        <w:t>Background:</w:t>
      </w:r>
      <w:r>
        <w:rPr>
          <w:bCs/>
        </w:rPr>
        <w:t xml:space="preserve"> </w:t>
      </w:r>
      <w:r w:rsidRPr="00E059E3">
        <w:rPr>
          <w:bCs/>
        </w:rPr>
        <w:t xml:space="preserve">This study assessed the influence of nurse-led health education interventions on immunization uptake among mothers with under-five children attending Alex Ekwueme Federal University Teaching Hospital Abakaliki (AEFUTHA). </w:t>
      </w:r>
    </w:p>
    <w:p w14:paraId="04F5E483" w14:textId="69C40A7D" w:rsidR="00E059E3" w:rsidRDefault="00E059E3" w:rsidP="00E059E3">
      <w:pPr>
        <w:spacing w:line="240" w:lineRule="auto"/>
        <w:jc w:val="both"/>
        <w:rPr>
          <w:bCs/>
        </w:rPr>
      </w:pPr>
      <w:r w:rsidRPr="00E059E3">
        <w:rPr>
          <w:b/>
        </w:rPr>
        <w:t>Method:</w:t>
      </w:r>
      <w:r>
        <w:rPr>
          <w:bCs/>
        </w:rPr>
        <w:t xml:space="preserve"> </w:t>
      </w:r>
      <w:r w:rsidRPr="00E059E3">
        <w:rPr>
          <w:bCs/>
        </w:rPr>
        <w:t>A quasi-experimental pre-test/post-test control group design was employed, with 197 mothers (96 intervention, 101 control) completing the study. Data were collected using structured questionnaires and analyzed using chi-square tests.</w:t>
      </w:r>
    </w:p>
    <w:p w14:paraId="0C9B6128" w14:textId="2BD02A9E" w:rsidR="00E059E3" w:rsidRDefault="00E059E3" w:rsidP="00E059E3">
      <w:pPr>
        <w:spacing w:line="240" w:lineRule="auto"/>
        <w:jc w:val="both"/>
        <w:rPr>
          <w:bCs/>
        </w:rPr>
      </w:pPr>
      <w:r w:rsidRPr="00E059E3">
        <w:rPr>
          <w:b/>
        </w:rPr>
        <w:t>Result:</w:t>
      </w:r>
      <w:r>
        <w:rPr>
          <w:bCs/>
        </w:rPr>
        <w:t xml:space="preserve"> </w:t>
      </w:r>
      <w:r w:rsidRPr="00E059E3">
        <w:rPr>
          <w:bCs/>
        </w:rPr>
        <w:t>Findings revealed that the intervention group demonstrated significant improvements in both knowledge and attitudes toward immunization uptake. At baseline, 75% of mothers in the intervention group had good knowledge, while 25% exhibited poor knowledge. By the end of the study, 99% demonstrated good knowledge, with only 1% classified as poor, a highly significant improvement (χ² = 25.932, p &lt; 0.001). Similarly, attitudes improved markedly: positive attitudes rose from 46.3% at baseline to 69.3% at endline, while poor attitudes declined from 53.7% to 30.7% (χ² = 11.303, p = 0.001). In contrast, the control group showed no meaningful improvement in knowledge and a decline in positive attitudes.</w:t>
      </w:r>
    </w:p>
    <w:p w14:paraId="110D0C42" w14:textId="57BB2119" w:rsidR="004F7035" w:rsidRPr="008331C1" w:rsidRDefault="00E059E3" w:rsidP="00E059E3">
      <w:pPr>
        <w:spacing w:line="240" w:lineRule="auto"/>
        <w:jc w:val="both"/>
        <w:rPr>
          <w:bCs/>
        </w:rPr>
      </w:pPr>
      <w:r w:rsidRPr="00E059E3">
        <w:rPr>
          <w:b/>
        </w:rPr>
        <w:t>Conclusion:</w:t>
      </w:r>
      <w:r>
        <w:rPr>
          <w:bCs/>
        </w:rPr>
        <w:t xml:space="preserve"> </w:t>
      </w:r>
      <w:r w:rsidRPr="00E059E3">
        <w:rPr>
          <w:bCs/>
        </w:rPr>
        <w:t xml:space="preserve">The study concludes that nurse-led health education interventions substantially enhance maternal knowledge and attitudes toward immunization uptake. </w:t>
      </w:r>
    </w:p>
    <w:p w14:paraId="55186AA2" w14:textId="138432FA" w:rsidR="009D66D9" w:rsidRDefault="003018FD" w:rsidP="004F7035">
      <w:pPr>
        <w:spacing w:line="240" w:lineRule="auto"/>
        <w:jc w:val="both"/>
      </w:pPr>
      <w:r w:rsidRPr="001324AF">
        <w:rPr>
          <w:b/>
          <w:bCs/>
        </w:rPr>
        <w:t>Keywords:</w:t>
      </w:r>
      <w:r w:rsidRPr="00B022DF">
        <w:t xml:space="preserve"> </w:t>
      </w:r>
      <w:r w:rsidR="00E059E3" w:rsidRPr="00E059E3">
        <w:t>Immunization uptake, Nurse-led intervention, Maternal knowledge, Maternal attitudes, Health education, Under-five children</w:t>
      </w:r>
    </w:p>
    <w:p w14:paraId="32B6B2C9" w14:textId="77777777" w:rsidR="00281902" w:rsidRDefault="00281902" w:rsidP="004F7035">
      <w:pPr>
        <w:spacing w:line="240" w:lineRule="auto"/>
        <w:jc w:val="both"/>
      </w:pPr>
    </w:p>
    <w:p w14:paraId="7D0D8815" w14:textId="77777777" w:rsidR="00A0462A" w:rsidRPr="00B022DF" w:rsidRDefault="00A0462A" w:rsidP="004F7035">
      <w:pPr>
        <w:spacing w:line="240" w:lineRule="auto"/>
        <w:jc w:val="both"/>
      </w:pPr>
    </w:p>
    <w:p w14:paraId="41A18315" w14:textId="77777777" w:rsidR="009D66D9" w:rsidRPr="008B7547" w:rsidRDefault="003018FD" w:rsidP="002F35F6">
      <w:pPr>
        <w:pStyle w:val="Heading1"/>
        <w:spacing w:line="240" w:lineRule="auto"/>
        <w:jc w:val="left"/>
      </w:pPr>
      <w:bookmarkStart w:id="2" w:name="_Toc223317622"/>
      <w:bookmarkStart w:id="3" w:name="_Toc224180745"/>
      <w:r w:rsidRPr="00424CE5">
        <w:t>INTRODUCTION</w:t>
      </w:r>
      <w:bookmarkEnd w:id="2"/>
      <w:bookmarkEnd w:id="3"/>
    </w:p>
    <w:p w14:paraId="7F1B245B" w14:textId="77777777" w:rsidR="00B8561B" w:rsidRPr="00B8561B" w:rsidRDefault="00B8561B" w:rsidP="00281902">
      <w:pPr>
        <w:spacing w:line="360" w:lineRule="auto"/>
        <w:jc w:val="both"/>
      </w:pPr>
      <w:bookmarkStart w:id="4" w:name="_Toc223317625"/>
      <w:bookmarkStart w:id="5" w:name="_Toc224180748"/>
      <w:r w:rsidRPr="00B8561B">
        <w:t xml:space="preserve">Immunization is the most efficient public health measure aimed at decreasing the morbidity and mortality of under-five children across the globe. Yet, vaccination coverage in many low- and middle-income countries-including Nigeria-falls far short of the WHO coverage target of 90%. According to WHO (2023), vaccines save 4-5 million lives each year by preventing the occurrence of diseases such as measles, diphtheria, and whooping cough, regardless of the fact that, due to </w:t>
      </w:r>
      <w:r w:rsidRPr="00B8561B">
        <w:lastRenderedPageBreak/>
        <w:t>parental resistance, health system barriers, and social-cultural factors, many children remain unimmunized.</w:t>
      </w:r>
    </w:p>
    <w:p w14:paraId="657E541A" w14:textId="77777777" w:rsidR="000325AC" w:rsidRDefault="00B8561B" w:rsidP="00281902">
      <w:pPr>
        <w:spacing w:line="360" w:lineRule="auto"/>
        <w:jc w:val="both"/>
      </w:pPr>
      <w:r w:rsidRPr="00B8561B">
        <w:t>Routine immunization delivery in Nigeria, however, falls short of expected standards, with fears that coverage could not reach the required level to ensure herd immunity. Results of the 2021 Multiple Indicator Cluster Survey/National Immunization Coverage Survey (MICS/NICS) presented that only around 57% of children aged 12–23 months had received full immunization, with considerable differences between urban and rural locations (National Bureau of Statistics [NBS] &amp; UNICEF, 2021). This poor coverage has manifest as frequent outbreaks of VPDs (Vaccine Preventable Diseases) with the collateral effect of increasing under-five mortality, hence the crucial necessity of strategies that would mitigate immunization constraints. A number of factors have been identified, but one thing remains constant; maternal knowledge and attitude towards immunization constitute a fundamental determinant for whether or not children get their full course when vaccinated (Adedokun, Adekanmbi &amp; Uthman, 2022; Mohammed, Ibrahim &amp; Umar, 2024).</w:t>
      </w:r>
    </w:p>
    <w:p w14:paraId="183B69B6" w14:textId="70C58B4F" w:rsidR="00B8561B" w:rsidRPr="00B8561B" w:rsidRDefault="00B8561B" w:rsidP="00281902">
      <w:pPr>
        <w:spacing w:before="0" w:beforeAutospacing="0" w:after="0" w:afterAutospacing="0" w:line="360" w:lineRule="auto"/>
        <w:jc w:val="both"/>
      </w:pPr>
      <w:r w:rsidRPr="00B8561B">
        <w:t>Nurses are pivotal to the promotion of this role. They have remained basic health service providers at the antenatal, postnatal, and child welfare clinics, with sustained contact with mothers and an enviable position for giving enlightenment that can redress misconceptions and reshape negative attitudes (Balogun et al., 2022; Ismail et al., 2023). Maternity knowledge greatly improved with nurse-led health education interventions, such as counseling meetings, group discussions, visual demonstrations, and follow-up calls-all of which assist in molding positive attitudes towards immunization (Usman et al., 2023).</w:t>
      </w:r>
    </w:p>
    <w:p w14:paraId="3A533718" w14:textId="77777777" w:rsidR="00B8561B" w:rsidRPr="00B8561B" w:rsidRDefault="00B8561B" w:rsidP="00281902">
      <w:pPr>
        <w:spacing w:line="360" w:lineRule="auto"/>
        <w:jc w:val="both"/>
      </w:pPr>
      <w:r w:rsidRPr="00B8561B">
        <w:t xml:space="preserve">Health Belief Model (HBM) Theory is leading in the study. According to this model, behavior of people in accordance with diseases is the consequence of what they believe: they presume susceptibility to a disease, they comprehend the severity of a condition, they perceive such benefits at taking action to protect their future damage from occurring, and they likely enumerate the factors that might drive such action, such as cultural beliefs and fear of immunization. Regarding that understanding is the way that mothers get to decide whether or not their children should go for vaccination, given that a number of possible factors exist within this framework: child's susceptibility to preventable diseases, high severity of the diseases, and the relationship of various </w:t>
      </w:r>
      <w:r w:rsidRPr="00B8561B">
        <w:lastRenderedPageBreak/>
        <w:t>barriers such as fear of side effects or superstitions already oriented toward the prevention of such disease. Stimuli for action, such as a reminder from a nurse, and expected participatory skill—self-efficacy—would likewise have significant impact on the adoption of a positive attitude or more information (Rosenstock, 1974; Champion &amp; Skinner, 2008). Focusing on these elements will improve mother's knowledge, with the education of nurses supporting a friendly stance and an increase in commitment towards immunization.</w:t>
      </w:r>
    </w:p>
    <w:p w14:paraId="2575749A" w14:textId="77777777" w:rsidR="00B8561B" w:rsidRPr="00B8561B" w:rsidRDefault="00B8561B" w:rsidP="00281902">
      <w:pPr>
        <w:spacing w:line="360" w:lineRule="auto"/>
        <w:jc w:val="both"/>
      </w:pPr>
      <w:r w:rsidRPr="00B8561B">
        <w:t>In AEFUTHA, immunizations are administered routinely and are integrated into the maternal and child health programs that are provided by nurse-led health education during regular clinic visits. One might argue or be concerned that immunization uptake remains low in Ebonyi State (EBSMOH 2004) due to programs with insufficient health education. Maternal perceptions and attitudes are assessed by gaining an understanding of how nurse-led interventions influence high to low patient knowledge regarding immunization. This means that there is a critical link in establishing an effective strategy in overcoming the immunization gap.</w:t>
      </w:r>
    </w:p>
    <w:p w14:paraId="457F2B85" w14:textId="26070C77" w:rsidR="00D16D36" w:rsidRDefault="00B8561B" w:rsidP="00281902">
      <w:pPr>
        <w:spacing w:line="360" w:lineRule="auto"/>
        <w:jc w:val="both"/>
        <w:rPr>
          <w:b/>
          <w:bCs/>
        </w:rPr>
      </w:pPr>
      <w:r w:rsidRPr="00B8561B">
        <w:t>The potency of vaccines in prevention of childhood sickness and death can only be actualized and sustained by parent acceptance and following through the entire vaccination schedule. Strengthening maternal knowledge through health education through nurses and changing attitudes with the aid of the Health Belief Model offers a potential avenue for improving immunization culture in Nigeria. The results of our study will provide evidence to guide nursing practices, institutional strategies, and large public health policy.</w:t>
      </w:r>
    </w:p>
    <w:p w14:paraId="39B94AC7" w14:textId="0C2E67C6" w:rsidR="00514B17" w:rsidRDefault="003018FD" w:rsidP="00D16D36">
      <w:pPr>
        <w:pStyle w:val="Heading2"/>
        <w:spacing w:line="240" w:lineRule="auto"/>
      </w:pPr>
      <w:r w:rsidRPr="00B022DF">
        <w:t>Aim and Objectives of the Study</w:t>
      </w:r>
      <w:bookmarkEnd w:id="4"/>
      <w:bookmarkEnd w:id="5"/>
    </w:p>
    <w:p w14:paraId="60F7324A" w14:textId="74CDAB16" w:rsidR="0048589F" w:rsidRDefault="0048589F" w:rsidP="002F35F6">
      <w:pPr>
        <w:spacing w:line="240" w:lineRule="auto"/>
      </w:pPr>
      <w:r w:rsidRPr="0048589F">
        <w:t>The aim of this study is to assess the influence of health education interventions by nurses on immunization uptake among mothers with under-five children at AEFUTHA.</w:t>
      </w:r>
    </w:p>
    <w:p w14:paraId="79428520" w14:textId="77777777" w:rsidR="00A0462A" w:rsidRPr="0048589F" w:rsidRDefault="00A0462A" w:rsidP="002F35F6">
      <w:pPr>
        <w:spacing w:line="240" w:lineRule="auto"/>
      </w:pPr>
    </w:p>
    <w:p w14:paraId="583B166E" w14:textId="38050F88" w:rsidR="009D66D9" w:rsidRPr="00EC5158" w:rsidRDefault="00281902" w:rsidP="002F35F6">
      <w:pPr>
        <w:spacing w:line="240" w:lineRule="auto"/>
        <w:jc w:val="both"/>
        <w:rPr>
          <w:b/>
        </w:rPr>
      </w:pPr>
      <w:bookmarkStart w:id="6" w:name="_Toc223317655"/>
      <w:bookmarkStart w:id="7" w:name="_Toc224180777"/>
      <w:r w:rsidRPr="00EC5158">
        <w:rPr>
          <w:b/>
        </w:rPr>
        <w:t>Methodology</w:t>
      </w:r>
      <w:bookmarkEnd w:id="6"/>
      <w:bookmarkEnd w:id="7"/>
    </w:p>
    <w:p w14:paraId="3AA18B89" w14:textId="77777777" w:rsidR="00AF3F28" w:rsidRPr="00AF3F28" w:rsidRDefault="00AF3F28" w:rsidP="00AF3F28">
      <w:pPr>
        <w:spacing w:before="0" w:beforeAutospacing="0" w:after="0" w:afterAutospacing="0" w:line="360" w:lineRule="auto"/>
        <w:jc w:val="both"/>
        <w:rPr>
          <w:b/>
          <w:bCs/>
        </w:rPr>
      </w:pPr>
      <w:bookmarkStart w:id="8" w:name="_Toc224180794"/>
      <w:r w:rsidRPr="00AF3F28">
        <w:rPr>
          <w:b/>
          <w:bCs/>
        </w:rPr>
        <w:t>Study Area</w:t>
      </w:r>
    </w:p>
    <w:p w14:paraId="6272D392" w14:textId="77777777" w:rsidR="00AF3F28" w:rsidRPr="00AF3F28" w:rsidRDefault="00AF3F28" w:rsidP="00AF3F28">
      <w:pPr>
        <w:spacing w:before="0" w:beforeAutospacing="0" w:after="0" w:afterAutospacing="0" w:line="360" w:lineRule="auto"/>
        <w:jc w:val="both"/>
      </w:pPr>
      <w:r w:rsidRPr="00AF3F28">
        <w:t xml:space="preserve">This study was conducted at the Institute of Child Health (Immunization Clinic) of Alex Ekwueme Federal University Teaching Hospital Abakaliki (AEFUTHA), Ebonyi State, Nigeria. The clinic provides routine immunization services, including Bacille Calmette–Guérin (BCG) vaccination </w:t>
      </w:r>
      <w:r w:rsidRPr="00AF3F28">
        <w:lastRenderedPageBreak/>
        <w:t>for infants. The setting was chosen because mothers are primary decision-makers in child health, and their knowledge significantly influences immunization uptake.</w:t>
      </w:r>
    </w:p>
    <w:p w14:paraId="6A2B68D8" w14:textId="77777777" w:rsidR="00AF3F28" w:rsidRPr="00AF3F28" w:rsidRDefault="00AF3F28" w:rsidP="00AF3F28">
      <w:pPr>
        <w:spacing w:before="0" w:beforeAutospacing="0" w:after="0" w:afterAutospacing="0" w:line="360" w:lineRule="auto"/>
        <w:jc w:val="both"/>
        <w:rPr>
          <w:b/>
          <w:bCs/>
        </w:rPr>
      </w:pPr>
      <w:r w:rsidRPr="00AF3F28">
        <w:rPr>
          <w:b/>
          <w:bCs/>
        </w:rPr>
        <w:t>Study Design</w:t>
      </w:r>
    </w:p>
    <w:p w14:paraId="1E621A63" w14:textId="77777777" w:rsidR="00AF3F28" w:rsidRPr="00AF3F28" w:rsidRDefault="00AF3F28" w:rsidP="00AF3F28">
      <w:pPr>
        <w:spacing w:before="0" w:beforeAutospacing="0" w:after="0" w:afterAutospacing="0" w:line="360" w:lineRule="auto"/>
        <w:jc w:val="both"/>
      </w:pPr>
      <w:r w:rsidRPr="00AF3F28">
        <w:t>A quasi-experimental pre-test/post-test control group design was employed. This design was selected to ethically allow justified comparison between intervention and control groups without withholding essential health services (Creswell &amp; Creswell, 2018).</w:t>
      </w:r>
    </w:p>
    <w:p w14:paraId="349AFB5E" w14:textId="77777777" w:rsidR="00AF3F28" w:rsidRPr="00AF3F28" w:rsidRDefault="00AF3F28" w:rsidP="00AF3F28">
      <w:pPr>
        <w:spacing w:before="0" w:beforeAutospacing="0" w:after="0" w:afterAutospacing="0" w:line="360" w:lineRule="auto"/>
        <w:jc w:val="both"/>
        <w:rPr>
          <w:b/>
          <w:bCs/>
        </w:rPr>
      </w:pPr>
      <w:r w:rsidRPr="00AF3F28">
        <w:rPr>
          <w:b/>
          <w:bCs/>
        </w:rPr>
        <w:t>Study Population</w:t>
      </w:r>
    </w:p>
    <w:p w14:paraId="38AA0FDA" w14:textId="77777777" w:rsidR="00AF3F28" w:rsidRPr="00AF3F28" w:rsidRDefault="00AF3F28" w:rsidP="00AF3F28">
      <w:pPr>
        <w:spacing w:before="0" w:beforeAutospacing="0" w:after="0" w:afterAutospacing="0" w:line="360" w:lineRule="auto"/>
        <w:jc w:val="both"/>
      </w:pPr>
      <w:r w:rsidRPr="00AF3F28">
        <w:t>The target population consisted of mothers with children under five years of age who attended the Institute of Child Health (immunization clinic) for BCG vaccination of newly presenting infants during the study period. This group was chosen because mothers usually decide what is in the best interest of their children regarding health, and their knowledge is a significant factor for immunization utilization (Balogun, Liu, et al., 2022).</w:t>
      </w:r>
    </w:p>
    <w:p w14:paraId="6F2EFBB4" w14:textId="77777777" w:rsidR="00AF3F28" w:rsidRPr="00AF3F28" w:rsidRDefault="00AF3F28" w:rsidP="00AF3F28">
      <w:pPr>
        <w:spacing w:before="0" w:beforeAutospacing="0" w:after="0" w:afterAutospacing="0" w:line="360" w:lineRule="auto"/>
        <w:jc w:val="both"/>
        <w:rPr>
          <w:b/>
          <w:bCs/>
        </w:rPr>
      </w:pPr>
      <w:r w:rsidRPr="00AF3F28">
        <w:rPr>
          <w:b/>
          <w:bCs/>
        </w:rPr>
        <w:t>Sampling Technique</w:t>
      </w:r>
    </w:p>
    <w:p w14:paraId="787B1C9A" w14:textId="77777777" w:rsidR="00AF3F28" w:rsidRPr="00AF3F28" w:rsidRDefault="00AF3F28" w:rsidP="00AF3F28">
      <w:pPr>
        <w:spacing w:before="0" w:beforeAutospacing="0" w:after="0" w:afterAutospacing="0" w:line="360" w:lineRule="auto"/>
        <w:jc w:val="both"/>
      </w:pPr>
      <w:r w:rsidRPr="00AF3F28">
        <w:t>Eligible participants were recruited consecutively from first-time attendees at the immunization clinic who met the inclusion criteria. To ensure reliability and avoid contamination, a pilot test was conducted at the University of Nigeria Teaching Hospital (UNTH), Enugu, which shares similar characteristics but lies outside the study site.</w:t>
      </w:r>
    </w:p>
    <w:p w14:paraId="260535A9" w14:textId="77777777" w:rsidR="00AF3F28" w:rsidRPr="00AF3F28" w:rsidRDefault="00AF3F28" w:rsidP="00AF3F28">
      <w:pPr>
        <w:spacing w:before="0" w:beforeAutospacing="0" w:after="0" w:afterAutospacing="0" w:line="360" w:lineRule="auto"/>
        <w:jc w:val="both"/>
        <w:rPr>
          <w:b/>
          <w:bCs/>
        </w:rPr>
      </w:pPr>
      <w:r w:rsidRPr="00AF3F28">
        <w:rPr>
          <w:b/>
          <w:bCs/>
        </w:rPr>
        <w:t>Sample Size</w:t>
      </w:r>
    </w:p>
    <w:p w14:paraId="61E28B35" w14:textId="77777777" w:rsidR="00AF3F28" w:rsidRPr="00AF3F28" w:rsidRDefault="00AF3F28" w:rsidP="00AF3F28">
      <w:pPr>
        <w:spacing w:before="0" w:beforeAutospacing="0" w:after="0" w:afterAutospacing="0" w:line="360" w:lineRule="auto"/>
        <w:jc w:val="both"/>
      </w:pPr>
      <w:r w:rsidRPr="00AF3F28">
        <w:t>The sample size was determined using Cochran’s formula for comparing two proportions (Chow et al., 2017):</w:t>
      </w:r>
    </w:p>
    <w:p w14:paraId="4B034BF7" w14:textId="0B43030B" w:rsidR="00AF3F28" w:rsidRPr="00AF3F28" w:rsidRDefault="00000000" w:rsidP="00AF3F28">
      <w:pPr>
        <w:spacing w:before="0" w:beforeAutospacing="0" w:after="0" w:afterAutospacing="0" w:line="360" w:lineRule="auto"/>
        <w:jc w:val="both"/>
      </w:pPr>
      <m:oMathPara>
        <m:oMath>
          <m:sSub>
            <m:sSubPr>
              <m:ctrlPr>
                <w:rPr>
                  <w:rFonts w:ascii="Cambria Math" w:hAnsi="Cambria Math"/>
                </w:rPr>
              </m:ctrlPr>
            </m:sSubPr>
            <m:e>
              <m:r>
                <w:rPr>
                  <w:rFonts w:ascii="Cambria Math" w:hAnsi="Cambria Math"/>
                </w:rPr>
                <m:t>n</m:t>
              </m:r>
            </m:e>
            <m:sub>
              <m:r>
                <m:rPr>
                  <m:nor/>
                </m:rPr>
                <m:t>group</m:t>
              </m:r>
            </m:sub>
          </m:sSub>
          <m:r>
            <w:rPr>
              <w:rFonts w:ascii="Cambria Math" w:hAnsi="Cambria Math"/>
            </w:rPr>
            <m:t>=</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1-α</m:t>
                  </m:r>
                  <m:r>
                    <m:rPr>
                      <m:sty m:val="p"/>
                    </m:rPr>
                    <w:rPr>
                      <w:rFonts w:ascii="Cambria Math" w:hAnsi="Cambria Math"/>
                    </w:rPr>
                    <m:t>/</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1-β</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e>
                  </m:d>
                </m:e>
                <m:sup>
                  <m:r>
                    <w:rPr>
                      <w:rFonts w:ascii="Cambria Math" w:hAnsi="Cambria Math"/>
                    </w:rPr>
                    <m:t>2</m:t>
                  </m:r>
                </m:sup>
              </m:sSup>
            </m:den>
          </m:f>
        </m:oMath>
      </m:oMathPara>
    </w:p>
    <w:p w14:paraId="58862928" w14:textId="77777777" w:rsidR="00AF3F28" w:rsidRPr="00AF3F28" w:rsidRDefault="00AF3F28" w:rsidP="00AF3F28">
      <w:pPr>
        <w:spacing w:before="0" w:beforeAutospacing="0" w:after="0" w:afterAutospacing="0" w:line="360" w:lineRule="auto"/>
        <w:jc w:val="both"/>
      </w:pPr>
      <w:r w:rsidRPr="00AF3F28">
        <w:t>Where:</w:t>
      </w:r>
    </w:p>
    <w:p w14:paraId="2DE5C8FC" w14:textId="20484DA5" w:rsidR="00AF3F28" w:rsidRPr="00AF3F28" w:rsidRDefault="00AF3F28" w:rsidP="00AF3F28">
      <w:pPr>
        <w:numPr>
          <w:ilvl w:val="0"/>
          <w:numId w:val="39"/>
        </w:numPr>
        <w:spacing w:before="0" w:beforeAutospacing="0" w:after="0" w:afterAutospacing="0" w:line="360" w:lineRule="auto"/>
        <w:jc w:val="both"/>
      </w:pPr>
      <m:oMath>
        <m:r>
          <w:rPr>
            <w:rFonts w:ascii="Cambria Math" w:hAnsi="Cambria Math"/>
          </w:rPr>
          <m:t>n</m:t>
        </m:r>
      </m:oMath>
      <w:r w:rsidRPr="00AF3F28">
        <w:t>= minimum sample size per group</w:t>
      </w:r>
    </w:p>
    <w:p w14:paraId="635C4323" w14:textId="7158FFC6" w:rsidR="00AF3F28" w:rsidRPr="00AF3F28" w:rsidRDefault="00000000" w:rsidP="00AF3F28">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Z</m:t>
            </m:r>
          </m:e>
          <m:sub>
            <m:r>
              <w:rPr>
                <w:rFonts w:ascii="Cambria Math" w:hAnsi="Cambria Math"/>
              </w:rPr>
              <m:t>1-α</m:t>
            </m:r>
            <m:r>
              <m:rPr>
                <m:sty m:val="p"/>
              </m:rPr>
              <w:rPr>
                <w:rFonts w:ascii="Cambria Math" w:hAnsi="Cambria Math"/>
              </w:rPr>
              <m:t>/</m:t>
            </m:r>
            <m:r>
              <w:rPr>
                <w:rFonts w:ascii="Cambria Math" w:hAnsi="Cambria Math"/>
              </w:rPr>
              <m:t>2</m:t>
            </m:r>
          </m:sub>
        </m:sSub>
      </m:oMath>
      <w:r w:rsidR="00AF3F28" w:rsidRPr="00AF3F28">
        <w:t>= standard normal deviate corresponding to the probability of Type I error at 5% = 1.96</w:t>
      </w:r>
    </w:p>
    <w:p w14:paraId="65887C84" w14:textId="0095BAED" w:rsidR="00AF3F28" w:rsidRPr="00AF3F28" w:rsidRDefault="00000000" w:rsidP="00AF3F28">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Z</m:t>
            </m:r>
          </m:e>
          <m:sub>
            <m:r>
              <w:rPr>
                <w:rFonts w:ascii="Cambria Math" w:hAnsi="Cambria Math"/>
              </w:rPr>
              <m:t>1-β</m:t>
            </m:r>
          </m:sub>
        </m:sSub>
      </m:oMath>
      <w:r w:rsidR="00AF3F28" w:rsidRPr="00AF3F28">
        <w:t>= standard normal deviate corresponding to the probability of Type II error at 10% (power = 90%) = 1.28</w:t>
      </w:r>
    </w:p>
    <w:p w14:paraId="401DB5E2" w14:textId="6F9B737D" w:rsidR="00AF3F28" w:rsidRPr="00AF3F28" w:rsidRDefault="00000000" w:rsidP="00AF3F28">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P</m:t>
            </m:r>
          </m:e>
          <m:sub>
            <m:r>
              <w:rPr>
                <w:rFonts w:ascii="Cambria Math" w:hAnsi="Cambria Math"/>
              </w:rPr>
              <m:t>1</m:t>
            </m:r>
          </m:sub>
        </m:sSub>
      </m:oMath>
      <w:r w:rsidR="00AF3F28" w:rsidRPr="00AF3F28">
        <w:t>= 76.9%, the level of utilization of immunization uptake among mothers of under-five children in Benue State (Iba et al., 2025)</w:t>
      </w:r>
    </w:p>
    <w:p w14:paraId="4ED78873" w14:textId="6DBAED96" w:rsidR="00AF3F28" w:rsidRPr="00AF3F28" w:rsidRDefault="00000000" w:rsidP="00AF3F28">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P</m:t>
            </m:r>
          </m:e>
          <m:sub>
            <m:r>
              <w:rPr>
                <w:rFonts w:ascii="Cambria Math" w:hAnsi="Cambria Math"/>
              </w:rPr>
              <m:t>2</m:t>
            </m:r>
          </m:sub>
        </m:sSub>
      </m:oMath>
      <w:r w:rsidR="00AF3F28" w:rsidRPr="00AF3F28">
        <w:t xml:space="preserve">= 58.4%, assuming a 10% difference from </w:t>
      </w:r>
      <m:oMath>
        <m:sSub>
          <m:sSubPr>
            <m:ctrlPr>
              <w:rPr>
                <w:rFonts w:ascii="Cambria Math" w:hAnsi="Cambria Math"/>
              </w:rPr>
            </m:ctrlPr>
          </m:sSubPr>
          <m:e>
            <m:r>
              <w:rPr>
                <w:rFonts w:ascii="Cambria Math" w:hAnsi="Cambria Math"/>
              </w:rPr>
              <m:t>P</m:t>
            </m:r>
          </m:e>
          <m:sub>
            <m:r>
              <w:rPr>
                <w:rFonts w:ascii="Cambria Math" w:hAnsi="Cambria Math"/>
              </w:rPr>
              <m:t>1</m:t>
            </m:r>
          </m:sub>
        </m:sSub>
      </m:oMath>
    </w:p>
    <w:p w14:paraId="3D9A8C74" w14:textId="11D9E102" w:rsidR="00AF3F28" w:rsidRPr="00AF3F28" w:rsidRDefault="00000000" w:rsidP="00AF3F28">
      <w:pPr>
        <w:numPr>
          <w:ilvl w:val="0"/>
          <w:numId w:val="39"/>
        </w:numPr>
        <w:spacing w:before="0" w:beforeAutospacing="0" w:after="0" w:afterAutospacing="0" w:line="360" w:lineRule="auto"/>
        <w:jc w:val="both"/>
      </w:pPr>
      <m:oMath>
        <m:d>
          <m:dPr>
            <m:sepChr m:val="−"/>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1</m:t>
                </m:r>
              </m:sub>
            </m:sSub>
          </m:e>
          <m:e>
            <m:sSub>
              <m:sSubPr>
                <m:ctrlPr>
                  <w:rPr>
                    <w:rFonts w:ascii="Cambria Math" w:hAnsi="Cambria Math"/>
                  </w:rPr>
                </m:ctrlPr>
              </m:sSubPr>
              <m:e>
                <m:r>
                  <w:rPr>
                    <w:rFonts w:ascii="Cambria Math" w:hAnsi="Cambria Math"/>
                  </w:rPr>
                  <m:t>P</m:t>
                </m:r>
              </m:e>
              <m:sub>
                <m:r>
                  <w:rPr>
                    <w:rFonts w:ascii="Cambria Math" w:hAnsi="Cambria Math"/>
                  </w:rPr>
                  <m:t>2</m:t>
                </m:r>
              </m:sub>
            </m:sSub>
          </m:e>
        </m:d>
      </m:oMath>
      <w:r w:rsidR="00AF3F28" w:rsidRPr="00AF3F28">
        <w:t>= minimum difference in the level of knowledge between both groups</w:t>
      </w:r>
    </w:p>
    <w:p w14:paraId="6D0B0E76" w14:textId="77777777" w:rsidR="00AF3F28" w:rsidRPr="00AF3F28" w:rsidRDefault="00AF3F28" w:rsidP="00AF3F28">
      <w:pPr>
        <w:spacing w:before="0" w:beforeAutospacing="0" w:after="0" w:afterAutospacing="0" w:line="360" w:lineRule="auto"/>
        <w:jc w:val="both"/>
      </w:pPr>
      <w:r w:rsidRPr="00AF3F28">
        <w:t>Substituting values:</w:t>
      </w:r>
    </w:p>
    <w:p w14:paraId="5C36BA47" w14:textId="48D2880F" w:rsidR="00AF3F28" w:rsidRPr="00AF3F28" w:rsidRDefault="00000000" w:rsidP="00AF3F28">
      <w:pPr>
        <w:spacing w:before="0" w:beforeAutospacing="0" w:after="0" w:afterAutospacing="0" w:line="360" w:lineRule="auto"/>
        <w:jc w:val="both"/>
      </w:pPr>
      <m:oMathPara>
        <m:oMath>
          <m:sSub>
            <m:sSubPr>
              <m:ctrlPr>
                <w:rPr>
                  <w:rFonts w:ascii="Cambria Math" w:hAnsi="Cambria Math"/>
                </w:rPr>
              </m:ctrlPr>
            </m:sSubPr>
            <m:e>
              <m:r>
                <w:rPr>
                  <w:rFonts w:ascii="Cambria Math" w:hAnsi="Cambria Math"/>
                </w:rPr>
                <m:t>n</m:t>
              </m:r>
            </m:e>
            <m:sub>
              <m:r>
                <m:rPr>
                  <m:nor/>
                </m:rPr>
                <m:t>group</m:t>
              </m:r>
            </m:sub>
          </m:sSub>
          <m:r>
            <w:rPr>
              <w:rFonts w:ascii="Cambria Math" w:hAnsi="Cambria Math"/>
            </w:rPr>
            <m:t>=</m:t>
          </m:r>
          <m:f>
            <m:fPr>
              <m:ctrlPr>
                <w:rPr>
                  <w:rFonts w:ascii="Cambria Math" w:hAnsi="Cambria Math"/>
                </w:rPr>
              </m:ctrlPr>
            </m:fPr>
            <m:num>
              <m:r>
                <w:rPr>
                  <w:rFonts w:ascii="Cambria Math" w:hAnsi="Cambria Math"/>
                </w:rPr>
                <m:t>(1.96+1.28</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⋅[0.769(1-0.769)+0.584(1-0.584)]</m:t>
              </m:r>
            </m:num>
            <m:den>
              <m:sSup>
                <m:sSupPr>
                  <m:ctrlPr>
                    <w:rPr>
                      <w:rFonts w:ascii="Cambria Math" w:hAnsi="Cambria Math"/>
                    </w:rPr>
                  </m:ctrlPr>
                </m:sSupPr>
                <m:e>
                  <m:d>
                    <m:dPr>
                      <m:ctrlPr>
                        <w:rPr>
                          <w:rFonts w:ascii="Cambria Math" w:hAnsi="Cambria Math"/>
                        </w:rPr>
                      </m:ctrlPr>
                    </m:dPr>
                    <m:e>
                      <m:r>
                        <w:rPr>
                          <w:rFonts w:ascii="Cambria Math" w:hAnsi="Cambria Math"/>
                        </w:rPr>
                        <m:t>0.769-0.584</m:t>
                      </m:r>
                    </m:e>
                  </m:d>
                </m:e>
                <m:sup>
                  <m:r>
                    <w:rPr>
                      <w:rFonts w:ascii="Cambria Math" w:hAnsi="Cambria Math"/>
                    </w:rPr>
                    <m:t>2</m:t>
                  </m:r>
                </m:sup>
              </m:sSup>
            </m:den>
          </m:f>
        </m:oMath>
      </m:oMathPara>
    </w:p>
    <w:p w14:paraId="0728E1A0" w14:textId="0FA43BE3" w:rsidR="00AF3F28" w:rsidRPr="00AF3F28" w:rsidRDefault="00AF3F28" w:rsidP="00AF3F28">
      <w:pPr>
        <w:spacing w:before="0" w:beforeAutospacing="0" w:after="0" w:afterAutospacing="0" w:line="360" w:lineRule="auto"/>
        <w:jc w:val="both"/>
      </w:pPr>
      <m:oMathPara>
        <m:oMath>
          <m:r>
            <w:rPr>
              <w:rFonts w:ascii="Cambria Math" w:hAnsi="Cambria Math"/>
            </w:rPr>
            <m:t>=</m:t>
          </m:r>
          <m:f>
            <m:fPr>
              <m:ctrlPr>
                <w:rPr>
                  <w:rFonts w:ascii="Cambria Math" w:hAnsi="Cambria Math"/>
                </w:rPr>
              </m:ctrlPr>
            </m:fPr>
            <m:num>
              <m:r>
                <w:rPr>
                  <w:rFonts w:ascii="Cambria Math" w:hAnsi="Cambria Math"/>
                </w:rPr>
                <m:t>10.50⋅0.421</m:t>
              </m:r>
            </m:num>
            <m:den>
              <m:r>
                <w:rPr>
                  <w:rFonts w:ascii="Cambria Math" w:hAnsi="Cambria Math"/>
                </w:rPr>
                <m:t>0.0342</m:t>
              </m:r>
            </m:den>
          </m:f>
        </m:oMath>
      </m:oMathPara>
    </w:p>
    <w:p w14:paraId="466471A5" w14:textId="15CA770D" w:rsidR="00AF3F28" w:rsidRPr="00AF3F28" w:rsidRDefault="00000000" w:rsidP="00AF3F28">
      <w:pPr>
        <w:spacing w:before="0" w:beforeAutospacing="0" w:after="0" w:afterAutospacing="0" w:line="360" w:lineRule="auto"/>
        <w:jc w:val="both"/>
      </w:pPr>
      <m:oMathPara>
        <m:oMath>
          <m:sSub>
            <m:sSubPr>
              <m:ctrlPr>
                <w:rPr>
                  <w:rFonts w:ascii="Cambria Math" w:hAnsi="Cambria Math"/>
                </w:rPr>
              </m:ctrlPr>
            </m:sSubPr>
            <m:e>
              <m:r>
                <w:rPr>
                  <w:rFonts w:ascii="Cambria Math" w:hAnsi="Cambria Math"/>
                </w:rPr>
                <m:t>n</m:t>
              </m:r>
            </m:e>
            <m:sub>
              <m:r>
                <m:rPr>
                  <m:nor/>
                </m:rPr>
                <m:t>group</m:t>
              </m:r>
            </m:sub>
          </m:sSub>
          <m:r>
            <w:rPr>
              <w:rFonts w:ascii="Cambria Math" w:hAnsi="Cambria Math"/>
            </w:rPr>
            <m:t>≈97</m:t>
          </m:r>
        </m:oMath>
      </m:oMathPara>
    </w:p>
    <w:p w14:paraId="16689B77" w14:textId="77777777" w:rsidR="00AF3F28" w:rsidRPr="00AF3F28" w:rsidRDefault="00AF3F28" w:rsidP="00AF3F28">
      <w:pPr>
        <w:spacing w:before="0" w:beforeAutospacing="0" w:after="0" w:afterAutospacing="0" w:line="360" w:lineRule="auto"/>
        <w:jc w:val="both"/>
      </w:pPr>
      <w:r w:rsidRPr="00AF3F28">
        <w:t>To account for non-response, the formula by Polit and Beck (2021) was applied:</w:t>
      </w:r>
    </w:p>
    <w:p w14:paraId="745F13AA" w14:textId="072AC1EA" w:rsidR="00AF3F28" w:rsidRPr="00AF3F28" w:rsidRDefault="00AF3F28" w:rsidP="00AF3F28">
      <w:pPr>
        <w:spacing w:before="0" w:beforeAutospacing="0" w:after="0" w:afterAutospacing="0" w:line="360" w:lineRule="auto"/>
        <w:jc w:val="both"/>
      </w:pPr>
      <m:oMathPara>
        <m:oMath>
          <m:r>
            <w:rPr>
              <w:rFonts w:ascii="Cambria Math" w:hAnsi="Cambria Math"/>
            </w:rPr>
            <m:t>N=</m:t>
          </m:r>
          <m:f>
            <m:fPr>
              <m:ctrlPr>
                <w:rPr>
                  <w:rFonts w:ascii="Cambria Math" w:hAnsi="Cambria Math"/>
                </w:rPr>
              </m:ctrlPr>
            </m:fPr>
            <m:num>
              <m:r>
                <m:rPr>
                  <m:nor/>
                </m:rPr>
                <m:t>Estimated sample size</m:t>
              </m:r>
            </m:num>
            <m:den>
              <m:r>
                <w:rPr>
                  <w:rFonts w:ascii="Cambria Math" w:hAnsi="Cambria Math"/>
                </w:rPr>
                <m:t>1-</m:t>
              </m:r>
              <m:r>
                <m:rPr>
                  <m:nor/>
                </m:rPr>
                <m:t>non-response rate</m:t>
              </m:r>
            </m:den>
          </m:f>
          <m:r>
            <w:rPr>
              <w:rFonts w:ascii="Cambria Math" w:hAnsi="Cambria Math"/>
            </w:rPr>
            <m:t>= N=</m:t>
          </m:r>
          <m:f>
            <m:fPr>
              <m:ctrlPr>
                <w:rPr>
                  <w:rFonts w:ascii="Cambria Math" w:hAnsi="Cambria Math"/>
                </w:rPr>
              </m:ctrlPr>
            </m:fPr>
            <m:num>
              <m:r>
                <w:rPr>
                  <w:rFonts w:ascii="Cambria Math" w:hAnsi="Cambria Math"/>
                </w:rPr>
                <m:t>97</m:t>
              </m:r>
            </m:num>
            <m:den>
              <m:r>
                <w:rPr>
                  <w:rFonts w:ascii="Cambria Math" w:hAnsi="Cambria Math"/>
                </w:rPr>
                <m:t>0.90</m:t>
              </m:r>
            </m:den>
          </m:f>
          <m:r>
            <w:rPr>
              <w:rFonts w:ascii="Cambria Math" w:hAnsi="Cambria Math"/>
            </w:rPr>
            <m:t>=108</m:t>
          </m:r>
        </m:oMath>
      </m:oMathPara>
    </w:p>
    <w:p w14:paraId="7E82611B" w14:textId="4428D2F3" w:rsidR="00AF3F28" w:rsidRPr="00AF3F28" w:rsidRDefault="00B50FA0" w:rsidP="00AF3F28">
      <w:pPr>
        <w:spacing w:before="0" w:beforeAutospacing="0" w:after="0" w:afterAutospacing="0" w:line="360" w:lineRule="auto"/>
        <w:jc w:val="both"/>
      </w:pPr>
      <w:r w:rsidRPr="00B50FA0">
        <w:t>Therefore, the estimated sample size was 108 respondents per group, giving a total of 216 mothers (intervention and control).</w:t>
      </w:r>
    </w:p>
    <w:p w14:paraId="2A716B6F" w14:textId="0A33020E" w:rsidR="00AF3F28" w:rsidRPr="00AF3F28" w:rsidRDefault="00AF3F28" w:rsidP="00AF3F28">
      <w:pPr>
        <w:spacing w:before="0" w:beforeAutospacing="0" w:after="0" w:afterAutospacing="0" w:line="360" w:lineRule="auto"/>
        <w:jc w:val="both"/>
      </w:pPr>
    </w:p>
    <w:p w14:paraId="5C3345F5" w14:textId="77777777" w:rsidR="00AF3F28" w:rsidRPr="00AF3F28" w:rsidRDefault="00AF3F28" w:rsidP="00AF3F28">
      <w:pPr>
        <w:spacing w:before="0" w:beforeAutospacing="0" w:after="0" w:afterAutospacing="0" w:line="360" w:lineRule="auto"/>
        <w:jc w:val="both"/>
        <w:rPr>
          <w:b/>
          <w:bCs/>
        </w:rPr>
      </w:pPr>
      <w:r w:rsidRPr="00AF3F28">
        <w:rPr>
          <w:b/>
          <w:bCs/>
        </w:rPr>
        <w:t>Method of Data Collection</w:t>
      </w:r>
    </w:p>
    <w:p w14:paraId="360FB088" w14:textId="77777777" w:rsidR="00AF3F28" w:rsidRPr="00AF3F28" w:rsidRDefault="00AF3F28" w:rsidP="00AF3F28">
      <w:pPr>
        <w:spacing w:before="0" w:beforeAutospacing="0" w:after="0" w:afterAutospacing="0" w:line="360" w:lineRule="auto"/>
        <w:jc w:val="both"/>
      </w:pPr>
      <w:r w:rsidRPr="00AF3F28">
        <w:t>Data were collected using a structured questionnaire. The instrument was pre-tested for clarity and reliability, yielding a Cronbach’s α coefficient of 0.82, indicating high internal consistency. Items with low item-total correlation were eliminated before the main study. Administrative approval was obtained from the Health Research and Ethics Committee (HREC) of AEFUTHA, and official permission was granted by the hospital management and clinic authorities. Informed consent was obtained from each participant before questionnaire administration.</w:t>
      </w:r>
    </w:p>
    <w:p w14:paraId="12F413CC" w14:textId="77777777" w:rsidR="00AF3F28" w:rsidRPr="00AF3F28" w:rsidRDefault="00AF3F28" w:rsidP="00AF3F28">
      <w:pPr>
        <w:spacing w:before="0" w:beforeAutospacing="0" w:after="0" w:afterAutospacing="0" w:line="360" w:lineRule="auto"/>
        <w:jc w:val="both"/>
        <w:rPr>
          <w:b/>
          <w:bCs/>
        </w:rPr>
      </w:pPr>
      <w:r w:rsidRPr="00AF3F28">
        <w:rPr>
          <w:b/>
          <w:bCs/>
        </w:rPr>
        <w:t>Method of Data Analysis</w:t>
      </w:r>
    </w:p>
    <w:p w14:paraId="38A82A0A" w14:textId="77777777" w:rsidR="00AF3F28" w:rsidRPr="00AF3F28" w:rsidRDefault="00AF3F28" w:rsidP="00AF3F28">
      <w:pPr>
        <w:spacing w:before="0" w:beforeAutospacing="0" w:after="0" w:afterAutospacing="0" w:line="360" w:lineRule="auto"/>
        <w:jc w:val="both"/>
      </w:pPr>
      <w:r w:rsidRPr="00AF3F28">
        <w:t>Data were coded and analyzed using the Statistical Package for the Social Sciences (SPSS) version 30. Descriptive statistics (frequency, percentage, mean, and standard deviation) were used to summarize socio-demographic characteristics. Inferential statistics (such as chi-square tests and t-tests) were applied to compare pre-test and post-test outcomes between intervention and control groups. Results were presented in tables and charts for clarity.</w:t>
      </w:r>
    </w:p>
    <w:p w14:paraId="4634CF01" w14:textId="74AEF14F" w:rsidR="009D66D9" w:rsidRPr="00B022DF" w:rsidRDefault="003018FD" w:rsidP="00D16D36">
      <w:pPr>
        <w:pStyle w:val="Heading1"/>
        <w:spacing w:line="240" w:lineRule="auto"/>
        <w:jc w:val="left"/>
      </w:pPr>
      <w:r w:rsidRPr="00B022DF">
        <w:t>RESULT</w:t>
      </w:r>
      <w:bookmarkEnd w:id="8"/>
    </w:p>
    <w:p w14:paraId="77BB42E0" w14:textId="19324F22" w:rsidR="00E95DBD" w:rsidRDefault="00E95DBD" w:rsidP="002F35F6">
      <w:pPr>
        <w:spacing w:line="240" w:lineRule="auto"/>
        <w:jc w:val="both"/>
        <w:rPr>
          <w:rFonts w:eastAsia="Calibri"/>
          <w:lang w:bidi="ar"/>
        </w:rPr>
      </w:pPr>
      <w:r>
        <w:rPr>
          <w:rFonts w:eastAsia="Calibri"/>
          <w:lang w:bidi="ar"/>
        </w:rPr>
        <w:t>This chapter details the results of data analysis. A total of 197 women (96 in the intervention and 101 in the control) were retained at the end of the study, giving a response rate of 91.2%.</w:t>
      </w:r>
    </w:p>
    <w:p w14:paraId="7D5F276D" w14:textId="0D0D9235" w:rsidR="007F24F4" w:rsidRPr="007F24F4" w:rsidRDefault="007F24F4" w:rsidP="002F35F6">
      <w:pPr>
        <w:spacing w:line="240" w:lineRule="auto"/>
        <w:jc w:val="both"/>
        <w:rPr>
          <w:rFonts w:eastAsia="Calibri"/>
          <w:b/>
          <w:bCs/>
          <w:lang w:bidi="ar"/>
        </w:rPr>
      </w:pPr>
      <w:r w:rsidRPr="007F24F4">
        <w:rPr>
          <w:rFonts w:eastAsia="Calibri"/>
          <w:b/>
          <w:bCs/>
          <w:lang w:bidi="ar"/>
        </w:rPr>
        <w:t>Socio-Demographic Characteristics of Respondents</w:t>
      </w:r>
    </w:p>
    <w:p w14:paraId="13FE571A" w14:textId="7AD50194" w:rsidR="007F24F4" w:rsidRDefault="007F24F4" w:rsidP="00281902">
      <w:pPr>
        <w:spacing w:line="360" w:lineRule="auto"/>
        <w:jc w:val="both"/>
        <w:rPr>
          <w:rFonts w:eastAsia="Calibri"/>
          <w:lang w:bidi="ar"/>
        </w:rPr>
      </w:pPr>
      <w:r w:rsidRPr="00CF07C0">
        <w:rPr>
          <w:rFonts w:eastAsia="Calibri"/>
          <w:lang w:bidi="ar"/>
        </w:rPr>
        <w:lastRenderedPageBreak/>
        <w:t>The socio-demographic characteristics of mothers with under-five children were shown among those consulting at Alex Ekwueme Federal University Teaching Hospital Abakaliki in Table 1. Statistically, no differences were as seen between control and intervention groups based on either of the participant attributes. Age did not have a significant relationship with group allocation (χ² = 1.363, p = 0.714). Most of the respondents were in the age group of 30-39 years, having 1% less in control than in intervention (52.8% and 49.1% respectively), while a small portion was below 20 years (3.7% and 1.9% respectively). Marital status did not deviate a great deal (χ² = 2.186, p = 0.535). The majority of the mothers were married in both groups (82.4% in control and 84.3% in intervention), and a minute part were single, widowed, or divorced/separated. The distribution of educational level was similar in each group (χ² = 1.154, p = 0.764); the bulk of participants had tertiary education qualifications (60.2% in control and 59.3% in intervention), and only 1.9% with no formal education. Occupation was no significant (χ² = 3.194, p = 0.363), with the bulk of women indulging in the sale of goods (47.2% and 35.2% in control and intervention, respectively), followed closely by those in the civil service (27.4% and 34.3%). Number of children was seen to have borderline variation (χ² = 6.745, 0.08) with more mothers in the intervention having four or more children (43.5%) than in the control group (30.2%), although this was not statistically significant.</w:t>
      </w:r>
    </w:p>
    <w:p w14:paraId="66018E33" w14:textId="62B43D13" w:rsidR="00E95DBD" w:rsidRPr="00E53D6E" w:rsidRDefault="00E53D6E" w:rsidP="002F35F6">
      <w:pPr>
        <w:pStyle w:val="Title"/>
        <w:spacing w:line="240" w:lineRule="auto"/>
      </w:pPr>
      <w:bookmarkStart w:id="9" w:name="_Toc223929072"/>
      <w:bookmarkStart w:id="10" w:name="_Toc224180318"/>
      <w:bookmarkStart w:id="11" w:name="_Toc227062499"/>
      <w:r w:rsidRPr="00E53D6E">
        <w:t xml:space="preserve">Table </w:t>
      </w:r>
      <w:r w:rsidR="00D1540F">
        <w:rPr>
          <w:noProof/>
        </w:rPr>
        <w:fldChar w:fldCharType="begin"/>
      </w:r>
      <w:r w:rsidR="00D1540F">
        <w:rPr>
          <w:noProof/>
        </w:rPr>
        <w:instrText xml:space="preserve"> SEQ Table \* ARABIC </w:instrText>
      </w:r>
      <w:r w:rsidR="00D1540F">
        <w:rPr>
          <w:noProof/>
        </w:rPr>
        <w:fldChar w:fldCharType="separate"/>
      </w:r>
      <w:r w:rsidR="003E565C">
        <w:rPr>
          <w:noProof/>
        </w:rPr>
        <w:t>1</w:t>
      </w:r>
      <w:r w:rsidR="00D1540F">
        <w:rPr>
          <w:noProof/>
        </w:rPr>
        <w:fldChar w:fldCharType="end"/>
      </w:r>
      <w:r w:rsidR="00E95DBD" w:rsidRPr="00E53D6E">
        <w:t>: Sociodemographic Characteristics of Mothers with Under-Five Children in Alex Ekwueme Federal University Teaching Hospital Abakaliki</w:t>
      </w:r>
      <w:bookmarkEnd w:id="9"/>
      <w:bookmarkEnd w:id="10"/>
      <w:bookmarkEnd w:id="11"/>
    </w:p>
    <w:tbl>
      <w:tblPr>
        <w:tblW w:w="9162" w:type="dxa"/>
        <w:tblInd w:w="108" w:type="dxa"/>
        <w:tblLook w:val="04A0" w:firstRow="1" w:lastRow="0" w:firstColumn="1" w:lastColumn="0" w:noHBand="0" w:noVBand="1"/>
      </w:tblPr>
      <w:tblGrid>
        <w:gridCol w:w="3502"/>
        <w:gridCol w:w="1259"/>
        <w:gridCol w:w="1496"/>
        <w:gridCol w:w="1207"/>
        <w:gridCol w:w="711"/>
        <w:gridCol w:w="987"/>
      </w:tblGrid>
      <w:tr w:rsidR="00E95DBD" w14:paraId="69717129" w14:textId="77777777" w:rsidTr="00A0462A">
        <w:trPr>
          <w:trHeight w:val="636"/>
          <w:tblHeader/>
        </w:trPr>
        <w:tc>
          <w:tcPr>
            <w:tcW w:w="3502" w:type="dxa"/>
            <w:vMerge w:val="restart"/>
            <w:tcBorders>
              <w:top w:val="single" w:sz="12" w:space="0" w:color="auto"/>
              <w:left w:val="nil"/>
              <w:bottom w:val="single" w:sz="12" w:space="0" w:color="000000"/>
              <w:right w:val="nil"/>
            </w:tcBorders>
            <w:vAlign w:val="center"/>
          </w:tcPr>
          <w:p w14:paraId="64B91A0F" w14:textId="77777777" w:rsidR="00E95DBD" w:rsidRDefault="00E95DBD" w:rsidP="005D22FF">
            <w:pPr>
              <w:spacing w:before="0" w:beforeAutospacing="0" w:after="0" w:afterAutospacing="0" w:line="240" w:lineRule="auto"/>
              <w:jc w:val="both"/>
              <w:rPr>
                <w:rFonts w:eastAsia="Times New Roman"/>
                <w:b/>
                <w:bCs/>
                <w:color w:val="000000"/>
              </w:rPr>
            </w:pPr>
            <w:r>
              <w:rPr>
                <w:rFonts w:eastAsia="Times New Roman"/>
                <w:b/>
                <w:bCs/>
                <w:color w:val="000000"/>
                <w:lang w:bidi="ar"/>
              </w:rPr>
              <w:t>Characteristics</w:t>
            </w:r>
          </w:p>
        </w:tc>
        <w:tc>
          <w:tcPr>
            <w:tcW w:w="1259" w:type="dxa"/>
            <w:tcBorders>
              <w:top w:val="single" w:sz="12" w:space="0" w:color="auto"/>
              <w:left w:val="nil"/>
              <w:bottom w:val="nil"/>
              <w:right w:val="nil"/>
            </w:tcBorders>
            <w:vAlign w:val="center"/>
          </w:tcPr>
          <w:p w14:paraId="2C29A1FE"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Control</w:t>
            </w:r>
          </w:p>
        </w:tc>
        <w:tc>
          <w:tcPr>
            <w:tcW w:w="1496" w:type="dxa"/>
            <w:tcBorders>
              <w:top w:val="single" w:sz="12" w:space="0" w:color="auto"/>
              <w:left w:val="nil"/>
              <w:bottom w:val="nil"/>
              <w:right w:val="nil"/>
            </w:tcBorders>
            <w:vAlign w:val="center"/>
          </w:tcPr>
          <w:p w14:paraId="5438605E"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Intervention</w:t>
            </w:r>
          </w:p>
        </w:tc>
        <w:tc>
          <w:tcPr>
            <w:tcW w:w="1207" w:type="dxa"/>
            <w:tcBorders>
              <w:top w:val="single" w:sz="12" w:space="0" w:color="auto"/>
              <w:left w:val="nil"/>
              <w:bottom w:val="nil"/>
              <w:right w:val="nil"/>
            </w:tcBorders>
            <w:vAlign w:val="center"/>
          </w:tcPr>
          <w:p w14:paraId="11D5E0D9"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Total</w:t>
            </w:r>
          </w:p>
        </w:tc>
        <w:tc>
          <w:tcPr>
            <w:tcW w:w="711" w:type="dxa"/>
            <w:vMerge w:val="restart"/>
            <w:tcBorders>
              <w:top w:val="single" w:sz="12" w:space="0" w:color="auto"/>
              <w:left w:val="nil"/>
              <w:bottom w:val="single" w:sz="12" w:space="0" w:color="000000"/>
              <w:right w:val="nil"/>
            </w:tcBorders>
            <w:vAlign w:val="center"/>
          </w:tcPr>
          <w:p w14:paraId="551FB17C"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ꭕ²</w:t>
            </w:r>
          </w:p>
        </w:tc>
        <w:tc>
          <w:tcPr>
            <w:tcW w:w="987" w:type="dxa"/>
            <w:vMerge w:val="restart"/>
            <w:tcBorders>
              <w:top w:val="single" w:sz="12" w:space="0" w:color="auto"/>
              <w:left w:val="nil"/>
              <w:bottom w:val="single" w:sz="12" w:space="0" w:color="000000"/>
              <w:right w:val="nil"/>
            </w:tcBorders>
            <w:vAlign w:val="center"/>
          </w:tcPr>
          <w:p w14:paraId="3BE8B4EB"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P-Value</w:t>
            </w:r>
          </w:p>
        </w:tc>
      </w:tr>
      <w:tr w:rsidR="00E95DBD" w14:paraId="5D6264E1" w14:textId="77777777" w:rsidTr="00A0462A">
        <w:trPr>
          <w:trHeight w:val="312"/>
          <w:tblHeader/>
        </w:trPr>
        <w:tc>
          <w:tcPr>
            <w:tcW w:w="3502" w:type="dxa"/>
            <w:vMerge/>
            <w:tcBorders>
              <w:top w:val="single" w:sz="12" w:space="0" w:color="auto"/>
              <w:left w:val="nil"/>
              <w:bottom w:val="single" w:sz="12" w:space="0" w:color="000000"/>
              <w:right w:val="nil"/>
            </w:tcBorders>
            <w:vAlign w:val="center"/>
          </w:tcPr>
          <w:p w14:paraId="400F3146"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259" w:type="dxa"/>
            <w:vAlign w:val="center"/>
          </w:tcPr>
          <w:p w14:paraId="21E21C2E"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N = 108</w:t>
            </w:r>
          </w:p>
        </w:tc>
        <w:tc>
          <w:tcPr>
            <w:tcW w:w="1496" w:type="dxa"/>
            <w:vAlign w:val="center"/>
          </w:tcPr>
          <w:p w14:paraId="7A5FCAB4"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N = 108</w:t>
            </w:r>
          </w:p>
        </w:tc>
        <w:tc>
          <w:tcPr>
            <w:tcW w:w="1207" w:type="dxa"/>
            <w:vAlign w:val="center"/>
          </w:tcPr>
          <w:p w14:paraId="47F04BDC"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N = 216</w:t>
            </w:r>
          </w:p>
        </w:tc>
        <w:tc>
          <w:tcPr>
            <w:tcW w:w="711" w:type="dxa"/>
            <w:vMerge/>
            <w:tcBorders>
              <w:top w:val="single" w:sz="12" w:space="0" w:color="auto"/>
              <w:left w:val="nil"/>
              <w:bottom w:val="single" w:sz="12" w:space="0" w:color="000000"/>
              <w:right w:val="nil"/>
            </w:tcBorders>
            <w:vAlign w:val="center"/>
          </w:tcPr>
          <w:p w14:paraId="689B031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Merge/>
            <w:tcBorders>
              <w:top w:val="single" w:sz="12" w:space="0" w:color="auto"/>
              <w:left w:val="nil"/>
              <w:bottom w:val="single" w:sz="12" w:space="0" w:color="000000"/>
              <w:right w:val="nil"/>
            </w:tcBorders>
            <w:vAlign w:val="center"/>
          </w:tcPr>
          <w:p w14:paraId="1DD3B20D"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0B2CAD1C" w14:textId="77777777" w:rsidTr="00A0462A">
        <w:trPr>
          <w:trHeight w:val="324"/>
          <w:tblHeader/>
        </w:trPr>
        <w:tc>
          <w:tcPr>
            <w:tcW w:w="3502" w:type="dxa"/>
            <w:vMerge/>
            <w:tcBorders>
              <w:top w:val="single" w:sz="12" w:space="0" w:color="auto"/>
              <w:left w:val="nil"/>
              <w:bottom w:val="single" w:sz="12" w:space="0" w:color="000000"/>
              <w:right w:val="nil"/>
            </w:tcBorders>
            <w:vAlign w:val="center"/>
          </w:tcPr>
          <w:p w14:paraId="22C4E282"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259" w:type="dxa"/>
            <w:tcBorders>
              <w:top w:val="nil"/>
              <w:left w:val="nil"/>
              <w:bottom w:val="single" w:sz="12" w:space="0" w:color="auto"/>
              <w:right w:val="nil"/>
            </w:tcBorders>
            <w:vAlign w:val="center"/>
          </w:tcPr>
          <w:p w14:paraId="763255BD"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n (%)</w:t>
            </w:r>
          </w:p>
        </w:tc>
        <w:tc>
          <w:tcPr>
            <w:tcW w:w="1496" w:type="dxa"/>
            <w:tcBorders>
              <w:top w:val="nil"/>
              <w:left w:val="nil"/>
              <w:bottom w:val="single" w:sz="12" w:space="0" w:color="auto"/>
              <w:right w:val="nil"/>
            </w:tcBorders>
            <w:vAlign w:val="center"/>
          </w:tcPr>
          <w:p w14:paraId="04101C90"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n (%)</w:t>
            </w:r>
          </w:p>
        </w:tc>
        <w:tc>
          <w:tcPr>
            <w:tcW w:w="1207" w:type="dxa"/>
            <w:tcBorders>
              <w:top w:val="nil"/>
              <w:left w:val="nil"/>
              <w:bottom w:val="single" w:sz="12" w:space="0" w:color="auto"/>
              <w:right w:val="nil"/>
            </w:tcBorders>
            <w:vAlign w:val="center"/>
          </w:tcPr>
          <w:p w14:paraId="79247F2D" w14:textId="77777777" w:rsidR="00E95DBD" w:rsidRDefault="00E95DBD" w:rsidP="005D22FF">
            <w:pPr>
              <w:spacing w:before="0" w:beforeAutospacing="0" w:after="0" w:afterAutospacing="0" w:line="240" w:lineRule="auto"/>
              <w:jc w:val="center"/>
              <w:rPr>
                <w:rFonts w:eastAsia="Times New Roman"/>
                <w:b/>
                <w:bCs/>
                <w:color w:val="000000"/>
              </w:rPr>
            </w:pPr>
            <w:r>
              <w:rPr>
                <w:rFonts w:eastAsia="Times New Roman"/>
                <w:b/>
                <w:bCs/>
                <w:color w:val="000000"/>
                <w:lang w:bidi="ar"/>
              </w:rPr>
              <w:t>n (%)</w:t>
            </w:r>
          </w:p>
        </w:tc>
        <w:tc>
          <w:tcPr>
            <w:tcW w:w="711" w:type="dxa"/>
            <w:vMerge/>
            <w:tcBorders>
              <w:top w:val="single" w:sz="12" w:space="0" w:color="auto"/>
              <w:left w:val="nil"/>
              <w:bottom w:val="single" w:sz="12" w:space="0" w:color="000000"/>
              <w:right w:val="nil"/>
            </w:tcBorders>
            <w:vAlign w:val="center"/>
          </w:tcPr>
          <w:p w14:paraId="082FCA67"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Merge/>
            <w:tcBorders>
              <w:top w:val="single" w:sz="12" w:space="0" w:color="auto"/>
              <w:left w:val="nil"/>
              <w:bottom w:val="single" w:sz="12" w:space="0" w:color="000000"/>
              <w:right w:val="nil"/>
            </w:tcBorders>
            <w:vAlign w:val="center"/>
          </w:tcPr>
          <w:p w14:paraId="2C747802"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43A90B17" w14:textId="77777777" w:rsidTr="007F24F4">
        <w:trPr>
          <w:trHeight w:val="300"/>
        </w:trPr>
        <w:tc>
          <w:tcPr>
            <w:tcW w:w="3502" w:type="dxa"/>
            <w:vAlign w:val="center"/>
          </w:tcPr>
          <w:p w14:paraId="4BF9D07B" w14:textId="77777777" w:rsidR="00E95DBD" w:rsidRDefault="00E95DBD" w:rsidP="005D22F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Age</w:t>
            </w:r>
          </w:p>
        </w:tc>
        <w:tc>
          <w:tcPr>
            <w:tcW w:w="1259" w:type="dxa"/>
            <w:vAlign w:val="center"/>
          </w:tcPr>
          <w:p w14:paraId="49BFD932"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496" w:type="dxa"/>
            <w:vAlign w:val="center"/>
          </w:tcPr>
          <w:p w14:paraId="5FFC3D30"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207" w:type="dxa"/>
            <w:vAlign w:val="center"/>
          </w:tcPr>
          <w:p w14:paraId="6AC43519"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711" w:type="dxa"/>
            <w:vAlign w:val="center"/>
          </w:tcPr>
          <w:p w14:paraId="0435F80C"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2579907E"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7AC22A19" w14:textId="77777777" w:rsidTr="007F24F4">
        <w:trPr>
          <w:trHeight w:val="288"/>
        </w:trPr>
        <w:tc>
          <w:tcPr>
            <w:tcW w:w="3502" w:type="dxa"/>
            <w:vAlign w:val="center"/>
          </w:tcPr>
          <w:p w14:paraId="471B389D"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&lt;20 yrs</w:t>
            </w:r>
          </w:p>
        </w:tc>
        <w:tc>
          <w:tcPr>
            <w:tcW w:w="1259" w:type="dxa"/>
            <w:vAlign w:val="center"/>
          </w:tcPr>
          <w:p w14:paraId="7A57AEE8"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4 (3.7)</w:t>
            </w:r>
          </w:p>
        </w:tc>
        <w:tc>
          <w:tcPr>
            <w:tcW w:w="1496" w:type="dxa"/>
            <w:vAlign w:val="center"/>
          </w:tcPr>
          <w:p w14:paraId="10DDEC40"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 (1.9)</w:t>
            </w:r>
          </w:p>
        </w:tc>
        <w:tc>
          <w:tcPr>
            <w:tcW w:w="1207" w:type="dxa"/>
            <w:vAlign w:val="center"/>
          </w:tcPr>
          <w:p w14:paraId="2CBD115E"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6 (2.8)</w:t>
            </w:r>
          </w:p>
        </w:tc>
        <w:tc>
          <w:tcPr>
            <w:tcW w:w="711" w:type="dxa"/>
            <w:vAlign w:val="center"/>
          </w:tcPr>
          <w:p w14:paraId="6C500CE0"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1.363</w:t>
            </w:r>
          </w:p>
        </w:tc>
        <w:tc>
          <w:tcPr>
            <w:tcW w:w="987" w:type="dxa"/>
            <w:vAlign w:val="center"/>
          </w:tcPr>
          <w:p w14:paraId="560AE363"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0.714</w:t>
            </w:r>
          </w:p>
        </w:tc>
      </w:tr>
      <w:tr w:rsidR="00E95DBD" w14:paraId="38EDCD24" w14:textId="77777777" w:rsidTr="005D22FF">
        <w:trPr>
          <w:trHeight w:val="68"/>
        </w:trPr>
        <w:tc>
          <w:tcPr>
            <w:tcW w:w="3502" w:type="dxa"/>
            <w:vAlign w:val="center"/>
          </w:tcPr>
          <w:p w14:paraId="05D5F8D2"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20-29yrs</w:t>
            </w:r>
          </w:p>
        </w:tc>
        <w:tc>
          <w:tcPr>
            <w:tcW w:w="1259" w:type="dxa"/>
            <w:vAlign w:val="center"/>
          </w:tcPr>
          <w:p w14:paraId="7CB74DF4"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26 (24.1)</w:t>
            </w:r>
          </w:p>
        </w:tc>
        <w:tc>
          <w:tcPr>
            <w:tcW w:w="1496" w:type="dxa"/>
            <w:vAlign w:val="center"/>
          </w:tcPr>
          <w:p w14:paraId="1F36764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27 (25)</w:t>
            </w:r>
          </w:p>
        </w:tc>
        <w:tc>
          <w:tcPr>
            <w:tcW w:w="1207" w:type="dxa"/>
            <w:vAlign w:val="center"/>
          </w:tcPr>
          <w:p w14:paraId="0764B70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53 (24.5)</w:t>
            </w:r>
          </w:p>
        </w:tc>
        <w:tc>
          <w:tcPr>
            <w:tcW w:w="711" w:type="dxa"/>
            <w:vAlign w:val="center"/>
          </w:tcPr>
          <w:p w14:paraId="3DCF09B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4AB5BBAE"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2EABD1C7" w14:textId="77777777" w:rsidTr="00734F52">
        <w:trPr>
          <w:trHeight w:val="68"/>
        </w:trPr>
        <w:tc>
          <w:tcPr>
            <w:tcW w:w="3502" w:type="dxa"/>
            <w:vAlign w:val="center"/>
          </w:tcPr>
          <w:p w14:paraId="15E3AA22"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30-39yrs</w:t>
            </w:r>
          </w:p>
        </w:tc>
        <w:tc>
          <w:tcPr>
            <w:tcW w:w="1259" w:type="dxa"/>
            <w:vAlign w:val="center"/>
          </w:tcPr>
          <w:p w14:paraId="5A029BD6"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57 (52.8)</w:t>
            </w:r>
          </w:p>
        </w:tc>
        <w:tc>
          <w:tcPr>
            <w:tcW w:w="1496" w:type="dxa"/>
            <w:vAlign w:val="center"/>
          </w:tcPr>
          <w:p w14:paraId="31215781"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53 (49.1)</w:t>
            </w:r>
          </w:p>
        </w:tc>
        <w:tc>
          <w:tcPr>
            <w:tcW w:w="1207" w:type="dxa"/>
            <w:vAlign w:val="center"/>
          </w:tcPr>
          <w:p w14:paraId="6726C5E1"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110 (50.9)</w:t>
            </w:r>
          </w:p>
        </w:tc>
        <w:tc>
          <w:tcPr>
            <w:tcW w:w="711" w:type="dxa"/>
            <w:vAlign w:val="center"/>
          </w:tcPr>
          <w:p w14:paraId="558236A8"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7F77B6C6"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17BBE682" w14:textId="77777777" w:rsidTr="00734F52">
        <w:trPr>
          <w:trHeight w:val="68"/>
        </w:trPr>
        <w:tc>
          <w:tcPr>
            <w:tcW w:w="3502" w:type="dxa"/>
            <w:vAlign w:val="center"/>
          </w:tcPr>
          <w:p w14:paraId="109B7EE9"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&gt;=40yrs</w:t>
            </w:r>
          </w:p>
        </w:tc>
        <w:tc>
          <w:tcPr>
            <w:tcW w:w="1259" w:type="dxa"/>
            <w:vAlign w:val="center"/>
          </w:tcPr>
          <w:p w14:paraId="38606C4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21 (19.4)</w:t>
            </w:r>
          </w:p>
        </w:tc>
        <w:tc>
          <w:tcPr>
            <w:tcW w:w="1496" w:type="dxa"/>
            <w:vAlign w:val="center"/>
          </w:tcPr>
          <w:p w14:paraId="66271CD6"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26 (24.1)</w:t>
            </w:r>
          </w:p>
        </w:tc>
        <w:tc>
          <w:tcPr>
            <w:tcW w:w="1207" w:type="dxa"/>
            <w:vAlign w:val="center"/>
          </w:tcPr>
          <w:p w14:paraId="058A224D"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47 (21.8)</w:t>
            </w:r>
          </w:p>
        </w:tc>
        <w:tc>
          <w:tcPr>
            <w:tcW w:w="711" w:type="dxa"/>
            <w:vAlign w:val="center"/>
          </w:tcPr>
          <w:p w14:paraId="1F528E4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3D2A383A"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1FD0294B" w14:textId="77777777" w:rsidTr="007F24F4">
        <w:trPr>
          <w:trHeight w:val="288"/>
        </w:trPr>
        <w:tc>
          <w:tcPr>
            <w:tcW w:w="3502" w:type="dxa"/>
            <w:vAlign w:val="center"/>
          </w:tcPr>
          <w:p w14:paraId="1E86D01C" w14:textId="77777777" w:rsidR="00E95DBD" w:rsidRDefault="00E95DBD" w:rsidP="005D22F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Marital status</w:t>
            </w:r>
          </w:p>
        </w:tc>
        <w:tc>
          <w:tcPr>
            <w:tcW w:w="1259" w:type="dxa"/>
            <w:vAlign w:val="center"/>
          </w:tcPr>
          <w:p w14:paraId="34EA9591"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496" w:type="dxa"/>
            <w:vAlign w:val="center"/>
          </w:tcPr>
          <w:p w14:paraId="2678BBE3"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207" w:type="dxa"/>
            <w:vAlign w:val="center"/>
          </w:tcPr>
          <w:p w14:paraId="00CCAFA3"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711" w:type="dxa"/>
            <w:vAlign w:val="center"/>
          </w:tcPr>
          <w:p w14:paraId="477AAE38"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487A886A"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78C534A1" w14:textId="77777777" w:rsidTr="007F24F4">
        <w:trPr>
          <w:trHeight w:val="288"/>
        </w:trPr>
        <w:tc>
          <w:tcPr>
            <w:tcW w:w="3502" w:type="dxa"/>
            <w:vAlign w:val="center"/>
          </w:tcPr>
          <w:p w14:paraId="0FCCF379"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Single</w:t>
            </w:r>
          </w:p>
        </w:tc>
        <w:tc>
          <w:tcPr>
            <w:tcW w:w="1259" w:type="dxa"/>
            <w:vAlign w:val="center"/>
          </w:tcPr>
          <w:p w14:paraId="44A51889"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6 (5.6)</w:t>
            </w:r>
          </w:p>
        </w:tc>
        <w:tc>
          <w:tcPr>
            <w:tcW w:w="1496" w:type="dxa"/>
            <w:vAlign w:val="center"/>
          </w:tcPr>
          <w:p w14:paraId="0CAB26B9"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 (1.9)</w:t>
            </w:r>
          </w:p>
        </w:tc>
        <w:tc>
          <w:tcPr>
            <w:tcW w:w="1207" w:type="dxa"/>
            <w:vAlign w:val="center"/>
          </w:tcPr>
          <w:p w14:paraId="1CF950B7"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8 (3.7)</w:t>
            </w:r>
          </w:p>
        </w:tc>
        <w:tc>
          <w:tcPr>
            <w:tcW w:w="711" w:type="dxa"/>
            <w:vAlign w:val="center"/>
          </w:tcPr>
          <w:p w14:paraId="239A373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2.186</w:t>
            </w:r>
          </w:p>
        </w:tc>
        <w:tc>
          <w:tcPr>
            <w:tcW w:w="987" w:type="dxa"/>
            <w:vAlign w:val="center"/>
          </w:tcPr>
          <w:p w14:paraId="6E456F21"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0.535</w:t>
            </w:r>
          </w:p>
        </w:tc>
      </w:tr>
      <w:tr w:rsidR="00E95DBD" w14:paraId="060074A4" w14:textId="77777777" w:rsidTr="005D22FF">
        <w:trPr>
          <w:trHeight w:val="68"/>
        </w:trPr>
        <w:tc>
          <w:tcPr>
            <w:tcW w:w="3502" w:type="dxa"/>
            <w:vAlign w:val="center"/>
          </w:tcPr>
          <w:p w14:paraId="4080F734"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Married</w:t>
            </w:r>
          </w:p>
        </w:tc>
        <w:tc>
          <w:tcPr>
            <w:tcW w:w="1259" w:type="dxa"/>
            <w:vAlign w:val="center"/>
          </w:tcPr>
          <w:p w14:paraId="2E986354"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89 (82.4)</w:t>
            </w:r>
          </w:p>
        </w:tc>
        <w:tc>
          <w:tcPr>
            <w:tcW w:w="1496" w:type="dxa"/>
            <w:vAlign w:val="center"/>
          </w:tcPr>
          <w:p w14:paraId="27275466"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91 (84.3)</w:t>
            </w:r>
          </w:p>
        </w:tc>
        <w:tc>
          <w:tcPr>
            <w:tcW w:w="1207" w:type="dxa"/>
            <w:vAlign w:val="center"/>
          </w:tcPr>
          <w:p w14:paraId="2ADDA074"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180 (83.3)</w:t>
            </w:r>
          </w:p>
        </w:tc>
        <w:tc>
          <w:tcPr>
            <w:tcW w:w="711" w:type="dxa"/>
            <w:vAlign w:val="center"/>
          </w:tcPr>
          <w:p w14:paraId="13613BFD"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14471515"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76B0373B" w14:textId="77777777" w:rsidTr="005D22FF">
        <w:trPr>
          <w:trHeight w:val="68"/>
        </w:trPr>
        <w:tc>
          <w:tcPr>
            <w:tcW w:w="3502" w:type="dxa"/>
            <w:vAlign w:val="center"/>
          </w:tcPr>
          <w:p w14:paraId="5A8758EC"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Widowed</w:t>
            </w:r>
          </w:p>
        </w:tc>
        <w:tc>
          <w:tcPr>
            <w:tcW w:w="1259" w:type="dxa"/>
            <w:vAlign w:val="center"/>
          </w:tcPr>
          <w:p w14:paraId="156B290F"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9 (8.3)</w:t>
            </w:r>
          </w:p>
        </w:tc>
        <w:tc>
          <w:tcPr>
            <w:tcW w:w="1496" w:type="dxa"/>
            <w:vAlign w:val="center"/>
          </w:tcPr>
          <w:p w14:paraId="4B12D753"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10 (9.3)</w:t>
            </w:r>
          </w:p>
        </w:tc>
        <w:tc>
          <w:tcPr>
            <w:tcW w:w="1207" w:type="dxa"/>
            <w:vAlign w:val="center"/>
          </w:tcPr>
          <w:p w14:paraId="2CDB71CE"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19 (8.8)</w:t>
            </w:r>
          </w:p>
        </w:tc>
        <w:tc>
          <w:tcPr>
            <w:tcW w:w="711" w:type="dxa"/>
            <w:vAlign w:val="center"/>
          </w:tcPr>
          <w:p w14:paraId="79A9BFD4"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0031199C"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7060BC5F" w14:textId="77777777" w:rsidTr="005D22FF">
        <w:trPr>
          <w:trHeight w:val="68"/>
        </w:trPr>
        <w:tc>
          <w:tcPr>
            <w:tcW w:w="3502" w:type="dxa"/>
            <w:vAlign w:val="center"/>
          </w:tcPr>
          <w:p w14:paraId="6143D02A"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Divorced/Separated</w:t>
            </w:r>
          </w:p>
        </w:tc>
        <w:tc>
          <w:tcPr>
            <w:tcW w:w="1259" w:type="dxa"/>
            <w:vAlign w:val="center"/>
          </w:tcPr>
          <w:p w14:paraId="0195BB8B"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4 (3.7)</w:t>
            </w:r>
          </w:p>
        </w:tc>
        <w:tc>
          <w:tcPr>
            <w:tcW w:w="1496" w:type="dxa"/>
            <w:vAlign w:val="center"/>
          </w:tcPr>
          <w:p w14:paraId="684886A1"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5 (4.6)</w:t>
            </w:r>
          </w:p>
        </w:tc>
        <w:tc>
          <w:tcPr>
            <w:tcW w:w="1207" w:type="dxa"/>
            <w:vAlign w:val="center"/>
          </w:tcPr>
          <w:p w14:paraId="4161C51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9 (4.2)</w:t>
            </w:r>
          </w:p>
        </w:tc>
        <w:tc>
          <w:tcPr>
            <w:tcW w:w="711" w:type="dxa"/>
            <w:vAlign w:val="center"/>
          </w:tcPr>
          <w:p w14:paraId="5ED349FD"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6ACA5D0D"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5D36CB72" w14:textId="77777777" w:rsidTr="007F24F4">
        <w:trPr>
          <w:trHeight w:val="288"/>
        </w:trPr>
        <w:tc>
          <w:tcPr>
            <w:tcW w:w="3502" w:type="dxa"/>
            <w:vAlign w:val="center"/>
          </w:tcPr>
          <w:p w14:paraId="4A278411" w14:textId="77777777" w:rsidR="00E95DBD" w:rsidRDefault="00E95DBD" w:rsidP="005D22F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Educational level</w:t>
            </w:r>
          </w:p>
        </w:tc>
        <w:tc>
          <w:tcPr>
            <w:tcW w:w="1259" w:type="dxa"/>
            <w:vAlign w:val="center"/>
          </w:tcPr>
          <w:p w14:paraId="69026E3E"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496" w:type="dxa"/>
            <w:vAlign w:val="center"/>
          </w:tcPr>
          <w:p w14:paraId="1D4C3A36"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207" w:type="dxa"/>
            <w:vAlign w:val="center"/>
          </w:tcPr>
          <w:p w14:paraId="1061DC7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711" w:type="dxa"/>
            <w:vAlign w:val="center"/>
          </w:tcPr>
          <w:p w14:paraId="1554B46E"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6D9A8D97"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04A88CAB" w14:textId="77777777" w:rsidTr="007F24F4">
        <w:trPr>
          <w:trHeight w:val="288"/>
        </w:trPr>
        <w:tc>
          <w:tcPr>
            <w:tcW w:w="3502" w:type="dxa"/>
            <w:vAlign w:val="center"/>
          </w:tcPr>
          <w:p w14:paraId="1A27BC58"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No formal education</w:t>
            </w:r>
          </w:p>
        </w:tc>
        <w:tc>
          <w:tcPr>
            <w:tcW w:w="1259" w:type="dxa"/>
            <w:vAlign w:val="center"/>
          </w:tcPr>
          <w:p w14:paraId="01712CF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 (2.8)</w:t>
            </w:r>
          </w:p>
        </w:tc>
        <w:tc>
          <w:tcPr>
            <w:tcW w:w="1496" w:type="dxa"/>
            <w:vAlign w:val="center"/>
          </w:tcPr>
          <w:p w14:paraId="6DD71E5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 (0.9)</w:t>
            </w:r>
          </w:p>
        </w:tc>
        <w:tc>
          <w:tcPr>
            <w:tcW w:w="1207" w:type="dxa"/>
            <w:vAlign w:val="center"/>
          </w:tcPr>
          <w:p w14:paraId="70B450FD"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4 (1.9)</w:t>
            </w:r>
          </w:p>
        </w:tc>
        <w:tc>
          <w:tcPr>
            <w:tcW w:w="711" w:type="dxa"/>
            <w:vAlign w:val="center"/>
          </w:tcPr>
          <w:p w14:paraId="5093EDA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1.154</w:t>
            </w:r>
          </w:p>
        </w:tc>
        <w:tc>
          <w:tcPr>
            <w:tcW w:w="987" w:type="dxa"/>
            <w:vAlign w:val="center"/>
          </w:tcPr>
          <w:p w14:paraId="5611D1C0"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0.764</w:t>
            </w:r>
          </w:p>
        </w:tc>
      </w:tr>
      <w:tr w:rsidR="00E95DBD" w14:paraId="04B5FBB8" w14:textId="77777777" w:rsidTr="005D22FF">
        <w:trPr>
          <w:trHeight w:val="68"/>
        </w:trPr>
        <w:tc>
          <w:tcPr>
            <w:tcW w:w="3502" w:type="dxa"/>
            <w:vAlign w:val="center"/>
          </w:tcPr>
          <w:p w14:paraId="51292E66"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lastRenderedPageBreak/>
              <w:t>Primary</w:t>
            </w:r>
          </w:p>
        </w:tc>
        <w:tc>
          <w:tcPr>
            <w:tcW w:w="1259" w:type="dxa"/>
            <w:vAlign w:val="center"/>
          </w:tcPr>
          <w:p w14:paraId="33E5D453"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5 (4.6)</w:t>
            </w:r>
          </w:p>
        </w:tc>
        <w:tc>
          <w:tcPr>
            <w:tcW w:w="1496" w:type="dxa"/>
            <w:vAlign w:val="center"/>
          </w:tcPr>
          <w:p w14:paraId="130F42C1"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6 (5.6)</w:t>
            </w:r>
          </w:p>
        </w:tc>
        <w:tc>
          <w:tcPr>
            <w:tcW w:w="1207" w:type="dxa"/>
            <w:vAlign w:val="center"/>
          </w:tcPr>
          <w:p w14:paraId="4B80AE58"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11 (5.1)</w:t>
            </w:r>
          </w:p>
        </w:tc>
        <w:tc>
          <w:tcPr>
            <w:tcW w:w="711" w:type="dxa"/>
            <w:vAlign w:val="center"/>
          </w:tcPr>
          <w:p w14:paraId="22AD43B5"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6C0B3325"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6E7B8D92" w14:textId="77777777" w:rsidTr="005D22FF">
        <w:trPr>
          <w:trHeight w:val="68"/>
        </w:trPr>
        <w:tc>
          <w:tcPr>
            <w:tcW w:w="3502" w:type="dxa"/>
            <w:vAlign w:val="center"/>
          </w:tcPr>
          <w:p w14:paraId="54867D43"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Secondary</w:t>
            </w:r>
          </w:p>
        </w:tc>
        <w:tc>
          <w:tcPr>
            <w:tcW w:w="1259" w:type="dxa"/>
            <w:vAlign w:val="center"/>
          </w:tcPr>
          <w:p w14:paraId="46804EC1"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35 (32.4)</w:t>
            </w:r>
          </w:p>
        </w:tc>
        <w:tc>
          <w:tcPr>
            <w:tcW w:w="1496" w:type="dxa"/>
            <w:vAlign w:val="center"/>
          </w:tcPr>
          <w:p w14:paraId="435A0CAB"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37 (34.3)</w:t>
            </w:r>
          </w:p>
        </w:tc>
        <w:tc>
          <w:tcPr>
            <w:tcW w:w="1207" w:type="dxa"/>
            <w:vAlign w:val="center"/>
          </w:tcPr>
          <w:p w14:paraId="70A4CBB1"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72 (33.3)</w:t>
            </w:r>
          </w:p>
        </w:tc>
        <w:tc>
          <w:tcPr>
            <w:tcW w:w="711" w:type="dxa"/>
            <w:vAlign w:val="center"/>
          </w:tcPr>
          <w:p w14:paraId="7D2741C1"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66127E13"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42A2C960" w14:textId="77777777" w:rsidTr="005D22FF">
        <w:trPr>
          <w:trHeight w:val="68"/>
        </w:trPr>
        <w:tc>
          <w:tcPr>
            <w:tcW w:w="3502" w:type="dxa"/>
            <w:vAlign w:val="center"/>
          </w:tcPr>
          <w:p w14:paraId="14F2FEBF"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Tertiary</w:t>
            </w:r>
          </w:p>
        </w:tc>
        <w:tc>
          <w:tcPr>
            <w:tcW w:w="1259" w:type="dxa"/>
            <w:vAlign w:val="center"/>
          </w:tcPr>
          <w:p w14:paraId="49239DA8"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65 (60.2)</w:t>
            </w:r>
          </w:p>
        </w:tc>
        <w:tc>
          <w:tcPr>
            <w:tcW w:w="1496" w:type="dxa"/>
            <w:vAlign w:val="center"/>
          </w:tcPr>
          <w:p w14:paraId="76641FAD"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64 (59.3)</w:t>
            </w:r>
          </w:p>
        </w:tc>
        <w:tc>
          <w:tcPr>
            <w:tcW w:w="1207" w:type="dxa"/>
            <w:vAlign w:val="center"/>
          </w:tcPr>
          <w:p w14:paraId="7A203465"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129 (59.7)</w:t>
            </w:r>
          </w:p>
        </w:tc>
        <w:tc>
          <w:tcPr>
            <w:tcW w:w="711" w:type="dxa"/>
            <w:vAlign w:val="center"/>
          </w:tcPr>
          <w:p w14:paraId="4086ECF8"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133DBDB0"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029432BE" w14:textId="77777777" w:rsidTr="007F24F4">
        <w:trPr>
          <w:trHeight w:val="288"/>
        </w:trPr>
        <w:tc>
          <w:tcPr>
            <w:tcW w:w="3502" w:type="dxa"/>
            <w:vAlign w:val="center"/>
          </w:tcPr>
          <w:p w14:paraId="7A1449CE" w14:textId="77777777" w:rsidR="00E95DBD" w:rsidRDefault="00E95DBD" w:rsidP="005D22F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Occupation</w:t>
            </w:r>
          </w:p>
        </w:tc>
        <w:tc>
          <w:tcPr>
            <w:tcW w:w="1259" w:type="dxa"/>
            <w:vAlign w:val="center"/>
          </w:tcPr>
          <w:p w14:paraId="77604D2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496" w:type="dxa"/>
            <w:vAlign w:val="center"/>
          </w:tcPr>
          <w:p w14:paraId="447DECE6"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207" w:type="dxa"/>
            <w:vAlign w:val="center"/>
          </w:tcPr>
          <w:p w14:paraId="2DF611E4"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711" w:type="dxa"/>
            <w:vAlign w:val="center"/>
          </w:tcPr>
          <w:p w14:paraId="5419259A"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63C4739D"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3D1811EA" w14:textId="77777777" w:rsidTr="007F24F4">
        <w:trPr>
          <w:trHeight w:val="288"/>
        </w:trPr>
        <w:tc>
          <w:tcPr>
            <w:tcW w:w="3502" w:type="dxa"/>
            <w:vAlign w:val="center"/>
          </w:tcPr>
          <w:p w14:paraId="0A6B5B4C"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Unemployed</w:t>
            </w:r>
          </w:p>
        </w:tc>
        <w:tc>
          <w:tcPr>
            <w:tcW w:w="1259" w:type="dxa"/>
            <w:vAlign w:val="center"/>
          </w:tcPr>
          <w:p w14:paraId="539A35E5"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17 (16)</w:t>
            </w:r>
          </w:p>
        </w:tc>
        <w:tc>
          <w:tcPr>
            <w:tcW w:w="1496" w:type="dxa"/>
            <w:vAlign w:val="center"/>
          </w:tcPr>
          <w:p w14:paraId="5E12875E"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19 (18.1)</w:t>
            </w:r>
          </w:p>
        </w:tc>
        <w:tc>
          <w:tcPr>
            <w:tcW w:w="1207" w:type="dxa"/>
            <w:vAlign w:val="center"/>
          </w:tcPr>
          <w:p w14:paraId="07E0155E"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36 (17.1)</w:t>
            </w:r>
          </w:p>
        </w:tc>
        <w:tc>
          <w:tcPr>
            <w:tcW w:w="711" w:type="dxa"/>
            <w:vAlign w:val="center"/>
          </w:tcPr>
          <w:p w14:paraId="3AA0600F"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3.194</w:t>
            </w:r>
          </w:p>
        </w:tc>
        <w:tc>
          <w:tcPr>
            <w:tcW w:w="987" w:type="dxa"/>
            <w:vAlign w:val="center"/>
          </w:tcPr>
          <w:p w14:paraId="35920008"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0.363</w:t>
            </w:r>
          </w:p>
        </w:tc>
      </w:tr>
      <w:tr w:rsidR="00E95DBD" w14:paraId="7A91C5C4" w14:textId="77777777" w:rsidTr="007F24F4">
        <w:trPr>
          <w:trHeight w:val="288"/>
        </w:trPr>
        <w:tc>
          <w:tcPr>
            <w:tcW w:w="3502" w:type="dxa"/>
            <w:vAlign w:val="center"/>
          </w:tcPr>
          <w:p w14:paraId="5F742422"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Trader/Business</w:t>
            </w:r>
          </w:p>
        </w:tc>
        <w:tc>
          <w:tcPr>
            <w:tcW w:w="1259" w:type="dxa"/>
            <w:vAlign w:val="center"/>
          </w:tcPr>
          <w:p w14:paraId="059B1C4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50 (47.2)</w:t>
            </w:r>
          </w:p>
        </w:tc>
        <w:tc>
          <w:tcPr>
            <w:tcW w:w="1496" w:type="dxa"/>
            <w:vAlign w:val="center"/>
          </w:tcPr>
          <w:p w14:paraId="2A995153"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37 (35.2)</w:t>
            </w:r>
          </w:p>
        </w:tc>
        <w:tc>
          <w:tcPr>
            <w:tcW w:w="1207" w:type="dxa"/>
            <w:vAlign w:val="center"/>
          </w:tcPr>
          <w:p w14:paraId="56D19C17"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87 (41.2)</w:t>
            </w:r>
          </w:p>
        </w:tc>
        <w:tc>
          <w:tcPr>
            <w:tcW w:w="711" w:type="dxa"/>
            <w:vAlign w:val="center"/>
          </w:tcPr>
          <w:p w14:paraId="425E0E60"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2D5A418F"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376F0BB4" w14:textId="77777777" w:rsidTr="007F24F4">
        <w:trPr>
          <w:trHeight w:val="288"/>
        </w:trPr>
        <w:tc>
          <w:tcPr>
            <w:tcW w:w="3502" w:type="dxa"/>
            <w:vAlign w:val="center"/>
          </w:tcPr>
          <w:p w14:paraId="455CE098"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Civil servant</w:t>
            </w:r>
          </w:p>
        </w:tc>
        <w:tc>
          <w:tcPr>
            <w:tcW w:w="1259" w:type="dxa"/>
            <w:vAlign w:val="center"/>
          </w:tcPr>
          <w:p w14:paraId="172112BE"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29 (27.4)</w:t>
            </w:r>
          </w:p>
        </w:tc>
        <w:tc>
          <w:tcPr>
            <w:tcW w:w="1496" w:type="dxa"/>
            <w:vAlign w:val="center"/>
          </w:tcPr>
          <w:p w14:paraId="6AD8CF99"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36 (34.3)</w:t>
            </w:r>
          </w:p>
        </w:tc>
        <w:tc>
          <w:tcPr>
            <w:tcW w:w="1207" w:type="dxa"/>
            <w:vAlign w:val="center"/>
          </w:tcPr>
          <w:p w14:paraId="1AA112D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65 (30.8)</w:t>
            </w:r>
          </w:p>
        </w:tc>
        <w:tc>
          <w:tcPr>
            <w:tcW w:w="711" w:type="dxa"/>
            <w:vAlign w:val="center"/>
          </w:tcPr>
          <w:p w14:paraId="305CE8D2"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775C9FE5"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04D269EB" w14:textId="77777777" w:rsidTr="005D22FF">
        <w:trPr>
          <w:trHeight w:val="68"/>
        </w:trPr>
        <w:tc>
          <w:tcPr>
            <w:tcW w:w="3502" w:type="dxa"/>
            <w:vAlign w:val="center"/>
          </w:tcPr>
          <w:p w14:paraId="3A20C771"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Artisan</w:t>
            </w:r>
          </w:p>
        </w:tc>
        <w:tc>
          <w:tcPr>
            <w:tcW w:w="1259" w:type="dxa"/>
            <w:vAlign w:val="center"/>
          </w:tcPr>
          <w:p w14:paraId="169005BB"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10 (9.4)</w:t>
            </w:r>
          </w:p>
        </w:tc>
        <w:tc>
          <w:tcPr>
            <w:tcW w:w="1496" w:type="dxa"/>
            <w:vAlign w:val="center"/>
          </w:tcPr>
          <w:p w14:paraId="2E389BF2"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13 (12.4)</w:t>
            </w:r>
          </w:p>
        </w:tc>
        <w:tc>
          <w:tcPr>
            <w:tcW w:w="1207" w:type="dxa"/>
            <w:vAlign w:val="center"/>
          </w:tcPr>
          <w:p w14:paraId="4CC3518E"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23 (10.9)</w:t>
            </w:r>
          </w:p>
        </w:tc>
        <w:tc>
          <w:tcPr>
            <w:tcW w:w="711" w:type="dxa"/>
            <w:vAlign w:val="center"/>
          </w:tcPr>
          <w:p w14:paraId="7C1C88BA"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6DB64719"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5E02FDC4" w14:textId="77777777" w:rsidTr="005D22FF">
        <w:trPr>
          <w:trHeight w:val="68"/>
        </w:trPr>
        <w:tc>
          <w:tcPr>
            <w:tcW w:w="3502" w:type="dxa"/>
            <w:vAlign w:val="center"/>
          </w:tcPr>
          <w:p w14:paraId="17361C23"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Other</w:t>
            </w:r>
            <w:r>
              <w:rPr>
                <w:rFonts w:eastAsia="Times New Roman"/>
                <w:color w:val="000000"/>
                <w:lang w:bidi="ar"/>
              </w:rPr>
              <w:t>s (Banking, Farming</w:t>
            </w:r>
          </w:p>
        </w:tc>
        <w:tc>
          <w:tcPr>
            <w:tcW w:w="1259" w:type="dxa"/>
            <w:vAlign w:val="center"/>
          </w:tcPr>
          <w:p w14:paraId="11E2344C" w14:textId="77777777" w:rsidR="00E95DBD" w:rsidRDefault="00E95DBD" w:rsidP="005D22FF">
            <w:pPr>
              <w:spacing w:before="0" w:beforeAutospacing="0" w:after="0" w:afterAutospacing="0" w:line="240" w:lineRule="auto"/>
              <w:jc w:val="center"/>
              <w:rPr>
                <w:rFonts w:eastAsia="Times New Roman"/>
                <w:color w:val="000000"/>
              </w:rPr>
            </w:pPr>
            <w:r>
              <w:rPr>
                <w:rFonts w:eastAsia="Times New Roman"/>
                <w:color w:val="000000"/>
                <w:lang w:bidi="ar"/>
              </w:rPr>
              <w:t>2 (1.8)</w:t>
            </w:r>
          </w:p>
        </w:tc>
        <w:tc>
          <w:tcPr>
            <w:tcW w:w="1496" w:type="dxa"/>
            <w:vAlign w:val="center"/>
          </w:tcPr>
          <w:p w14:paraId="2DFD0953" w14:textId="77777777" w:rsidR="00E95DBD" w:rsidRDefault="00E95DBD" w:rsidP="005D22FF">
            <w:pPr>
              <w:spacing w:before="0" w:beforeAutospacing="0" w:after="0" w:afterAutospacing="0" w:line="240" w:lineRule="auto"/>
              <w:jc w:val="center"/>
              <w:rPr>
                <w:rFonts w:eastAsia="Times New Roman"/>
                <w:color w:val="000000"/>
              </w:rPr>
            </w:pPr>
            <w:r>
              <w:rPr>
                <w:rFonts w:eastAsia="Times New Roman"/>
                <w:color w:val="000000"/>
                <w:lang w:bidi="ar"/>
              </w:rPr>
              <w:t>3 (2.8)</w:t>
            </w:r>
          </w:p>
        </w:tc>
        <w:tc>
          <w:tcPr>
            <w:tcW w:w="1207" w:type="dxa"/>
            <w:vAlign w:val="center"/>
          </w:tcPr>
          <w:p w14:paraId="5F5B7417" w14:textId="77777777" w:rsidR="00E95DBD" w:rsidRDefault="00E95DBD" w:rsidP="005D22FF">
            <w:pPr>
              <w:spacing w:before="0" w:beforeAutospacing="0" w:after="0" w:afterAutospacing="0" w:line="240" w:lineRule="auto"/>
              <w:jc w:val="center"/>
              <w:rPr>
                <w:rFonts w:eastAsia="Times New Roman"/>
                <w:color w:val="000000"/>
              </w:rPr>
            </w:pPr>
            <w:r>
              <w:rPr>
                <w:rFonts w:eastAsia="Times New Roman"/>
                <w:color w:val="000000"/>
                <w:lang w:bidi="ar"/>
              </w:rPr>
              <w:t>5 (2.4)</w:t>
            </w:r>
          </w:p>
        </w:tc>
        <w:tc>
          <w:tcPr>
            <w:tcW w:w="711" w:type="dxa"/>
            <w:vAlign w:val="center"/>
          </w:tcPr>
          <w:p w14:paraId="5281865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4E0CD98E"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5000A3B4" w14:textId="77777777" w:rsidTr="007F24F4">
        <w:trPr>
          <w:trHeight w:val="288"/>
        </w:trPr>
        <w:tc>
          <w:tcPr>
            <w:tcW w:w="3502" w:type="dxa"/>
            <w:vAlign w:val="center"/>
          </w:tcPr>
          <w:p w14:paraId="33CE3899" w14:textId="77777777" w:rsidR="00E95DBD" w:rsidRDefault="00E95DBD" w:rsidP="005D22F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Number of children</w:t>
            </w:r>
          </w:p>
        </w:tc>
        <w:tc>
          <w:tcPr>
            <w:tcW w:w="1259" w:type="dxa"/>
            <w:vAlign w:val="center"/>
          </w:tcPr>
          <w:p w14:paraId="095E0AB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496" w:type="dxa"/>
            <w:vAlign w:val="center"/>
          </w:tcPr>
          <w:p w14:paraId="77CEE799"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1207" w:type="dxa"/>
            <w:vAlign w:val="center"/>
          </w:tcPr>
          <w:p w14:paraId="5797CAD9"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711" w:type="dxa"/>
            <w:vAlign w:val="center"/>
          </w:tcPr>
          <w:p w14:paraId="754DC0D1"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42EB17E6"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7B9CE16D" w14:textId="77777777" w:rsidTr="007F24F4">
        <w:trPr>
          <w:trHeight w:val="288"/>
        </w:trPr>
        <w:tc>
          <w:tcPr>
            <w:tcW w:w="3502" w:type="dxa"/>
            <w:vAlign w:val="center"/>
          </w:tcPr>
          <w:p w14:paraId="4394FF5D"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One</w:t>
            </w:r>
          </w:p>
        </w:tc>
        <w:tc>
          <w:tcPr>
            <w:tcW w:w="1259" w:type="dxa"/>
            <w:vAlign w:val="center"/>
          </w:tcPr>
          <w:p w14:paraId="46157DD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20 (18.9)</w:t>
            </w:r>
          </w:p>
        </w:tc>
        <w:tc>
          <w:tcPr>
            <w:tcW w:w="1496" w:type="dxa"/>
            <w:vAlign w:val="center"/>
          </w:tcPr>
          <w:p w14:paraId="418A2A0D"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10 (9.3)</w:t>
            </w:r>
          </w:p>
        </w:tc>
        <w:tc>
          <w:tcPr>
            <w:tcW w:w="1207" w:type="dxa"/>
            <w:vAlign w:val="center"/>
          </w:tcPr>
          <w:p w14:paraId="6C7C1959"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30 (14)</w:t>
            </w:r>
          </w:p>
        </w:tc>
        <w:tc>
          <w:tcPr>
            <w:tcW w:w="711" w:type="dxa"/>
            <w:vAlign w:val="center"/>
          </w:tcPr>
          <w:p w14:paraId="6FE5695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6.745</w:t>
            </w:r>
          </w:p>
        </w:tc>
        <w:tc>
          <w:tcPr>
            <w:tcW w:w="987" w:type="dxa"/>
            <w:vAlign w:val="center"/>
          </w:tcPr>
          <w:p w14:paraId="4F07DC57"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0.08</w:t>
            </w:r>
          </w:p>
        </w:tc>
      </w:tr>
      <w:tr w:rsidR="00E95DBD" w14:paraId="4C50031D" w14:textId="77777777" w:rsidTr="007F24F4">
        <w:trPr>
          <w:trHeight w:val="288"/>
        </w:trPr>
        <w:tc>
          <w:tcPr>
            <w:tcW w:w="3502" w:type="dxa"/>
            <w:vAlign w:val="center"/>
          </w:tcPr>
          <w:p w14:paraId="4C80FB0C"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Two</w:t>
            </w:r>
          </w:p>
        </w:tc>
        <w:tc>
          <w:tcPr>
            <w:tcW w:w="1259" w:type="dxa"/>
            <w:vAlign w:val="center"/>
          </w:tcPr>
          <w:p w14:paraId="0B2BDD4B"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27 (25.5)</w:t>
            </w:r>
          </w:p>
        </w:tc>
        <w:tc>
          <w:tcPr>
            <w:tcW w:w="1496" w:type="dxa"/>
            <w:vAlign w:val="center"/>
          </w:tcPr>
          <w:p w14:paraId="2CD5493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29 (26.9)</w:t>
            </w:r>
          </w:p>
        </w:tc>
        <w:tc>
          <w:tcPr>
            <w:tcW w:w="1207" w:type="dxa"/>
            <w:vAlign w:val="center"/>
          </w:tcPr>
          <w:p w14:paraId="0D67451D"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56 (26.2)</w:t>
            </w:r>
          </w:p>
        </w:tc>
        <w:tc>
          <w:tcPr>
            <w:tcW w:w="711" w:type="dxa"/>
            <w:vAlign w:val="center"/>
          </w:tcPr>
          <w:p w14:paraId="4DD3137F"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359FBE30"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69C3D6C3" w14:textId="77777777" w:rsidTr="007F24F4">
        <w:trPr>
          <w:trHeight w:val="288"/>
        </w:trPr>
        <w:tc>
          <w:tcPr>
            <w:tcW w:w="3502" w:type="dxa"/>
            <w:vAlign w:val="center"/>
          </w:tcPr>
          <w:p w14:paraId="34945AE9"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Three</w:t>
            </w:r>
          </w:p>
        </w:tc>
        <w:tc>
          <w:tcPr>
            <w:tcW w:w="1259" w:type="dxa"/>
            <w:vAlign w:val="center"/>
          </w:tcPr>
          <w:p w14:paraId="3A705B49"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27 (25.5)</w:t>
            </w:r>
          </w:p>
        </w:tc>
        <w:tc>
          <w:tcPr>
            <w:tcW w:w="1496" w:type="dxa"/>
            <w:vAlign w:val="center"/>
          </w:tcPr>
          <w:p w14:paraId="036AD3AB"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22 (20.4)</w:t>
            </w:r>
          </w:p>
        </w:tc>
        <w:tc>
          <w:tcPr>
            <w:tcW w:w="1207" w:type="dxa"/>
            <w:vAlign w:val="center"/>
          </w:tcPr>
          <w:p w14:paraId="3446F9E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49 (22.9)</w:t>
            </w:r>
          </w:p>
        </w:tc>
        <w:tc>
          <w:tcPr>
            <w:tcW w:w="711" w:type="dxa"/>
            <w:vAlign w:val="center"/>
          </w:tcPr>
          <w:p w14:paraId="21EEB26C" w14:textId="77777777" w:rsidR="00E95DBD" w:rsidRDefault="00E95DBD" w:rsidP="005D22FF">
            <w:pPr>
              <w:spacing w:before="0" w:beforeAutospacing="0" w:after="0" w:afterAutospacing="0" w:line="240" w:lineRule="auto"/>
              <w:rPr>
                <w:rFonts w:ascii="Calibri" w:hAnsi="Calibri"/>
                <w:sz w:val="22"/>
                <w:szCs w:val="22"/>
                <w:lang w:eastAsia="en-US"/>
              </w:rPr>
            </w:pPr>
          </w:p>
        </w:tc>
        <w:tc>
          <w:tcPr>
            <w:tcW w:w="987" w:type="dxa"/>
            <w:vAlign w:val="center"/>
          </w:tcPr>
          <w:p w14:paraId="5D3F8AFC" w14:textId="77777777" w:rsidR="00E95DBD" w:rsidRDefault="00E95DBD" w:rsidP="005D22FF">
            <w:pPr>
              <w:spacing w:before="0" w:beforeAutospacing="0" w:after="0" w:afterAutospacing="0" w:line="240" w:lineRule="auto"/>
              <w:rPr>
                <w:rFonts w:ascii="Calibri" w:hAnsi="Calibri"/>
                <w:sz w:val="22"/>
                <w:szCs w:val="22"/>
                <w:lang w:eastAsia="en-US"/>
              </w:rPr>
            </w:pPr>
          </w:p>
        </w:tc>
      </w:tr>
      <w:tr w:rsidR="00E95DBD" w14:paraId="76A92D9B" w14:textId="77777777" w:rsidTr="007F24F4">
        <w:trPr>
          <w:trHeight w:val="300"/>
        </w:trPr>
        <w:tc>
          <w:tcPr>
            <w:tcW w:w="3502" w:type="dxa"/>
            <w:tcBorders>
              <w:top w:val="nil"/>
              <w:left w:val="nil"/>
              <w:bottom w:val="single" w:sz="12" w:space="0" w:color="auto"/>
              <w:right w:val="nil"/>
            </w:tcBorders>
            <w:vAlign w:val="center"/>
          </w:tcPr>
          <w:p w14:paraId="1912E24A" w14:textId="77777777" w:rsidR="00E95DBD" w:rsidRDefault="00E95DBD" w:rsidP="005D22FF">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Four or more</w:t>
            </w:r>
          </w:p>
        </w:tc>
        <w:tc>
          <w:tcPr>
            <w:tcW w:w="1259" w:type="dxa"/>
            <w:tcBorders>
              <w:top w:val="nil"/>
              <w:left w:val="nil"/>
              <w:bottom w:val="single" w:sz="12" w:space="0" w:color="auto"/>
              <w:right w:val="nil"/>
            </w:tcBorders>
            <w:vAlign w:val="center"/>
          </w:tcPr>
          <w:p w14:paraId="047FF67F"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32 (30.2)</w:t>
            </w:r>
          </w:p>
        </w:tc>
        <w:tc>
          <w:tcPr>
            <w:tcW w:w="1496" w:type="dxa"/>
            <w:tcBorders>
              <w:top w:val="nil"/>
              <w:left w:val="nil"/>
              <w:bottom w:val="single" w:sz="12" w:space="0" w:color="auto"/>
              <w:right w:val="nil"/>
            </w:tcBorders>
            <w:vAlign w:val="center"/>
          </w:tcPr>
          <w:p w14:paraId="3C200FCC"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47 (43.5)</w:t>
            </w:r>
          </w:p>
        </w:tc>
        <w:tc>
          <w:tcPr>
            <w:tcW w:w="1207" w:type="dxa"/>
            <w:tcBorders>
              <w:top w:val="nil"/>
              <w:left w:val="nil"/>
              <w:bottom w:val="single" w:sz="12" w:space="0" w:color="auto"/>
              <w:right w:val="nil"/>
            </w:tcBorders>
            <w:vAlign w:val="center"/>
          </w:tcPr>
          <w:p w14:paraId="350ADEA6"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79 (36.9)</w:t>
            </w:r>
          </w:p>
        </w:tc>
        <w:tc>
          <w:tcPr>
            <w:tcW w:w="711" w:type="dxa"/>
            <w:tcBorders>
              <w:top w:val="nil"/>
              <w:left w:val="nil"/>
              <w:bottom w:val="single" w:sz="12" w:space="0" w:color="auto"/>
              <w:right w:val="nil"/>
            </w:tcBorders>
            <w:vAlign w:val="center"/>
          </w:tcPr>
          <w:p w14:paraId="7D0C6277"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 </w:t>
            </w:r>
          </w:p>
        </w:tc>
        <w:tc>
          <w:tcPr>
            <w:tcW w:w="987" w:type="dxa"/>
            <w:tcBorders>
              <w:top w:val="nil"/>
              <w:left w:val="nil"/>
              <w:bottom w:val="single" w:sz="12" w:space="0" w:color="auto"/>
              <w:right w:val="nil"/>
            </w:tcBorders>
            <w:vAlign w:val="center"/>
          </w:tcPr>
          <w:p w14:paraId="5F2A591A" w14:textId="77777777" w:rsidR="00E95DBD" w:rsidRDefault="00E95DBD" w:rsidP="005D22FF">
            <w:pPr>
              <w:spacing w:before="0" w:beforeAutospacing="0" w:after="0" w:afterAutospacing="0" w:line="240" w:lineRule="auto"/>
              <w:jc w:val="center"/>
              <w:rPr>
                <w:rFonts w:eastAsia="Times New Roman"/>
                <w:color w:val="000000"/>
                <w:sz w:val="22"/>
              </w:rPr>
            </w:pPr>
            <w:r>
              <w:rPr>
                <w:rFonts w:eastAsia="Times New Roman"/>
                <w:color w:val="000000"/>
                <w:sz w:val="22"/>
                <w:lang w:bidi="ar"/>
              </w:rPr>
              <w:t> </w:t>
            </w:r>
          </w:p>
        </w:tc>
      </w:tr>
    </w:tbl>
    <w:p w14:paraId="0492D3FD" w14:textId="2C66B25A" w:rsidR="00E95DBD" w:rsidRDefault="00E95DBD" w:rsidP="002F35F6">
      <w:pPr>
        <w:spacing w:line="240" w:lineRule="auto"/>
        <w:jc w:val="both"/>
      </w:pPr>
    </w:p>
    <w:p w14:paraId="79B8FD7B" w14:textId="77777777" w:rsidR="00734F52" w:rsidRPr="00734F52" w:rsidRDefault="00734F52" w:rsidP="00281902">
      <w:pPr>
        <w:spacing w:line="360" w:lineRule="auto"/>
        <w:jc w:val="both"/>
        <w:rPr>
          <w:b/>
          <w:bCs/>
          <w:lang w:bidi="ar"/>
        </w:rPr>
      </w:pPr>
      <w:r w:rsidRPr="00734F52">
        <w:rPr>
          <w:b/>
          <w:bCs/>
          <w:lang w:bidi="ar"/>
        </w:rPr>
        <w:t>Knowledge of Immunization among Mothers with Under-Five Children in AEFUTHA between Control and Study Groups</w:t>
      </w:r>
    </w:p>
    <w:p w14:paraId="46AA3781" w14:textId="43C875C8" w:rsidR="00734F52" w:rsidRDefault="00734F52" w:rsidP="00281902">
      <w:pPr>
        <w:spacing w:line="360" w:lineRule="auto"/>
        <w:jc w:val="both"/>
      </w:pPr>
      <w:r>
        <w:t>At the beginning of the study, baseline knowledge of immunization among mothers with under-five children was generally high and comparable between the control and intervention groups, with no statistically significant differences observed. Nearly all respondents correctly acknowledged that immunization protects children from diseases (99.1% in both groups, χ² = 0.000, p = 1.000), and knowledge of vaccine-preventable diseases such as polio, measles, and tuberculosis was equally strong (94.4% each, χ² = 0.000, p = 1.000). Awareness that children should complete all doses in the immunization schedule was also high (89.8% in control vs. 88.9% in intervention, χ² = 0.049, p = 0.825), as was knowledge that vaccines are provided free of charge at government facilities (90.7% vs. 91.7%, χ² = 0.058, p = 0.810). However, fewer mothers recognized that missing doses puts children at risk of infection (80.6% vs. 75.9%, χ² = 0.680, p = 0.410) or that some vaccines require multiple doses (71.3% vs. 64.8%, χ² = 1.043, p = 0.</w:t>
      </w:r>
      <w:r>
        <w:rPr>
          <w:rFonts w:hint="eastAsia"/>
        </w:rPr>
        <w:t>307). Aggregated scores showed that 79.6% of mothers in the control group and 75.0% in the intervention group demonstrated good knowledge (</w:t>
      </w:r>
      <w:r>
        <w:rPr>
          <w:rFonts w:hint="eastAsia"/>
        </w:rPr>
        <w:t>≥</w:t>
      </w:r>
      <w:r>
        <w:rPr>
          <w:rFonts w:hint="eastAsia"/>
        </w:rPr>
        <w:t xml:space="preserve">6 correct responses), while 20.4% and 25.0% respectively had </w:t>
      </w:r>
      <w:r>
        <w:rPr>
          <w:rFonts w:hint="eastAsia"/>
        </w:rPr>
        <w:lastRenderedPageBreak/>
        <w:t>poor knowledge (&lt;6 correct responses), with no statisti</w:t>
      </w:r>
      <w:r>
        <w:t>cally significant difference (χ² = 0.660, p = 0.417)</w:t>
      </w:r>
      <w:r w:rsidR="00D4358F">
        <w:t xml:space="preserve"> </w:t>
      </w:r>
      <w:r w:rsidR="00D4358F" w:rsidRPr="00D4358F">
        <w:rPr>
          <w:b/>
          <w:bCs/>
        </w:rPr>
        <w:t>(See Fig. 1)</w:t>
      </w:r>
      <w:r>
        <w:t>.</w:t>
      </w:r>
    </w:p>
    <w:p w14:paraId="3695C5C7" w14:textId="3372C0B5" w:rsidR="00DF4E27" w:rsidRDefault="00734F52" w:rsidP="00281902">
      <w:pPr>
        <w:spacing w:line="360" w:lineRule="auto"/>
        <w:jc w:val="both"/>
      </w:pPr>
      <w:r>
        <w:t>By the end of the study, significant improvements were evident in the intervention group compared to the control. Recognition of vaccine-preventable diseases was higher among study mothers (99% vs. 93.8%, χ² = 3.973, p = 0.046), and awareness of completing all doses in the immunization schedule was universal in the intervention group (100% vs. 89.6%, χ² = 11.083, p = 0.001). Knowledge that vaccines are provided free of charge was significantly greater (100% vs. 89.6%, χ² = 11.083, p = 0.001), and understanding that missing doses puts children at risk of infection improved markedly (98% vs. 81.3%, χ² = 15.174, p &lt; 0.001). Similarly, knowledge that some vaccines require multiple doses rose to 96% in the intervention group compared to 70.8% in control (χ² = 22.985, p &lt; 0.001). Awareness of immunization safety was universal in the intervention group (100% vs. 94.8%, χ² = 5.397, p = 0.020), and recognition that immunization helps prevent community outbreaks was significantly higher (97% vs. 88.5%, χ² = 5.371, p = 0.020). Knowledge of the importance of keeping the child’s immunization card was also greater (99% vs. 88.5%, χ² = 9.429, p = 0.002). Aggregated scores revealed that 99% of mothers in the intervention group demonstrated good knowledge compared to 80.2% in the control group, while poor knowledge was reported by only 1% of study mothers compared to 19.8% of control mothers, a statistically significant difference (χ² = 19.074, p &lt; 0.001)</w:t>
      </w:r>
      <w:r w:rsidR="00D4358F">
        <w:t xml:space="preserve"> </w:t>
      </w:r>
      <w:r w:rsidR="00D4358F" w:rsidRPr="00D4358F">
        <w:rPr>
          <w:b/>
          <w:bCs/>
        </w:rPr>
        <w:t xml:space="preserve">(See Fig. </w:t>
      </w:r>
      <w:r w:rsidR="00D4358F">
        <w:rPr>
          <w:b/>
          <w:bCs/>
        </w:rPr>
        <w:t>2</w:t>
      </w:r>
      <w:r w:rsidR="00D4358F" w:rsidRPr="00D4358F">
        <w:rPr>
          <w:b/>
          <w:bCs/>
        </w:rPr>
        <w:t>)</w:t>
      </w:r>
      <w:r>
        <w:t xml:space="preserve">. </w:t>
      </w:r>
    </w:p>
    <w:p w14:paraId="278975F1" w14:textId="77777777" w:rsidR="00734F52" w:rsidRPr="00734F52" w:rsidRDefault="00734F52" w:rsidP="00281902">
      <w:pPr>
        <w:spacing w:line="360" w:lineRule="auto"/>
        <w:jc w:val="both"/>
        <w:rPr>
          <w:b/>
          <w:bCs/>
        </w:rPr>
      </w:pPr>
      <w:r w:rsidRPr="00734F52">
        <w:rPr>
          <w:b/>
          <w:bCs/>
        </w:rPr>
        <w:t>Attitudes Towards Immunization Uptake Among Mothers in AEFUTHA</w:t>
      </w:r>
    </w:p>
    <w:p w14:paraId="101CFA2E" w14:textId="79C018B3" w:rsidR="00734F52" w:rsidRDefault="00734F52" w:rsidP="00281902">
      <w:pPr>
        <w:spacing w:line="360" w:lineRule="auto"/>
        <w:jc w:val="both"/>
      </w:pPr>
      <w:r>
        <w:t xml:space="preserve">At baseline, attitudes towards immunization uptake showed no statistically significant differences between the control and intervention groups. Although beliefs such as the possibility of infection after vaccination (70.4% vs. 76.9%, χ² = 3.979, p = 0.264), recognition that vaccine-preventable diseases can cause disability or death (88.8% vs. 90.7%, χ² = 0.601, p = 0.896), and compliance with the immunization schedule (93.5% vs. 87%, χ² = 3.908, p = 0.272) were widely acknowledged, none of these differences reached statistical significance. Similarly, concerns about vaccine side effects, preferences for treating diseases rather than preventing them, perceptions that immunization is a waste of time, and distance to clinics as a barrier did not differ significantly across groups. Aggregated scores revealed that 46.3% of mothers in the intervention group and </w:t>
      </w:r>
      <w:r>
        <w:lastRenderedPageBreak/>
        <w:t>35.4% in the control group demonstrated positive attitudes, but this difference was not statistically significant (χ² = 0.271, p = 0.603)</w:t>
      </w:r>
      <w:r w:rsidR="00D4358F">
        <w:t xml:space="preserve"> </w:t>
      </w:r>
      <w:r w:rsidR="00D4358F" w:rsidRPr="00D4358F">
        <w:rPr>
          <w:b/>
          <w:bCs/>
        </w:rPr>
        <w:t xml:space="preserve">(See Fig. </w:t>
      </w:r>
      <w:r w:rsidR="00D4358F">
        <w:rPr>
          <w:b/>
          <w:bCs/>
        </w:rPr>
        <w:t>3</w:t>
      </w:r>
      <w:r w:rsidR="00D4358F" w:rsidRPr="00D4358F">
        <w:rPr>
          <w:b/>
          <w:bCs/>
        </w:rPr>
        <w:t>)</w:t>
      </w:r>
      <w:r>
        <w:t>.</w:t>
      </w:r>
    </w:p>
    <w:p w14:paraId="42D248B3" w14:textId="312B420C" w:rsidR="00734F52" w:rsidRDefault="00734F52" w:rsidP="00281902">
      <w:pPr>
        <w:spacing w:line="360" w:lineRule="auto"/>
        <w:jc w:val="both"/>
      </w:pPr>
      <w:r>
        <w:t>By the end of the study, however, several attitudes showed statistically significant improvements in the intervention group compared to the control. The belief that a child could become infected after vaccination was strongly rejected by study mothers (94% disagreed vs. 59.4% agreed in control, χ² = 65.555, p &lt; 0.001). Recognition that vaccine-preventable diseases can cause disability or death was significantly higher among study mothers (96% disagreed vs. 68.8% agreed in control, χ² = 104.184, p &lt; 0.001). Concerns about vaccine side effects were markedly reduced (93.1% disagreed vs. 23.9% in control, χ² = 98.738, p &lt; 0.001), and preference for treating diseases rather than preventing them through immunization was significantly lower (94% disagreed vs. 67.7% in control, χ² = 33.941, p &lt; 0.001). Likewise, the perception that immunization is a waste of time was strongly rejected by study mothers (98% disagreed vs. 71.9% in control, χ² = 19.462, p &lt; 0.001). Aggregated scores confirmed these improvements, with 69.3% of mothers in the intervention group demonstrating positive attitudes compared to 35.4% in the control group, a statistically significant difference (χ² = 29.721, p &lt; 0.001)</w:t>
      </w:r>
      <w:r w:rsidR="00D4358F">
        <w:t xml:space="preserve"> </w:t>
      </w:r>
      <w:r w:rsidR="00D4358F" w:rsidRPr="00D4358F">
        <w:rPr>
          <w:b/>
          <w:bCs/>
        </w:rPr>
        <w:t xml:space="preserve">(See Fig. </w:t>
      </w:r>
      <w:r w:rsidR="00D4358F">
        <w:rPr>
          <w:b/>
          <w:bCs/>
        </w:rPr>
        <w:t>4</w:t>
      </w:r>
      <w:r w:rsidR="00D4358F" w:rsidRPr="00D4358F">
        <w:rPr>
          <w:b/>
          <w:bCs/>
        </w:rPr>
        <w:t>)</w:t>
      </w:r>
      <w:r>
        <w:t>.</w:t>
      </w:r>
    </w:p>
    <w:p w14:paraId="1D3D1CEB" w14:textId="77777777" w:rsidR="00A0462A" w:rsidRDefault="00A0462A" w:rsidP="00281902">
      <w:pPr>
        <w:spacing w:line="360" w:lineRule="auto"/>
        <w:jc w:val="both"/>
      </w:pPr>
    </w:p>
    <w:p w14:paraId="1298CABC" w14:textId="77777777" w:rsidR="00A0462A" w:rsidRDefault="00A0462A" w:rsidP="00281902">
      <w:pPr>
        <w:spacing w:line="360" w:lineRule="auto"/>
        <w:jc w:val="both"/>
      </w:pPr>
    </w:p>
    <w:p w14:paraId="50FF5257" w14:textId="77777777" w:rsidR="00A0462A" w:rsidRDefault="00A0462A" w:rsidP="00281902">
      <w:pPr>
        <w:spacing w:line="360" w:lineRule="auto"/>
        <w:jc w:val="both"/>
      </w:pPr>
    </w:p>
    <w:p w14:paraId="53C6FF6F" w14:textId="77777777" w:rsidR="00A0462A" w:rsidRDefault="00A0462A" w:rsidP="00281902">
      <w:pPr>
        <w:spacing w:line="360" w:lineRule="auto"/>
        <w:jc w:val="both"/>
      </w:pPr>
    </w:p>
    <w:p w14:paraId="6953C0B2" w14:textId="77777777" w:rsidR="00A0462A" w:rsidRDefault="00A0462A" w:rsidP="00281902">
      <w:pPr>
        <w:spacing w:line="360" w:lineRule="auto"/>
        <w:jc w:val="both"/>
      </w:pPr>
    </w:p>
    <w:p w14:paraId="7025BE3A" w14:textId="77777777" w:rsidR="00A0462A" w:rsidRDefault="00A0462A" w:rsidP="00281902">
      <w:pPr>
        <w:spacing w:line="360" w:lineRule="auto"/>
        <w:jc w:val="both"/>
      </w:pPr>
    </w:p>
    <w:p w14:paraId="4356FD83" w14:textId="77777777" w:rsidR="00A0462A" w:rsidRDefault="00A0462A" w:rsidP="00281902">
      <w:pPr>
        <w:spacing w:line="360" w:lineRule="auto"/>
        <w:jc w:val="both"/>
      </w:pPr>
    </w:p>
    <w:p w14:paraId="0FDB4464" w14:textId="32BCC730" w:rsidR="00E95DBD" w:rsidRDefault="00E53D6E" w:rsidP="002F35F6">
      <w:pPr>
        <w:pStyle w:val="Title"/>
        <w:spacing w:line="240" w:lineRule="auto"/>
      </w:pPr>
      <w:bookmarkStart w:id="12" w:name="_Toc223929073"/>
      <w:bookmarkStart w:id="13" w:name="_Toc224180319"/>
      <w:bookmarkStart w:id="14" w:name="_Toc227062500"/>
      <w:r>
        <w:t xml:space="preserve">Table </w:t>
      </w:r>
      <w:r w:rsidR="00D1540F">
        <w:rPr>
          <w:noProof/>
        </w:rPr>
        <w:fldChar w:fldCharType="begin"/>
      </w:r>
      <w:r w:rsidR="00D1540F">
        <w:rPr>
          <w:noProof/>
        </w:rPr>
        <w:instrText xml:space="preserve"> SEQ Table \* ARABIC </w:instrText>
      </w:r>
      <w:r w:rsidR="00D1540F">
        <w:rPr>
          <w:noProof/>
        </w:rPr>
        <w:fldChar w:fldCharType="separate"/>
      </w:r>
      <w:r w:rsidR="003E565C">
        <w:rPr>
          <w:noProof/>
        </w:rPr>
        <w:t>2</w:t>
      </w:r>
      <w:r w:rsidR="00D1540F">
        <w:rPr>
          <w:noProof/>
        </w:rPr>
        <w:fldChar w:fldCharType="end"/>
      </w:r>
      <w:r w:rsidR="00E95DBD">
        <w:rPr>
          <w:lang w:bidi="ar"/>
        </w:rPr>
        <w:t>: Baseline</w:t>
      </w:r>
      <w:r w:rsidR="005D22FF">
        <w:rPr>
          <w:lang w:bidi="ar"/>
        </w:rPr>
        <w:t xml:space="preserve"> and End of Study</w:t>
      </w:r>
      <w:r w:rsidR="00E95DBD">
        <w:rPr>
          <w:lang w:bidi="ar"/>
        </w:rPr>
        <w:t xml:space="preserve"> Knowledge of Immunization among Mothers with Under-Five Children in AEFUTHA between Control and Study Groups</w:t>
      </w:r>
      <w:bookmarkEnd w:id="12"/>
      <w:bookmarkEnd w:id="13"/>
      <w:bookmarkEnd w:id="14"/>
    </w:p>
    <w:tbl>
      <w:tblPr>
        <w:tblStyle w:val="TableGrid"/>
        <w:tblW w:w="9932"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7"/>
        <w:gridCol w:w="1179"/>
        <w:gridCol w:w="1124"/>
        <w:gridCol w:w="938"/>
        <w:gridCol w:w="9"/>
        <w:gridCol w:w="1213"/>
        <w:gridCol w:w="1033"/>
        <w:gridCol w:w="961"/>
        <w:gridCol w:w="18"/>
      </w:tblGrid>
      <w:tr w:rsidR="005D22FF" w:rsidRPr="00B34FBC" w14:paraId="5769994B" w14:textId="77777777" w:rsidTr="00734F52">
        <w:trPr>
          <w:tblHeader/>
        </w:trPr>
        <w:tc>
          <w:tcPr>
            <w:tcW w:w="3457" w:type="dxa"/>
          </w:tcPr>
          <w:p w14:paraId="438685A6" w14:textId="77777777" w:rsidR="005D22FF" w:rsidRPr="00B34FBC" w:rsidRDefault="005D22FF" w:rsidP="005D22FF">
            <w:pPr>
              <w:spacing w:before="0" w:beforeAutospacing="0" w:after="0" w:afterAutospacing="0" w:line="240" w:lineRule="auto"/>
              <w:rPr>
                <w:rFonts w:hint="default"/>
                <w:b/>
                <w:bCs/>
                <w:sz w:val="20"/>
                <w:szCs w:val="20"/>
              </w:rPr>
            </w:pPr>
          </w:p>
        </w:tc>
        <w:tc>
          <w:tcPr>
            <w:tcW w:w="3250" w:type="dxa"/>
            <w:gridSpan w:val="4"/>
            <w:tcBorders>
              <w:right w:val="single" w:sz="4" w:space="0" w:color="auto"/>
            </w:tcBorders>
          </w:tcPr>
          <w:p w14:paraId="1AC2035B" w14:textId="77777777" w:rsidR="005D22FF" w:rsidRPr="00B34FBC" w:rsidRDefault="005D22FF" w:rsidP="005D22FF">
            <w:pPr>
              <w:spacing w:before="0" w:beforeAutospacing="0" w:after="0" w:afterAutospacing="0" w:line="240" w:lineRule="auto"/>
              <w:jc w:val="center"/>
              <w:rPr>
                <w:rFonts w:hint="default"/>
                <w:b/>
                <w:bCs/>
                <w:sz w:val="20"/>
                <w:szCs w:val="20"/>
              </w:rPr>
            </w:pPr>
            <w:r w:rsidRPr="00B34FBC">
              <w:rPr>
                <w:rFonts w:hint="default"/>
                <w:b/>
                <w:bCs/>
                <w:sz w:val="20"/>
                <w:szCs w:val="20"/>
              </w:rPr>
              <w:t>Beginning of the Study</w:t>
            </w:r>
          </w:p>
        </w:tc>
        <w:tc>
          <w:tcPr>
            <w:tcW w:w="3225" w:type="dxa"/>
            <w:gridSpan w:val="4"/>
            <w:tcBorders>
              <w:top w:val="single" w:sz="4" w:space="0" w:color="auto"/>
              <w:left w:val="single" w:sz="4" w:space="0" w:color="auto"/>
            </w:tcBorders>
          </w:tcPr>
          <w:p w14:paraId="20076991" w14:textId="77777777" w:rsidR="005D22FF" w:rsidRPr="00B34FBC" w:rsidRDefault="005D22FF" w:rsidP="005D22FF">
            <w:pPr>
              <w:spacing w:before="0" w:beforeAutospacing="0" w:after="0" w:afterAutospacing="0" w:line="240" w:lineRule="auto"/>
              <w:jc w:val="center"/>
              <w:rPr>
                <w:rFonts w:hint="default"/>
                <w:b/>
                <w:bCs/>
                <w:sz w:val="20"/>
                <w:szCs w:val="20"/>
              </w:rPr>
            </w:pPr>
            <w:r w:rsidRPr="00B34FBC">
              <w:rPr>
                <w:rFonts w:hint="default"/>
                <w:b/>
                <w:bCs/>
                <w:sz w:val="20"/>
                <w:szCs w:val="20"/>
              </w:rPr>
              <w:t>End of the Study</w:t>
            </w:r>
          </w:p>
        </w:tc>
      </w:tr>
      <w:tr w:rsidR="005D22FF" w:rsidRPr="00B34FBC" w14:paraId="46238701" w14:textId="77777777" w:rsidTr="00734F52">
        <w:trPr>
          <w:gridAfter w:val="1"/>
          <w:wAfter w:w="18" w:type="dxa"/>
          <w:tblHeader/>
        </w:trPr>
        <w:tc>
          <w:tcPr>
            <w:tcW w:w="3457" w:type="dxa"/>
            <w:tcBorders>
              <w:top w:val="nil"/>
              <w:bottom w:val="single" w:sz="4" w:space="0" w:color="auto"/>
            </w:tcBorders>
            <w:vAlign w:val="center"/>
          </w:tcPr>
          <w:p w14:paraId="092AC63D" w14:textId="77777777" w:rsidR="005D22FF" w:rsidRPr="00B34FBC" w:rsidRDefault="005D22FF" w:rsidP="005D22FF">
            <w:pPr>
              <w:spacing w:before="0" w:beforeAutospacing="0" w:after="0" w:afterAutospacing="0" w:line="240" w:lineRule="auto"/>
              <w:rPr>
                <w:rFonts w:hint="default"/>
                <w:sz w:val="20"/>
                <w:szCs w:val="20"/>
              </w:rPr>
            </w:pPr>
            <w:r w:rsidRPr="00B34FBC">
              <w:rPr>
                <w:rFonts w:eastAsia="Times New Roman" w:hint="default"/>
                <w:b/>
                <w:bCs/>
                <w:color w:val="000000"/>
                <w:sz w:val="20"/>
                <w:szCs w:val="20"/>
              </w:rPr>
              <w:t>Characteristics</w:t>
            </w:r>
          </w:p>
        </w:tc>
        <w:tc>
          <w:tcPr>
            <w:tcW w:w="1179" w:type="dxa"/>
            <w:tcBorders>
              <w:top w:val="nil"/>
              <w:bottom w:val="single" w:sz="4" w:space="0" w:color="auto"/>
            </w:tcBorders>
          </w:tcPr>
          <w:p w14:paraId="4903CC87"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Control</w:t>
            </w:r>
          </w:p>
          <w:p w14:paraId="31CA43FD"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N = 108</w:t>
            </w:r>
          </w:p>
          <w:p w14:paraId="379F1ECC"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b/>
                <w:bCs/>
                <w:color w:val="000000"/>
                <w:sz w:val="20"/>
                <w:szCs w:val="20"/>
              </w:rPr>
              <w:t>n (%)</w:t>
            </w:r>
          </w:p>
        </w:tc>
        <w:tc>
          <w:tcPr>
            <w:tcW w:w="1124" w:type="dxa"/>
            <w:tcBorders>
              <w:top w:val="nil"/>
              <w:bottom w:val="single" w:sz="4" w:space="0" w:color="auto"/>
            </w:tcBorders>
          </w:tcPr>
          <w:p w14:paraId="6E6D4270"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Study</w:t>
            </w:r>
          </w:p>
          <w:p w14:paraId="709AA3B8"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N = 108</w:t>
            </w:r>
          </w:p>
          <w:p w14:paraId="7787AC5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b/>
                <w:bCs/>
                <w:color w:val="000000"/>
                <w:sz w:val="20"/>
                <w:szCs w:val="20"/>
              </w:rPr>
              <w:t>n (%)</w:t>
            </w:r>
          </w:p>
        </w:tc>
        <w:tc>
          <w:tcPr>
            <w:tcW w:w="938" w:type="dxa"/>
            <w:tcBorders>
              <w:top w:val="nil"/>
              <w:bottom w:val="single" w:sz="4" w:space="0" w:color="auto"/>
              <w:right w:val="single" w:sz="4" w:space="0" w:color="auto"/>
            </w:tcBorders>
          </w:tcPr>
          <w:p w14:paraId="2AECB352"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ꭕ²</w:t>
            </w:r>
          </w:p>
          <w:p w14:paraId="55A81F8A"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b/>
                <w:bCs/>
                <w:color w:val="000000"/>
                <w:sz w:val="20"/>
                <w:szCs w:val="20"/>
              </w:rPr>
              <w:t>(P-value)</w:t>
            </w:r>
          </w:p>
        </w:tc>
        <w:tc>
          <w:tcPr>
            <w:tcW w:w="1222" w:type="dxa"/>
            <w:gridSpan w:val="2"/>
            <w:tcBorders>
              <w:top w:val="nil"/>
              <w:left w:val="single" w:sz="4" w:space="0" w:color="auto"/>
              <w:bottom w:val="single" w:sz="4" w:space="0" w:color="auto"/>
            </w:tcBorders>
          </w:tcPr>
          <w:p w14:paraId="2DCEC74D"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Control</w:t>
            </w:r>
          </w:p>
          <w:p w14:paraId="70C0AA77"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N = 96</w:t>
            </w:r>
          </w:p>
          <w:p w14:paraId="2A587ABD"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b/>
                <w:bCs/>
                <w:color w:val="000000"/>
                <w:sz w:val="20"/>
                <w:szCs w:val="20"/>
              </w:rPr>
              <w:t>n (%)</w:t>
            </w:r>
          </w:p>
        </w:tc>
        <w:tc>
          <w:tcPr>
            <w:tcW w:w="1033" w:type="dxa"/>
            <w:tcBorders>
              <w:top w:val="nil"/>
              <w:bottom w:val="single" w:sz="4" w:space="0" w:color="auto"/>
            </w:tcBorders>
          </w:tcPr>
          <w:p w14:paraId="1F696088"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Study</w:t>
            </w:r>
          </w:p>
          <w:p w14:paraId="28A8F9E7"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N = 101</w:t>
            </w:r>
          </w:p>
          <w:p w14:paraId="7587EB1B"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b/>
                <w:bCs/>
                <w:color w:val="000000"/>
                <w:sz w:val="20"/>
                <w:szCs w:val="20"/>
              </w:rPr>
              <w:t>n (%)</w:t>
            </w:r>
          </w:p>
        </w:tc>
        <w:tc>
          <w:tcPr>
            <w:tcW w:w="961" w:type="dxa"/>
            <w:tcBorders>
              <w:top w:val="nil"/>
              <w:bottom w:val="single" w:sz="4" w:space="0" w:color="auto"/>
            </w:tcBorders>
          </w:tcPr>
          <w:p w14:paraId="7A5362FE"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b/>
                <w:bCs/>
                <w:color w:val="000000"/>
                <w:sz w:val="20"/>
                <w:szCs w:val="20"/>
              </w:rPr>
              <w:t>ꭕ²</w:t>
            </w:r>
          </w:p>
          <w:p w14:paraId="6C099199"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b/>
                <w:bCs/>
                <w:color w:val="000000"/>
                <w:sz w:val="20"/>
                <w:szCs w:val="20"/>
              </w:rPr>
              <w:t>(P-value)</w:t>
            </w:r>
          </w:p>
        </w:tc>
      </w:tr>
      <w:tr w:rsidR="005D22FF" w:rsidRPr="00B34FBC" w14:paraId="5572D105" w14:textId="77777777" w:rsidTr="00884313">
        <w:trPr>
          <w:gridAfter w:val="1"/>
          <w:wAfter w:w="18" w:type="dxa"/>
        </w:trPr>
        <w:tc>
          <w:tcPr>
            <w:tcW w:w="3457" w:type="dxa"/>
            <w:tcBorders>
              <w:top w:val="single" w:sz="4" w:space="0" w:color="auto"/>
            </w:tcBorders>
            <w:vAlign w:val="center"/>
          </w:tcPr>
          <w:p w14:paraId="5BFF04E8" w14:textId="77777777" w:rsidR="005D22FF" w:rsidRPr="00B34FBC" w:rsidRDefault="005D22FF" w:rsidP="005D22FF">
            <w:pPr>
              <w:spacing w:before="0" w:beforeAutospacing="0" w:after="0" w:afterAutospacing="0" w:line="240" w:lineRule="auto"/>
              <w:rPr>
                <w:rFonts w:hint="default"/>
                <w:sz w:val="20"/>
                <w:szCs w:val="20"/>
              </w:rPr>
            </w:pPr>
            <w:r w:rsidRPr="00B34FBC">
              <w:rPr>
                <w:rFonts w:eastAsia="Times New Roman" w:hint="default"/>
                <w:b/>
                <w:bCs/>
                <w:color w:val="000000"/>
                <w:sz w:val="20"/>
                <w:szCs w:val="20"/>
              </w:rPr>
              <w:t>Immunization protects children from diseases</w:t>
            </w:r>
          </w:p>
        </w:tc>
        <w:tc>
          <w:tcPr>
            <w:tcW w:w="1179" w:type="dxa"/>
            <w:tcBorders>
              <w:top w:val="single" w:sz="4" w:space="0" w:color="auto"/>
            </w:tcBorders>
          </w:tcPr>
          <w:p w14:paraId="616C266D"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Borders>
              <w:top w:val="single" w:sz="4" w:space="0" w:color="auto"/>
            </w:tcBorders>
          </w:tcPr>
          <w:p w14:paraId="0D0AFDE4"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top w:val="single" w:sz="4" w:space="0" w:color="auto"/>
              <w:right w:val="single" w:sz="4" w:space="0" w:color="auto"/>
            </w:tcBorders>
          </w:tcPr>
          <w:p w14:paraId="79BAC295"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top w:val="single" w:sz="4" w:space="0" w:color="auto"/>
              <w:left w:val="single" w:sz="4" w:space="0" w:color="auto"/>
            </w:tcBorders>
          </w:tcPr>
          <w:p w14:paraId="0CC7B529"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Borders>
              <w:top w:val="single" w:sz="4" w:space="0" w:color="auto"/>
            </w:tcBorders>
          </w:tcPr>
          <w:p w14:paraId="647D9014"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Borders>
              <w:top w:val="single" w:sz="4" w:space="0" w:color="auto"/>
            </w:tcBorders>
          </w:tcPr>
          <w:p w14:paraId="400D3338"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4C91933E" w14:textId="77777777" w:rsidTr="00884313">
        <w:trPr>
          <w:gridAfter w:val="1"/>
          <w:wAfter w:w="18" w:type="dxa"/>
        </w:trPr>
        <w:tc>
          <w:tcPr>
            <w:tcW w:w="3457" w:type="dxa"/>
            <w:vAlign w:val="center"/>
          </w:tcPr>
          <w:p w14:paraId="30C99950"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410B6C8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 (0.9)</w:t>
            </w:r>
          </w:p>
        </w:tc>
        <w:tc>
          <w:tcPr>
            <w:tcW w:w="1124" w:type="dxa"/>
          </w:tcPr>
          <w:p w14:paraId="6E4E4D8D"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1 (0.9)</w:t>
            </w:r>
          </w:p>
        </w:tc>
        <w:tc>
          <w:tcPr>
            <w:tcW w:w="938" w:type="dxa"/>
            <w:tcBorders>
              <w:right w:val="single" w:sz="4" w:space="0" w:color="auto"/>
            </w:tcBorders>
          </w:tcPr>
          <w:p w14:paraId="4D021F5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0.000</w:t>
            </w:r>
          </w:p>
        </w:tc>
        <w:tc>
          <w:tcPr>
            <w:tcW w:w="1222" w:type="dxa"/>
            <w:gridSpan w:val="2"/>
            <w:tcBorders>
              <w:left w:val="single" w:sz="4" w:space="0" w:color="auto"/>
            </w:tcBorders>
          </w:tcPr>
          <w:p w14:paraId="657A50C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 (1)</w:t>
            </w:r>
          </w:p>
        </w:tc>
        <w:tc>
          <w:tcPr>
            <w:tcW w:w="1033" w:type="dxa"/>
          </w:tcPr>
          <w:p w14:paraId="207AF21D"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 (1)</w:t>
            </w:r>
          </w:p>
        </w:tc>
        <w:tc>
          <w:tcPr>
            <w:tcW w:w="961" w:type="dxa"/>
          </w:tcPr>
          <w:p w14:paraId="27A6FF01"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0.001</w:t>
            </w:r>
          </w:p>
        </w:tc>
      </w:tr>
      <w:tr w:rsidR="005D22FF" w:rsidRPr="00B34FBC" w14:paraId="33BB0437" w14:textId="77777777" w:rsidTr="00884313">
        <w:trPr>
          <w:gridAfter w:val="1"/>
          <w:wAfter w:w="18" w:type="dxa"/>
        </w:trPr>
        <w:tc>
          <w:tcPr>
            <w:tcW w:w="3457" w:type="dxa"/>
            <w:vAlign w:val="center"/>
          </w:tcPr>
          <w:p w14:paraId="07CA8F1D"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00E0F9F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107 (99.1)</w:t>
            </w:r>
          </w:p>
        </w:tc>
        <w:tc>
          <w:tcPr>
            <w:tcW w:w="1124" w:type="dxa"/>
          </w:tcPr>
          <w:p w14:paraId="51E3506D"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107 (99.1)</w:t>
            </w:r>
          </w:p>
        </w:tc>
        <w:tc>
          <w:tcPr>
            <w:tcW w:w="938" w:type="dxa"/>
            <w:tcBorders>
              <w:right w:val="single" w:sz="4" w:space="0" w:color="auto"/>
            </w:tcBorders>
          </w:tcPr>
          <w:p w14:paraId="1891468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(1.000)</w:t>
            </w:r>
          </w:p>
        </w:tc>
        <w:tc>
          <w:tcPr>
            <w:tcW w:w="1222" w:type="dxa"/>
            <w:gridSpan w:val="2"/>
            <w:tcBorders>
              <w:left w:val="single" w:sz="4" w:space="0" w:color="auto"/>
            </w:tcBorders>
          </w:tcPr>
          <w:p w14:paraId="184C9C8A"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95 (99)</w:t>
            </w:r>
          </w:p>
        </w:tc>
        <w:tc>
          <w:tcPr>
            <w:tcW w:w="1033" w:type="dxa"/>
          </w:tcPr>
          <w:p w14:paraId="4E1E23A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100 (99)</w:t>
            </w:r>
          </w:p>
        </w:tc>
        <w:tc>
          <w:tcPr>
            <w:tcW w:w="961" w:type="dxa"/>
          </w:tcPr>
          <w:p w14:paraId="754A0552"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(0.971)</w:t>
            </w:r>
          </w:p>
        </w:tc>
      </w:tr>
      <w:tr w:rsidR="005D22FF" w:rsidRPr="00B34FBC" w14:paraId="44D04271" w14:textId="77777777" w:rsidTr="00884313">
        <w:trPr>
          <w:gridAfter w:val="1"/>
          <w:wAfter w:w="18" w:type="dxa"/>
        </w:trPr>
        <w:tc>
          <w:tcPr>
            <w:tcW w:w="3457" w:type="dxa"/>
            <w:vAlign w:val="center"/>
          </w:tcPr>
          <w:p w14:paraId="289D7B56"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Vaccine-preventable diseases include polio, measles, and tuberculosis</w:t>
            </w:r>
          </w:p>
        </w:tc>
        <w:tc>
          <w:tcPr>
            <w:tcW w:w="1179" w:type="dxa"/>
          </w:tcPr>
          <w:p w14:paraId="3C91656A"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30EC5ED0"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76FE1A17"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0D3BDDF8"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4CBF1F14"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5B180DA4"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3D4ACDFA" w14:textId="77777777" w:rsidTr="00884313">
        <w:trPr>
          <w:gridAfter w:val="1"/>
          <w:wAfter w:w="18" w:type="dxa"/>
        </w:trPr>
        <w:tc>
          <w:tcPr>
            <w:tcW w:w="3457" w:type="dxa"/>
            <w:vAlign w:val="center"/>
          </w:tcPr>
          <w:p w14:paraId="0491B82E"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655368FE"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6 (5.6)</w:t>
            </w:r>
          </w:p>
        </w:tc>
        <w:tc>
          <w:tcPr>
            <w:tcW w:w="1124" w:type="dxa"/>
          </w:tcPr>
          <w:p w14:paraId="4BEFBF86"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6 (5.6)</w:t>
            </w:r>
          </w:p>
        </w:tc>
        <w:tc>
          <w:tcPr>
            <w:tcW w:w="938" w:type="dxa"/>
            <w:tcBorders>
              <w:right w:val="single" w:sz="4" w:space="0" w:color="auto"/>
            </w:tcBorders>
          </w:tcPr>
          <w:p w14:paraId="47935D0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0.000</w:t>
            </w:r>
          </w:p>
        </w:tc>
        <w:tc>
          <w:tcPr>
            <w:tcW w:w="1222" w:type="dxa"/>
            <w:gridSpan w:val="2"/>
            <w:tcBorders>
              <w:left w:val="single" w:sz="4" w:space="0" w:color="auto"/>
            </w:tcBorders>
          </w:tcPr>
          <w:p w14:paraId="7B65D912"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6 (6.3)</w:t>
            </w:r>
          </w:p>
        </w:tc>
        <w:tc>
          <w:tcPr>
            <w:tcW w:w="1033" w:type="dxa"/>
          </w:tcPr>
          <w:p w14:paraId="0D457277"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 (1)</w:t>
            </w:r>
          </w:p>
        </w:tc>
        <w:tc>
          <w:tcPr>
            <w:tcW w:w="961" w:type="dxa"/>
          </w:tcPr>
          <w:p w14:paraId="3C44FA8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3.973</w:t>
            </w:r>
          </w:p>
        </w:tc>
      </w:tr>
      <w:tr w:rsidR="005D22FF" w:rsidRPr="00B34FBC" w14:paraId="664F00E7" w14:textId="77777777" w:rsidTr="00884313">
        <w:trPr>
          <w:gridAfter w:val="1"/>
          <w:wAfter w:w="18" w:type="dxa"/>
        </w:trPr>
        <w:tc>
          <w:tcPr>
            <w:tcW w:w="3457" w:type="dxa"/>
            <w:vAlign w:val="center"/>
          </w:tcPr>
          <w:p w14:paraId="79CCC29D"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3F52F639"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102 (94.4)</w:t>
            </w:r>
          </w:p>
        </w:tc>
        <w:tc>
          <w:tcPr>
            <w:tcW w:w="1124" w:type="dxa"/>
          </w:tcPr>
          <w:p w14:paraId="6CBCC5D7"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102 (94.4)</w:t>
            </w:r>
          </w:p>
        </w:tc>
        <w:tc>
          <w:tcPr>
            <w:tcW w:w="938" w:type="dxa"/>
            <w:tcBorders>
              <w:right w:val="single" w:sz="4" w:space="0" w:color="auto"/>
            </w:tcBorders>
          </w:tcPr>
          <w:p w14:paraId="20FEC0D8"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(1.000)</w:t>
            </w:r>
          </w:p>
        </w:tc>
        <w:tc>
          <w:tcPr>
            <w:tcW w:w="1222" w:type="dxa"/>
            <w:gridSpan w:val="2"/>
            <w:tcBorders>
              <w:left w:val="single" w:sz="4" w:space="0" w:color="auto"/>
            </w:tcBorders>
          </w:tcPr>
          <w:p w14:paraId="6838DC22"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90 (93.8)</w:t>
            </w:r>
          </w:p>
        </w:tc>
        <w:tc>
          <w:tcPr>
            <w:tcW w:w="1033" w:type="dxa"/>
          </w:tcPr>
          <w:p w14:paraId="6861F0F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100 (99)</w:t>
            </w:r>
          </w:p>
        </w:tc>
        <w:tc>
          <w:tcPr>
            <w:tcW w:w="961" w:type="dxa"/>
          </w:tcPr>
          <w:p w14:paraId="10674F0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(0.046)</w:t>
            </w:r>
          </w:p>
        </w:tc>
      </w:tr>
      <w:tr w:rsidR="005D22FF" w:rsidRPr="00B34FBC" w14:paraId="06ECBA4B" w14:textId="77777777" w:rsidTr="00884313">
        <w:trPr>
          <w:gridAfter w:val="1"/>
          <w:wAfter w:w="18" w:type="dxa"/>
        </w:trPr>
        <w:tc>
          <w:tcPr>
            <w:tcW w:w="3457" w:type="dxa"/>
            <w:vAlign w:val="center"/>
          </w:tcPr>
          <w:p w14:paraId="7FE27D73"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A child should complete all doses in the immunization schedule</w:t>
            </w:r>
          </w:p>
        </w:tc>
        <w:tc>
          <w:tcPr>
            <w:tcW w:w="1179" w:type="dxa"/>
          </w:tcPr>
          <w:p w14:paraId="2EF39552"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51B43E09"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0ABCB18B"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03F3E5E9"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3EC7C8E7"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117314AC"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3A94A769" w14:textId="77777777" w:rsidTr="00884313">
        <w:trPr>
          <w:gridAfter w:val="1"/>
          <w:wAfter w:w="18" w:type="dxa"/>
        </w:trPr>
        <w:tc>
          <w:tcPr>
            <w:tcW w:w="3457" w:type="dxa"/>
            <w:vAlign w:val="center"/>
          </w:tcPr>
          <w:p w14:paraId="42B37E60"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B040C6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11 (10.2)</w:t>
            </w:r>
          </w:p>
        </w:tc>
        <w:tc>
          <w:tcPr>
            <w:tcW w:w="1124" w:type="dxa"/>
          </w:tcPr>
          <w:p w14:paraId="655BC778"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0D002588"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0.049</w:t>
            </w:r>
          </w:p>
        </w:tc>
        <w:tc>
          <w:tcPr>
            <w:tcW w:w="1222" w:type="dxa"/>
            <w:gridSpan w:val="2"/>
            <w:tcBorders>
              <w:left w:val="single" w:sz="4" w:space="0" w:color="auto"/>
            </w:tcBorders>
          </w:tcPr>
          <w:p w14:paraId="59AC8B3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 (10.4)</w:t>
            </w:r>
          </w:p>
        </w:tc>
        <w:tc>
          <w:tcPr>
            <w:tcW w:w="1033" w:type="dxa"/>
          </w:tcPr>
          <w:p w14:paraId="4B651797"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0 (0)</w:t>
            </w:r>
          </w:p>
        </w:tc>
        <w:tc>
          <w:tcPr>
            <w:tcW w:w="961" w:type="dxa"/>
          </w:tcPr>
          <w:p w14:paraId="0046E38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11.083</w:t>
            </w:r>
          </w:p>
        </w:tc>
      </w:tr>
      <w:tr w:rsidR="005D22FF" w:rsidRPr="00B34FBC" w14:paraId="778F40D7" w14:textId="77777777" w:rsidTr="00884313">
        <w:trPr>
          <w:gridAfter w:val="1"/>
          <w:wAfter w:w="18" w:type="dxa"/>
        </w:trPr>
        <w:tc>
          <w:tcPr>
            <w:tcW w:w="3457" w:type="dxa"/>
            <w:vAlign w:val="center"/>
          </w:tcPr>
          <w:p w14:paraId="73E74567"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0A5E7BFA"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97 (89.8)</w:t>
            </w:r>
          </w:p>
        </w:tc>
        <w:tc>
          <w:tcPr>
            <w:tcW w:w="1124" w:type="dxa"/>
          </w:tcPr>
          <w:p w14:paraId="65C6ED86"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1B93275E"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(0.825)</w:t>
            </w:r>
          </w:p>
        </w:tc>
        <w:tc>
          <w:tcPr>
            <w:tcW w:w="1222" w:type="dxa"/>
            <w:gridSpan w:val="2"/>
            <w:tcBorders>
              <w:left w:val="single" w:sz="4" w:space="0" w:color="auto"/>
            </w:tcBorders>
          </w:tcPr>
          <w:p w14:paraId="7759F40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86 (89.6)</w:t>
            </w:r>
          </w:p>
        </w:tc>
        <w:tc>
          <w:tcPr>
            <w:tcW w:w="1033" w:type="dxa"/>
          </w:tcPr>
          <w:p w14:paraId="50F370D5"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101 (100)</w:t>
            </w:r>
          </w:p>
        </w:tc>
        <w:tc>
          <w:tcPr>
            <w:tcW w:w="961" w:type="dxa"/>
          </w:tcPr>
          <w:p w14:paraId="263C6F8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(0.001)</w:t>
            </w:r>
          </w:p>
        </w:tc>
      </w:tr>
      <w:tr w:rsidR="005D22FF" w:rsidRPr="00B34FBC" w14:paraId="5D05B0F9" w14:textId="77777777" w:rsidTr="00884313">
        <w:trPr>
          <w:gridAfter w:val="1"/>
          <w:wAfter w:w="18" w:type="dxa"/>
        </w:trPr>
        <w:tc>
          <w:tcPr>
            <w:tcW w:w="3457" w:type="dxa"/>
            <w:vAlign w:val="center"/>
          </w:tcPr>
          <w:p w14:paraId="4DB77E27"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Vaccines are provided free of charge at government health facilities</w:t>
            </w:r>
          </w:p>
        </w:tc>
        <w:tc>
          <w:tcPr>
            <w:tcW w:w="1179" w:type="dxa"/>
          </w:tcPr>
          <w:p w14:paraId="136F765D"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361C793F"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7D6426D9"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06333F2F"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770B945C"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124786A9"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2078B947" w14:textId="77777777" w:rsidTr="00884313">
        <w:trPr>
          <w:gridAfter w:val="1"/>
          <w:wAfter w:w="18" w:type="dxa"/>
        </w:trPr>
        <w:tc>
          <w:tcPr>
            <w:tcW w:w="3457" w:type="dxa"/>
            <w:vAlign w:val="center"/>
          </w:tcPr>
          <w:p w14:paraId="3E632769"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CEBB0A5"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 (9.3)</w:t>
            </w:r>
          </w:p>
        </w:tc>
        <w:tc>
          <w:tcPr>
            <w:tcW w:w="1124" w:type="dxa"/>
          </w:tcPr>
          <w:p w14:paraId="78E4B169"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9 (8.3)</w:t>
            </w:r>
          </w:p>
        </w:tc>
        <w:tc>
          <w:tcPr>
            <w:tcW w:w="938" w:type="dxa"/>
            <w:tcBorders>
              <w:right w:val="single" w:sz="4" w:space="0" w:color="auto"/>
            </w:tcBorders>
          </w:tcPr>
          <w:p w14:paraId="7876F291"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0.058</w:t>
            </w:r>
          </w:p>
        </w:tc>
        <w:tc>
          <w:tcPr>
            <w:tcW w:w="1222" w:type="dxa"/>
            <w:gridSpan w:val="2"/>
            <w:tcBorders>
              <w:left w:val="single" w:sz="4" w:space="0" w:color="auto"/>
            </w:tcBorders>
          </w:tcPr>
          <w:p w14:paraId="0644946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 (10.4)</w:t>
            </w:r>
          </w:p>
        </w:tc>
        <w:tc>
          <w:tcPr>
            <w:tcW w:w="1033" w:type="dxa"/>
          </w:tcPr>
          <w:p w14:paraId="0FFDB9F1"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0 (0)</w:t>
            </w:r>
          </w:p>
        </w:tc>
        <w:tc>
          <w:tcPr>
            <w:tcW w:w="961" w:type="dxa"/>
          </w:tcPr>
          <w:p w14:paraId="13D2FE7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11.083</w:t>
            </w:r>
          </w:p>
        </w:tc>
      </w:tr>
      <w:tr w:rsidR="005D22FF" w:rsidRPr="00B34FBC" w14:paraId="5891C213" w14:textId="77777777" w:rsidTr="00884313">
        <w:trPr>
          <w:gridAfter w:val="1"/>
          <w:wAfter w:w="18" w:type="dxa"/>
        </w:trPr>
        <w:tc>
          <w:tcPr>
            <w:tcW w:w="3457" w:type="dxa"/>
            <w:vAlign w:val="center"/>
          </w:tcPr>
          <w:p w14:paraId="5268AC6A"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14AB2D4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98 (90.7)</w:t>
            </w:r>
          </w:p>
        </w:tc>
        <w:tc>
          <w:tcPr>
            <w:tcW w:w="1124" w:type="dxa"/>
          </w:tcPr>
          <w:p w14:paraId="05F41326"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99 (91.7)</w:t>
            </w:r>
          </w:p>
        </w:tc>
        <w:tc>
          <w:tcPr>
            <w:tcW w:w="938" w:type="dxa"/>
            <w:tcBorders>
              <w:right w:val="single" w:sz="4" w:space="0" w:color="auto"/>
            </w:tcBorders>
          </w:tcPr>
          <w:p w14:paraId="7F8F47EE"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(0.81)</w:t>
            </w:r>
          </w:p>
        </w:tc>
        <w:tc>
          <w:tcPr>
            <w:tcW w:w="1222" w:type="dxa"/>
            <w:gridSpan w:val="2"/>
            <w:tcBorders>
              <w:left w:val="single" w:sz="4" w:space="0" w:color="auto"/>
            </w:tcBorders>
          </w:tcPr>
          <w:p w14:paraId="36C77F5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86 (89.6)</w:t>
            </w:r>
          </w:p>
        </w:tc>
        <w:tc>
          <w:tcPr>
            <w:tcW w:w="1033" w:type="dxa"/>
          </w:tcPr>
          <w:p w14:paraId="1E6C9BC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101 (100)</w:t>
            </w:r>
          </w:p>
        </w:tc>
        <w:tc>
          <w:tcPr>
            <w:tcW w:w="961" w:type="dxa"/>
          </w:tcPr>
          <w:p w14:paraId="479FCD3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(0.001)</w:t>
            </w:r>
          </w:p>
        </w:tc>
      </w:tr>
      <w:tr w:rsidR="005D22FF" w:rsidRPr="00B34FBC" w14:paraId="60F04FC1" w14:textId="77777777" w:rsidTr="00884313">
        <w:trPr>
          <w:gridAfter w:val="1"/>
          <w:wAfter w:w="18" w:type="dxa"/>
        </w:trPr>
        <w:tc>
          <w:tcPr>
            <w:tcW w:w="3457" w:type="dxa"/>
            <w:vAlign w:val="center"/>
          </w:tcPr>
          <w:p w14:paraId="6ACF4B16"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Missing immunization doses puts children at risk of infection</w:t>
            </w:r>
          </w:p>
        </w:tc>
        <w:tc>
          <w:tcPr>
            <w:tcW w:w="1179" w:type="dxa"/>
          </w:tcPr>
          <w:p w14:paraId="2D807252"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33AE79D9"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47854D4D"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5FF36A26"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183C1238"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53939CB9"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326CC35A" w14:textId="77777777" w:rsidTr="00884313">
        <w:trPr>
          <w:gridAfter w:val="1"/>
          <w:wAfter w:w="18" w:type="dxa"/>
        </w:trPr>
        <w:tc>
          <w:tcPr>
            <w:tcW w:w="3457" w:type="dxa"/>
            <w:vAlign w:val="center"/>
          </w:tcPr>
          <w:p w14:paraId="7E308430"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264C26EA"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21 (19.4)</w:t>
            </w:r>
          </w:p>
        </w:tc>
        <w:tc>
          <w:tcPr>
            <w:tcW w:w="1124" w:type="dxa"/>
          </w:tcPr>
          <w:p w14:paraId="527DB40D"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26 (24.1)</w:t>
            </w:r>
          </w:p>
        </w:tc>
        <w:tc>
          <w:tcPr>
            <w:tcW w:w="938" w:type="dxa"/>
            <w:tcBorders>
              <w:right w:val="single" w:sz="4" w:space="0" w:color="auto"/>
            </w:tcBorders>
          </w:tcPr>
          <w:p w14:paraId="3B7136C8"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0.68</w:t>
            </w:r>
          </w:p>
        </w:tc>
        <w:tc>
          <w:tcPr>
            <w:tcW w:w="1222" w:type="dxa"/>
            <w:gridSpan w:val="2"/>
            <w:tcBorders>
              <w:left w:val="single" w:sz="4" w:space="0" w:color="auto"/>
            </w:tcBorders>
          </w:tcPr>
          <w:p w14:paraId="014F6B41"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18 (18.8)</w:t>
            </w:r>
          </w:p>
        </w:tc>
        <w:tc>
          <w:tcPr>
            <w:tcW w:w="1033" w:type="dxa"/>
          </w:tcPr>
          <w:p w14:paraId="5ED252DC"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2 (2)</w:t>
            </w:r>
          </w:p>
        </w:tc>
        <w:tc>
          <w:tcPr>
            <w:tcW w:w="961" w:type="dxa"/>
          </w:tcPr>
          <w:p w14:paraId="45C1AF3E"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15.174</w:t>
            </w:r>
          </w:p>
        </w:tc>
      </w:tr>
      <w:tr w:rsidR="005D22FF" w:rsidRPr="00B34FBC" w14:paraId="78120158" w14:textId="77777777" w:rsidTr="00884313">
        <w:trPr>
          <w:gridAfter w:val="1"/>
          <w:wAfter w:w="18" w:type="dxa"/>
        </w:trPr>
        <w:tc>
          <w:tcPr>
            <w:tcW w:w="3457" w:type="dxa"/>
            <w:vAlign w:val="center"/>
          </w:tcPr>
          <w:p w14:paraId="118F27C5"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3BF55C6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87 (80.6)</w:t>
            </w:r>
          </w:p>
        </w:tc>
        <w:tc>
          <w:tcPr>
            <w:tcW w:w="1124" w:type="dxa"/>
          </w:tcPr>
          <w:p w14:paraId="4EE698DC"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82 (75.9)</w:t>
            </w:r>
          </w:p>
        </w:tc>
        <w:tc>
          <w:tcPr>
            <w:tcW w:w="938" w:type="dxa"/>
            <w:tcBorders>
              <w:right w:val="single" w:sz="4" w:space="0" w:color="auto"/>
            </w:tcBorders>
          </w:tcPr>
          <w:p w14:paraId="7F8307A9"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(0.41)</w:t>
            </w:r>
          </w:p>
        </w:tc>
        <w:tc>
          <w:tcPr>
            <w:tcW w:w="1222" w:type="dxa"/>
            <w:gridSpan w:val="2"/>
            <w:tcBorders>
              <w:left w:val="single" w:sz="4" w:space="0" w:color="auto"/>
            </w:tcBorders>
          </w:tcPr>
          <w:p w14:paraId="60C9D322"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78 (81.3)</w:t>
            </w:r>
          </w:p>
        </w:tc>
        <w:tc>
          <w:tcPr>
            <w:tcW w:w="1033" w:type="dxa"/>
          </w:tcPr>
          <w:p w14:paraId="39B59931"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99 (98)</w:t>
            </w:r>
          </w:p>
        </w:tc>
        <w:tc>
          <w:tcPr>
            <w:tcW w:w="961" w:type="dxa"/>
          </w:tcPr>
          <w:p w14:paraId="06C2BE7A"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(&lt;0.001)</w:t>
            </w:r>
          </w:p>
        </w:tc>
      </w:tr>
      <w:tr w:rsidR="005D22FF" w:rsidRPr="00B34FBC" w14:paraId="64A0A2EF" w14:textId="77777777" w:rsidTr="00884313">
        <w:trPr>
          <w:gridAfter w:val="1"/>
          <w:wAfter w:w="18" w:type="dxa"/>
        </w:trPr>
        <w:tc>
          <w:tcPr>
            <w:tcW w:w="3457" w:type="dxa"/>
            <w:vAlign w:val="center"/>
          </w:tcPr>
          <w:p w14:paraId="65CA818E"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Some vaccines require more than one dose to be effective</w:t>
            </w:r>
          </w:p>
        </w:tc>
        <w:tc>
          <w:tcPr>
            <w:tcW w:w="1179" w:type="dxa"/>
          </w:tcPr>
          <w:p w14:paraId="24D916B4"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3748C35E"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7D7BCE07"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119BDD6E"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238A743E"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119A399B"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1B1CD3AD" w14:textId="77777777" w:rsidTr="00884313">
        <w:trPr>
          <w:gridAfter w:val="1"/>
          <w:wAfter w:w="18" w:type="dxa"/>
        </w:trPr>
        <w:tc>
          <w:tcPr>
            <w:tcW w:w="3457" w:type="dxa"/>
            <w:vAlign w:val="center"/>
          </w:tcPr>
          <w:p w14:paraId="01978A70"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2DA69579"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31 (28.7)</w:t>
            </w:r>
          </w:p>
        </w:tc>
        <w:tc>
          <w:tcPr>
            <w:tcW w:w="1124" w:type="dxa"/>
          </w:tcPr>
          <w:p w14:paraId="6AC111EE"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38 (35.2)</w:t>
            </w:r>
          </w:p>
        </w:tc>
        <w:tc>
          <w:tcPr>
            <w:tcW w:w="938" w:type="dxa"/>
            <w:tcBorders>
              <w:right w:val="single" w:sz="4" w:space="0" w:color="auto"/>
            </w:tcBorders>
          </w:tcPr>
          <w:p w14:paraId="0BD9CE0A"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1.043</w:t>
            </w:r>
          </w:p>
        </w:tc>
        <w:tc>
          <w:tcPr>
            <w:tcW w:w="1222" w:type="dxa"/>
            <w:gridSpan w:val="2"/>
            <w:tcBorders>
              <w:left w:val="single" w:sz="4" w:space="0" w:color="auto"/>
            </w:tcBorders>
          </w:tcPr>
          <w:p w14:paraId="3DC2071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28 (29.2)</w:t>
            </w:r>
          </w:p>
        </w:tc>
        <w:tc>
          <w:tcPr>
            <w:tcW w:w="1033" w:type="dxa"/>
          </w:tcPr>
          <w:p w14:paraId="5796AC5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4 (4)</w:t>
            </w:r>
          </w:p>
        </w:tc>
        <w:tc>
          <w:tcPr>
            <w:tcW w:w="961" w:type="dxa"/>
          </w:tcPr>
          <w:p w14:paraId="4A5E34CF"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22.985</w:t>
            </w:r>
          </w:p>
        </w:tc>
      </w:tr>
      <w:tr w:rsidR="005D22FF" w:rsidRPr="00B34FBC" w14:paraId="5650BECB" w14:textId="77777777" w:rsidTr="00884313">
        <w:trPr>
          <w:gridAfter w:val="1"/>
          <w:wAfter w:w="18" w:type="dxa"/>
        </w:trPr>
        <w:tc>
          <w:tcPr>
            <w:tcW w:w="3457" w:type="dxa"/>
            <w:vAlign w:val="center"/>
          </w:tcPr>
          <w:p w14:paraId="3BF14B98"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32EDE57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77 (71.3)</w:t>
            </w:r>
          </w:p>
        </w:tc>
        <w:tc>
          <w:tcPr>
            <w:tcW w:w="1124" w:type="dxa"/>
          </w:tcPr>
          <w:p w14:paraId="6B8867CF"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70 (64.8)</w:t>
            </w:r>
          </w:p>
        </w:tc>
        <w:tc>
          <w:tcPr>
            <w:tcW w:w="938" w:type="dxa"/>
            <w:tcBorders>
              <w:right w:val="single" w:sz="4" w:space="0" w:color="auto"/>
            </w:tcBorders>
          </w:tcPr>
          <w:p w14:paraId="6B0353C7"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(0.307)</w:t>
            </w:r>
          </w:p>
        </w:tc>
        <w:tc>
          <w:tcPr>
            <w:tcW w:w="1222" w:type="dxa"/>
            <w:gridSpan w:val="2"/>
            <w:tcBorders>
              <w:left w:val="single" w:sz="4" w:space="0" w:color="auto"/>
            </w:tcBorders>
          </w:tcPr>
          <w:p w14:paraId="79B1E29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68 (70.8)</w:t>
            </w:r>
          </w:p>
        </w:tc>
        <w:tc>
          <w:tcPr>
            <w:tcW w:w="1033" w:type="dxa"/>
          </w:tcPr>
          <w:p w14:paraId="384DB675"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97 (96)</w:t>
            </w:r>
          </w:p>
        </w:tc>
        <w:tc>
          <w:tcPr>
            <w:tcW w:w="961" w:type="dxa"/>
          </w:tcPr>
          <w:p w14:paraId="185D81FE"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(&lt;0.001)</w:t>
            </w:r>
          </w:p>
        </w:tc>
      </w:tr>
      <w:tr w:rsidR="005D22FF" w:rsidRPr="00B34FBC" w14:paraId="1B7257FE" w14:textId="77777777" w:rsidTr="00884313">
        <w:trPr>
          <w:gridAfter w:val="1"/>
          <w:wAfter w:w="18" w:type="dxa"/>
        </w:trPr>
        <w:tc>
          <w:tcPr>
            <w:tcW w:w="3457" w:type="dxa"/>
            <w:vAlign w:val="center"/>
          </w:tcPr>
          <w:p w14:paraId="72B4638F"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Immunization is safe for most children, including those who are healthy</w:t>
            </w:r>
          </w:p>
        </w:tc>
        <w:tc>
          <w:tcPr>
            <w:tcW w:w="1179" w:type="dxa"/>
          </w:tcPr>
          <w:p w14:paraId="0D5C61C8"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2C2000D0"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62CBE628"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43496805"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72285956"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10F82A10"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30BF1EDD" w14:textId="77777777" w:rsidTr="00884313">
        <w:trPr>
          <w:gridAfter w:val="1"/>
          <w:wAfter w:w="18" w:type="dxa"/>
        </w:trPr>
        <w:tc>
          <w:tcPr>
            <w:tcW w:w="3457" w:type="dxa"/>
            <w:vAlign w:val="center"/>
          </w:tcPr>
          <w:p w14:paraId="0CA67D40"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6A1FA8C9"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7 (6.5)</w:t>
            </w:r>
          </w:p>
        </w:tc>
        <w:tc>
          <w:tcPr>
            <w:tcW w:w="1124" w:type="dxa"/>
          </w:tcPr>
          <w:p w14:paraId="5B9B0B1F"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660697E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1.443</w:t>
            </w:r>
          </w:p>
        </w:tc>
        <w:tc>
          <w:tcPr>
            <w:tcW w:w="1222" w:type="dxa"/>
            <w:gridSpan w:val="2"/>
            <w:tcBorders>
              <w:left w:val="single" w:sz="4" w:space="0" w:color="auto"/>
            </w:tcBorders>
          </w:tcPr>
          <w:p w14:paraId="25FD50A2"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5 (5.2)</w:t>
            </w:r>
          </w:p>
        </w:tc>
        <w:tc>
          <w:tcPr>
            <w:tcW w:w="1033" w:type="dxa"/>
          </w:tcPr>
          <w:p w14:paraId="020B0BAE"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0 (0)</w:t>
            </w:r>
          </w:p>
        </w:tc>
        <w:tc>
          <w:tcPr>
            <w:tcW w:w="961" w:type="dxa"/>
          </w:tcPr>
          <w:p w14:paraId="7CCBC7DB"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5.397</w:t>
            </w:r>
          </w:p>
        </w:tc>
      </w:tr>
      <w:tr w:rsidR="005D22FF" w:rsidRPr="00B34FBC" w14:paraId="2140E4CC" w14:textId="77777777" w:rsidTr="00884313">
        <w:trPr>
          <w:gridAfter w:val="1"/>
          <w:wAfter w:w="18" w:type="dxa"/>
        </w:trPr>
        <w:tc>
          <w:tcPr>
            <w:tcW w:w="3457" w:type="dxa"/>
            <w:vAlign w:val="center"/>
          </w:tcPr>
          <w:p w14:paraId="2F0FC9E5"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0BC12638"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101 (93.5)</w:t>
            </w:r>
          </w:p>
        </w:tc>
        <w:tc>
          <w:tcPr>
            <w:tcW w:w="1124" w:type="dxa"/>
          </w:tcPr>
          <w:p w14:paraId="0BE3E586"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40E8FB7A"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(0.23)</w:t>
            </w:r>
          </w:p>
        </w:tc>
        <w:tc>
          <w:tcPr>
            <w:tcW w:w="1222" w:type="dxa"/>
            <w:gridSpan w:val="2"/>
            <w:tcBorders>
              <w:left w:val="single" w:sz="4" w:space="0" w:color="auto"/>
            </w:tcBorders>
          </w:tcPr>
          <w:p w14:paraId="45046132"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91 (94.8)</w:t>
            </w:r>
          </w:p>
        </w:tc>
        <w:tc>
          <w:tcPr>
            <w:tcW w:w="1033" w:type="dxa"/>
          </w:tcPr>
          <w:p w14:paraId="541187E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101 (100)</w:t>
            </w:r>
          </w:p>
        </w:tc>
        <w:tc>
          <w:tcPr>
            <w:tcW w:w="961" w:type="dxa"/>
          </w:tcPr>
          <w:p w14:paraId="3F970FAB"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(0.02)</w:t>
            </w:r>
          </w:p>
        </w:tc>
      </w:tr>
      <w:tr w:rsidR="005D22FF" w:rsidRPr="00B34FBC" w14:paraId="6BC7832B" w14:textId="77777777" w:rsidTr="00884313">
        <w:trPr>
          <w:gridAfter w:val="1"/>
          <w:wAfter w:w="18" w:type="dxa"/>
        </w:trPr>
        <w:tc>
          <w:tcPr>
            <w:tcW w:w="3457" w:type="dxa"/>
            <w:vAlign w:val="center"/>
          </w:tcPr>
          <w:p w14:paraId="51961923"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Immunization helps prevent disease outbreaks in the community</w:t>
            </w:r>
          </w:p>
        </w:tc>
        <w:tc>
          <w:tcPr>
            <w:tcW w:w="1179" w:type="dxa"/>
          </w:tcPr>
          <w:p w14:paraId="064F21F2"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24D5E64E"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3CF10A50"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06257FF3"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67AA3B6E"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08B6E6F9"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025E1DB8" w14:textId="77777777" w:rsidTr="00884313">
        <w:trPr>
          <w:gridAfter w:val="1"/>
          <w:wAfter w:w="18" w:type="dxa"/>
        </w:trPr>
        <w:tc>
          <w:tcPr>
            <w:tcW w:w="3457" w:type="dxa"/>
            <w:vAlign w:val="center"/>
          </w:tcPr>
          <w:p w14:paraId="600008F9"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C65182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13 (12)</w:t>
            </w:r>
          </w:p>
        </w:tc>
        <w:tc>
          <w:tcPr>
            <w:tcW w:w="1124" w:type="dxa"/>
          </w:tcPr>
          <w:p w14:paraId="4D5BF531"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5BDA4A0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0.045</w:t>
            </w:r>
          </w:p>
        </w:tc>
        <w:tc>
          <w:tcPr>
            <w:tcW w:w="1222" w:type="dxa"/>
            <w:gridSpan w:val="2"/>
            <w:tcBorders>
              <w:left w:val="single" w:sz="4" w:space="0" w:color="auto"/>
            </w:tcBorders>
          </w:tcPr>
          <w:p w14:paraId="605666E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11 (11.5)</w:t>
            </w:r>
          </w:p>
        </w:tc>
        <w:tc>
          <w:tcPr>
            <w:tcW w:w="1033" w:type="dxa"/>
          </w:tcPr>
          <w:p w14:paraId="6DB6718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3 (3)</w:t>
            </w:r>
          </w:p>
        </w:tc>
        <w:tc>
          <w:tcPr>
            <w:tcW w:w="961" w:type="dxa"/>
          </w:tcPr>
          <w:p w14:paraId="0B2E1812"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5.371</w:t>
            </w:r>
          </w:p>
        </w:tc>
      </w:tr>
      <w:tr w:rsidR="005D22FF" w:rsidRPr="00B34FBC" w14:paraId="144F552E" w14:textId="77777777" w:rsidTr="00884313">
        <w:trPr>
          <w:gridAfter w:val="1"/>
          <w:wAfter w:w="18" w:type="dxa"/>
        </w:trPr>
        <w:tc>
          <w:tcPr>
            <w:tcW w:w="3457" w:type="dxa"/>
            <w:vAlign w:val="center"/>
          </w:tcPr>
          <w:p w14:paraId="6FA6D1A4"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6DC56A7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95 (88)</w:t>
            </w:r>
          </w:p>
        </w:tc>
        <w:tc>
          <w:tcPr>
            <w:tcW w:w="1124" w:type="dxa"/>
          </w:tcPr>
          <w:p w14:paraId="4991C7DF"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78AD86DB"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(0.832)</w:t>
            </w:r>
          </w:p>
        </w:tc>
        <w:tc>
          <w:tcPr>
            <w:tcW w:w="1222" w:type="dxa"/>
            <w:gridSpan w:val="2"/>
            <w:tcBorders>
              <w:left w:val="single" w:sz="4" w:space="0" w:color="auto"/>
            </w:tcBorders>
          </w:tcPr>
          <w:p w14:paraId="341B7F6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85 (88.5)</w:t>
            </w:r>
          </w:p>
        </w:tc>
        <w:tc>
          <w:tcPr>
            <w:tcW w:w="1033" w:type="dxa"/>
          </w:tcPr>
          <w:p w14:paraId="1DF2CE5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98 (97)</w:t>
            </w:r>
          </w:p>
        </w:tc>
        <w:tc>
          <w:tcPr>
            <w:tcW w:w="961" w:type="dxa"/>
          </w:tcPr>
          <w:p w14:paraId="06E18245"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(0.02)</w:t>
            </w:r>
          </w:p>
        </w:tc>
      </w:tr>
      <w:tr w:rsidR="005D22FF" w:rsidRPr="00B34FBC" w14:paraId="5F9C6EF5" w14:textId="77777777" w:rsidTr="00884313">
        <w:trPr>
          <w:gridAfter w:val="1"/>
          <w:wAfter w:w="18" w:type="dxa"/>
        </w:trPr>
        <w:tc>
          <w:tcPr>
            <w:tcW w:w="3457" w:type="dxa"/>
            <w:vAlign w:val="center"/>
          </w:tcPr>
          <w:p w14:paraId="42837D75"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Keeping the child’s immunization card helps track vaccine completion</w:t>
            </w:r>
          </w:p>
        </w:tc>
        <w:tc>
          <w:tcPr>
            <w:tcW w:w="1179" w:type="dxa"/>
          </w:tcPr>
          <w:p w14:paraId="4970D0BD"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0804B755"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37F9F519"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0B3C82EC"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2B774C1C"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1AAFA6BD"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15FB9C81" w14:textId="77777777" w:rsidTr="00884313">
        <w:trPr>
          <w:gridAfter w:val="1"/>
          <w:wAfter w:w="18" w:type="dxa"/>
        </w:trPr>
        <w:tc>
          <w:tcPr>
            <w:tcW w:w="3457" w:type="dxa"/>
            <w:vAlign w:val="center"/>
          </w:tcPr>
          <w:p w14:paraId="0F59A617"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D458835"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12 (11.1)</w:t>
            </w:r>
          </w:p>
        </w:tc>
        <w:tc>
          <w:tcPr>
            <w:tcW w:w="1124" w:type="dxa"/>
          </w:tcPr>
          <w:p w14:paraId="6F8760DF"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20 (18.5)</w:t>
            </w:r>
          </w:p>
        </w:tc>
        <w:tc>
          <w:tcPr>
            <w:tcW w:w="938" w:type="dxa"/>
            <w:tcBorders>
              <w:right w:val="single" w:sz="4" w:space="0" w:color="auto"/>
            </w:tcBorders>
          </w:tcPr>
          <w:p w14:paraId="379C4286"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2.348</w:t>
            </w:r>
          </w:p>
        </w:tc>
        <w:tc>
          <w:tcPr>
            <w:tcW w:w="1222" w:type="dxa"/>
            <w:gridSpan w:val="2"/>
            <w:tcBorders>
              <w:left w:val="single" w:sz="4" w:space="0" w:color="auto"/>
            </w:tcBorders>
          </w:tcPr>
          <w:p w14:paraId="00B0DDBC"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11 (11.5)</w:t>
            </w:r>
          </w:p>
        </w:tc>
        <w:tc>
          <w:tcPr>
            <w:tcW w:w="1033" w:type="dxa"/>
          </w:tcPr>
          <w:p w14:paraId="1C371A9D"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 (1)</w:t>
            </w:r>
          </w:p>
        </w:tc>
        <w:tc>
          <w:tcPr>
            <w:tcW w:w="961" w:type="dxa"/>
          </w:tcPr>
          <w:p w14:paraId="0904BE0D"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9.429</w:t>
            </w:r>
          </w:p>
        </w:tc>
      </w:tr>
      <w:tr w:rsidR="005D22FF" w:rsidRPr="00B34FBC" w14:paraId="598AEB1F" w14:textId="77777777" w:rsidTr="00884313">
        <w:trPr>
          <w:gridAfter w:val="1"/>
          <w:wAfter w:w="18" w:type="dxa"/>
        </w:trPr>
        <w:tc>
          <w:tcPr>
            <w:tcW w:w="3457" w:type="dxa"/>
            <w:vAlign w:val="center"/>
          </w:tcPr>
          <w:p w14:paraId="70AFBD4A"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20FDBFD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96 (88.9)</w:t>
            </w:r>
          </w:p>
        </w:tc>
        <w:tc>
          <w:tcPr>
            <w:tcW w:w="1124" w:type="dxa"/>
          </w:tcPr>
          <w:p w14:paraId="41B4CE28"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88 (81.5)</w:t>
            </w:r>
          </w:p>
        </w:tc>
        <w:tc>
          <w:tcPr>
            <w:tcW w:w="938" w:type="dxa"/>
            <w:tcBorders>
              <w:right w:val="single" w:sz="4" w:space="0" w:color="auto"/>
            </w:tcBorders>
          </w:tcPr>
          <w:p w14:paraId="50559977"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(0.125)</w:t>
            </w:r>
          </w:p>
        </w:tc>
        <w:tc>
          <w:tcPr>
            <w:tcW w:w="1222" w:type="dxa"/>
            <w:gridSpan w:val="2"/>
            <w:tcBorders>
              <w:left w:val="single" w:sz="4" w:space="0" w:color="auto"/>
            </w:tcBorders>
          </w:tcPr>
          <w:p w14:paraId="7EED484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85 (88.5)</w:t>
            </w:r>
          </w:p>
        </w:tc>
        <w:tc>
          <w:tcPr>
            <w:tcW w:w="1033" w:type="dxa"/>
          </w:tcPr>
          <w:p w14:paraId="6FFA30F7"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100 (99)</w:t>
            </w:r>
          </w:p>
        </w:tc>
        <w:tc>
          <w:tcPr>
            <w:tcW w:w="961" w:type="dxa"/>
          </w:tcPr>
          <w:p w14:paraId="6C357308"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(0.002)</w:t>
            </w:r>
          </w:p>
        </w:tc>
      </w:tr>
      <w:tr w:rsidR="005D22FF" w:rsidRPr="00B34FBC" w14:paraId="09F83F49" w14:textId="77777777" w:rsidTr="00884313">
        <w:trPr>
          <w:gridAfter w:val="1"/>
          <w:wAfter w:w="18" w:type="dxa"/>
        </w:trPr>
        <w:tc>
          <w:tcPr>
            <w:tcW w:w="3457" w:type="dxa"/>
            <w:vAlign w:val="center"/>
          </w:tcPr>
          <w:p w14:paraId="416AEFC9" w14:textId="77777777" w:rsidR="005D22FF" w:rsidRPr="00B34FBC" w:rsidRDefault="005D22FF" w:rsidP="005D22FF">
            <w:pPr>
              <w:spacing w:before="0" w:beforeAutospacing="0" w:after="0" w:afterAutospacing="0" w:line="240" w:lineRule="auto"/>
              <w:rPr>
                <w:rFonts w:eastAsia="Times New Roman" w:hint="default"/>
                <w:color w:val="000000"/>
                <w:sz w:val="20"/>
                <w:szCs w:val="20"/>
              </w:rPr>
            </w:pPr>
            <w:r w:rsidRPr="00B34FBC">
              <w:rPr>
                <w:rFonts w:eastAsia="Times New Roman" w:hint="default"/>
                <w:b/>
                <w:bCs/>
                <w:color w:val="000000"/>
                <w:sz w:val="20"/>
                <w:szCs w:val="20"/>
              </w:rPr>
              <w:t>Immunization will keep my child healthy and free from preventable diseases</w:t>
            </w:r>
          </w:p>
        </w:tc>
        <w:tc>
          <w:tcPr>
            <w:tcW w:w="1179" w:type="dxa"/>
          </w:tcPr>
          <w:p w14:paraId="3E7DBE99"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124" w:type="dxa"/>
          </w:tcPr>
          <w:p w14:paraId="7905BF7B"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p>
        </w:tc>
        <w:tc>
          <w:tcPr>
            <w:tcW w:w="938" w:type="dxa"/>
            <w:tcBorders>
              <w:right w:val="single" w:sz="4" w:space="0" w:color="auto"/>
            </w:tcBorders>
          </w:tcPr>
          <w:p w14:paraId="6C8FD1F5"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222" w:type="dxa"/>
            <w:gridSpan w:val="2"/>
            <w:tcBorders>
              <w:left w:val="single" w:sz="4" w:space="0" w:color="auto"/>
            </w:tcBorders>
          </w:tcPr>
          <w:p w14:paraId="6476A301"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1033" w:type="dxa"/>
          </w:tcPr>
          <w:p w14:paraId="36585912" w14:textId="77777777" w:rsidR="005D22FF" w:rsidRPr="00B34FBC" w:rsidRDefault="005D22FF" w:rsidP="005D22FF">
            <w:pPr>
              <w:spacing w:before="0" w:beforeAutospacing="0" w:after="0" w:afterAutospacing="0" w:line="240" w:lineRule="auto"/>
              <w:jc w:val="center"/>
              <w:rPr>
                <w:rFonts w:hint="default"/>
                <w:sz w:val="20"/>
                <w:szCs w:val="20"/>
              </w:rPr>
            </w:pPr>
          </w:p>
        </w:tc>
        <w:tc>
          <w:tcPr>
            <w:tcW w:w="961" w:type="dxa"/>
          </w:tcPr>
          <w:p w14:paraId="765DDD1B" w14:textId="77777777" w:rsidR="005D22FF" w:rsidRPr="00B34FBC" w:rsidRDefault="005D22FF" w:rsidP="005D22FF">
            <w:pPr>
              <w:spacing w:before="0" w:beforeAutospacing="0" w:after="0" w:afterAutospacing="0" w:line="240" w:lineRule="auto"/>
              <w:jc w:val="center"/>
              <w:rPr>
                <w:rFonts w:hint="default"/>
                <w:sz w:val="20"/>
                <w:szCs w:val="20"/>
              </w:rPr>
            </w:pPr>
          </w:p>
        </w:tc>
      </w:tr>
      <w:tr w:rsidR="005D22FF" w:rsidRPr="00B34FBC" w14:paraId="5E69BF45" w14:textId="77777777" w:rsidTr="00884313">
        <w:trPr>
          <w:gridAfter w:val="1"/>
          <w:wAfter w:w="18" w:type="dxa"/>
        </w:trPr>
        <w:tc>
          <w:tcPr>
            <w:tcW w:w="3457" w:type="dxa"/>
            <w:vAlign w:val="center"/>
          </w:tcPr>
          <w:p w14:paraId="13A08B58" w14:textId="77777777" w:rsidR="005D22FF" w:rsidRPr="00B34FBC" w:rsidRDefault="005D22FF" w:rsidP="005D22FF">
            <w:pPr>
              <w:spacing w:before="0" w:beforeAutospacing="0" w:after="0" w:afterAutospacing="0" w:line="240" w:lineRule="auto"/>
              <w:ind w:left="252"/>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110E6ED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 (9.3)</w:t>
            </w:r>
          </w:p>
        </w:tc>
        <w:tc>
          <w:tcPr>
            <w:tcW w:w="1124" w:type="dxa"/>
          </w:tcPr>
          <w:p w14:paraId="71BDCBBF"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193E4258"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0.202</w:t>
            </w:r>
          </w:p>
        </w:tc>
        <w:tc>
          <w:tcPr>
            <w:tcW w:w="1222" w:type="dxa"/>
            <w:gridSpan w:val="2"/>
            <w:tcBorders>
              <w:left w:val="single" w:sz="4" w:space="0" w:color="auto"/>
            </w:tcBorders>
          </w:tcPr>
          <w:p w14:paraId="0483E970"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 (9.4)</w:t>
            </w:r>
          </w:p>
        </w:tc>
        <w:tc>
          <w:tcPr>
            <w:tcW w:w="1033" w:type="dxa"/>
          </w:tcPr>
          <w:p w14:paraId="539F1B65"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0 (0)</w:t>
            </w:r>
          </w:p>
        </w:tc>
        <w:tc>
          <w:tcPr>
            <w:tcW w:w="961" w:type="dxa"/>
          </w:tcPr>
          <w:p w14:paraId="19EAC3E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9.922</w:t>
            </w:r>
          </w:p>
        </w:tc>
      </w:tr>
      <w:tr w:rsidR="005D22FF" w:rsidRPr="00B34FBC" w14:paraId="21E0FD98" w14:textId="77777777" w:rsidTr="00884313">
        <w:trPr>
          <w:gridAfter w:val="1"/>
          <w:wAfter w:w="18" w:type="dxa"/>
        </w:trPr>
        <w:tc>
          <w:tcPr>
            <w:tcW w:w="3457" w:type="dxa"/>
            <w:vAlign w:val="center"/>
          </w:tcPr>
          <w:p w14:paraId="19DB91CF" w14:textId="77777777" w:rsidR="005D22FF" w:rsidRPr="00B34FBC" w:rsidRDefault="005D22FF" w:rsidP="005D22FF">
            <w:pPr>
              <w:spacing w:before="0" w:beforeAutospacing="0" w:after="0" w:afterAutospacing="0" w:line="240" w:lineRule="auto"/>
              <w:ind w:left="252"/>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1775809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98 (90.7)</w:t>
            </w:r>
          </w:p>
        </w:tc>
        <w:tc>
          <w:tcPr>
            <w:tcW w:w="1124" w:type="dxa"/>
          </w:tcPr>
          <w:p w14:paraId="11D26118" w14:textId="77777777" w:rsidR="005D22FF" w:rsidRPr="00B34FBC" w:rsidRDefault="005D22FF" w:rsidP="005D22FF">
            <w:pPr>
              <w:spacing w:before="0" w:beforeAutospacing="0" w:after="0" w:afterAutospacing="0" w:line="240" w:lineRule="auto"/>
              <w:jc w:val="center"/>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4EE39974"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(0.653)</w:t>
            </w:r>
          </w:p>
        </w:tc>
        <w:tc>
          <w:tcPr>
            <w:tcW w:w="1222" w:type="dxa"/>
            <w:gridSpan w:val="2"/>
            <w:tcBorders>
              <w:left w:val="single" w:sz="4" w:space="0" w:color="auto"/>
              <w:bottom w:val="single" w:sz="4" w:space="0" w:color="auto"/>
            </w:tcBorders>
          </w:tcPr>
          <w:p w14:paraId="0C82D8C7"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87 (90.6)</w:t>
            </w:r>
          </w:p>
        </w:tc>
        <w:tc>
          <w:tcPr>
            <w:tcW w:w="1033" w:type="dxa"/>
            <w:tcBorders>
              <w:bottom w:val="single" w:sz="4" w:space="0" w:color="auto"/>
            </w:tcBorders>
          </w:tcPr>
          <w:p w14:paraId="12C2F169"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eastAsia="Times New Roman" w:hint="default"/>
                <w:color w:val="000000"/>
                <w:sz w:val="20"/>
                <w:szCs w:val="20"/>
              </w:rPr>
              <w:t>101 (100)</w:t>
            </w:r>
          </w:p>
        </w:tc>
        <w:tc>
          <w:tcPr>
            <w:tcW w:w="961" w:type="dxa"/>
            <w:tcBorders>
              <w:bottom w:val="single" w:sz="4" w:space="0" w:color="auto"/>
            </w:tcBorders>
          </w:tcPr>
          <w:p w14:paraId="5BB3F593" w14:textId="77777777" w:rsidR="005D22FF" w:rsidRPr="00B34FBC" w:rsidRDefault="005D22FF" w:rsidP="005D22FF">
            <w:pPr>
              <w:spacing w:before="0" w:beforeAutospacing="0" w:after="0" w:afterAutospacing="0" w:line="240" w:lineRule="auto"/>
              <w:jc w:val="center"/>
              <w:rPr>
                <w:rFonts w:hint="default"/>
                <w:sz w:val="20"/>
                <w:szCs w:val="20"/>
              </w:rPr>
            </w:pPr>
            <w:r w:rsidRPr="00B34FBC">
              <w:rPr>
                <w:rFonts w:hint="default"/>
                <w:color w:val="000000"/>
                <w:sz w:val="20"/>
                <w:szCs w:val="20"/>
              </w:rPr>
              <w:t>(0.002)</w:t>
            </w:r>
          </w:p>
        </w:tc>
      </w:tr>
    </w:tbl>
    <w:p w14:paraId="2B887963" w14:textId="77777777" w:rsidR="00A0462A" w:rsidRDefault="00A0462A" w:rsidP="009B6AEB">
      <w:pPr>
        <w:spacing w:line="240" w:lineRule="auto"/>
        <w:jc w:val="both"/>
        <w:rPr>
          <w:b/>
          <w:bCs/>
        </w:rPr>
      </w:pPr>
      <w:bookmarkStart w:id="15" w:name="_Toc223929074"/>
      <w:bookmarkStart w:id="16" w:name="_Toc224180320"/>
      <w:bookmarkStart w:id="17" w:name="_Toc227062501"/>
    </w:p>
    <w:p w14:paraId="44C79A7E" w14:textId="77777777" w:rsidR="00A0462A" w:rsidRDefault="00A0462A" w:rsidP="009B6AEB">
      <w:pPr>
        <w:spacing w:line="240" w:lineRule="auto"/>
        <w:jc w:val="both"/>
        <w:rPr>
          <w:b/>
          <w:bCs/>
        </w:rPr>
      </w:pPr>
    </w:p>
    <w:p w14:paraId="20541825" w14:textId="2DA59811" w:rsidR="005D22FF" w:rsidRPr="005D22FF" w:rsidRDefault="005D22FF" w:rsidP="009B6AEB">
      <w:pPr>
        <w:spacing w:line="240" w:lineRule="auto"/>
        <w:jc w:val="both"/>
        <w:rPr>
          <w:rFonts w:eastAsia="Calibri"/>
          <w:b/>
          <w:bCs/>
          <w:lang w:bidi="ar"/>
        </w:rPr>
      </w:pPr>
      <w:r w:rsidRPr="005D22FF">
        <w:rPr>
          <w:b/>
          <w:bCs/>
        </w:rPr>
        <w:t xml:space="preserve">Table </w:t>
      </w:r>
      <w:r w:rsidRPr="005D22FF">
        <w:rPr>
          <w:b/>
          <w:bCs/>
          <w:noProof/>
        </w:rPr>
        <w:fldChar w:fldCharType="begin"/>
      </w:r>
      <w:r w:rsidRPr="005D22FF">
        <w:rPr>
          <w:b/>
          <w:bCs/>
          <w:noProof/>
        </w:rPr>
        <w:instrText xml:space="preserve"> SEQ Table \* ARABIC </w:instrText>
      </w:r>
      <w:r w:rsidRPr="005D22FF">
        <w:rPr>
          <w:b/>
          <w:bCs/>
          <w:noProof/>
        </w:rPr>
        <w:fldChar w:fldCharType="separate"/>
      </w:r>
      <w:r w:rsidRPr="005D22FF">
        <w:rPr>
          <w:b/>
          <w:bCs/>
          <w:noProof/>
        </w:rPr>
        <w:t>3</w:t>
      </w:r>
      <w:r w:rsidRPr="005D22FF">
        <w:rPr>
          <w:b/>
          <w:bCs/>
          <w:noProof/>
        </w:rPr>
        <w:fldChar w:fldCharType="end"/>
      </w:r>
      <w:r w:rsidRPr="005D22FF">
        <w:rPr>
          <w:b/>
          <w:bCs/>
          <w:lang w:bidi="ar"/>
        </w:rPr>
        <w:t>: Baseline and End of Study Attitude towards Immunization Uptake among Mothers with Under-Five Children in AEFUTHA between Control and Study Groups</w:t>
      </w:r>
      <w:bookmarkEnd w:id="15"/>
      <w:bookmarkEnd w:id="16"/>
      <w:bookmarkEnd w:id="17"/>
    </w:p>
    <w:tbl>
      <w:tblPr>
        <w:tblStyle w:val="TableGrid"/>
        <w:tblW w:w="10717" w:type="dxa"/>
        <w:tblInd w:w="-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889"/>
        <w:gridCol w:w="585"/>
        <w:gridCol w:w="515"/>
        <w:gridCol w:w="490"/>
        <w:gridCol w:w="560"/>
        <w:gridCol w:w="913"/>
        <w:gridCol w:w="567"/>
        <w:gridCol w:w="515"/>
        <w:gridCol w:w="515"/>
        <w:gridCol w:w="560"/>
        <w:gridCol w:w="1008"/>
      </w:tblGrid>
      <w:tr w:rsidR="005D22FF" w:rsidRPr="007E747C" w14:paraId="370DF290" w14:textId="77777777" w:rsidTr="00884313">
        <w:tc>
          <w:tcPr>
            <w:tcW w:w="3600" w:type="dxa"/>
            <w:tcBorders>
              <w:top w:val="single" w:sz="4" w:space="0" w:color="auto"/>
              <w:bottom w:val="nil"/>
            </w:tcBorders>
          </w:tcPr>
          <w:p w14:paraId="12CBB859"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Borders>
              <w:top w:val="single" w:sz="4" w:space="0" w:color="auto"/>
              <w:bottom w:val="nil"/>
            </w:tcBorders>
          </w:tcPr>
          <w:p w14:paraId="2C6BEFD2" w14:textId="77777777" w:rsidR="005D22FF" w:rsidRPr="007E747C" w:rsidRDefault="005D22FF" w:rsidP="00884313">
            <w:pPr>
              <w:spacing w:before="0" w:beforeAutospacing="0" w:after="0" w:afterAutospacing="0" w:line="240" w:lineRule="auto"/>
              <w:jc w:val="center"/>
              <w:rPr>
                <w:rFonts w:hint="default"/>
                <w:sz w:val="22"/>
                <w:szCs w:val="22"/>
              </w:rPr>
            </w:pPr>
          </w:p>
        </w:tc>
        <w:tc>
          <w:tcPr>
            <w:tcW w:w="3063" w:type="dxa"/>
            <w:gridSpan w:val="5"/>
            <w:tcBorders>
              <w:top w:val="single" w:sz="4" w:space="0" w:color="auto"/>
              <w:bottom w:val="nil"/>
              <w:right w:val="single" w:sz="4" w:space="0" w:color="auto"/>
            </w:tcBorders>
          </w:tcPr>
          <w:p w14:paraId="43DC1BB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b/>
                <w:bCs/>
                <w:color w:val="000000"/>
                <w:sz w:val="22"/>
                <w:szCs w:val="22"/>
              </w:rPr>
              <w:t>Beginning of the Study</w:t>
            </w:r>
          </w:p>
        </w:tc>
        <w:tc>
          <w:tcPr>
            <w:tcW w:w="3165" w:type="dxa"/>
            <w:gridSpan w:val="5"/>
            <w:tcBorders>
              <w:top w:val="single" w:sz="4" w:space="0" w:color="auto"/>
              <w:left w:val="single" w:sz="4" w:space="0" w:color="auto"/>
              <w:bottom w:val="nil"/>
            </w:tcBorders>
          </w:tcPr>
          <w:p w14:paraId="6E1F04F4"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b/>
                <w:bCs/>
                <w:color w:val="000000"/>
                <w:sz w:val="22"/>
                <w:szCs w:val="22"/>
              </w:rPr>
              <w:t>End of the Study</w:t>
            </w:r>
          </w:p>
        </w:tc>
      </w:tr>
      <w:tr w:rsidR="005D22FF" w:rsidRPr="007E747C" w14:paraId="08011941" w14:textId="77777777" w:rsidTr="00884313">
        <w:tc>
          <w:tcPr>
            <w:tcW w:w="3600" w:type="dxa"/>
            <w:tcBorders>
              <w:top w:val="nil"/>
              <w:bottom w:val="single" w:sz="4" w:space="0" w:color="auto"/>
            </w:tcBorders>
          </w:tcPr>
          <w:p w14:paraId="2D1F43C6" w14:textId="77777777" w:rsidR="005D22FF" w:rsidRPr="007E747C" w:rsidRDefault="005D22FF" w:rsidP="00884313">
            <w:pPr>
              <w:spacing w:before="0" w:beforeAutospacing="0" w:after="0" w:afterAutospacing="0" w:line="240" w:lineRule="auto"/>
              <w:rPr>
                <w:rFonts w:hint="default"/>
                <w:b/>
                <w:bCs/>
                <w:sz w:val="22"/>
                <w:szCs w:val="22"/>
              </w:rPr>
            </w:pPr>
            <w:r w:rsidRPr="007E747C">
              <w:rPr>
                <w:rFonts w:hint="default"/>
                <w:b/>
                <w:bCs/>
                <w:sz w:val="22"/>
                <w:szCs w:val="22"/>
              </w:rPr>
              <w:t>Item</w:t>
            </w:r>
          </w:p>
        </w:tc>
        <w:tc>
          <w:tcPr>
            <w:tcW w:w="889" w:type="dxa"/>
            <w:tcBorders>
              <w:top w:val="nil"/>
              <w:bottom w:val="single" w:sz="4" w:space="0" w:color="auto"/>
            </w:tcBorders>
          </w:tcPr>
          <w:p w14:paraId="2377C505"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hint="default"/>
                <w:b/>
                <w:bCs/>
                <w:sz w:val="22"/>
                <w:szCs w:val="22"/>
              </w:rPr>
              <w:t>Group</w:t>
            </w:r>
          </w:p>
        </w:tc>
        <w:tc>
          <w:tcPr>
            <w:tcW w:w="585" w:type="dxa"/>
            <w:tcBorders>
              <w:top w:val="nil"/>
              <w:bottom w:val="single" w:sz="4" w:space="0" w:color="auto"/>
            </w:tcBorders>
          </w:tcPr>
          <w:p w14:paraId="44CE0C3C"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SA</w:t>
            </w:r>
          </w:p>
        </w:tc>
        <w:tc>
          <w:tcPr>
            <w:tcW w:w="515" w:type="dxa"/>
            <w:tcBorders>
              <w:top w:val="nil"/>
              <w:bottom w:val="single" w:sz="4" w:space="0" w:color="auto"/>
            </w:tcBorders>
          </w:tcPr>
          <w:p w14:paraId="2FB83536"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A</w:t>
            </w:r>
          </w:p>
        </w:tc>
        <w:tc>
          <w:tcPr>
            <w:tcW w:w="490" w:type="dxa"/>
            <w:tcBorders>
              <w:top w:val="nil"/>
              <w:bottom w:val="single" w:sz="4" w:space="0" w:color="auto"/>
            </w:tcBorders>
          </w:tcPr>
          <w:p w14:paraId="48DE232C"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D</w:t>
            </w:r>
          </w:p>
        </w:tc>
        <w:tc>
          <w:tcPr>
            <w:tcW w:w="560" w:type="dxa"/>
            <w:tcBorders>
              <w:top w:val="nil"/>
              <w:bottom w:val="single" w:sz="4" w:space="0" w:color="auto"/>
            </w:tcBorders>
          </w:tcPr>
          <w:p w14:paraId="0CF81E90"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SD</w:t>
            </w:r>
          </w:p>
        </w:tc>
        <w:tc>
          <w:tcPr>
            <w:tcW w:w="913" w:type="dxa"/>
            <w:tcBorders>
              <w:top w:val="nil"/>
              <w:bottom w:val="single" w:sz="4" w:space="0" w:color="auto"/>
              <w:right w:val="single" w:sz="4" w:space="0" w:color="auto"/>
            </w:tcBorders>
          </w:tcPr>
          <w:p w14:paraId="25B92A0B"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ꭕ² (P-Value)</w:t>
            </w:r>
          </w:p>
        </w:tc>
        <w:tc>
          <w:tcPr>
            <w:tcW w:w="567" w:type="dxa"/>
            <w:tcBorders>
              <w:top w:val="nil"/>
              <w:left w:val="single" w:sz="4" w:space="0" w:color="auto"/>
              <w:bottom w:val="single" w:sz="4" w:space="0" w:color="auto"/>
            </w:tcBorders>
          </w:tcPr>
          <w:p w14:paraId="4B8EB685"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SA</w:t>
            </w:r>
          </w:p>
        </w:tc>
        <w:tc>
          <w:tcPr>
            <w:tcW w:w="515" w:type="dxa"/>
            <w:tcBorders>
              <w:top w:val="nil"/>
              <w:bottom w:val="single" w:sz="4" w:space="0" w:color="auto"/>
            </w:tcBorders>
          </w:tcPr>
          <w:p w14:paraId="3CFCF3F1"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A</w:t>
            </w:r>
          </w:p>
        </w:tc>
        <w:tc>
          <w:tcPr>
            <w:tcW w:w="515" w:type="dxa"/>
            <w:tcBorders>
              <w:top w:val="nil"/>
              <w:bottom w:val="single" w:sz="4" w:space="0" w:color="auto"/>
            </w:tcBorders>
          </w:tcPr>
          <w:p w14:paraId="4F274668"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D</w:t>
            </w:r>
          </w:p>
        </w:tc>
        <w:tc>
          <w:tcPr>
            <w:tcW w:w="560" w:type="dxa"/>
            <w:tcBorders>
              <w:top w:val="nil"/>
              <w:bottom w:val="single" w:sz="4" w:space="0" w:color="auto"/>
            </w:tcBorders>
          </w:tcPr>
          <w:p w14:paraId="30C4E62A"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SD</w:t>
            </w:r>
          </w:p>
        </w:tc>
        <w:tc>
          <w:tcPr>
            <w:tcW w:w="1008" w:type="dxa"/>
            <w:tcBorders>
              <w:top w:val="nil"/>
              <w:bottom w:val="single" w:sz="4" w:space="0" w:color="auto"/>
            </w:tcBorders>
          </w:tcPr>
          <w:p w14:paraId="0CBE9FB2" w14:textId="77777777" w:rsidR="005D22FF" w:rsidRPr="007E747C" w:rsidRDefault="005D22FF" w:rsidP="00884313">
            <w:pPr>
              <w:spacing w:before="0" w:beforeAutospacing="0" w:after="0" w:afterAutospacing="0" w:line="240" w:lineRule="auto"/>
              <w:jc w:val="center"/>
              <w:rPr>
                <w:rFonts w:hint="default"/>
                <w:b/>
                <w:bCs/>
                <w:sz w:val="22"/>
                <w:szCs w:val="22"/>
              </w:rPr>
            </w:pPr>
            <w:r w:rsidRPr="007E747C">
              <w:rPr>
                <w:rFonts w:eastAsia="Times New Roman" w:hint="default"/>
                <w:b/>
                <w:bCs/>
                <w:color w:val="000000"/>
                <w:sz w:val="22"/>
                <w:szCs w:val="22"/>
              </w:rPr>
              <w:t>ꭕ² (P-Value)</w:t>
            </w:r>
          </w:p>
        </w:tc>
      </w:tr>
      <w:tr w:rsidR="005D22FF" w:rsidRPr="007E747C" w14:paraId="122CAC0E" w14:textId="77777777" w:rsidTr="00884313">
        <w:tc>
          <w:tcPr>
            <w:tcW w:w="3600" w:type="dxa"/>
            <w:vMerge w:val="restart"/>
            <w:tcBorders>
              <w:top w:val="single" w:sz="4" w:space="0" w:color="auto"/>
            </w:tcBorders>
          </w:tcPr>
          <w:p w14:paraId="2D327ED3"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Child can become infected after vaccination with the disease against he/she was</w:t>
            </w:r>
          </w:p>
        </w:tc>
        <w:tc>
          <w:tcPr>
            <w:tcW w:w="889" w:type="dxa"/>
            <w:tcBorders>
              <w:top w:val="single" w:sz="4" w:space="0" w:color="auto"/>
            </w:tcBorders>
          </w:tcPr>
          <w:p w14:paraId="05381E93"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Borders>
              <w:top w:val="single" w:sz="4" w:space="0" w:color="auto"/>
            </w:tcBorders>
          </w:tcPr>
          <w:p w14:paraId="54F9B08A"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33</w:t>
            </w:r>
          </w:p>
        </w:tc>
        <w:tc>
          <w:tcPr>
            <w:tcW w:w="515" w:type="dxa"/>
            <w:tcBorders>
              <w:top w:val="single" w:sz="4" w:space="0" w:color="auto"/>
            </w:tcBorders>
          </w:tcPr>
          <w:p w14:paraId="09F66E62"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43</w:t>
            </w:r>
          </w:p>
        </w:tc>
        <w:tc>
          <w:tcPr>
            <w:tcW w:w="490" w:type="dxa"/>
            <w:tcBorders>
              <w:top w:val="single" w:sz="4" w:space="0" w:color="auto"/>
            </w:tcBorders>
          </w:tcPr>
          <w:p w14:paraId="4DF56DA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13</w:t>
            </w:r>
          </w:p>
        </w:tc>
        <w:tc>
          <w:tcPr>
            <w:tcW w:w="560" w:type="dxa"/>
            <w:tcBorders>
              <w:top w:val="single" w:sz="4" w:space="0" w:color="auto"/>
            </w:tcBorders>
          </w:tcPr>
          <w:p w14:paraId="5B7DA25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19</w:t>
            </w:r>
          </w:p>
        </w:tc>
        <w:tc>
          <w:tcPr>
            <w:tcW w:w="913" w:type="dxa"/>
            <w:tcBorders>
              <w:top w:val="single" w:sz="4" w:space="0" w:color="auto"/>
              <w:right w:val="single" w:sz="4" w:space="0" w:color="auto"/>
            </w:tcBorders>
          </w:tcPr>
          <w:p w14:paraId="7DCB0182"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3.9790</w:t>
            </w:r>
          </w:p>
        </w:tc>
        <w:tc>
          <w:tcPr>
            <w:tcW w:w="567" w:type="dxa"/>
            <w:tcBorders>
              <w:top w:val="single" w:sz="4" w:space="0" w:color="auto"/>
              <w:left w:val="single" w:sz="4" w:space="0" w:color="auto"/>
            </w:tcBorders>
          </w:tcPr>
          <w:p w14:paraId="7005C0C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26</w:t>
            </w:r>
          </w:p>
        </w:tc>
        <w:tc>
          <w:tcPr>
            <w:tcW w:w="515" w:type="dxa"/>
            <w:tcBorders>
              <w:top w:val="single" w:sz="4" w:space="0" w:color="auto"/>
            </w:tcBorders>
          </w:tcPr>
          <w:p w14:paraId="27C06E94"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31</w:t>
            </w:r>
          </w:p>
        </w:tc>
        <w:tc>
          <w:tcPr>
            <w:tcW w:w="515" w:type="dxa"/>
            <w:tcBorders>
              <w:top w:val="single" w:sz="4" w:space="0" w:color="auto"/>
            </w:tcBorders>
          </w:tcPr>
          <w:p w14:paraId="1C5EDBB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10</w:t>
            </w:r>
          </w:p>
        </w:tc>
        <w:tc>
          <w:tcPr>
            <w:tcW w:w="560" w:type="dxa"/>
            <w:tcBorders>
              <w:top w:val="single" w:sz="4" w:space="0" w:color="auto"/>
            </w:tcBorders>
          </w:tcPr>
          <w:p w14:paraId="7E20AF6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29</w:t>
            </w:r>
          </w:p>
        </w:tc>
        <w:tc>
          <w:tcPr>
            <w:tcW w:w="1008" w:type="dxa"/>
            <w:tcBorders>
              <w:top w:val="single" w:sz="4" w:space="0" w:color="auto"/>
            </w:tcBorders>
          </w:tcPr>
          <w:p w14:paraId="46F723FE"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65.555</w:t>
            </w:r>
          </w:p>
        </w:tc>
      </w:tr>
      <w:tr w:rsidR="005D22FF" w:rsidRPr="007E747C" w14:paraId="6534E04B" w14:textId="77777777" w:rsidTr="00884313">
        <w:trPr>
          <w:trHeight w:val="603"/>
        </w:trPr>
        <w:tc>
          <w:tcPr>
            <w:tcW w:w="3600" w:type="dxa"/>
            <w:vMerge/>
          </w:tcPr>
          <w:p w14:paraId="56D15453"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379CD9AE"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1757C6C6"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38</w:t>
            </w:r>
          </w:p>
        </w:tc>
        <w:tc>
          <w:tcPr>
            <w:tcW w:w="515" w:type="dxa"/>
          </w:tcPr>
          <w:p w14:paraId="1D71564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45</w:t>
            </w:r>
          </w:p>
        </w:tc>
        <w:tc>
          <w:tcPr>
            <w:tcW w:w="490" w:type="dxa"/>
          </w:tcPr>
          <w:p w14:paraId="20069132"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5</w:t>
            </w:r>
          </w:p>
        </w:tc>
        <w:tc>
          <w:tcPr>
            <w:tcW w:w="560" w:type="dxa"/>
          </w:tcPr>
          <w:p w14:paraId="36FCEAA1"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1FC1F68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(0.264)</w:t>
            </w:r>
          </w:p>
        </w:tc>
        <w:tc>
          <w:tcPr>
            <w:tcW w:w="567" w:type="dxa"/>
            <w:tcBorders>
              <w:left w:val="single" w:sz="4" w:space="0" w:color="auto"/>
            </w:tcBorders>
          </w:tcPr>
          <w:p w14:paraId="6F1C9E25"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w:t>
            </w:r>
          </w:p>
        </w:tc>
        <w:tc>
          <w:tcPr>
            <w:tcW w:w="515" w:type="dxa"/>
          </w:tcPr>
          <w:p w14:paraId="37EBD53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2</w:t>
            </w:r>
          </w:p>
        </w:tc>
        <w:tc>
          <w:tcPr>
            <w:tcW w:w="515" w:type="dxa"/>
          </w:tcPr>
          <w:p w14:paraId="6D60A9A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18</w:t>
            </w:r>
          </w:p>
        </w:tc>
        <w:tc>
          <w:tcPr>
            <w:tcW w:w="560" w:type="dxa"/>
          </w:tcPr>
          <w:p w14:paraId="305853D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77</w:t>
            </w:r>
          </w:p>
        </w:tc>
        <w:tc>
          <w:tcPr>
            <w:tcW w:w="1008" w:type="dxa"/>
          </w:tcPr>
          <w:p w14:paraId="47961F2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(&lt;0.001)</w:t>
            </w:r>
          </w:p>
        </w:tc>
      </w:tr>
      <w:tr w:rsidR="005D22FF" w:rsidRPr="007E747C" w14:paraId="14D0F0D9" w14:textId="77777777" w:rsidTr="00884313">
        <w:tc>
          <w:tcPr>
            <w:tcW w:w="3600" w:type="dxa"/>
            <w:vMerge w:val="restart"/>
          </w:tcPr>
          <w:p w14:paraId="388D9D00"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Vaccine-preventable diseases can cause disability or death</w:t>
            </w:r>
          </w:p>
        </w:tc>
        <w:tc>
          <w:tcPr>
            <w:tcW w:w="889" w:type="dxa"/>
          </w:tcPr>
          <w:p w14:paraId="2BCCD73A"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Pr>
          <w:p w14:paraId="6C6997D2"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48</w:t>
            </w:r>
          </w:p>
        </w:tc>
        <w:tc>
          <w:tcPr>
            <w:tcW w:w="515" w:type="dxa"/>
          </w:tcPr>
          <w:p w14:paraId="29F245A2"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48</w:t>
            </w:r>
          </w:p>
        </w:tc>
        <w:tc>
          <w:tcPr>
            <w:tcW w:w="490" w:type="dxa"/>
          </w:tcPr>
          <w:p w14:paraId="4E661285"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5</w:t>
            </w:r>
          </w:p>
        </w:tc>
        <w:tc>
          <w:tcPr>
            <w:tcW w:w="560" w:type="dxa"/>
          </w:tcPr>
          <w:p w14:paraId="3CE15AC6"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7</w:t>
            </w:r>
          </w:p>
        </w:tc>
        <w:tc>
          <w:tcPr>
            <w:tcW w:w="913" w:type="dxa"/>
            <w:tcBorders>
              <w:right w:val="single" w:sz="4" w:space="0" w:color="auto"/>
            </w:tcBorders>
          </w:tcPr>
          <w:p w14:paraId="2C642B55"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0.601</w:t>
            </w:r>
          </w:p>
        </w:tc>
        <w:tc>
          <w:tcPr>
            <w:tcW w:w="567" w:type="dxa"/>
            <w:tcBorders>
              <w:left w:val="single" w:sz="4" w:space="0" w:color="auto"/>
            </w:tcBorders>
          </w:tcPr>
          <w:p w14:paraId="19DF27B6"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33</w:t>
            </w:r>
          </w:p>
        </w:tc>
        <w:tc>
          <w:tcPr>
            <w:tcW w:w="515" w:type="dxa"/>
          </w:tcPr>
          <w:p w14:paraId="21031DB4"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33</w:t>
            </w:r>
          </w:p>
        </w:tc>
        <w:tc>
          <w:tcPr>
            <w:tcW w:w="515" w:type="dxa"/>
          </w:tcPr>
          <w:p w14:paraId="0F9738CB"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w:t>
            </w:r>
          </w:p>
        </w:tc>
        <w:tc>
          <w:tcPr>
            <w:tcW w:w="560" w:type="dxa"/>
          </w:tcPr>
          <w:p w14:paraId="376A7247"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26</w:t>
            </w:r>
          </w:p>
        </w:tc>
        <w:tc>
          <w:tcPr>
            <w:tcW w:w="1008" w:type="dxa"/>
          </w:tcPr>
          <w:p w14:paraId="09AEDFEB"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104.184</w:t>
            </w:r>
          </w:p>
        </w:tc>
      </w:tr>
      <w:tr w:rsidR="005D22FF" w:rsidRPr="007E747C" w14:paraId="420688F7" w14:textId="77777777" w:rsidTr="00884313">
        <w:trPr>
          <w:trHeight w:val="369"/>
        </w:trPr>
        <w:tc>
          <w:tcPr>
            <w:tcW w:w="3600" w:type="dxa"/>
            <w:vMerge/>
          </w:tcPr>
          <w:p w14:paraId="2EB46A55"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5A600CE1"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31DAF0F3"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47</w:t>
            </w:r>
          </w:p>
        </w:tc>
        <w:tc>
          <w:tcPr>
            <w:tcW w:w="515" w:type="dxa"/>
          </w:tcPr>
          <w:p w14:paraId="375A729E"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51</w:t>
            </w:r>
          </w:p>
        </w:tc>
        <w:tc>
          <w:tcPr>
            <w:tcW w:w="490" w:type="dxa"/>
          </w:tcPr>
          <w:p w14:paraId="23EBF729"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w:t>
            </w:r>
          </w:p>
        </w:tc>
        <w:tc>
          <w:tcPr>
            <w:tcW w:w="560" w:type="dxa"/>
          </w:tcPr>
          <w:p w14:paraId="2E75989E"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7</w:t>
            </w:r>
          </w:p>
        </w:tc>
        <w:tc>
          <w:tcPr>
            <w:tcW w:w="913" w:type="dxa"/>
            <w:tcBorders>
              <w:right w:val="single" w:sz="4" w:space="0" w:color="auto"/>
            </w:tcBorders>
          </w:tcPr>
          <w:p w14:paraId="706CAC21"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(0.896)</w:t>
            </w:r>
          </w:p>
        </w:tc>
        <w:tc>
          <w:tcPr>
            <w:tcW w:w="567" w:type="dxa"/>
            <w:tcBorders>
              <w:left w:val="single" w:sz="4" w:space="0" w:color="auto"/>
            </w:tcBorders>
          </w:tcPr>
          <w:p w14:paraId="141459D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w:t>
            </w:r>
          </w:p>
        </w:tc>
        <w:tc>
          <w:tcPr>
            <w:tcW w:w="515" w:type="dxa"/>
          </w:tcPr>
          <w:p w14:paraId="6BC642B9"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w:t>
            </w:r>
          </w:p>
        </w:tc>
        <w:tc>
          <w:tcPr>
            <w:tcW w:w="515" w:type="dxa"/>
          </w:tcPr>
          <w:p w14:paraId="2FFA9BF5"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w:t>
            </w:r>
          </w:p>
        </w:tc>
        <w:tc>
          <w:tcPr>
            <w:tcW w:w="560" w:type="dxa"/>
          </w:tcPr>
          <w:p w14:paraId="3C3DDD72"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97</w:t>
            </w:r>
          </w:p>
        </w:tc>
        <w:tc>
          <w:tcPr>
            <w:tcW w:w="1008" w:type="dxa"/>
          </w:tcPr>
          <w:p w14:paraId="2C653748"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(&lt;0.001)</w:t>
            </w:r>
          </w:p>
        </w:tc>
      </w:tr>
      <w:tr w:rsidR="005D22FF" w:rsidRPr="007E747C" w14:paraId="3C5D29E8" w14:textId="77777777" w:rsidTr="00884313">
        <w:tc>
          <w:tcPr>
            <w:tcW w:w="3600" w:type="dxa"/>
            <w:vMerge w:val="restart"/>
          </w:tcPr>
          <w:p w14:paraId="0FC15455"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Compliance to immunization schedule will help my baby develop normal</w:t>
            </w:r>
          </w:p>
        </w:tc>
        <w:tc>
          <w:tcPr>
            <w:tcW w:w="889" w:type="dxa"/>
          </w:tcPr>
          <w:p w14:paraId="06CD0A3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Pr>
          <w:p w14:paraId="030E72F9"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81</w:t>
            </w:r>
          </w:p>
        </w:tc>
        <w:tc>
          <w:tcPr>
            <w:tcW w:w="515" w:type="dxa"/>
          </w:tcPr>
          <w:p w14:paraId="5C5D5F65"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20</w:t>
            </w:r>
          </w:p>
        </w:tc>
        <w:tc>
          <w:tcPr>
            <w:tcW w:w="490" w:type="dxa"/>
          </w:tcPr>
          <w:p w14:paraId="05219497"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w:t>
            </w:r>
          </w:p>
        </w:tc>
        <w:tc>
          <w:tcPr>
            <w:tcW w:w="560" w:type="dxa"/>
          </w:tcPr>
          <w:p w14:paraId="744E28B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w:t>
            </w:r>
          </w:p>
        </w:tc>
        <w:tc>
          <w:tcPr>
            <w:tcW w:w="913" w:type="dxa"/>
            <w:tcBorders>
              <w:right w:val="single" w:sz="4" w:space="0" w:color="auto"/>
            </w:tcBorders>
          </w:tcPr>
          <w:p w14:paraId="757DCA3A"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3.908</w:t>
            </w:r>
          </w:p>
        </w:tc>
        <w:tc>
          <w:tcPr>
            <w:tcW w:w="567" w:type="dxa"/>
            <w:tcBorders>
              <w:left w:val="single" w:sz="4" w:space="0" w:color="auto"/>
            </w:tcBorders>
          </w:tcPr>
          <w:p w14:paraId="75C3FEB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76</w:t>
            </w:r>
          </w:p>
        </w:tc>
        <w:tc>
          <w:tcPr>
            <w:tcW w:w="515" w:type="dxa"/>
          </w:tcPr>
          <w:p w14:paraId="7B10999C"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19</w:t>
            </w:r>
          </w:p>
        </w:tc>
        <w:tc>
          <w:tcPr>
            <w:tcW w:w="515" w:type="dxa"/>
          </w:tcPr>
          <w:p w14:paraId="46E1E6B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w:t>
            </w:r>
          </w:p>
        </w:tc>
        <w:tc>
          <w:tcPr>
            <w:tcW w:w="560" w:type="dxa"/>
          </w:tcPr>
          <w:p w14:paraId="635DBE3E"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w:t>
            </w:r>
          </w:p>
        </w:tc>
        <w:tc>
          <w:tcPr>
            <w:tcW w:w="1008" w:type="dxa"/>
          </w:tcPr>
          <w:p w14:paraId="1E584BB5"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0.12</w:t>
            </w:r>
          </w:p>
        </w:tc>
      </w:tr>
      <w:tr w:rsidR="005D22FF" w:rsidRPr="007E747C" w14:paraId="782A4A2C" w14:textId="77777777" w:rsidTr="00884313">
        <w:trPr>
          <w:trHeight w:val="477"/>
        </w:trPr>
        <w:tc>
          <w:tcPr>
            <w:tcW w:w="3600" w:type="dxa"/>
            <w:vMerge/>
          </w:tcPr>
          <w:p w14:paraId="5D1D8A3D"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514D21A6"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1710AED4"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81</w:t>
            </w:r>
          </w:p>
        </w:tc>
        <w:tc>
          <w:tcPr>
            <w:tcW w:w="515" w:type="dxa"/>
          </w:tcPr>
          <w:p w14:paraId="760FC677"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13</w:t>
            </w:r>
          </w:p>
        </w:tc>
        <w:tc>
          <w:tcPr>
            <w:tcW w:w="490" w:type="dxa"/>
          </w:tcPr>
          <w:p w14:paraId="563DC00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9</w:t>
            </w:r>
          </w:p>
        </w:tc>
        <w:tc>
          <w:tcPr>
            <w:tcW w:w="560" w:type="dxa"/>
          </w:tcPr>
          <w:p w14:paraId="19FDF0F8"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5</w:t>
            </w:r>
          </w:p>
        </w:tc>
        <w:tc>
          <w:tcPr>
            <w:tcW w:w="913" w:type="dxa"/>
            <w:tcBorders>
              <w:right w:val="single" w:sz="4" w:space="0" w:color="auto"/>
            </w:tcBorders>
          </w:tcPr>
          <w:p w14:paraId="3E1214B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(0.272)</w:t>
            </w:r>
          </w:p>
        </w:tc>
        <w:tc>
          <w:tcPr>
            <w:tcW w:w="567" w:type="dxa"/>
            <w:tcBorders>
              <w:left w:val="single" w:sz="4" w:space="0" w:color="auto"/>
            </w:tcBorders>
          </w:tcPr>
          <w:p w14:paraId="56B07F6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81</w:t>
            </w:r>
          </w:p>
        </w:tc>
        <w:tc>
          <w:tcPr>
            <w:tcW w:w="515" w:type="dxa"/>
          </w:tcPr>
          <w:p w14:paraId="4C154A1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20</w:t>
            </w:r>
          </w:p>
        </w:tc>
        <w:tc>
          <w:tcPr>
            <w:tcW w:w="515" w:type="dxa"/>
          </w:tcPr>
          <w:p w14:paraId="67C952B6"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w:t>
            </w:r>
          </w:p>
        </w:tc>
        <w:tc>
          <w:tcPr>
            <w:tcW w:w="560" w:type="dxa"/>
          </w:tcPr>
          <w:p w14:paraId="31770CF3"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w:t>
            </w:r>
          </w:p>
        </w:tc>
        <w:tc>
          <w:tcPr>
            <w:tcW w:w="1008" w:type="dxa"/>
          </w:tcPr>
          <w:p w14:paraId="3F389148"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(0.729)</w:t>
            </w:r>
          </w:p>
        </w:tc>
      </w:tr>
      <w:tr w:rsidR="005D22FF" w:rsidRPr="007E747C" w14:paraId="23A8AB2F" w14:textId="77777777" w:rsidTr="00884313">
        <w:tc>
          <w:tcPr>
            <w:tcW w:w="3600" w:type="dxa"/>
            <w:vMerge w:val="restart"/>
          </w:tcPr>
          <w:p w14:paraId="096C8415"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I worry about side effects of vaccines for my child</w:t>
            </w:r>
          </w:p>
        </w:tc>
        <w:tc>
          <w:tcPr>
            <w:tcW w:w="889" w:type="dxa"/>
          </w:tcPr>
          <w:p w14:paraId="2313C41E"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Pr>
          <w:p w14:paraId="4857660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62</w:t>
            </w:r>
          </w:p>
        </w:tc>
        <w:tc>
          <w:tcPr>
            <w:tcW w:w="515" w:type="dxa"/>
          </w:tcPr>
          <w:p w14:paraId="5BF0E331"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39</w:t>
            </w:r>
          </w:p>
        </w:tc>
        <w:tc>
          <w:tcPr>
            <w:tcW w:w="490" w:type="dxa"/>
          </w:tcPr>
          <w:p w14:paraId="4348BCCC"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w:t>
            </w:r>
          </w:p>
        </w:tc>
        <w:tc>
          <w:tcPr>
            <w:tcW w:w="560" w:type="dxa"/>
          </w:tcPr>
          <w:p w14:paraId="587FAA76"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w:t>
            </w:r>
          </w:p>
        </w:tc>
        <w:tc>
          <w:tcPr>
            <w:tcW w:w="913" w:type="dxa"/>
            <w:tcBorders>
              <w:right w:val="single" w:sz="4" w:space="0" w:color="auto"/>
            </w:tcBorders>
          </w:tcPr>
          <w:p w14:paraId="34BB4E3B"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3.281</w:t>
            </w:r>
          </w:p>
        </w:tc>
        <w:tc>
          <w:tcPr>
            <w:tcW w:w="567" w:type="dxa"/>
            <w:tcBorders>
              <w:left w:val="single" w:sz="4" w:space="0" w:color="auto"/>
            </w:tcBorders>
          </w:tcPr>
          <w:p w14:paraId="10B4ED5A"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41</w:t>
            </w:r>
          </w:p>
        </w:tc>
        <w:tc>
          <w:tcPr>
            <w:tcW w:w="515" w:type="dxa"/>
          </w:tcPr>
          <w:p w14:paraId="080246DA"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32</w:t>
            </w:r>
          </w:p>
        </w:tc>
        <w:tc>
          <w:tcPr>
            <w:tcW w:w="515" w:type="dxa"/>
          </w:tcPr>
          <w:p w14:paraId="5A64D2AA"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4</w:t>
            </w:r>
          </w:p>
        </w:tc>
        <w:tc>
          <w:tcPr>
            <w:tcW w:w="560" w:type="dxa"/>
          </w:tcPr>
          <w:p w14:paraId="68F2A9CF"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19</w:t>
            </w:r>
          </w:p>
        </w:tc>
        <w:tc>
          <w:tcPr>
            <w:tcW w:w="1008" w:type="dxa"/>
          </w:tcPr>
          <w:p w14:paraId="4069532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98.738</w:t>
            </w:r>
          </w:p>
        </w:tc>
      </w:tr>
      <w:tr w:rsidR="005D22FF" w:rsidRPr="007E747C" w14:paraId="06FEEAD5" w14:textId="77777777" w:rsidTr="00884313">
        <w:trPr>
          <w:trHeight w:val="459"/>
        </w:trPr>
        <w:tc>
          <w:tcPr>
            <w:tcW w:w="3600" w:type="dxa"/>
            <w:vMerge/>
          </w:tcPr>
          <w:p w14:paraId="18BBE8A4"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7BD8A8C0"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41CED166"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56</w:t>
            </w:r>
          </w:p>
        </w:tc>
        <w:tc>
          <w:tcPr>
            <w:tcW w:w="515" w:type="dxa"/>
          </w:tcPr>
          <w:p w14:paraId="36441570"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37</w:t>
            </w:r>
          </w:p>
        </w:tc>
        <w:tc>
          <w:tcPr>
            <w:tcW w:w="490" w:type="dxa"/>
          </w:tcPr>
          <w:p w14:paraId="6CF74C4A"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9</w:t>
            </w:r>
          </w:p>
        </w:tc>
        <w:tc>
          <w:tcPr>
            <w:tcW w:w="560" w:type="dxa"/>
          </w:tcPr>
          <w:p w14:paraId="6636B49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w:t>
            </w:r>
          </w:p>
        </w:tc>
        <w:tc>
          <w:tcPr>
            <w:tcW w:w="913" w:type="dxa"/>
            <w:tcBorders>
              <w:right w:val="single" w:sz="4" w:space="0" w:color="auto"/>
            </w:tcBorders>
          </w:tcPr>
          <w:p w14:paraId="5BBAA227"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(0.35)</w:t>
            </w:r>
          </w:p>
        </w:tc>
        <w:tc>
          <w:tcPr>
            <w:tcW w:w="567" w:type="dxa"/>
            <w:tcBorders>
              <w:left w:val="single" w:sz="4" w:space="0" w:color="auto"/>
            </w:tcBorders>
          </w:tcPr>
          <w:p w14:paraId="21EB8CD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w:t>
            </w:r>
          </w:p>
        </w:tc>
        <w:tc>
          <w:tcPr>
            <w:tcW w:w="515" w:type="dxa"/>
          </w:tcPr>
          <w:p w14:paraId="648698F9"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1AA7813E"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25</w:t>
            </w:r>
          </w:p>
        </w:tc>
        <w:tc>
          <w:tcPr>
            <w:tcW w:w="560" w:type="dxa"/>
          </w:tcPr>
          <w:p w14:paraId="2715F9D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69</w:t>
            </w:r>
          </w:p>
        </w:tc>
        <w:tc>
          <w:tcPr>
            <w:tcW w:w="1008" w:type="dxa"/>
          </w:tcPr>
          <w:p w14:paraId="111FAB6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2D188876" w14:textId="77777777" w:rsidTr="00884313">
        <w:tc>
          <w:tcPr>
            <w:tcW w:w="3600" w:type="dxa"/>
            <w:vMerge w:val="restart"/>
          </w:tcPr>
          <w:p w14:paraId="7C839623"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I would rather treat diseases when they occur than prevent them through immunization</w:t>
            </w:r>
          </w:p>
        </w:tc>
        <w:tc>
          <w:tcPr>
            <w:tcW w:w="889" w:type="dxa"/>
          </w:tcPr>
          <w:p w14:paraId="5F23B5B9"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Pr>
          <w:p w14:paraId="77FF6188"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37</w:t>
            </w:r>
          </w:p>
        </w:tc>
        <w:tc>
          <w:tcPr>
            <w:tcW w:w="515" w:type="dxa"/>
          </w:tcPr>
          <w:p w14:paraId="1B4D8AC1"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8</w:t>
            </w:r>
          </w:p>
        </w:tc>
        <w:tc>
          <w:tcPr>
            <w:tcW w:w="490" w:type="dxa"/>
          </w:tcPr>
          <w:p w14:paraId="08D0DAC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43</w:t>
            </w:r>
          </w:p>
        </w:tc>
        <w:tc>
          <w:tcPr>
            <w:tcW w:w="560" w:type="dxa"/>
          </w:tcPr>
          <w:p w14:paraId="4F656413"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7FBD02B1"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3.13</w:t>
            </w:r>
          </w:p>
        </w:tc>
        <w:tc>
          <w:tcPr>
            <w:tcW w:w="567" w:type="dxa"/>
            <w:tcBorders>
              <w:left w:val="single" w:sz="4" w:space="0" w:color="auto"/>
            </w:tcBorders>
          </w:tcPr>
          <w:p w14:paraId="111D3FA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24</w:t>
            </w:r>
          </w:p>
        </w:tc>
        <w:tc>
          <w:tcPr>
            <w:tcW w:w="515" w:type="dxa"/>
          </w:tcPr>
          <w:p w14:paraId="2A20C7F6"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7</w:t>
            </w:r>
          </w:p>
        </w:tc>
        <w:tc>
          <w:tcPr>
            <w:tcW w:w="515" w:type="dxa"/>
          </w:tcPr>
          <w:p w14:paraId="46A3E25D"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33</w:t>
            </w:r>
          </w:p>
        </w:tc>
        <w:tc>
          <w:tcPr>
            <w:tcW w:w="560" w:type="dxa"/>
          </w:tcPr>
          <w:p w14:paraId="182FD3E4"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32</w:t>
            </w:r>
          </w:p>
        </w:tc>
        <w:tc>
          <w:tcPr>
            <w:tcW w:w="1008" w:type="dxa"/>
          </w:tcPr>
          <w:p w14:paraId="7DE09DF4"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33.941</w:t>
            </w:r>
          </w:p>
        </w:tc>
      </w:tr>
      <w:tr w:rsidR="005D22FF" w:rsidRPr="007E747C" w14:paraId="463A576B" w14:textId="77777777" w:rsidTr="00884313">
        <w:trPr>
          <w:trHeight w:val="459"/>
        </w:trPr>
        <w:tc>
          <w:tcPr>
            <w:tcW w:w="3600" w:type="dxa"/>
            <w:vMerge/>
          </w:tcPr>
          <w:p w14:paraId="2137E339"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7814B8B4"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4DFEB7AB"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40</w:t>
            </w:r>
          </w:p>
        </w:tc>
        <w:tc>
          <w:tcPr>
            <w:tcW w:w="515" w:type="dxa"/>
          </w:tcPr>
          <w:p w14:paraId="3FD8F2B6"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10</w:t>
            </w:r>
          </w:p>
        </w:tc>
        <w:tc>
          <w:tcPr>
            <w:tcW w:w="490" w:type="dxa"/>
          </w:tcPr>
          <w:p w14:paraId="00E416EC"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47</w:t>
            </w:r>
          </w:p>
        </w:tc>
        <w:tc>
          <w:tcPr>
            <w:tcW w:w="560" w:type="dxa"/>
          </w:tcPr>
          <w:p w14:paraId="4950174D"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11</w:t>
            </w:r>
          </w:p>
        </w:tc>
        <w:tc>
          <w:tcPr>
            <w:tcW w:w="913" w:type="dxa"/>
            <w:tcBorders>
              <w:right w:val="single" w:sz="4" w:space="0" w:color="auto"/>
            </w:tcBorders>
          </w:tcPr>
          <w:p w14:paraId="209ACE53"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(0.372)</w:t>
            </w:r>
          </w:p>
        </w:tc>
        <w:tc>
          <w:tcPr>
            <w:tcW w:w="567" w:type="dxa"/>
            <w:tcBorders>
              <w:left w:val="single" w:sz="4" w:space="0" w:color="auto"/>
            </w:tcBorders>
          </w:tcPr>
          <w:p w14:paraId="6DEA13ED"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480B59C4"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5</w:t>
            </w:r>
          </w:p>
        </w:tc>
        <w:tc>
          <w:tcPr>
            <w:tcW w:w="515" w:type="dxa"/>
          </w:tcPr>
          <w:p w14:paraId="767F98FB"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68</w:t>
            </w:r>
          </w:p>
        </w:tc>
        <w:tc>
          <w:tcPr>
            <w:tcW w:w="560" w:type="dxa"/>
          </w:tcPr>
          <w:p w14:paraId="181CBACA"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27</w:t>
            </w:r>
          </w:p>
        </w:tc>
        <w:tc>
          <w:tcPr>
            <w:tcW w:w="1008" w:type="dxa"/>
          </w:tcPr>
          <w:p w14:paraId="2136968D"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41019784" w14:textId="77777777" w:rsidTr="00884313">
        <w:tc>
          <w:tcPr>
            <w:tcW w:w="3600" w:type="dxa"/>
            <w:vMerge w:val="restart"/>
          </w:tcPr>
          <w:p w14:paraId="4738868D"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Immunization is a waste of time because children still fall sick</w:t>
            </w:r>
          </w:p>
        </w:tc>
        <w:tc>
          <w:tcPr>
            <w:tcW w:w="889" w:type="dxa"/>
          </w:tcPr>
          <w:p w14:paraId="5E8EB187"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Pr>
          <w:p w14:paraId="233D6DD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31</w:t>
            </w:r>
          </w:p>
        </w:tc>
        <w:tc>
          <w:tcPr>
            <w:tcW w:w="515" w:type="dxa"/>
          </w:tcPr>
          <w:p w14:paraId="06ACD816"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13</w:t>
            </w:r>
          </w:p>
        </w:tc>
        <w:tc>
          <w:tcPr>
            <w:tcW w:w="490" w:type="dxa"/>
          </w:tcPr>
          <w:p w14:paraId="2FEA6FD4"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39</w:t>
            </w:r>
          </w:p>
        </w:tc>
        <w:tc>
          <w:tcPr>
            <w:tcW w:w="560" w:type="dxa"/>
          </w:tcPr>
          <w:p w14:paraId="4FD0D57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25</w:t>
            </w:r>
          </w:p>
        </w:tc>
        <w:tc>
          <w:tcPr>
            <w:tcW w:w="913" w:type="dxa"/>
            <w:tcBorders>
              <w:right w:val="single" w:sz="4" w:space="0" w:color="auto"/>
            </w:tcBorders>
          </w:tcPr>
          <w:p w14:paraId="1999C13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2.314</w:t>
            </w:r>
          </w:p>
        </w:tc>
        <w:tc>
          <w:tcPr>
            <w:tcW w:w="567" w:type="dxa"/>
            <w:tcBorders>
              <w:left w:val="single" w:sz="4" w:space="0" w:color="auto"/>
            </w:tcBorders>
          </w:tcPr>
          <w:p w14:paraId="3A975C43"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12</w:t>
            </w:r>
          </w:p>
        </w:tc>
        <w:tc>
          <w:tcPr>
            <w:tcW w:w="515" w:type="dxa"/>
          </w:tcPr>
          <w:p w14:paraId="5BBB5007"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7</w:t>
            </w:r>
          </w:p>
        </w:tc>
        <w:tc>
          <w:tcPr>
            <w:tcW w:w="515" w:type="dxa"/>
          </w:tcPr>
          <w:p w14:paraId="3BFA06A4"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34</w:t>
            </w:r>
          </w:p>
        </w:tc>
        <w:tc>
          <w:tcPr>
            <w:tcW w:w="560" w:type="dxa"/>
          </w:tcPr>
          <w:p w14:paraId="01DDA337"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43</w:t>
            </w:r>
          </w:p>
        </w:tc>
        <w:tc>
          <w:tcPr>
            <w:tcW w:w="1008" w:type="dxa"/>
          </w:tcPr>
          <w:p w14:paraId="2ECB1C18"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19.462</w:t>
            </w:r>
          </w:p>
        </w:tc>
      </w:tr>
      <w:tr w:rsidR="005D22FF" w:rsidRPr="007E747C" w14:paraId="418B43CF" w14:textId="77777777" w:rsidTr="00884313">
        <w:trPr>
          <w:trHeight w:val="477"/>
        </w:trPr>
        <w:tc>
          <w:tcPr>
            <w:tcW w:w="3600" w:type="dxa"/>
            <w:vMerge/>
          </w:tcPr>
          <w:p w14:paraId="751E88C7"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2F7234BA"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4B5D95EB"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26</w:t>
            </w:r>
          </w:p>
        </w:tc>
        <w:tc>
          <w:tcPr>
            <w:tcW w:w="515" w:type="dxa"/>
          </w:tcPr>
          <w:p w14:paraId="604D23B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19</w:t>
            </w:r>
          </w:p>
        </w:tc>
        <w:tc>
          <w:tcPr>
            <w:tcW w:w="490" w:type="dxa"/>
          </w:tcPr>
          <w:p w14:paraId="0A614C41"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43</w:t>
            </w:r>
          </w:p>
        </w:tc>
        <w:tc>
          <w:tcPr>
            <w:tcW w:w="560" w:type="dxa"/>
          </w:tcPr>
          <w:p w14:paraId="51B70260"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74E2EF8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(0.510)</w:t>
            </w:r>
          </w:p>
        </w:tc>
        <w:tc>
          <w:tcPr>
            <w:tcW w:w="567" w:type="dxa"/>
            <w:tcBorders>
              <w:left w:val="single" w:sz="4" w:space="0" w:color="auto"/>
            </w:tcBorders>
          </w:tcPr>
          <w:p w14:paraId="410BA891"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774EA833"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1F97B174"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31</w:t>
            </w:r>
          </w:p>
        </w:tc>
        <w:tc>
          <w:tcPr>
            <w:tcW w:w="560" w:type="dxa"/>
          </w:tcPr>
          <w:p w14:paraId="197F6B9C"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68</w:t>
            </w:r>
          </w:p>
        </w:tc>
        <w:tc>
          <w:tcPr>
            <w:tcW w:w="1008" w:type="dxa"/>
          </w:tcPr>
          <w:p w14:paraId="4850098D"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760936D0" w14:textId="77777777" w:rsidTr="00884313">
        <w:tc>
          <w:tcPr>
            <w:tcW w:w="3600" w:type="dxa"/>
            <w:vMerge w:val="restart"/>
          </w:tcPr>
          <w:p w14:paraId="16B53105"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Advice from nurses encourages me to take my child for immunization</w:t>
            </w:r>
          </w:p>
        </w:tc>
        <w:tc>
          <w:tcPr>
            <w:tcW w:w="889" w:type="dxa"/>
          </w:tcPr>
          <w:p w14:paraId="402657F8"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Pr>
          <w:p w14:paraId="1A09A60E"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69</w:t>
            </w:r>
          </w:p>
        </w:tc>
        <w:tc>
          <w:tcPr>
            <w:tcW w:w="515" w:type="dxa"/>
          </w:tcPr>
          <w:p w14:paraId="7F341C3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37</w:t>
            </w:r>
          </w:p>
        </w:tc>
        <w:tc>
          <w:tcPr>
            <w:tcW w:w="490" w:type="dxa"/>
          </w:tcPr>
          <w:p w14:paraId="0D2B152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560" w:type="dxa"/>
          </w:tcPr>
          <w:p w14:paraId="48D6D188"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913" w:type="dxa"/>
            <w:tcBorders>
              <w:right w:val="single" w:sz="4" w:space="0" w:color="auto"/>
            </w:tcBorders>
          </w:tcPr>
          <w:p w14:paraId="743124D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2.824</w:t>
            </w:r>
          </w:p>
        </w:tc>
        <w:tc>
          <w:tcPr>
            <w:tcW w:w="567" w:type="dxa"/>
            <w:tcBorders>
              <w:left w:val="single" w:sz="4" w:space="0" w:color="auto"/>
            </w:tcBorders>
          </w:tcPr>
          <w:p w14:paraId="1C607061"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67</w:t>
            </w:r>
          </w:p>
        </w:tc>
        <w:tc>
          <w:tcPr>
            <w:tcW w:w="515" w:type="dxa"/>
          </w:tcPr>
          <w:p w14:paraId="3AC40C56"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27</w:t>
            </w:r>
          </w:p>
        </w:tc>
        <w:tc>
          <w:tcPr>
            <w:tcW w:w="515" w:type="dxa"/>
          </w:tcPr>
          <w:p w14:paraId="0E1A0395"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560" w:type="dxa"/>
          </w:tcPr>
          <w:p w14:paraId="1708116C"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w:t>
            </w:r>
          </w:p>
        </w:tc>
        <w:tc>
          <w:tcPr>
            <w:tcW w:w="1008" w:type="dxa"/>
          </w:tcPr>
          <w:p w14:paraId="2B9108BE"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189.187</w:t>
            </w:r>
          </w:p>
        </w:tc>
      </w:tr>
      <w:tr w:rsidR="005D22FF" w:rsidRPr="007E747C" w14:paraId="5440405A" w14:textId="77777777" w:rsidTr="00884313">
        <w:trPr>
          <w:trHeight w:val="549"/>
        </w:trPr>
        <w:tc>
          <w:tcPr>
            <w:tcW w:w="3600" w:type="dxa"/>
            <w:vMerge/>
          </w:tcPr>
          <w:p w14:paraId="5A88C8F0"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4C91974C"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08661EF9"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62</w:t>
            </w:r>
          </w:p>
        </w:tc>
        <w:tc>
          <w:tcPr>
            <w:tcW w:w="515" w:type="dxa"/>
          </w:tcPr>
          <w:p w14:paraId="50BEDA32"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43</w:t>
            </w:r>
          </w:p>
        </w:tc>
        <w:tc>
          <w:tcPr>
            <w:tcW w:w="490" w:type="dxa"/>
          </w:tcPr>
          <w:p w14:paraId="44C5A2A8"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w:t>
            </w:r>
          </w:p>
        </w:tc>
        <w:tc>
          <w:tcPr>
            <w:tcW w:w="560" w:type="dxa"/>
          </w:tcPr>
          <w:p w14:paraId="6CFDCF7C"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w:t>
            </w:r>
          </w:p>
        </w:tc>
        <w:tc>
          <w:tcPr>
            <w:tcW w:w="913" w:type="dxa"/>
            <w:tcBorders>
              <w:right w:val="single" w:sz="4" w:space="0" w:color="auto"/>
            </w:tcBorders>
          </w:tcPr>
          <w:p w14:paraId="600DBAA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(0.420)</w:t>
            </w:r>
          </w:p>
        </w:tc>
        <w:tc>
          <w:tcPr>
            <w:tcW w:w="567" w:type="dxa"/>
            <w:tcBorders>
              <w:left w:val="single" w:sz="4" w:space="0" w:color="auto"/>
            </w:tcBorders>
          </w:tcPr>
          <w:p w14:paraId="09BFC87C"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w:t>
            </w:r>
          </w:p>
        </w:tc>
        <w:tc>
          <w:tcPr>
            <w:tcW w:w="515" w:type="dxa"/>
          </w:tcPr>
          <w:p w14:paraId="1D7AE8A8"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w:t>
            </w:r>
          </w:p>
        </w:tc>
        <w:tc>
          <w:tcPr>
            <w:tcW w:w="515" w:type="dxa"/>
          </w:tcPr>
          <w:p w14:paraId="0F3C43E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28</w:t>
            </w:r>
          </w:p>
        </w:tc>
        <w:tc>
          <w:tcPr>
            <w:tcW w:w="560" w:type="dxa"/>
          </w:tcPr>
          <w:p w14:paraId="1606E591"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73</w:t>
            </w:r>
          </w:p>
        </w:tc>
        <w:tc>
          <w:tcPr>
            <w:tcW w:w="1008" w:type="dxa"/>
          </w:tcPr>
          <w:p w14:paraId="21A1B8EE"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13405989" w14:textId="77777777" w:rsidTr="00884313">
        <w:tc>
          <w:tcPr>
            <w:tcW w:w="3600" w:type="dxa"/>
            <w:vMerge w:val="restart"/>
          </w:tcPr>
          <w:p w14:paraId="3FF197E2" w14:textId="77777777" w:rsidR="005D22FF" w:rsidRPr="007E747C" w:rsidRDefault="005D22FF" w:rsidP="00884313">
            <w:pPr>
              <w:spacing w:before="0" w:beforeAutospacing="0" w:after="0" w:afterAutospacing="0" w:line="240" w:lineRule="auto"/>
              <w:rPr>
                <w:rFonts w:hint="default"/>
                <w:sz w:val="22"/>
                <w:szCs w:val="22"/>
              </w:rPr>
            </w:pPr>
            <w:r w:rsidRPr="007E747C">
              <w:rPr>
                <w:rFonts w:eastAsia="Times New Roman" w:hint="default"/>
                <w:color w:val="000000"/>
                <w:sz w:val="22"/>
                <w:szCs w:val="22"/>
              </w:rPr>
              <w:t>Immunization clinics are too far, making it difficult for me to attend</w:t>
            </w:r>
          </w:p>
        </w:tc>
        <w:tc>
          <w:tcPr>
            <w:tcW w:w="889" w:type="dxa"/>
          </w:tcPr>
          <w:p w14:paraId="325C951D"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Control</w:t>
            </w:r>
          </w:p>
        </w:tc>
        <w:tc>
          <w:tcPr>
            <w:tcW w:w="585" w:type="dxa"/>
          </w:tcPr>
          <w:p w14:paraId="24D15579"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48</w:t>
            </w:r>
          </w:p>
        </w:tc>
        <w:tc>
          <w:tcPr>
            <w:tcW w:w="515" w:type="dxa"/>
          </w:tcPr>
          <w:p w14:paraId="0DC8D7EE"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23</w:t>
            </w:r>
          </w:p>
        </w:tc>
        <w:tc>
          <w:tcPr>
            <w:tcW w:w="490" w:type="dxa"/>
          </w:tcPr>
          <w:p w14:paraId="6D10782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17</w:t>
            </w:r>
          </w:p>
        </w:tc>
        <w:tc>
          <w:tcPr>
            <w:tcW w:w="560" w:type="dxa"/>
          </w:tcPr>
          <w:p w14:paraId="2BDFA227"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3D5C8E68"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1.423</w:t>
            </w:r>
          </w:p>
        </w:tc>
        <w:tc>
          <w:tcPr>
            <w:tcW w:w="567" w:type="dxa"/>
            <w:tcBorders>
              <w:left w:val="single" w:sz="4" w:space="0" w:color="auto"/>
            </w:tcBorders>
          </w:tcPr>
          <w:p w14:paraId="22CFF643"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49</w:t>
            </w:r>
          </w:p>
        </w:tc>
        <w:tc>
          <w:tcPr>
            <w:tcW w:w="515" w:type="dxa"/>
          </w:tcPr>
          <w:p w14:paraId="1F2730F3"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13</w:t>
            </w:r>
          </w:p>
        </w:tc>
        <w:tc>
          <w:tcPr>
            <w:tcW w:w="515" w:type="dxa"/>
          </w:tcPr>
          <w:p w14:paraId="3D8D8E21"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17</w:t>
            </w:r>
          </w:p>
        </w:tc>
        <w:tc>
          <w:tcPr>
            <w:tcW w:w="560" w:type="dxa"/>
          </w:tcPr>
          <w:p w14:paraId="7A925623"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17</w:t>
            </w:r>
          </w:p>
        </w:tc>
        <w:tc>
          <w:tcPr>
            <w:tcW w:w="1008" w:type="dxa"/>
          </w:tcPr>
          <w:p w14:paraId="5AFF67DC"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5.089</w:t>
            </w:r>
          </w:p>
        </w:tc>
      </w:tr>
      <w:tr w:rsidR="005D22FF" w:rsidRPr="007E747C" w14:paraId="0B5E5F03" w14:textId="77777777" w:rsidTr="00884313">
        <w:tc>
          <w:tcPr>
            <w:tcW w:w="3600" w:type="dxa"/>
            <w:vMerge/>
          </w:tcPr>
          <w:p w14:paraId="26B7A4DA" w14:textId="77777777" w:rsidR="005D22FF" w:rsidRPr="007E747C" w:rsidRDefault="005D22FF" w:rsidP="00884313">
            <w:pPr>
              <w:spacing w:before="0" w:beforeAutospacing="0" w:after="0" w:afterAutospacing="0" w:line="240" w:lineRule="auto"/>
              <w:rPr>
                <w:rFonts w:hint="default"/>
                <w:sz w:val="22"/>
                <w:szCs w:val="22"/>
              </w:rPr>
            </w:pPr>
          </w:p>
        </w:tc>
        <w:tc>
          <w:tcPr>
            <w:tcW w:w="889" w:type="dxa"/>
          </w:tcPr>
          <w:p w14:paraId="6E3C0EFE" w14:textId="77777777" w:rsidR="005D22FF" w:rsidRPr="007E747C" w:rsidRDefault="005D22FF" w:rsidP="00884313">
            <w:pPr>
              <w:spacing w:before="0" w:beforeAutospacing="0" w:after="0" w:afterAutospacing="0" w:line="240" w:lineRule="auto"/>
              <w:jc w:val="center"/>
              <w:rPr>
                <w:rFonts w:hint="default"/>
                <w:sz w:val="22"/>
                <w:szCs w:val="22"/>
              </w:rPr>
            </w:pPr>
            <w:r w:rsidRPr="007E747C">
              <w:rPr>
                <w:rFonts w:eastAsia="Times New Roman" w:hint="default"/>
                <w:color w:val="000000"/>
                <w:sz w:val="22"/>
                <w:szCs w:val="22"/>
              </w:rPr>
              <w:t>Study</w:t>
            </w:r>
          </w:p>
        </w:tc>
        <w:tc>
          <w:tcPr>
            <w:tcW w:w="585" w:type="dxa"/>
          </w:tcPr>
          <w:p w14:paraId="11181146"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41</w:t>
            </w:r>
          </w:p>
        </w:tc>
        <w:tc>
          <w:tcPr>
            <w:tcW w:w="515" w:type="dxa"/>
          </w:tcPr>
          <w:p w14:paraId="635B6C97"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22</w:t>
            </w:r>
          </w:p>
        </w:tc>
        <w:tc>
          <w:tcPr>
            <w:tcW w:w="490" w:type="dxa"/>
          </w:tcPr>
          <w:p w14:paraId="4561C59B"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22</w:t>
            </w:r>
          </w:p>
        </w:tc>
        <w:tc>
          <w:tcPr>
            <w:tcW w:w="560" w:type="dxa"/>
          </w:tcPr>
          <w:p w14:paraId="52E6A299"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23</w:t>
            </w:r>
          </w:p>
        </w:tc>
        <w:tc>
          <w:tcPr>
            <w:tcW w:w="913" w:type="dxa"/>
            <w:tcBorders>
              <w:right w:val="single" w:sz="4" w:space="0" w:color="auto"/>
            </w:tcBorders>
          </w:tcPr>
          <w:p w14:paraId="74F8B8DF"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(0.700)</w:t>
            </w:r>
          </w:p>
        </w:tc>
        <w:tc>
          <w:tcPr>
            <w:tcW w:w="567" w:type="dxa"/>
            <w:tcBorders>
              <w:left w:val="single" w:sz="4" w:space="0" w:color="auto"/>
              <w:bottom w:val="single" w:sz="4" w:space="0" w:color="auto"/>
            </w:tcBorders>
          </w:tcPr>
          <w:p w14:paraId="04D9356E"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36</w:t>
            </w:r>
          </w:p>
        </w:tc>
        <w:tc>
          <w:tcPr>
            <w:tcW w:w="515" w:type="dxa"/>
            <w:tcBorders>
              <w:bottom w:val="single" w:sz="4" w:space="0" w:color="auto"/>
            </w:tcBorders>
          </w:tcPr>
          <w:p w14:paraId="1BE37E87"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16</w:t>
            </w:r>
          </w:p>
        </w:tc>
        <w:tc>
          <w:tcPr>
            <w:tcW w:w="515" w:type="dxa"/>
          </w:tcPr>
          <w:p w14:paraId="0179B20D"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22</w:t>
            </w:r>
          </w:p>
        </w:tc>
        <w:tc>
          <w:tcPr>
            <w:tcW w:w="560" w:type="dxa"/>
          </w:tcPr>
          <w:p w14:paraId="34B04842"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27</w:t>
            </w:r>
          </w:p>
        </w:tc>
        <w:tc>
          <w:tcPr>
            <w:tcW w:w="1008" w:type="dxa"/>
          </w:tcPr>
          <w:p w14:paraId="69D0D3E8" w14:textId="77777777" w:rsidR="005D22FF" w:rsidRPr="007E747C" w:rsidRDefault="005D22FF" w:rsidP="00884313">
            <w:pPr>
              <w:spacing w:before="0" w:beforeAutospacing="0" w:after="0" w:afterAutospacing="0" w:line="240" w:lineRule="auto"/>
              <w:jc w:val="center"/>
              <w:rPr>
                <w:rFonts w:eastAsia="Times New Roman" w:hint="default"/>
                <w:color w:val="000000"/>
                <w:sz w:val="22"/>
                <w:szCs w:val="22"/>
              </w:rPr>
            </w:pPr>
            <w:r w:rsidRPr="007E747C">
              <w:rPr>
                <w:rFonts w:eastAsia="Times New Roman" w:hint="default"/>
                <w:color w:val="000000"/>
                <w:sz w:val="22"/>
                <w:szCs w:val="22"/>
              </w:rPr>
              <w:t>(0.165)</w:t>
            </w:r>
          </w:p>
        </w:tc>
      </w:tr>
    </w:tbl>
    <w:p w14:paraId="377400E8" w14:textId="0387E494" w:rsidR="005D22FF" w:rsidRPr="005D22FF" w:rsidRDefault="005D22FF" w:rsidP="005D22FF">
      <w:pPr>
        <w:spacing w:before="0" w:beforeAutospacing="0" w:after="0" w:afterAutospacing="0" w:line="240" w:lineRule="auto"/>
        <w:jc w:val="both"/>
        <w:rPr>
          <w:rFonts w:eastAsia="Calibri"/>
          <w:sz w:val="20"/>
          <w:szCs w:val="20"/>
          <w:lang w:bidi="ar"/>
        </w:rPr>
      </w:pPr>
      <w:r w:rsidRPr="005D22FF">
        <w:rPr>
          <w:rFonts w:eastAsia="Calibri"/>
          <w:b/>
          <w:bCs/>
          <w:sz w:val="20"/>
          <w:szCs w:val="14"/>
          <w:lang w:bidi="ar"/>
        </w:rPr>
        <w:t>SD = Strongly Agreed; A = Agreed; D = Disagreed; SD = Strongly Disagreed</w:t>
      </w:r>
    </w:p>
    <w:p w14:paraId="32A8F2B9" w14:textId="15252530" w:rsidR="00E95DBD" w:rsidRPr="009B6AEB" w:rsidRDefault="00D4358F" w:rsidP="00D4358F">
      <w:pPr>
        <w:spacing w:line="240" w:lineRule="auto"/>
        <w:ind w:left="-270"/>
        <w:jc w:val="both"/>
        <w:rPr>
          <w:rFonts w:eastAsia="Calibri"/>
          <w:lang w:bidi="ar"/>
        </w:rPr>
      </w:pPr>
      <w:r>
        <w:rPr>
          <w:rFonts w:eastAsia="Calibri"/>
          <w:b/>
          <w:bCs/>
          <w:noProof/>
          <w:sz w:val="20"/>
          <w:szCs w:val="14"/>
          <w:lang w:eastAsia="en-US"/>
        </w:rPr>
        <w:drawing>
          <wp:inline distT="0" distB="0" distL="0" distR="0" wp14:anchorId="4D106892" wp14:editId="1FF86640">
            <wp:extent cx="6432951" cy="2880360"/>
            <wp:effectExtent l="0" t="0" r="6350" b="0"/>
            <wp:docPr id="1121408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9079" cy="2887581"/>
                    </a:xfrm>
                    <a:prstGeom prst="rect">
                      <a:avLst/>
                    </a:prstGeom>
                    <a:noFill/>
                  </pic:spPr>
                </pic:pic>
              </a:graphicData>
            </a:graphic>
          </wp:inline>
        </w:drawing>
      </w:r>
    </w:p>
    <w:p w14:paraId="23CE4546" w14:textId="77777777" w:rsidR="00D4358F" w:rsidRDefault="00D4358F" w:rsidP="002F35F6">
      <w:pPr>
        <w:spacing w:line="240" w:lineRule="auto"/>
        <w:jc w:val="both"/>
      </w:pPr>
    </w:p>
    <w:p w14:paraId="44B2722D" w14:textId="73029D90" w:rsidR="00D4358F" w:rsidRDefault="00D4358F" w:rsidP="00D4358F">
      <w:pPr>
        <w:spacing w:line="240" w:lineRule="auto"/>
        <w:ind w:left="-270"/>
        <w:jc w:val="both"/>
      </w:pPr>
      <w:r>
        <w:rPr>
          <w:noProof/>
          <w:lang w:eastAsia="en-US"/>
        </w:rPr>
        <w:lastRenderedPageBreak/>
        <w:drawing>
          <wp:inline distT="0" distB="0" distL="0" distR="0" wp14:anchorId="259B0225" wp14:editId="45480938">
            <wp:extent cx="6401533" cy="2857500"/>
            <wp:effectExtent l="0" t="0" r="0" b="0"/>
            <wp:docPr id="6649933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5711" cy="2859365"/>
                    </a:xfrm>
                    <a:prstGeom prst="rect">
                      <a:avLst/>
                    </a:prstGeom>
                    <a:noFill/>
                  </pic:spPr>
                </pic:pic>
              </a:graphicData>
            </a:graphic>
          </wp:inline>
        </w:drawing>
      </w:r>
    </w:p>
    <w:p w14:paraId="1801A65A" w14:textId="77777777" w:rsidR="00D4358F" w:rsidRDefault="00D4358F" w:rsidP="002F35F6">
      <w:pPr>
        <w:spacing w:line="240" w:lineRule="auto"/>
        <w:jc w:val="both"/>
      </w:pPr>
    </w:p>
    <w:p w14:paraId="73650C6B" w14:textId="3392DB0D" w:rsidR="00D4358F" w:rsidRDefault="00D4358F" w:rsidP="00D4358F">
      <w:pPr>
        <w:pStyle w:val="Title"/>
        <w:spacing w:beforeAutospacing="0" w:afterAutospacing="0" w:line="240" w:lineRule="auto"/>
      </w:pPr>
      <w:bookmarkStart w:id="18" w:name="_Toc223929077"/>
      <w:bookmarkStart w:id="19" w:name="_Toc224180323"/>
      <w:bookmarkStart w:id="20" w:name="_Toc227062504"/>
      <w:r>
        <w:t xml:space="preserve">Table </w:t>
      </w:r>
      <w:r w:rsidR="001548CE">
        <w:rPr>
          <w:noProof/>
        </w:rPr>
        <w:t>4</w:t>
      </w:r>
      <w:r>
        <w:rPr>
          <w:lang w:bidi="ar"/>
        </w:rPr>
        <w:t>: Comparison of knowledge of immunization uptake among mothers with under-five children before and after the nurse-led health education intervention at AEFUTHA</w:t>
      </w:r>
      <w:bookmarkEnd w:id="18"/>
      <w:bookmarkEnd w:id="19"/>
      <w:bookmarkEnd w:id="20"/>
    </w:p>
    <w:tbl>
      <w:tblPr>
        <w:tblW w:w="7950" w:type="dxa"/>
        <w:tblInd w:w="108" w:type="dxa"/>
        <w:tblBorders>
          <w:top w:val="single" w:sz="12" w:space="0" w:color="auto"/>
          <w:left w:val="none" w:sz="6" w:space="0" w:color="auto"/>
          <w:bottom w:val="single" w:sz="12" w:space="0" w:color="auto"/>
          <w:right w:val="none" w:sz="6" w:space="0" w:color="auto"/>
          <w:insideH w:val="outset" w:sz="6" w:space="0" w:color="auto"/>
          <w:insideV w:val="outset" w:sz="6" w:space="0" w:color="auto"/>
        </w:tblBorders>
        <w:tblLook w:val="04A0" w:firstRow="1" w:lastRow="0" w:firstColumn="1" w:lastColumn="0" w:noHBand="0" w:noVBand="1"/>
      </w:tblPr>
      <w:tblGrid>
        <w:gridCol w:w="2520"/>
        <w:gridCol w:w="1170"/>
        <w:gridCol w:w="1260"/>
        <w:gridCol w:w="1080"/>
        <w:gridCol w:w="960"/>
        <w:gridCol w:w="960"/>
      </w:tblGrid>
      <w:tr w:rsidR="00D4358F" w:rsidRPr="00AC500D" w14:paraId="48072D1E" w14:textId="77777777" w:rsidTr="00884313">
        <w:trPr>
          <w:trHeight w:val="288"/>
        </w:trPr>
        <w:tc>
          <w:tcPr>
            <w:tcW w:w="2520" w:type="dxa"/>
            <w:tcBorders>
              <w:top w:val="single" w:sz="12" w:space="0" w:color="auto"/>
              <w:left w:val="nil"/>
              <w:bottom w:val="single" w:sz="12" w:space="0" w:color="auto"/>
              <w:right w:val="nil"/>
            </w:tcBorders>
            <w:noWrap/>
            <w:vAlign w:val="bottom"/>
          </w:tcPr>
          <w:p w14:paraId="069A4BFA" w14:textId="77777777" w:rsidR="00D4358F" w:rsidRPr="00AC500D" w:rsidRDefault="00D4358F" w:rsidP="00D4358F">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Title</w:t>
            </w:r>
          </w:p>
        </w:tc>
        <w:tc>
          <w:tcPr>
            <w:tcW w:w="1170" w:type="dxa"/>
            <w:tcBorders>
              <w:top w:val="single" w:sz="12" w:space="0" w:color="auto"/>
              <w:left w:val="nil"/>
              <w:bottom w:val="single" w:sz="12" w:space="0" w:color="auto"/>
              <w:right w:val="nil"/>
            </w:tcBorders>
            <w:noWrap/>
            <w:vAlign w:val="bottom"/>
          </w:tcPr>
          <w:p w14:paraId="686166E5" w14:textId="77777777" w:rsidR="00D4358F" w:rsidRPr="00AC500D" w:rsidRDefault="00D4358F" w:rsidP="00D4358F">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Poor (&lt;6)</w:t>
            </w:r>
          </w:p>
        </w:tc>
        <w:tc>
          <w:tcPr>
            <w:tcW w:w="1260" w:type="dxa"/>
            <w:tcBorders>
              <w:top w:val="single" w:sz="12" w:space="0" w:color="auto"/>
              <w:left w:val="nil"/>
              <w:bottom w:val="single" w:sz="12" w:space="0" w:color="auto"/>
              <w:right w:val="nil"/>
            </w:tcBorders>
            <w:noWrap/>
            <w:vAlign w:val="bottom"/>
          </w:tcPr>
          <w:p w14:paraId="7BB55E6B" w14:textId="77777777" w:rsidR="00D4358F" w:rsidRPr="00AC500D" w:rsidRDefault="00D4358F" w:rsidP="00D4358F">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Good (&gt;=6)</w:t>
            </w:r>
          </w:p>
        </w:tc>
        <w:tc>
          <w:tcPr>
            <w:tcW w:w="1080" w:type="dxa"/>
            <w:tcBorders>
              <w:top w:val="single" w:sz="12" w:space="0" w:color="auto"/>
              <w:left w:val="nil"/>
              <w:bottom w:val="single" w:sz="12" w:space="0" w:color="auto"/>
              <w:right w:val="nil"/>
            </w:tcBorders>
            <w:noWrap/>
            <w:vAlign w:val="bottom"/>
          </w:tcPr>
          <w:p w14:paraId="77F4190B" w14:textId="77777777" w:rsidR="00D4358F" w:rsidRPr="00AC500D" w:rsidRDefault="00D4358F" w:rsidP="00D4358F">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Total</w:t>
            </w:r>
          </w:p>
        </w:tc>
        <w:tc>
          <w:tcPr>
            <w:tcW w:w="960" w:type="dxa"/>
            <w:tcBorders>
              <w:top w:val="single" w:sz="12" w:space="0" w:color="auto"/>
              <w:left w:val="nil"/>
              <w:bottom w:val="single" w:sz="12" w:space="0" w:color="auto"/>
              <w:right w:val="nil"/>
            </w:tcBorders>
            <w:noWrap/>
            <w:vAlign w:val="bottom"/>
          </w:tcPr>
          <w:p w14:paraId="6A71A3AB" w14:textId="77777777" w:rsidR="00D4358F" w:rsidRPr="00AC500D" w:rsidRDefault="00D4358F" w:rsidP="00D4358F">
            <w:pPr>
              <w:spacing w:before="0" w:beforeAutospacing="0" w:after="0" w:afterAutospacing="0" w:line="240" w:lineRule="auto"/>
              <w:jc w:val="both"/>
              <w:rPr>
                <w:rFonts w:eastAsia="Times New Roman"/>
                <w:b/>
                <w:bCs/>
                <w:color w:val="000000"/>
                <w:sz w:val="22"/>
              </w:rPr>
            </w:pPr>
            <w:r w:rsidRPr="00AC500D">
              <w:rPr>
                <w:rFonts w:eastAsia="Calibri"/>
                <w:b/>
                <w:bCs/>
                <w:lang w:bidi="ar"/>
              </w:rPr>
              <w:t xml:space="preserve">ꭕ² </w:t>
            </w:r>
          </w:p>
        </w:tc>
        <w:tc>
          <w:tcPr>
            <w:tcW w:w="960" w:type="dxa"/>
            <w:tcBorders>
              <w:top w:val="single" w:sz="12" w:space="0" w:color="auto"/>
              <w:left w:val="nil"/>
              <w:bottom w:val="single" w:sz="12" w:space="0" w:color="auto"/>
              <w:right w:val="nil"/>
            </w:tcBorders>
            <w:noWrap/>
            <w:vAlign w:val="bottom"/>
          </w:tcPr>
          <w:p w14:paraId="24A0CDE2" w14:textId="77777777" w:rsidR="00D4358F" w:rsidRPr="00AC500D" w:rsidRDefault="00D4358F" w:rsidP="00D4358F">
            <w:pPr>
              <w:spacing w:before="0" w:beforeAutospacing="0" w:after="0" w:afterAutospacing="0" w:line="240" w:lineRule="auto"/>
              <w:jc w:val="both"/>
              <w:rPr>
                <w:rFonts w:eastAsia="Times New Roman"/>
                <w:b/>
                <w:bCs/>
              </w:rPr>
            </w:pPr>
            <w:r w:rsidRPr="00AC500D">
              <w:rPr>
                <w:rFonts w:eastAsia="Calibri"/>
                <w:b/>
                <w:bCs/>
                <w:lang w:bidi="ar"/>
              </w:rPr>
              <w:t>P-Value</w:t>
            </w:r>
          </w:p>
        </w:tc>
      </w:tr>
      <w:tr w:rsidR="00D4358F" w14:paraId="1989F94F" w14:textId="77777777" w:rsidTr="00884313">
        <w:trPr>
          <w:trHeight w:val="468"/>
        </w:trPr>
        <w:tc>
          <w:tcPr>
            <w:tcW w:w="2520" w:type="dxa"/>
            <w:tcBorders>
              <w:top w:val="single" w:sz="12" w:space="0" w:color="auto"/>
              <w:left w:val="nil"/>
              <w:bottom w:val="nil"/>
              <w:right w:val="nil"/>
            </w:tcBorders>
            <w:noWrap/>
            <w:vAlign w:val="bottom"/>
          </w:tcPr>
          <w:p w14:paraId="565AC5D1"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Control</w:t>
            </w:r>
          </w:p>
        </w:tc>
        <w:tc>
          <w:tcPr>
            <w:tcW w:w="1170" w:type="dxa"/>
            <w:tcBorders>
              <w:top w:val="single" w:sz="12" w:space="0" w:color="auto"/>
              <w:left w:val="nil"/>
              <w:bottom w:val="nil"/>
              <w:right w:val="nil"/>
            </w:tcBorders>
            <w:noWrap/>
            <w:vAlign w:val="bottom"/>
          </w:tcPr>
          <w:p w14:paraId="7363CEAB"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41</w:t>
            </w:r>
          </w:p>
          <w:p w14:paraId="56FC7DF7"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260" w:type="dxa"/>
            <w:tcBorders>
              <w:top w:val="single" w:sz="12" w:space="0" w:color="auto"/>
              <w:left w:val="nil"/>
              <w:bottom w:val="nil"/>
              <w:right w:val="nil"/>
            </w:tcBorders>
            <w:noWrap/>
            <w:vAlign w:val="bottom"/>
          </w:tcPr>
          <w:p w14:paraId="2F7952B6"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163</w:t>
            </w:r>
          </w:p>
          <w:p w14:paraId="5C66CBC2"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080" w:type="dxa"/>
            <w:tcBorders>
              <w:top w:val="single" w:sz="12" w:space="0" w:color="auto"/>
              <w:left w:val="nil"/>
              <w:bottom w:val="nil"/>
              <w:right w:val="nil"/>
            </w:tcBorders>
            <w:noWrap/>
            <w:vAlign w:val="bottom"/>
          </w:tcPr>
          <w:p w14:paraId="6EA3C1CB"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204</w:t>
            </w:r>
          </w:p>
          <w:p w14:paraId="1B4E6D4D"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960" w:type="dxa"/>
            <w:tcBorders>
              <w:top w:val="single" w:sz="12" w:space="0" w:color="auto"/>
              <w:left w:val="nil"/>
              <w:bottom w:val="nil"/>
              <w:right w:val="nil"/>
            </w:tcBorders>
            <w:noWrap/>
            <w:vAlign w:val="bottom"/>
          </w:tcPr>
          <w:p w14:paraId="2AC3F3D2"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c>
          <w:tcPr>
            <w:tcW w:w="960" w:type="dxa"/>
            <w:tcBorders>
              <w:top w:val="single" w:sz="12" w:space="0" w:color="auto"/>
              <w:left w:val="nil"/>
              <w:bottom w:val="nil"/>
              <w:right w:val="nil"/>
            </w:tcBorders>
            <w:noWrap/>
            <w:vAlign w:val="bottom"/>
          </w:tcPr>
          <w:p w14:paraId="3A6D98C1"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r>
      <w:tr w:rsidR="00D4358F" w14:paraId="67D46D30" w14:textId="77777777" w:rsidTr="00884313">
        <w:trPr>
          <w:trHeight w:val="288"/>
        </w:trPr>
        <w:tc>
          <w:tcPr>
            <w:tcW w:w="2520" w:type="dxa"/>
            <w:tcBorders>
              <w:top w:val="nil"/>
              <w:left w:val="nil"/>
              <w:bottom w:val="nil"/>
              <w:right w:val="nil"/>
            </w:tcBorders>
            <w:noWrap/>
            <w:vAlign w:val="bottom"/>
          </w:tcPr>
          <w:p w14:paraId="5D2E1354"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170" w:type="dxa"/>
            <w:tcBorders>
              <w:top w:val="nil"/>
              <w:left w:val="nil"/>
              <w:bottom w:val="nil"/>
              <w:right w:val="nil"/>
            </w:tcBorders>
            <w:noWrap/>
            <w:vAlign w:val="bottom"/>
          </w:tcPr>
          <w:p w14:paraId="4BA8703B"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22 (20.4)</w:t>
            </w:r>
          </w:p>
        </w:tc>
        <w:tc>
          <w:tcPr>
            <w:tcW w:w="1260" w:type="dxa"/>
            <w:tcBorders>
              <w:top w:val="nil"/>
              <w:left w:val="nil"/>
              <w:bottom w:val="nil"/>
              <w:right w:val="nil"/>
            </w:tcBorders>
            <w:noWrap/>
            <w:vAlign w:val="bottom"/>
          </w:tcPr>
          <w:p w14:paraId="17E664CC"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86 (79.6)</w:t>
            </w:r>
          </w:p>
        </w:tc>
        <w:tc>
          <w:tcPr>
            <w:tcW w:w="1080" w:type="dxa"/>
            <w:tcBorders>
              <w:top w:val="nil"/>
              <w:left w:val="nil"/>
              <w:bottom w:val="nil"/>
              <w:right w:val="nil"/>
            </w:tcBorders>
            <w:noWrap/>
            <w:vAlign w:val="bottom"/>
          </w:tcPr>
          <w:p w14:paraId="7CB5A605"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108 (100)</w:t>
            </w:r>
          </w:p>
        </w:tc>
        <w:tc>
          <w:tcPr>
            <w:tcW w:w="960" w:type="dxa"/>
            <w:tcBorders>
              <w:top w:val="nil"/>
              <w:left w:val="nil"/>
              <w:bottom w:val="nil"/>
              <w:right w:val="nil"/>
            </w:tcBorders>
            <w:noWrap/>
            <w:vAlign w:val="bottom"/>
          </w:tcPr>
          <w:p w14:paraId="5FAF0BB2"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.011</w:t>
            </w:r>
          </w:p>
        </w:tc>
        <w:tc>
          <w:tcPr>
            <w:tcW w:w="960" w:type="dxa"/>
            <w:tcBorders>
              <w:top w:val="nil"/>
              <w:left w:val="nil"/>
              <w:bottom w:val="nil"/>
              <w:right w:val="nil"/>
            </w:tcBorders>
            <w:noWrap/>
            <w:vAlign w:val="bottom"/>
          </w:tcPr>
          <w:p w14:paraId="59608B7F" w14:textId="77777777" w:rsidR="00D4358F" w:rsidRDefault="00D4358F" w:rsidP="00D4358F">
            <w:pPr>
              <w:spacing w:before="0" w:beforeAutospacing="0" w:after="0" w:afterAutospacing="0" w:line="240" w:lineRule="auto"/>
              <w:jc w:val="right"/>
              <w:rPr>
                <w:rFonts w:eastAsia="Times New Roman"/>
                <w:color w:val="000000"/>
                <w:sz w:val="22"/>
              </w:rPr>
            </w:pPr>
            <w:r>
              <w:rPr>
                <w:rFonts w:eastAsia="Times New Roman"/>
                <w:color w:val="000000"/>
                <w:sz w:val="22"/>
                <w:lang w:bidi="ar"/>
              </w:rPr>
              <w:t>0.918</w:t>
            </w:r>
          </w:p>
        </w:tc>
      </w:tr>
      <w:tr w:rsidR="00D4358F" w14:paraId="3A446261" w14:textId="77777777" w:rsidTr="00884313">
        <w:trPr>
          <w:trHeight w:val="288"/>
        </w:trPr>
        <w:tc>
          <w:tcPr>
            <w:tcW w:w="2520" w:type="dxa"/>
            <w:tcBorders>
              <w:top w:val="nil"/>
              <w:left w:val="nil"/>
              <w:bottom w:val="single" w:sz="12" w:space="0" w:color="auto"/>
              <w:right w:val="nil"/>
            </w:tcBorders>
            <w:noWrap/>
            <w:vAlign w:val="bottom"/>
          </w:tcPr>
          <w:p w14:paraId="5B6DB369"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170" w:type="dxa"/>
            <w:tcBorders>
              <w:top w:val="nil"/>
              <w:left w:val="nil"/>
              <w:bottom w:val="single" w:sz="12" w:space="0" w:color="auto"/>
              <w:right w:val="nil"/>
            </w:tcBorders>
            <w:noWrap/>
            <w:vAlign w:val="bottom"/>
          </w:tcPr>
          <w:p w14:paraId="1A88AF58"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19 (19.8)</w:t>
            </w:r>
          </w:p>
        </w:tc>
        <w:tc>
          <w:tcPr>
            <w:tcW w:w="1260" w:type="dxa"/>
            <w:tcBorders>
              <w:top w:val="nil"/>
              <w:left w:val="nil"/>
              <w:bottom w:val="single" w:sz="12" w:space="0" w:color="auto"/>
              <w:right w:val="nil"/>
            </w:tcBorders>
            <w:noWrap/>
            <w:vAlign w:val="bottom"/>
          </w:tcPr>
          <w:p w14:paraId="08BB818A"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77 (80.2)</w:t>
            </w:r>
          </w:p>
        </w:tc>
        <w:tc>
          <w:tcPr>
            <w:tcW w:w="1080" w:type="dxa"/>
            <w:tcBorders>
              <w:top w:val="nil"/>
              <w:left w:val="nil"/>
              <w:bottom w:val="single" w:sz="12" w:space="0" w:color="auto"/>
              <w:right w:val="nil"/>
            </w:tcBorders>
            <w:noWrap/>
            <w:vAlign w:val="bottom"/>
          </w:tcPr>
          <w:p w14:paraId="1C6531F3"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96 (100)</w:t>
            </w:r>
          </w:p>
        </w:tc>
        <w:tc>
          <w:tcPr>
            <w:tcW w:w="960" w:type="dxa"/>
            <w:tcBorders>
              <w:top w:val="nil"/>
              <w:left w:val="nil"/>
              <w:bottom w:val="single" w:sz="12" w:space="0" w:color="auto"/>
              <w:right w:val="nil"/>
            </w:tcBorders>
            <w:noWrap/>
            <w:vAlign w:val="bottom"/>
          </w:tcPr>
          <w:p w14:paraId="7139EE32"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c>
          <w:tcPr>
            <w:tcW w:w="960" w:type="dxa"/>
            <w:tcBorders>
              <w:top w:val="nil"/>
              <w:left w:val="nil"/>
              <w:bottom w:val="single" w:sz="12" w:space="0" w:color="auto"/>
              <w:right w:val="nil"/>
            </w:tcBorders>
            <w:noWrap/>
            <w:vAlign w:val="bottom"/>
          </w:tcPr>
          <w:p w14:paraId="5673F9D6"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r>
      <w:tr w:rsidR="00D4358F" w14:paraId="7DB45C18" w14:textId="77777777" w:rsidTr="00884313">
        <w:trPr>
          <w:trHeight w:val="468"/>
        </w:trPr>
        <w:tc>
          <w:tcPr>
            <w:tcW w:w="2520" w:type="dxa"/>
            <w:tcBorders>
              <w:top w:val="single" w:sz="12" w:space="0" w:color="auto"/>
              <w:left w:val="nil"/>
              <w:bottom w:val="nil"/>
              <w:right w:val="nil"/>
            </w:tcBorders>
            <w:noWrap/>
            <w:vAlign w:val="bottom"/>
          </w:tcPr>
          <w:p w14:paraId="6C7F02B2"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Study</w:t>
            </w:r>
          </w:p>
        </w:tc>
        <w:tc>
          <w:tcPr>
            <w:tcW w:w="1170" w:type="dxa"/>
            <w:tcBorders>
              <w:top w:val="single" w:sz="12" w:space="0" w:color="auto"/>
              <w:left w:val="nil"/>
              <w:bottom w:val="nil"/>
              <w:right w:val="nil"/>
            </w:tcBorders>
            <w:noWrap/>
            <w:vAlign w:val="bottom"/>
          </w:tcPr>
          <w:p w14:paraId="5F97503D"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28</w:t>
            </w:r>
          </w:p>
          <w:p w14:paraId="4AEE0B74"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260" w:type="dxa"/>
            <w:tcBorders>
              <w:top w:val="single" w:sz="12" w:space="0" w:color="auto"/>
              <w:left w:val="nil"/>
              <w:bottom w:val="nil"/>
              <w:right w:val="nil"/>
            </w:tcBorders>
            <w:noWrap/>
            <w:vAlign w:val="bottom"/>
          </w:tcPr>
          <w:p w14:paraId="293A2C12"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181</w:t>
            </w:r>
          </w:p>
          <w:p w14:paraId="37B97A98"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080" w:type="dxa"/>
            <w:tcBorders>
              <w:top w:val="single" w:sz="12" w:space="0" w:color="auto"/>
              <w:left w:val="nil"/>
              <w:bottom w:val="nil"/>
              <w:right w:val="nil"/>
            </w:tcBorders>
            <w:noWrap/>
            <w:vAlign w:val="bottom"/>
          </w:tcPr>
          <w:p w14:paraId="61A0DAB4"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209</w:t>
            </w:r>
          </w:p>
          <w:p w14:paraId="72F32226"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960" w:type="dxa"/>
            <w:tcBorders>
              <w:top w:val="single" w:sz="12" w:space="0" w:color="auto"/>
              <w:left w:val="nil"/>
              <w:bottom w:val="nil"/>
              <w:right w:val="nil"/>
            </w:tcBorders>
            <w:noWrap/>
            <w:vAlign w:val="bottom"/>
          </w:tcPr>
          <w:p w14:paraId="7472082F"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c>
          <w:tcPr>
            <w:tcW w:w="960" w:type="dxa"/>
            <w:tcBorders>
              <w:top w:val="single" w:sz="12" w:space="0" w:color="auto"/>
              <w:left w:val="nil"/>
              <w:bottom w:val="nil"/>
              <w:right w:val="nil"/>
            </w:tcBorders>
            <w:noWrap/>
            <w:vAlign w:val="bottom"/>
          </w:tcPr>
          <w:p w14:paraId="55B0E0FE"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r>
      <w:tr w:rsidR="00D4358F" w14:paraId="6F97D824" w14:textId="77777777" w:rsidTr="00884313">
        <w:trPr>
          <w:trHeight w:val="288"/>
        </w:trPr>
        <w:tc>
          <w:tcPr>
            <w:tcW w:w="2520" w:type="dxa"/>
            <w:tcBorders>
              <w:top w:val="nil"/>
              <w:left w:val="nil"/>
              <w:bottom w:val="nil"/>
              <w:right w:val="nil"/>
            </w:tcBorders>
            <w:noWrap/>
            <w:vAlign w:val="bottom"/>
          </w:tcPr>
          <w:p w14:paraId="0B3DED2C"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170" w:type="dxa"/>
            <w:tcBorders>
              <w:top w:val="nil"/>
              <w:left w:val="nil"/>
              <w:bottom w:val="nil"/>
              <w:right w:val="nil"/>
            </w:tcBorders>
            <w:noWrap/>
            <w:vAlign w:val="bottom"/>
          </w:tcPr>
          <w:p w14:paraId="61C06C8D"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27 (25)</w:t>
            </w:r>
          </w:p>
        </w:tc>
        <w:tc>
          <w:tcPr>
            <w:tcW w:w="1260" w:type="dxa"/>
            <w:tcBorders>
              <w:top w:val="nil"/>
              <w:left w:val="nil"/>
              <w:bottom w:val="nil"/>
              <w:right w:val="nil"/>
            </w:tcBorders>
            <w:noWrap/>
            <w:vAlign w:val="bottom"/>
          </w:tcPr>
          <w:p w14:paraId="2E114693"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81 (75)</w:t>
            </w:r>
          </w:p>
        </w:tc>
        <w:tc>
          <w:tcPr>
            <w:tcW w:w="1080" w:type="dxa"/>
            <w:tcBorders>
              <w:top w:val="nil"/>
              <w:left w:val="nil"/>
              <w:bottom w:val="nil"/>
              <w:right w:val="nil"/>
            </w:tcBorders>
            <w:noWrap/>
            <w:vAlign w:val="bottom"/>
          </w:tcPr>
          <w:p w14:paraId="67CD37B6"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108 (100)</w:t>
            </w:r>
          </w:p>
        </w:tc>
        <w:tc>
          <w:tcPr>
            <w:tcW w:w="960" w:type="dxa"/>
            <w:tcBorders>
              <w:top w:val="nil"/>
              <w:left w:val="nil"/>
              <w:bottom w:val="nil"/>
              <w:right w:val="nil"/>
            </w:tcBorders>
            <w:noWrap/>
            <w:vAlign w:val="bottom"/>
          </w:tcPr>
          <w:p w14:paraId="46DF37CE"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25.932</w:t>
            </w:r>
          </w:p>
        </w:tc>
        <w:tc>
          <w:tcPr>
            <w:tcW w:w="960" w:type="dxa"/>
            <w:tcBorders>
              <w:top w:val="nil"/>
              <w:left w:val="nil"/>
              <w:bottom w:val="nil"/>
              <w:right w:val="nil"/>
            </w:tcBorders>
            <w:noWrap/>
            <w:vAlign w:val="bottom"/>
          </w:tcPr>
          <w:p w14:paraId="7C6CA8E2" w14:textId="77777777" w:rsidR="00D4358F" w:rsidRDefault="00D4358F" w:rsidP="00D4358F">
            <w:pPr>
              <w:spacing w:before="0" w:beforeAutospacing="0" w:after="0" w:afterAutospacing="0" w:line="240" w:lineRule="auto"/>
              <w:jc w:val="right"/>
              <w:rPr>
                <w:rFonts w:eastAsia="Times New Roman"/>
                <w:color w:val="000000"/>
                <w:sz w:val="22"/>
              </w:rPr>
            </w:pPr>
            <w:r>
              <w:rPr>
                <w:rFonts w:eastAsia="Times New Roman"/>
                <w:color w:val="000000"/>
                <w:sz w:val="22"/>
                <w:lang w:bidi="ar"/>
              </w:rPr>
              <w:t>&lt;0.001</w:t>
            </w:r>
          </w:p>
        </w:tc>
      </w:tr>
      <w:tr w:rsidR="00D4358F" w14:paraId="5A753C8D" w14:textId="77777777" w:rsidTr="00884313">
        <w:trPr>
          <w:trHeight w:val="288"/>
        </w:trPr>
        <w:tc>
          <w:tcPr>
            <w:tcW w:w="2520" w:type="dxa"/>
            <w:tcBorders>
              <w:top w:val="nil"/>
              <w:left w:val="nil"/>
              <w:bottom w:val="single" w:sz="12" w:space="0" w:color="auto"/>
              <w:right w:val="nil"/>
            </w:tcBorders>
            <w:noWrap/>
            <w:vAlign w:val="bottom"/>
          </w:tcPr>
          <w:p w14:paraId="2F4BC89A"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170" w:type="dxa"/>
            <w:tcBorders>
              <w:top w:val="nil"/>
              <w:left w:val="nil"/>
              <w:bottom w:val="single" w:sz="12" w:space="0" w:color="auto"/>
              <w:right w:val="nil"/>
            </w:tcBorders>
            <w:noWrap/>
            <w:vAlign w:val="bottom"/>
          </w:tcPr>
          <w:p w14:paraId="095B889A"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1 (1)</w:t>
            </w:r>
          </w:p>
        </w:tc>
        <w:tc>
          <w:tcPr>
            <w:tcW w:w="1260" w:type="dxa"/>
            <w:tcBorders>
              <w:top w:val="nil"/>
              <w:left w:val="nil"/>
              <w:bottom w:val="single" w:sz="12" w:space="0" w:color="auto"/>
              <w:right w:val="nil"/>
            </w:tcBorders>
            <w:noWrap/>
            <w:vAlign w:val="bottom"/>
          </w:tcPr>
          <w:p w14:paraId="17942875"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100 (99)</w:t>
            </w:r>
          </w:p>
        </w:tc>
        <w:tc>
          <w:tcPr>
            <w:tcW w:w="1080" w:type="dxa"/>
            <w:tcBorders>
              <w:top w:val="nil"/>
              <w:left w:val="nil"/>
              <w:bottom w:val="single" w:sz="12" w:space="0" w:color="auto"/>
              <w:right w:val="nil"/>
            </w:tcBorders>
            <w:noWrap/>
            <w:vAlign w:val="bottom"/>
          </w:tcPr>
          <w:p w14:paraId="29E0BFEF"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101 (100)</w:t>
            </w:r>
          </w:p>
        </w:tc>
        <w:tc>
          <w:tcPr>
            <w:tcW w:w="960" w:type="dxa"/>
            <w:tcBorders>
              <w:top w:val="nil"/>
              <w:left w:val="nil"/>
              <w:bottom w:val="single" w:sz="12" w:space="0" w:color="auto"/>
              <w:right w:val="nil"/>
            </w:tcBorders>
            <w:noWrap/>
            <w:vAlign w:val="bottom"/>
          </w:tcPr>
          <w:p w14:paraId="2E300CD7"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c>
          <w:tcPr>
            <w:tcW w:w="960" w:type="dxa"/>
            <w:tcBorders>
              <w:top w:val="nil"/>
              <w:left w:val="nil"/>
              <w:bottom w:val="single" w:sz="12" w:space="0" w:color="auto"/>
              <w:right w:val="nil"/>
            </w:tcBorders>
            <w:noWrap/>
            <w:vAlign w:val="bottom"/>
          </w:tcPr>
          <w:p w14:paraId="046965DB"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r>
    </w:tbl>
    <w:p w14:paraId="7241BAD4" w14:textId="77777777" w:rsidR="00D4358F" w:rsidRDefault="00D4358F" w:rsidP="00D4358F">
      <w:pPr>
        <w:pStyle w:val="Title"/>
        <w:spacing w:beforeAutospacing="0" w:afterAutospacing="0" w:line="240" w:lineRule="auto"/>
      </w:pPr>
      <w:bookmarkStart w:id="21" w:name="_Toc223929078"/>
      <w:bookmarkStart w:id="22" w:name="_Toc224180324"/>
      <w:bookmarkStart w:id="23" w:name="_Toc227062505"/>
    </w:p>
    <w:p w14:paraId="1D720745" w14:textId="700C9D63" w:rsidR="00D4358F" w:rsidRDefault="00D4358F" w:rsidP="00D4358F">
      <w:pPr>
        <w:pStyle w:val="Title"/>
        <w:spacing w:beforeAutospacing="0" w:afterAutospacing="0" w:line="240" w:lineRule="auto"/>
      </w:pPr>
      <w:r>
        <w:t xml:space="preserve">Table </w:t>
      </w:r>
      <w:r w:rsidR="001548CE">
        <w:rPr>
          <w:noProof/>
        </w:rPr>
        <w:t>5</w:t>
      </w:r>
      <w:r>
        <w:rPr>
          <w:lang w:bidi="ar"/>
        </w:rPr>
        <w:t>: Comparison of attitude towards immunization uptake among mothers with under-five children before and after the nurse-led health education intervention at AEFUTHA</w:t>
      </w:r>
      <w:bookmarkEnd w:id="21"/>
      <w:bookmarkEnd w:id="22"/>
      <w:bookmarkEnd w:id="23"/>
    </w:p>
    <w:tbl>
      <w:tblPr>
        <w:tblW w:w="9420" w:type="dxa"/>
        <w:tblInd w:w="108" w:type="dxa"/>
        <w:tblBorders>
          <w:top w:val="single" w:sz="12" w:space="0" w:color="auto"/>
          <w:left w:val="none" w:sz="6" w:space="0" w:color="auto"/>
          <w:bottom w:val="single" w:sz="12" w:space="0" w:color="auto"/>
          <w:right w:val="none" w:sz="6" w:space="0" w:color="auto"/>
          <w:insideH w:val="outset" w:sz="6" w:space="0" w:color="auto"/>
          <w:insideV w:val="outset" w:sz="6" w:space="0" w:color="auto"/>
        </w:tblBorders>
        <w:tblLook w:val="04A0" w:firstRow="1" w:lastRow="0" w:firstColumn="1" w:lastColumn="0" w:noHBand="0" w:noVBand="1"/>
      </w:tblPr>
      <w:tblGrid>
        <w:gridCol w:w="2520"/>
        <w:gridCol w:w="1710"/>
        <w:gridCol w:w="1530"/>
        <w:gridCol w:w="1350"/>
        <w:gridCol w:w="1350"/>
        <w:gridCol w:w="960"/>
      </w:tblGrid>
      <w:tr w:rsidR="00D4358F" w14:paraId="4B68CF92" w14:textId="77777777" w:rsidTr="00884313">
        <w:trPr>
          <w:trHeight w:val="288"/>
        </w:trPr>
        <w:tc>
          <w:tcPr>
            <w:tcW w:w="2520" w:type="dxa"/>
            <w:tcBorders>
              <w:top w:val="single" w:sz="12" w:space="0" w:color="auto"/>
              <w:left w:val="nil"/>
              <w:bottom w:val="single" w:sz="12" w:space="0" w:color="auto"/>
              <w:right w:val="nil"/>
            </w:tcBorders>
            <w:noWrap/>
            <w:vAlign w:val="bottom"/>
          </w:tcPr>
          <w:p w14:paraId="3A8DB324"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Title</w:t>
            </w:r>
          </w:p>
        </w:tc>
        <w:tc>
          <w:tcPr>
            <w:tcW w:w="1710" w:type="dxa"/>
            <w:tcBorders>
              <w:top w:val="single" w:sz="12" w:space="0" w:color="auto"/>
              <w:left w:val="nil"/>
              <w:bottom w:val="single" w:sz="12" w:space="0" w:color="auto"/>
              <w:right w:val="nil"/>
            </w:tcBorders>
            <w:noWrap/>
            <w:vAlign w:val="bottom"/>
          </w:tcPr>
          <w:p w14:paraId="691E3415" w14:textId="77777777" w:rsidR="00D4358F" w:rsidRDefault="00D4358F" w:rsidP="00D4358F">
            <w:pPr>
              <w:spacing w:before="0" w:beforeAutospacing="0" w:after="0" w:afterAutospacing="0" w:line="240" w:lineRule="auto"/>
              <w:jc w:val="center"/>
              <w:rPr>
                <w:rFonts w:eastAsia="Times New Roman"/>
                <w:b/>
                <w:bCs/>
                <w:color w:val="000000"/>
                <w:sz w:val="22"/>
              </w:rPr>
            </w:pPr>
            <w:r w:rsidRPr="00633ECD">
              <w:rPr>
                <w:rFonts w:eastAsia="Times New Roman"/>
                <w:b/>
                <w:bCs/>
                <w:color w:val="000000"/>
                <w:sz w:val="22"/>
                <w:lang w:bidi="ar"/>
              </w:rPr>
              <w:t>Negative (&lt;=2.5)</w:t>
            </w:r>
          </w:p>
        </w:tc>
        <w:tc>
          <w:tcPr>
            <w:tcW w:w="1530" w:type="dxa"/>
            <w:tcBorders>
              <w:top w:val="single" w:sz="12" w:space="0" w:color="auto"/>
              <w:left w:val="nil"/>
              <w:bottom w:val="single" w:sz="12" w:space="0" w:color="auto"/>
              <w:right w:val="nil"/>
            </w:tcBorders>
            <w:noWrap/>
            <w:vAlign w:val="bottom"/>
          </w:tcPr>
          <w:p w14:paraId="46C0F8D3" w14:textId="77777777" w:rsidR="00D4358F" w:rsidRDefault="00D4358F" w:rsidP="00D4358F">
            <w:pPr>
              <w:spacing w:before="0" w:beforeAutospacing="0" w:after="0" w:afterAutospacing="0" w:line="240" w:lineRule="auto"/>
              <w:jc w:val="center"/>
              <w:rPr>
                <w:rFonts w:eastAsia="Times New Roman"/>
                <w:b/>
                <w:bCs/>
                <w:color w:val="000000"/>
                <w:sz w:val="22"/>
              </w:rPr>
            </w:pPr>
            <w:r w:rsidRPr="00633ECD">
              <w:rPr>
                <w:rFonts w:eastAsia="Times New Roman"/>
                <w:b/>
                <w:bCs/>
                <w:color w:val="000000"/>
                <w:sz w:val="22"/>
                <w:lang w:bidi="ar"/>
              </w:rPr>
              <w:t>Positive (&gt;2.5)</w:t>
            </w:r>
          </w:p>
        </w:tc>
        <w:tc>
          <w:tcPr>
            <w:tcW w:w="1350" w:type="dxa"/>
            <w:tcBorders>
              <w:top w:val="single" w:sz="12" w:space="0" w:color="auto"/>
              <w:left w:val="nil"/>
              <w:bottom w:val="single" w:sz="12" w:space="0" w:color="auto"/>
              <w:right w:val="nil"/>
            </w:tcBorders>
            <w:noWrap/>
            <w:vAlign w:val="bottom"/>
          </w:tcPr>
          <w:p w14:paraId="74167F68"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Total</w:t>
            </w:r>
          </w:p>
        </w:tc>
        <w:tc>
          <w:tcPr>
            <w:tcW w:w="1350" w:type="dxa"/>
            <w:tcBorders>
              <w:top w:val="single" w:sz="12" w:space="0" w:color="auto"/>
              <w:left w:val="nil"/>
              <w:bottom w:val="single" w:sz="12" w:space="0" w:color="auto"/>
              <w:right w:val="nil"/>
            </w:tcBorders>
            <w:noWrap/>
            <w:vAlign w:val="bottom"/>
          </w:tcPr>
          <w:p w14:paraId="1E22A0EF"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Calibri"/>
                <w:b/>
                <w:bCs/>
                <w:lang w:bidi="ar"/>
              </w:rPr>
              <w:t>ꭕ²</w:t>
            </w:r>
          </w:p>
        </w:tc>
        <w:tc>
          <w:tcPr>
            <w:tcW w:w="960" w:type="dxa"/>
            <w:tcBorders>
              <w:top w:val="single" w:sz="12" w:space="0" w:color="auto"/>
              <w:left w:val="nil"/>
              <w:bottom w:val="single" w:sz="12" w:space="0" w:color="auto"/>
              <w:right w:val="nil"/>
            </w:tcBorders>
            <w:noWrap/>
            <w:vAlign w:val="bottom"/>
          </w:tcPr>
          <w:p w14:paraId="3184B6E2" w14:textId="77777777" w:rsidR="00D4358F" w:rsidRDefault="00D4358F" w:rsidP="00D4358F">
            <w:pPr>
              <w:spacing w:before="0" w:beforeAutospacing="0" w:after="0" w:afterAutospacing="0" w:line="240" w:lineRule="auto"/>
              <w:jc w:val="center"/>
              <w:rPr>
                <w:rFonts w:eastAsia="Times New Roman"/>
                <w:b/>
                <w:bCs/>
              </w:rPr>
            </w:pPr>
            <w:r>
              <w:rPr>
                <w:rFonts w:eastAsia="Calibri"/>
                <w:b/>
                <w:bCs/>
                <w:lang w:bidi="ar"/>
              </w:rPr>
              <w:t>P-Value</w:t>
            </w:r>
          </w:p>
        </w:tc>
      </w:tr>
      <w:tr w:rsidR="00D4358F" w14:paraId="1E631789" w14:textId="77777777" w:rsidTr="00884313">
        <w:trPr>
          <w:trHeight w:val="468"/>
        </w:trPr>
        <w:tc>
          <w:tcPr>
            <w:tcW w:w="2520" w:type="dxa"/>
            <w:tcBorders>
              <w:top w:val="single" w:sz="12" w:space="0" w:color="auto"/>
              <w:left w:val="nil"/>
              <w:bottom w:val="nil"/>
              <w:right w:val="nil"/>
            </w:tcBorders>
            <w:noWrap/>
            <w:vAlign w:val="bottom"/>
          </w:tcPr>
          <w:p w14:paraId="0EEFFB38"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Control</w:t>
            </w:r>
          </w:p>
        </w:tc>
        <w:tc>
          <w:tcPr>
            <w:tcW w:w="1710" w:type="dxa"/>
            <w:tcBorders>
              <w:top w:val="single" w:sz="12" w:space="0" w:color="auto"/>
              <w:left w:val="nil"/>
              <w:bottom w:val="nil"/>
              <w:right w:val="nil"/>
            </w:tcBorders>
            <w:noWrap/>
            <w:vAlign w:val="bottom"/>
          </w:tcPr>
          <w:p w14:paraId="27854B64"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 120</w:t>
            </w:r>
          </w:p>
          <w:p w14:paraId="3FAA1013"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w:t>
            </w:r>
          </w:p>
        </w:tc>
        <w:tc>
          <w:tcPr>
            <w:tcW w:w="1530" w:type="dxa"/>
            <w:tcBorders>
              <w:top w:val="single" w:sz="12" w:space="0" w:color="auto"/>
              <w:left w:val="nil"/>
              <w:bottom w:val="nil"/>
              <w:right w:val="nil"/>
            </w:tcBorders>
            <w:noWrap/>
            <w:vAlign w:val="bottom"/>
          </w:tcPr>
          <w:p w14:paraId="7A376D15"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 87</w:t>
            </w:r>
          </w:p>
          <w:p w14:paraId="3B60CA12"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0B34EFBB"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 204</w:t>
            </w:r>
          </w:p>
          <w:p w14:paraId="08DD8E96"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36B3C611" w14:textId="77777777" w:rsidR="00D4358F" w:rsidRDefault="00D4358F" w:rsidP="00D4358F">
            <w:pPr>
              <w:spacing w:before="0" w:beforeAutospacing="0" w:after="0" w:afterAutospacing="0" w:line="240" w:lineRule="auto"/>
              <w:rPr>
                <w:rFonts w:ascii="Calibri" w:hAnsi="Calibri"/>
                <w:sz w:val="22"/>
                <w:szCs w:val="22"/>
                <w:lang w:eastAsia="en-US"/>
              </w:rPr>
            </w:pPr>
          </w:p>
        </w:tc>
        <w:tc>
          <w:tcPr>
            <w:tcW w:w="960" w:type="dxa"/>
            <w:tcBorders>
              <w:top w:val="single" w:sz="12" w:space="0" w:color="auto"/>
              <w:left w:val="nil"/>
              <w:bottom w:val="nil"/>
              <w:right w:val="nil"/>
            </w:tcBorders>
            <w:noWrap/>
            <w:vAlign w:val="bottom"/>
          </w:tcPr>
          <w:p w14:paraId="29C24F25" w14:textId="77777777" w:rsidR="00D4358F" w:rsidRDefault="00D4358F" w:rsidP="00D4358F">
            <w:pPr>
              <w:spacing w:before="0" w:beforeAutospacing="0" w:after="0" w:afterAutospacing="0" w:line="240" w:lineRule="auto"/>
              <w:rPr>
                <w:rFonts w:ascii="Calibri" w:hAnsi="Calibri"/>
                <w:sz w:val="22"/>
                <w:szCs w:val="22"/>
                <w:lang w:eastAsia="en-US"/>
              </w:rPr>
            </w:pPr>
          </w:p>
        </w:tc>
      </w:tr>
      <w:tr w:rsidR="00D4358F" w14:paraId="29F2A215" w14:textId="77777777" w:rsidTr="00884313">
        <w:trPr>
          <w:trHeight w:val="288"/>
        </w:trPr>
        <w:tc>
          <w:tcPr>
            <w:tcW w:w="2520" w:type="dxa"/>
            <w:tcBorders>
              <w:top w:val="nil"/>
              <w:left w:val="nil"/>
              <w:bottom w:val="nil"/>
              <w:right w:val="nil"/>
            </w:tcBorders>
            <w:noWrap/>
            <w:vAlign w:val="bottom"/>
          </w:tcPr>
          <w:p w14:paraId="5A8A951F"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710" w:type="dxa"/>
            <w:tcBorders>
              <w:top w:val="nil"/>
              <w:left w:val="nil"/>
              <w:bottom w:val="nil"/>
              <w:right w:val="nil"/>
            </w:tcBorders>
            <w:noWrap/>
            <w:vAlign w:val="bottom"/>
          </w:tcPr>
          <w:p w14:paraId="1187A280"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55 (50.9)</w:t>
            </w:r>
          </w:p>
        </w:tc>
        <w:tc>
          <w:tcPr>
            <w:tcW w:w="1530" w:type="dxa"/>
            <w:tcBorders>
              <w:top w:val="nil"/>
              <w:left w:val="nil"/>
              <w:bottom w:val="nil"/>
              <w:right w:val="nil"/>
            </w:tcBorders>
            <w:noWrap/>
            <w:vAlign w:val="bottom"/>
          </w:tcPr>
          <w:p w14:paraId="1B71D2FB"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53 (49.1)</w:t>
            </w:r>
          </w:p>
        </w:tc>
        <w:tc>
          <w:tcPr>
            <w:tcW w:w="1350" w:type="dxa"/>
            <w:tcBorders>
              <w:top w:val="nil"/>
              <w:left w:val="nil"/>
              <w:bottom w:val="nil"/>
              <w:right w:val="nil"/>
            </w:tcBorders>
            <w:noWrap/>
            <w:vAlign w:val="bottom"/>
          </w:tcPr>
          <w:p w14:paraId="78B7AFC9"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108 (100)</w:t>
            </w:r>
          </w:p>
        </w:tc>
        <w:tc>
          <w:tcPr>
            <w:tcW w:w="1350" w:type="dxa"/>
            <w:tcBorders>
              <w:top w:val="nil"/>
              <w:left w:val="nil"/>
              <w:bottom w:val="nil"/>
              <w:right w:val="nil"/>
            </w:tcBorders>
            <w:noWrap/>
            <w:vAlign w:val="bottom"/>
          </w:tcPr>
          <w:p w14:paraId="39DFB299"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3.876</w:t>
            </w:r>
          </w:p>
        </w:tc>
        <w:tc>
          <w:tcPr>
            <w:tcW w:w="960" w:type="dxa"/>
            <w:tcBorders>
              <w:top w:val="nil"/>
              <w:left w:val="nil"/>
              <w:bottom w:val="nil"/>
              <w:right w:val="nil"/>
            </w:tcBorders>
            <w:noWrap/>
            <w:vAlign w:val="bottom"/>
          </w:tcPr>
          <w:p w14:paraId="55D365BB"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0.049</w:t>
            </w:r>
          </w:p>
        </w:tc>
      </w:tr>
      <w:tr w:rsidR="00D4358F" w14:paraId="79AB10C1" w14:textId="77777777" w:rsidTr="00884313">
        <w:trPr>
          <w:trHeight w:val="288"/>
        </w:trPr>
        <w:tc>
          <w:tcPr>
            <w:tcW w:w="2520" w:type="dxa"/>
            <w:tcBorders>
              <w:top w:val="nil"/>
              <w:left w:val="nil"/>
              <w:bottom w:val="single" w:sz="12" w:space="0" w:color="auto"/>
              <w:right w:val="nil"/>
            </w:tcBorders>
            <w:noWrap/>
            <w:vAlign w:val="bottom"/>
          </w:tcPr>
          <w:p w14:paraId="5C40CFBA"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710" w:type="dxa"/>
            <w:tcBorders>
              <w:top w:val="nil"/>
              <w:left w:val="nil"/>
              <w:bottom w:val="single" w:sz="12" w:space="0" w:color="auto"/>
              <w:right w:val="nil"/>
            </w:tcBorders>
            <w:noWrap/>
            <w:vAlign w:val="bottom"/>
          </w:tcPr>
          <w:p w14:paraId="3D6DF314"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62 (64.6)</w:t>
            </w:r>
          </w:p>
        </w:tc>
        <w:tc>
          <w:tcPr>
            <w:tcW w:w="1530" w:type="dxa"/>
            <w:tcBorders>
              <w:top w:val="nil"/>
              <w:left w:val="nil"/>
              <w:bottom w:val="single" w:sz="12" w:space="0" w:color="auto"/>
              <w:right w:val="nil"/>
            </w:tcBorders>
            <w:noWrap/>
            <w:vAlign w:val="bottom"/>
          </w:tcPr>
          <w:p w14:paraId="3E131E4F"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34 (35.4)</w:t>
            </w:r>
          </w:p>
        </w:tc>
        <w:tc>
          <w:tcPr>
            <w:tcW w:w="1350" w:type="dxa"/>
            <w:tcBorders>
              <w:top w:val="nil"/>
              <w:left w:val="nil"/>
              <w:bottom w:val="single" w:sz="12" w:space="0" w:color="auto"/>
              <w:right w:val="nil"/>
            </w:tcBorders>
            <w:noWrap/>
            <w:vAlign w:val="bottom"/>
          </w:tcPr>
          <w:p w14:paraId="7E7E8095"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96 (100)</w:t>
            </w:r>
          </w:p>
        </w:tc>
        <w:tc>
          <w:tcPr>
            <w:tcW w:w="1350" w:type="dxa"/>
            <w:tcBorders>
              <w:top w:val="nil"/>
              <w:left w:val="nil"/>
              <w:bottom w:val="single" w:sz="12" w:space="0" w:color="auto"/>
              <w:right w:val="nil"/>
            </w:tcBorders>
            <w:noWrap/>
            <w:vAlign w:val="bottom"/>
          </w:tcPr>
          <w:p w14:paraId="5617C3B2" w14:textId="77777777" w:rsidR="00D4358F" w:rsidRDefault="00D4358F" w:rsidP="00D4358F">
            <w:pPr>
              <w:spacing w:before="0" w:beforeAutospacing="0" w:after="0" w:afterAutospacing="0" w:line="240" w:lineRule="auto"/>
              <w:rPr>
                <w:rFonts w:ascii="Calibri" w:hAnsi="Calibri"/>
                <w:sz w:val="22"/>
                <w:szCs w:val="22"/>
                <w:lang w:eastAsia="en-US"/>
              </w:rPr>
            </w:pPr>
            <w:r>
              <w:rPr>
                <w:rFonts w:ascii="Calibri" w:hAnsi="Calibri" w:cs="Calibri"/>
                <w:color w:val="000000"/>
                <w:sz w:val="22"/>
                <w:szCs w:val="22"/>
              </w:rPr>
              <w:t> </w:t>
            </w:r>
          </w:p>
        </w:tc>
        <w:tc>
          <w:tcPr>
            <w:tcW w:w="960" w:type="dxa"/>
            <w:tcBorders>
              <w:top w:val="nil"/>
              <w:left w:val="nil"/>
              <w:bottom w:val="single" w:sz="12" w:space="0" w:color="auto"/>
              <w:right w:val="nil"/>
            </w:tcBorders>
            <w:noWrap/>
            <w:vAlign w:val="bottom"/>
          </w:tcPr>
          <w:p w14:paraId="68BB6F55" w14:textId="77777777" w:rsidR="00D4358F" w:rsidRDefault="00D4358F" w:rsidP="00D4358F">
            <w:pPr>
              <w:spacing w:before="0" w:beforeAutospacing="0" w:after="0" w:afterAutospacing="0" w:line="240" w:lineRule="auto"/>
              <w:rPr>
                <w:rFonts w:ascii="Calibri" w:hAnsi="Calibri"/>
                <w:sz w:val="22"/>
                <w:szCs w:val="22"/>
                <w:lang w:eastAsia="en-US"/>
              </w:rPr>
            </w:pPr>
            <w:r>
              <w:rPr>
                <w:rFonts w:ascii="Calibri" w:hAnsi="Calibri" w:cs="Calibri"/>
                <w:color w:val="000000"/>
                <w:sz w:val="22"/>
                <w:szCs w:val="22"/>
              </w:rPr>
              <w:t> </w:t>
            </w:r>
          </w:p>
        </w:tc>
      </w:tr>
      <w:tr w:rsidR="00D4358F" w14:paraId="3371184C" w14:textId="77777777" w:rsidTr="00884313">
        <w:trPr>
          <w:trHeight w:val="468"/>
        </w:trPr>
        <w:tc>
          <w:tcPr>
            <w:tcW w:w="2520" w:type="dxa"/>
            <w:tcBorders>
              <w:top w:val="single" w:sz="12" w:space="0" w:color="auto"/>
              <w:left w:val="nil"/>
              <w:bottom w:val="nil"/>
              <w:right w:val="nil"/>
            </w:tcBorders>
            <w:noWrap/>
            <w:vAlign w:val="bottom"/>
          </w:tcPr>
          <w:p w14:paraId="32AEA623" w14:textId="77777777" w:rsidR="00D4358F" w:rsidRDefault="00D4358F" w:rsidP="00D4358F">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Study</w:t>
            </w:r>
          </w:p>
        </w:tc>
        <w:tc>
          <w:tcPr>
            <w:tcW w:w="1710" w:type="dxa"/>
            <w:tcBorders>
              <w:top w:val="single" w:sz="12" w:space="0" w:color="auto"/>
              <w:left w:val="nil"/>
              <w:bottom w:val="nil"/>
              <w:right w:val="nil"/>
            </w:tcBorders>
            <w:noWrap/>
            <w:vAlign w:val="bottom"/>
          </w:tcPr>
          <w:p w14:paraId="71286773"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 89</w:t>
            </w:r>
          </w:p>
          <w:p w14:paraId="3615A5B5"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w:t>
            </w:r>
          </w:p>
        </w:tc>
        <w:tc>
          <w:tcPr>
            <w:tcW w:w="1530" w:type="dxa"/>
            <w:tcBorders>
              <w:top w:val="single" w:sz="12" w:space="0" w:color="auto"/>
              <w:left w:val="nil"/>
              <w:bottom w:val="nil"/>
              <w:right w:val="nil"/>
            </w:tcBorders>
            <w:noWrap/>
            <w:vAlign w:val="bottom"/>
          </w:tcPr>
          <w:p w14:paraId="7782DF33"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 120</w:t>
            </w:r>
          </w:p>
          <w:p w14:paraId="72B9AE8C"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586A16FC"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 209</w:t>
            </w:r>
          </w:p>
          <w:p w14:paraId="7900B190" w14:textId="77777777" w:rsidR="00D4358F" w:rsidRDefault="00D4358F" w:rsidP="00D4358F">
            <w:pPr>
              <w:spacing w:before="0" w:beforeAutospacing="0" w:after="0" w:afterAutospacing="0" w:line="240" w:lineRule="auto"/>
              <w:jc w:val="center"/>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2AA8D05C" w14:textId="77777777" w:rsidR="00D4358F" w:rsidRDefault="00D4358F" w:rsidP="00D4358F">
            <w:pPr>
              <w:spacing w:before="0" w:beforeAutospacing="0" w:after="0" w:afterAutospacing="0" w:line="240" w:lineRule="auto"/>
              <w:rPr>
                <w:rFonts w:ascii="Calibri" w:hAnsi="Calibri"/>
                <w:sz w:val="22"/>
                <w:szCs w:val="22"/>
                <w:lang w:eastAsia="en-US"/>
              </w:rPr>
            </w:pPr>
          </w:p>
        </w:tc>
        <w:tc>
          <w:tcPr>
            <w:tcW w:w="960" w:type="dxa"/>
            <w:tcBorders>
              <w:top w:val="single" w:sz="12" w:space="0" w:color="auto"/>
              <w:left w:val="nil"/>
              <w:bottom w:val="nil"/>
              <w:right w:val="nil"/>
            </w:tcBorders>
            <w:noWrap/>
            <w:vAlign w:val="bottom"/>
          </w:tcPr>
          <w:p w14:paraId="294E1464" w14:textId="77777777" w:rsidR="00D4358F" w:rsidRDefault="00D4358F" w:rsidP="00D4358F">
            <w:pPr>
              <w:spacing w:before="0" w:beforeAutospacing="0" w:after="0" w:afterAutospacing="0" w:line="240" w:lineRule="auto"/>
              <w:rPr>
                <w:rFonts w:ascii="Calibri" w:hAnsi="Calibri"/>
                <w:sz w:val="22"/>
                <w:szCs w:val="22"/>
                <w:lang w:eastAsia="en-US"/>
              </w:rPr>
            </w:pPr>
          </w:p>
        </w:tc>
      </w:tr>
      <w:tr w:rsidR="00D4358F" w14:paraId="79CF88A2" w14:textId="77777777" w:rsidTr="00884313">
        <w:trPr>
          <w:trHeight w:val="288"/>
        </w:trPr>
        <w:tc>
          <w:tcPr>
            <w:tcW w:w="2520" w:type="dxa"/>
            <w:tcBorders>
              <w:top w:val="nil"/>
              <w:left w:val="nil"/>
              <w:bottom w:val="nil"/>
              <w:right w:val="nil"/>
            </w:tcBorders>
            <w:noWrap/>
            <w:vAlign w:val="bottom"/>
          </w:tcPr>
          <w:p w14:paraId="14BDD887"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710" w:type="dxa"/>
            <w:tcBorders>
              <w:top w:val="nil"/>
              <w:left w:val="nil"/>
              <w:bottom w:val="nil"/>
              <w:right w:val="nil"/>
            </w:tcBorders>
            <w:noWrap/>
            <w:vAlign w:val="bottom"/>
          </w:tcPr>
          <w:p w14:paraId="5228805E"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58 (53.7)</w:t>
            </w:r>
          </w:p>
        </w:tc>
        <w:tc>
          <w:tcPr>
            <w:tcW w:w="1530" w:type="dxa"/>
            <w:tcBorders>
              <w:top w:val="nil"/>
              <w:left w:val="nil"/>
              <w:bottom w:val="nil"/>
              <w:right w:val="nil"/>
            </w:tcBorders>
            <w:noWrap/>
            <w:vAlign w:val="bottom"/>
          </w:tcPr>
          <w:p w14:paraId="76D1815E"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50 (46.3)</w:t>
            </w:r>
          </w:p>
        </w:tc>
        <w:tc>
          <w:tcPr>
            <w:tcW w:w="1350" w:type="dxa"/>
            <w:tcBorders>
              <w:top w:val="nil"/>
              <w:left w:val="nil"/>
              <w:bottom w:val="nil"/>
              <w:right w:val="nil"/>
            </w:tcBorders>
            <w:noWrap/>
            <w:vAlign w:val="bottom"/>
          </w:tcPr>
          <w:p w14:paraId="5E5CF094"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108 (100)</w:t>
            </w:r>
          </w:p>
        </w:tc>
        <w:tc>
          <w:tcPr>
            <w:tcW w:w="1350" w:type="dxa"/>
            <w:tcBorders>
              <w:top w:val="nil"/>
              <w:left w:val="nil"/>
              <w:bottom w:val="nil"/>
              <w:right w:val="nil"/>
            </w:tcBorders>
            <w:noWrap/>
            <w:vAlign w:val="bottom"/>
          </w:tcPr>
          <w:p w14:paraId="2E863A4E"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11.303</w:t>
            </w:r>
          </w:p>
        </w:tc>
        <w:tc>
          <w:tcPr>
            <w:tcW w:w="960" w:type="dxa"/>
            <w:tcBorders>
              <w:top w:val="nil"/>
              <w:left w:val="nil"/>
              <w:bottom w:val="nil"/>
              <w:right w:val="nil"/>
            </w:tcBorders>
            <w:noWrap/>
            <w:vAlign w:val="bottom"/>
          </w:tcPr>
          <w:p w14:paraId="6E778252"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0.001</w:t>
            </w:r>
          </w:p>
        </w:tc>
      </w:tr>
      <w:tr w:rsidR="00D4358F" w14:paraId="7FFE0746" w14:textId="77777777" w:rsidTr="00884313">
        <w:trPr>
          <w:trHeight w:val="288"/>
        </w:trPr>
        <w:tc>
          <w:tcPr>
            <w:tcW w:w="2520" w:type="dxa"/>
            <w:tcBorders>
              <w:top w:val="nil"/>
              <w:left w:val="nil"/>
              <w:bottom w:val="single" w:sz="12" w:space="0" w:color="auto"/>
              <w:right w:val="nil"/>
            </w:tcBorders>
            <w:noWrap/>
            <w:vAlign w:val="bottom"/>
          </w:tcPr>
          <w:p w14:paraId="29B9B101" w14:textId="77777777" w:rsidR="00D4358F" w:rsidRDefault="00D4358F" w:rsidP="00D4358F">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710" w:type="dxa"/>
            <w:tcBorders>
              <w:top w:val="nil"/>
              <w:left w:val="nil"/>
              <w:bottom w:val="single" w:sz="12" w:space="0" w:color="auto"/>
              <w:right w:val="nil"/>
            </w:tcBorders>
            <w:noWrap/>
            <w:vAlign w:val="bottom"/>
          </w:tcPr>
          <w:p w14:paraId="53C83A78"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31 (30.7)</w:t>
            </w:r>
          </w:p>
        </w:tc>
        <w:tc>
          <w:tcPr>
            <w:tcW w:w="1530" w:type="dxa"/>
            <w:tcBorders>
              <w:top w:val="nil"/>
              <w:left w:val="nil"/>
              <w:bottom w:val="single" w:sz="12" w:space="0" w:color="auto"/>
              <w:right w:val="nil"/>
            </w:tcBorders>
            <w:noWrap/>
            <w:vAlign w:val="bottom"/>
          </w:tcPr>
          <w:p w14:paraId="4377F5E5"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70 (69.3)</w:t>
            </w:r>
          </w:p>
        </w:tc>
        <w:tc>
          <w:tcPr>
            <w:tcW w:w="1350" w:type="dxa"/>
            <w:tcBorders>
              <w:top w:val="nil"/>
              <w:left w:val="nil"/>
              <w:bottom w:val="single" w:sz="12" w:space="0" w:color="auto"/>
              <w:right w:val="nil"/>
            </w:tcBorders>
            <w:noWrap/>
            <w:vAlign w:val="bottom"/>
          </w:tcPr>
          <w:p w14:paraId="6C212609" w14:textId="77777777" w:rsidR="00D4358F" w:rsidRDefault="00D4358F" w:rsidP="00D4358F">
            <w:pPr>
              <w:spacing w:before="0" w:beforeAutospacing="0" w:after="0" w:afterAutospacing="0" w:line="240" w:lineRule="auto"/>
              <w:jc w:val="center"/>
              <w:rPr>
                <w:rFonts w:eastAsia="Times New Roman"/>
                <w:color w:val="000000"/>
                <w:sz w:val="22"/>
              </w:rPr>
            </w:pPr>
            <w:r>
              <w:rPr>
                <w:rFonts w:ascii="Calibri" w:hAnsi="Calibri" w:cs="Calibri"/>
                <w:color w:val="000000"/>
                <w:sz w:val="22"/>
                <w:szCs w:val="22"/>
              </w:rPr>
              <w:t>101 (100)</w:t>
            </w:r>
          </w:p>
        </w:tc>
        <w:tc>
          <w:tcPr>
            <w:tcW w:w="1350" w:type="dxa"/>
            <w:tcBorders>
              <w:top w:val="nil"/>
              <w:left w:val="nil"/>
              <w:bottom w:val="single" w:sz="12" w:space="0" w:color="auto"/>
              <w:right w:val="nil"/>
            </w:tcBorders>
            <w:noWrap/>
            <w:vAlign w:val="bottom"/>
          </w:tcPr>
          <w:p w14:paraId="4EBD0AEC" w14:textId="77777777" w:rsidR="00D4358F" w:rsidRDefault="00D4358F" w:rsidP="00D4358F">
            <w:pPr>
              <w:spacing w:before="0" w:beforeAutospacing="0" w:after="0" w:afterAutospacing="0" w:line="240" w:lineRule="auto"/>
              <w:rPr>
                <w:rFonts w:ascii="Calibri" w:hAnsi="Calibri"/>
                <w:sz w:val="22"/>
                <w:szCs w:val="22"/>
                <w:lang w:eastAsia="en-US"/>
              </w:rPr>
            </w:pPr>
            <w:r>
              <w:rPr>
                <w:rFonts w:ascii="Calibri" w:hAnsi="Calibri" w:cs="Calibri"/>
                <w:color w:val="000000"/>
                <w:sz w:val="22"/>
                <w:szCs w:val="22"/>
              </w:rPr>
              <w:t> </w:t>
            </w:r>
          </w:p>
        </w:tc>
        <w:tc>
          <w:tcPr>
            <w:tcW w:w="960" w:type="dxa"/>
            <w:tcBorders>
              <w:top w:val="nil"/>
              <w:left w:val="nil"/>
              <w:bottom w:val="single" w:sz="12" w:space="0" w:color="auto"/>
              <w:right w:val="nil"/>
            </w:tcBorders>
            <w:noWrap/>
            <w:vAlign w:val="bottom"/>
          </w:tcPr>
          <w:p w14:paraId="4558F00D" w14:textId="77777777" w:rsidR="00D4358F" w:rsidRDefault="00D4358F" w:rsidP="00D4358F">
            <w:pPr>
              <w:spacing w:before="0" w:beforeAutospacing="0" w:after="0" w:afterAutospacing="0" w:line="240" w:lineRule="auto"/>
              <w:rPr>
                <w:rFonts w:ascii="Calibri" w:hAnsi="Calibri"/>
                <w:sz w:val="22"/>
                <w:szCs w:val="22"/>
                <w:lang w:eastAsia="en-US"/>
              </w:rPr>
            </w:pPr>
            <w:r>
              <w:rPr>
                <w:rFonts w:ascii="Calibri" w:hAnsi="Calibri" w:cs="Calibri"/>
                <w:color w:val="000000"/>
                <w:sz w:val="22"/>
                <w:szCs w:val="22"/>
              </w:rPr>
              <w:t> </w:t>
            </w:r>
          </w:p>
        </w:tc>
      </w:tr>
    </w:tbl>
    <w:p w14:paraId="6901569F" w14:textId="77777777" w:rsidR="00D4358F" w:rsidRDefault="00D4358F" w:rsidP="002F35F6">
      <w:pPr>
        <w:spacing w:line="240" w:lineRule="auto"/>
        <w:jc w:val="both"/>
      </w:pPr>
    </w:p>
    <w:p w14:paraId="4B64D38F" w14:textId="5563B951" w:rsidR="009C312A" w:rsidRPr="00F50B3B" w:rsidRDefault="009C312A" w:rsidP="009C312A">
      <w:pPr>
        <w:spacing w:line="360" w:lineRule="auto"/>
        <w:jc w:val="both"/>
        <w:rPr>
          <w:b/>
          <w:bCs/>
        </w:rPr>
      </w:pPr>
      <w:r>
        <w:rPr>
          <w:b/>
          <w:bCs/>
        </w:rPr>
        <w:lastRenderedPageBreak/>
        <w:t>Comparison of Level of Knowledge of</w:t>
      </w:r>
      <w:r w:rsidRPr="00F50B3B">
        <w:rPr>
          <w:b/>
          <w:bCs/>
        </w:rPr>
        <w:t xml:space="preserve"> Immunization Uptake Among Mothers in AEFUTHA</w:t>
      </w:r>
      <w:r>
        <w:rPr>
          <w:b/>
          <w:bCs/>
        </w:rPr>
        <w:t xml:space="preserve"> Before and After Intervention</w:t>
      </w:r>
    </w:p>
    <w:p w14:paraId="15E7DDD5" w14:textId="0299283D" w:rsidR="00F50B3B" w:rsidRDefault="00F50B3B" w:rsidP="00281902">
      <w:pPr>
        <w:spacing w:line="360" w:lineRule="auto"/>
        <w:jc w:val="both"/>
      </w:pPr>
      <w:r>
        <w:t xml:space="preserve">The results in Table </w:t>
      </w:r>
      <w:r w:rsidR="001548CE">
        <w:t>4</w:t>
      </w:r>
      <w:r>
        <w:t xml:space="preserve"> compared knowledge of immunization uptake among mothers in the control and intervention groups before and after the nurse-led health education intervention. In the control group, knowledge levels remained largely unchanged, with 79.6% demonstrating good knowledge at baseline compared to 80.2% at endline (χ² = 0.011, p = 0.918). This difference was not statistically significant, indicating that mothers in the control group did not experience any meaningful improvement in knowledge over the study period. However, the intervention group demonstrated a marked and statistically significant improvement (χ² = 25.932, p &lt; 0.001). At baseline, 75% of mothers had good knowledge, while 25% exhibited poor knowledge. By the end of the study, 99% of mothers in the intervention group demonstrated good knowledge, with only 1% classified as poor. </w:t>
      </w:r>
    </w:p>
    <w:p w14:paraId="625DBA98" w14:textId="7CBD5DD6" w:rsidR="00F50B3B" w:rsidRPr="00F50B3B" w:rsidRDefault="009C312A" w:rsidP="00281902">
      <w:pPr>
        <w:spacing w:line="360" w:lineRule="auto"/>
        <w:jc w:val="both"/>
        <w:rPr>
          <w:b/>
          <w:bCs/>
        </w:rPr>
      </w:pPr>
      <w:r>
        <w:rPr>
          <w:b/>
          <w:bCs/>
        </w:rPr>
        <w:t xml:space="preserve">Comparison of Level of </w:t>
      </w:r>
      <w:r w:rsidR="00F50B3B" w:rsidRPr="00F50B3B">
        <w:rPr>
          <w:b/>
          <w:bCs/>
        </w:rPr>
        <w:t>Attitudes Towards Immunization Uptake Among Mothers in AEFUTHA</w:t>
      </w:r>
      <w:r>
        <w:rPr>
          <w:b/>
          <w:bCs/>
        </w:rPr>
        <w:t xml:space="preserve"> Before and After Intervention</w:t>
      </w:r>
    </w:p>
    <w:p w14:paraId="643CD102" w14:textId="22797C67" w:rsidR="00F50B3B" w:rsidRDefault="00F50B3B" w:rsidP="00281902">
      <w:pPr>
        <w:spacing w:line="360" w:lineRule="auto"/>
        <w:jc w:val="both"/>
      </w:pPr>
      <w:r>
        <w:t xml:space="preserve">The results in Table </w:t>
      </w:r>
      <w:r w:rsidR="001548CE">
        <w:t>5</w:t>
      </w:r>
      <w:r>
        <w:t xml:space="preserve"> compared attitudes towards immunization uptake among mothers in the control and intervention groups before and after the nurse-led health education intervention. In the control group, attitudes declined significantly, with positive attitudes decreasing from 49.1% at baseline to 35.4% at endline (χ² = 3.876, p = 0.049). However, the intervention group demonstrated a marked and statistically significant improvement. At baseline, only 46.3% of mothers had positive attitudes, while 53.7% exhibited poor attitudes. By the end of the study, 69.3% of mothers in the intervention group demonstrated positive attitudes, with only 30.7% classified as poor. This difference was highly significant (χ² = 11.303, p = 0.001), indicating that the nurse-led health education intervention had a substantial effect in improving mothers’ attitudes towards immunization uptake.</w:t>
      </w:r>
    </w:p>
    <w:p w14:paraId="6A43AEA5" w14:textId="4B2D9491" w:rsidR="002D6CA7" w:rsidRDefault="002D6CA7" w:rsidP="002F35F6">
      <w:pPr>
        <w:pStyle w:val="Heading2"/>
        <w:spacing w:line="240" w:lineRule="auto"/>
      </w:pPr>
      <w:r>
        <w:rPr>
          <w:lang w:bidi="ar"/>
        </w:rPr>
        <w:t>Discussion of Findings</w:t>
      </w:r>
    </w:p>
    <w:p w14:paraId="51494F17" w14:textId="77777777" w:rsidR="00281902" w:rsidRDefault="00281902" w:rsidP="00281902">
      <w:pPr>
        <w:spacing w:line="360" w:lineRule="auto"/>
        <w:jc w:val="both"/>
        <w:rPr>
          <w:lang w:bidi="ar"/>
        </w:rPr>
      </w:pPr>
      <w:bookmarkStart w:id="24" w:name="_Toc224180805"/>
      <w:r>
        <w:rPr>
          <w:lang w:bidi="ar"/>
        </w:rPr>
        <w:t xml:space="preserve">This study examined the effectiveness of nurse-led health education interventions on mothers’ immunization knowledge and attitudes at Alex Ekwueme Federal University Teaching Hospital Abakaliki. At baseline, mothers’ knowledge of routine immunization was generally high, but with </w:t>
      </w:r>
      <w:r>
        <w:rPr>
          <w:lang w:bidi="ar"/>
        </w:rPr>
        <w:lastRenderedPageBreak/>
        <w:t>notable gaps in specific areas such as the risks of missed doses and the need for multiple doses. In the control group, 79.6% of mothers demonstrated good knowledge compared to 75% in the intervention group, with no statistically significant difference (χ² = 0.660, p = 0.417). These findings are consistent with Oladepo et al. (2020), Larson et al. (2018), and Rainey et al. (2011), who reported that while awareness of vaccines was widespread, detailed knowledge of schedules and vaccine-preventable diseases was limited. By the end of the study, however, mothers in the intervention group demonstrated a significant increase in knowledge, with good knowledge rising to 99% and poor knowledge dropping to 1% (χ² = 25.932, p &lt; 0.001). This improvement confirms the effectiveness of nurse-led health education interventions and corroborates Powell-Jackson et al. (2018) and Galadima et al. (2022), who found that structured maternal education programs significantly improved immunization knowledge. Barriers such as misconceptions about vaccine safety and multiple-dose requirements identified in this study are consistent with Abdulraheem et al. (2011) and Harmsen et al. (2013). The findings further support evidence from Favin et al. (2012), Esposito et al. (2014), and Sheikh et al. (2013) that maternal knowledge strongly influences immunization rates, appointment-keeping, and maintaining up-to-date immunization status.</w:t>
      </w:r>
    </w:p>
    <w:p w14:paraId="07B6EC40" w14:textId="3F4965E7" w:rsidR="00BF3C05" w:rsidRDefault="00281902" w:rsidP="00281902">
      <w:pPr>
        <w:spacing w:line="360" w:lineRule="auto"/>
        <w:jc w:val="both"/>
        <w:rPr>
          <w:lang w:bidi="ar"/>
        </w:rPr>
      </w:pPr>
      <w:r>
        <w:rPr>
          <w:lang w:bidi="ar"/>
        </w:rPr>
        <w:t xml:space="preserve">Attitudes toward immunization at baseline were moderately positive, with 49.1% of mothers in the control group and 46.3% in the intervention group demonstrating positive attitudes, though concerns about side effects and misconceptions about infection after vaccination persisted. This aligns with Galadima et al. (2022), who reported similar attitudinal barriers, and Elbert et al. (2023), who found that negative maternal attitudes during the COVID-19 pandemic were associated with incomplete immunization. By the end of the study, attitudes in the intervention group improved dramatically, with positive attitudes rising to 69.3% and negative attitudes dropping to 30.7%, compared to a decline in the control group where positive attitudes fell to 35.4% (χ² = 11.303, p = 0.001). This demonstrates the effectiveness of nurse-led health education in reshaping maternal perceptions of immunization. These findings corroborate Iwu et al. (2021), who showed that empowering traditional birth attendants improved maternal attitudes, and Oyo-Ita et al. (2015), who found that provider training and mobile reminders enhanced immunization completion rates. They also align with Harmsen et al. (2013) and Esposito et al. (2014), who emphasized the role of targeted education in shifting parental attitudes. </w:t>
      </w:r>
    </w:p>
    <w:p w14:paraId="70472127" w14:textId="77777777" w:rsidR="00A0462A" w:rsidRDefault="00A0462A" w:rsidP="00281902">
      <w:pPr>
        <w:spacing w:line="360" w:lineRule="auto"/>
        <w:jc w:val="both"/>
        <w:rPr>
          <w:lang w:bidi="ar"/>
        </w:rPr>
      </w:pPr>
    </w:p>
    <w:p w14:paraId="28CC8292" w14:textId="1F2FCC22" w:rsidR="009D66D9" w:rsidRPr="00B022DF" w:rsidRDefault="003018FD" w:rsidP="00BF3C05">
      <w:pPr>
        <w:pStyle w:val="Heading2"/>
        <w:spacing w:line="240" w:lineRule="auto"/>
      </w:pPr>
      <w:r w:rsidRPr="00B022DF">
        <w:lastRenderedPageBreak/>
        <w:t>Conclusion</w:t>
      </w:r>
      <w:bookmarkEnd w:id="24"/>
    </w:p>
    <w:p w14:paraId="2A22250B" w14:textId="32AE10F0" w:rsidR="00BF3C05" w:rsidRDefault="00281902" w:rsidP="00281902">
      <w:pPr>
        <w:spacing w:line="360" w:lineRule="auto"/>
        <w:jc w:val="both"/>
        <w:rPr>
          <w:b/>
          <w:bCs/>
        </w:rPr>
      </w:pPr>
      <w:bookmarkStart w:id="25" w:name="_Toc224180806"/>
      <w:r w:rsidRPr="00B022DF">
        <w:t>This study examined the effectiveness of nurse-led health education interventions on mothers’ knowledge and attitudes toward immunization uptake at Alex Ekwueme Federal University Teaching Hospital Abakaliki (AEFUTHA). The findings revealed that while both groups were comparable at baseline in terms of socio-demographic characteristics, knowledge, and attitudes, the intervention group demonstrated significant improvements after receiving structured health education. By the end of the study, mothers in the intervention group showed remarkable gains in knowledge and attitudes compared to the control group. Knowledge improved substantially, with nearly all mothers in the intervention group demonstrating good knowledge at endline, while attitudes shifted dramatically toward positive perceptions of immunization.</w:t>
      </w:r>
    </w:p>
    <w:p w14:paraId="1E78E9FE" w14:textId="3F6894D2" w:rsidR="009D66D9" w:rsidRPr="00B022DF" w:rsidRDefault="003018FD" w:rsidP="002F35F6">
      <w:pPr>
        <w:pStyle w:val="Heading2"/>
        <w:spacing w:line="240" w:lineRule="auto"/>
      </w:pPr>
      <w:r w:rsidRPr="00B022DF">
        <w:t>Recommendations</w:t>
      </w:r>
      <w:bookmarkEnd w:id="25"/>
    </w:p>
    <w:p w14:paraId="1FB584B3" w14:textId="77777777" w:rsidR="009D66D9" w:rsidRPr="00B022DF" w:rsidRDefault="003018FD" w:rsidP="002F35F6">
      <w:pPr>
        <w:spacing w:line="240" w:lineRule="auto"/>
        <w:jc w:val="both"/>
      </w:pPr>
      <w:r w:rsidRPr="00B022DF">
        <w:t>Based on the findings of this study, the following recommendations are made to strengthen immunization uptake among mothers of under-five children:</w:t>
      </w:r>
    </w:p>
    <w:p w14:paraId="11B08F30" w14:textId="77777777" w:rsidR="009D66D9" w:rsidRPr="00B022DF" w:rsidRDefault="003018FD" w:rsidP="002F35F6">
      <w:pPr>
        <w:pStyle w:val="ListParagraph"/>
        <w:numPr>
          <w:ilvl w:val="0"/>
          <w:numId w:val="28"/>
        </w:numPr>
        <w:spacing w:line="240" w:lineRule="auto"/>
        <w:ind w:left="450"/>
        <w:jc w:val="both"/>
      </w:pPr>
      <w:r w:rsidRPr="00B022DF">
        <w:t xml:space="preserve">Health education interventions led by nurses should be incorporated into antenatal, postnatal, and child welfare clinics as a standard practice. </w:t>
      </w:r>
    </w:p>
    <w:p w14:paraId="0FD71986" w14:textId="6CEE416B" w:rsidR="00A0462A" w:rsidRDefault="003018FD" w:rsidP="00A6336F">
      <w:pPr>
        <w:pStyle w:val="ListParagraph"/>
        <w:numPr>
          <w:ilvl w:val="0"/>
          <w:numId w:val="28"/>
        </w:numPr>
        <w:spacing w:line="240" w:lineRule="auto"/>
        <w:ind w:left="450"/>
        <w:jc w:val="both"/>
      </w:pPr>
      <w:r w:rsidRPr="00B022DF">
        <w:t>Since this study was conducted in a tertiary hospital, similar interventions should be extended to primary health centers and rural communities where knowledge gaps and vaccine hesitancy may be more pronounced.</w:t>
      </w:r>
      <w:bookmarkStart w:id="26" w:name="_Toc223317672"/>
      <w:bookmarkStart w:id="27" w:name="_Toc224180809"/>
    </w:p>
    <w:p w14:paraId="53F6EDF5" w14:textId="77777777" w:rsidR="00281902" w:rsidRPr="00FE5D16" w:rsidRDefault="00281902" w:rsidP="00281902">
      <w:pPr>
        <w:pStyle w:val="Heading2"/>
      </w:pPr>
      <w:r w:rsidRPr="00FE5D16">
        <w:t>Data availability</w:t>
      </w:r>
    </w:p>
    <w:p w14:paraId="4313B143" w14:textId="77777777" w:rsidR="00281902" w:rsidRPr="00BC33BC" w:rsidRDefault="00281902" w:rsidP="00281902">
      <w:pPr>
        <w:spacing w:after="0" w:line="360" w:lineRule="auto"/>
        <w:jc w:val="both"/>
      </w:pPr>
      <w:r w:rsidRPr="00BC33BC">
        <w:t>Data are available upon request and will be deposited in the public domain in due course.</w:t>
      </w:r>
    </w:p>
    <w:p w14:paraId="65842856" w14:textId="77777777" w:rsidR="00281902" w:rsidRPr="00FE5D16" w:rsidRDefault="00281902" w:rsidP="00281902">
      <w:pPr>
        <w:pStyle w:val="Heading2"/>
      </w:pPr>
      <w:r w:rsidRPr="00FE5D16">
        <w:t>Declarations</w:t>
      </w:r>
    </w:p>
    <w:p w14:paraId="1A0C52A5" w14:textId="77777777" w:rsidR="00281902" w:rsidRPr="00BC33BC" w:rsidRDefault="00281902" w:rsidP="00281902">
      <w:pPr>
        <w:spacing w:after="0" w:line="360" w:lineRule="auto"/>
        <w:jc w:val="both"/>
      </w:pPr>
      <w:r w:rsidRPr="00BC33BC">
        <w:t>The authors declare no conflicts of interest.</w:t>
      </w:r>
    </w:p>
    <w:p w14:paraId="65CB50E4" w14:textId="77777777" w:rsidR="00281902" w:rsidRPr="00FE5D16" w:rsidRDefault="00281902" w:rsidP="00281902">
      <w:pPr>
        <w:pStyle w:val="Heading2"/>
      </w:pPr>
      <w:r w:rsidRPr="00FE5D16">
        <w:t>Ethical clearance</w:t>
      </w:r>
    </w:p>
    <w:p w14:paraId="43EB2992" w14:textId="0A32C995" w:rsidR="00281902" w:rsidRPr="00BC33BC" w:rsidRDefault="00311A3E" w:rsidP="00281902">
      <w:pPr>
        <w:spacing w:after="0" w:line="360" w:lineRule="auto"/>
        <w:jc w:val="both"/>
      </w:pPr>
      <w:r w:rsidRPr="00311A3E">
        <w:t xml:space="preserve">Ethical approval for this study was obtained from the Health Research Ethics Committee (HREC) of Alex Ekwueme Federal University Teaching Hospital Abakaliki (AEFUTHA) and from the Research and Ethics Committee of ACE-PUTOR, University of Port Harcourt. Administrative permission was also secured from the hospital management and clinic authorities prior to data </w:t>
      </w:r>
      <w:r w:rsidRPr="00311A3E">
        <w:lastRenderedPageBreak/>
        <w:t>collection. All respondents provided written informed consent after being fully briefed on the study’s purpose, the voluntary nature of participation, and their right to withdraw at any time without penalty. Anonymity and confidentiality were assured, with no identifying information included in the dataset or final report. The study adhered strictly to ethical standards for research involving human subjects, ensuring respect, fairness, and transparency throughout.</w:t>
      </w:r>
    </w:p>
    <w:p w14:paraId="2FA6B1B6" w14:textId="77777777" w:rsidR="00281902" w:rsidRPr="00FE5D16" w:rsidRDefault="00281902" w:rsidP="00281902">
      <w:pPr>
        <w:pStyle w:val="Heading2"/>
      </w:pPr>
      <w:r w:rsidRPr="00FE5D16">
        <w:t>Consent for publication</w:t>
      </w:r>
    </w:p>
    <w:p w14:paraId="28FC6DA2" w14:textId="77777777" w:rsidR="00281902" w:rsidRDefault="00281902" w:rsidP="00281902">
      <w:pPr>
        <w:spacing w:after="0" w:line="360" w:lineRule="auto"/>
        <w:jc w:val="both"/>
      </w:pPr>
      <w:r w:rsidRPr="00BC33BC">
        <w:t>Not applicable to this manuscript.</w:t>
      </w:r>
    </w:p>
    <w:p w14:paraId="2FD8424A" w14:textId="7ABF6DBB" w:rsidR="009D66D9" w:rsidRPr="00281902" w:rsidRDefault="003018FD" w:rsidP="002F35F6">
      <w:pPr>
        <w:spacing w:line="240" w:lineRule="auto"/>
        <w:jc w:val="both"/>
        <w:rPr>
          <w:b/>
          <w:bCs/>
        </w:rPr>
      </w:pPr>
      <w:r w:rsidRPr="00281902">
        <w:rPr>
          <w:b/>
          <w:bCs/>
        </w:rPr>
        <w:t>REFERENCES</w:t>
      </w:r>
      <w:bookmarkEnd w:id="26"/>
      <w:bookmarkEnd w:id="27"/>
    </w:p>
    <w:p w14:paraId="1673DCA3" w14:textId="77777777" w:rsidR="009D66D9" w:rsidRPr="00B022DF" w:rsidRDefault="003018FD" w:rsidP="002F35F6">
      <w:pPr>
        <w:spacing w:line="240" w:lineRule="auto"/>
        <w:ind w:left="900" w:hanging="900"/>
        <w:jc w:val="both"/>
      </w:pPr>
      <w:r w:rsidRPr="00B022DF">
        <w:t>Abubakar, A., Usman, R., &amp; Bello, Y. (2021). Maternal knowledge and cultural beliefs as determinants of immunization uptake in sub-Saharan Africa. African Journal of Public Health, 18(3), 45–53.</w:t>
      </w:r>
    </w:p>
    <w:p w14:paraId="0F32E098" w14:textId="77777777" w:rsidR="00AC500D" w:rsidRDefault="003018FD" w:rsidP="002F35F6">
      <w:pPr>
        <w:spacing w:line="240" w:lineRule="auto"/>
        <w:ind w:left="900" w:hanging="900"/>
        <w:jc w:val="both"/>
      </w:pPr>
      <w:r w:rsidRPr="00B022DF">
        <w:t xml:space="preserve">Abubakar, N. G., Haruna, M., &amp; Bello, A. (2021). Maternal determinants of routine immunization uptake in sub-Saharan Africa: A systematic review. BMC Public Health, 21, 1453. </w:t>
      </w:r>
      <w:hyperlink r:id="rId11" w:tgtFrame="C:\Users\User\AppData\Local\Microsoft\Windows\INetCache\IE\D1L6UX0S\_new" w:history="1">
        <w:r w:rsidRPr="00B022DF">
          <w:rPr>
            <w:rStyle w:val="Hyperlink"/>
            <w:color w:val="auto"/>
            <w:u w:val="none"/>
          </w:rPr>
          <w:t>https://doi.org/10.1186/s12889-021-11466-5</w:t>
        </w:r>
      </w:hyperlink>
    </w:p>
    <w:p w14:paraId="5A867BBB" w14:textId="77777777" w:rsidR="00AC500D" w:rsidRDefault="003018FD" w:rsidP="002F35F6">
      <w:pPr>
        <w:spacing w:line="240" w:lineRule="auto"/>
        <w:ind w:left="900" w:hanging="900"/>
        <w:jc w:val="both"/>
      </w:pPr>
      <w:r w:rsidRPr="00B022DF">
        <w:t xml:space="preserve">Abubakar, N. G., Nor Afia, M. Z., Salmai, M. S., &amp; Ahmed, N. (2021). Factors influencing childhood </w:t>
      </w:r>
      <w:proofErr w:type="spellStart"/>
      <w:r w:rsidRPr="00B022DF">
        <w:t>immunisation</w:t>
      </w:r>
      <w:proofErr w:type="spellEnd"/>
      <w:r w:rsidRPr="00B022DF">
        <w:t xml:space="preserve"> uptake in Africa: A systematic review. BMC Public Health, 21, 1475. </w:t>
      </w:r>
    </w:p>
    <w:p w14:paraId="38C509D4" w14:textId="77777777" w:rsidR="00620818" w:rsidRPr="002F268D" w:rsidRDefault="0008724B" w:rsidP="002F35F6">
      <w:pPr>
        <w:spacing w:line="240" w:lineRule="auto"/>
        <w:ind w:left="900" w:hanging="900"/>
        <w:jc w:val="both"/>
      </w:pPr>
      <w:proofErr w:type="spellStart"/>
      <w:r w:rsidRPr="00B022DF">
        <w:t>Adedire</w:t>
      </w:r>
      <w:proofErr w:type="spellEnd"/>
      <w:r w:rsidRPr="00B022DF">
        <w:t xml:space="preserve">, E. B., </w:t>
      </w:r>
      <w:proofErr w:type="spellStart"/>
      <w:r w:rsidRPr="00B022DF">
        <w:t>Ajumobi</w:t>
      </w:r>
      <w:proofErr w:type="spellEnd"/>
      <w:r w:rsidRPr="00B022DF">
        <w:t xml:space="preserve">, O., Bolu, O., </w:t>
      </w:r>
      <w:proofErr w:type="spellStart"/>
      <w:r w:rsidRPr="00B022DF">
        <w:t>Nguku</w:t>
      </w:r>
      <w:proofErr w:type="spellEnd"/>
      <w:r w:rsidRPr="00B022DF">
        <w:t xml:space="preserve">, P., &amp; Ajayi, I. (2021). </w:t>
      </w:r>
      <w:r w:rsidRPr="00B022DF">
        <w:rPr>
          <w:rStyle w:val="Emphasis"/>
          <w:i w:val="0"/>
          <w:iCs w:val="0"/>
        </w:rPr>
        <w:t xml:space="preserve">Maternal knowledge, attitude, and perception about childhood routine immunization </w:t>
      </w:r>
      <w:proofErr w:type="spellStart"/>
      <w:r w:rsidRPr="00B022DF">
        <w:rPr>
          <w:rStyle w:val="Emphasis"/>
          <w:i w:val="0"/>
          <w:iCs w:val="0"/>
        </w:rPr>
        <w:t>programme</w:t>
      </w:r>
      <w:proofErr w:type="spellEnd"/>
      <w:r w:rsidRPr="00B022DF">
        <w:rPr>
          <w:rStyle w:val="Emphasis"/>
          <w:i w:val="0"/>
          <w:iCs w:val="0"/>
        </w:rPr>
        <w:t xml:space="preserve"> in </w:t>
      </w:r>
      <w:proofErr w:type="spellStart"/>
      <w:r w:rsidRPr="00B022DF">
        <w:rPr>
          <w:rStyle w:val="Emphasis"/>
          <w:i w:val="0"/>
          <w:iCs w:val="0"/>
        </w:rPr>
        <w:t>Atakumosa</w:t>
      </w:r>
      <w:proofErr w:type="spellEnd"/>
      <w:r w:rsidRPr="00B022DF">
        <w:rPr>
          <w:rStyle w:val="Emphasis"/>
          <w:i w:val="0"/>
          <w:iCs w:val="0"/>
        </w:rPr>
        <w:noBreakHyphen/>
        <w:t>west Local Government Area, Osun State, Southwestern Nigeria.</w:t>
      </w:r>
      <w:r w:rsidRPr="00B022DF">
        <w:t xml:space="preserve"> Pan African Medical Journal, 40(1), 8. </w:t>
      </w:r>
      <w:hyperlink r:id="rId12" w:history="1">
        <w:r w:rsidR="00020990" w:rsidRPr="002F268D">
          <w:rPr>
            <w:rStyle w:val="Hyperlink"/>
            <w:color w:val="auto"/>
            <w:u w:val="none"/>
          </w:rPr>
          <w:t>https://doi.org/10.11604/pamj.supp.2021.40.1.30876</w:t>
        </w:r>
      </w:hyperlink>
    </w:p>
    <w:p w14:paraId="38A6A2E8" w14:textId="77777777" w:rsidR="00620818" w:rsidRDefault="003018FD" w:rsidP="002F35F6">
      <w:pPr>
        <w:spacing w:line="240" w:lineRule="auto"/>
        <w:ind w:left="900" w:hanging="900"/>
        <w:jc w:val="both"/>
      </w:pPr>
      <w:r w:rsidRPr="005D22FF">
        <w:t xml:space="preserve">Adedokun, S. T., Adekanmbi, V. T., &amp; Uthman, O. A. (2022). </w:t>
      </w:r>
      <w:r w:rsidRPr="00B022DF">
        <w:t>Maternal education and child immunization uptake in Nigeria: A multilevel analysis. PLOS ONE, 17(5), e0267639.</w:t>
      </w:r>
      <w:r w:rsidR="00020990" w:rsidRPr="00B022DF">
        <w:t xml:space="preserve"> </w:t>
      </w:r>
    </w:p>
    <w:p w14:paraId="59E97BB3" w14:textId="6681B653" w:rsidR="00620818" w:rsidRDefault="00020990" w:rsidP="002F35F6">
      <w:pPr>
        <w:spacing w:line="240" w:lineRule="auto"/>
        <w:ind w:left="900" w:hanging="900"/>
        <w:jc w:val="both"/>
      </w:pPr>
      <w:r w:rsidRPr="00B022DF">
        <w:t xml:space="preserve">Adeniyi, I. O., Adeniran, M. A., </w:t>
      </w:r>
      <w:proofErr w:type="spellStart"/>
      <w:r w:rsidRPr="00B022DF">
        <w:t>Adegbamigbe</w:t>
      </w:r>
      <w:proofErr w:type="spellEnd"/>
      <w:r w:rsidRPr="00B022DF">
        <w:t xml:space="preserve">, A. B., Adebanjo, T. I., Adeyemi, F. O., Adimula, Q. T., Afolabi, A. A., Adediran, F. D., </w:t>
      </w:r>
      <w:proofErr w:type="spellStart"/>
      <w:r w:rsidRPr="00B022DF">
        <w:t>Abiwo</w:t>
      </w:r>
      <w:proofErr w:type="spellEnd"/>
      <w:r w:rsidRPr="00B022DF">
        <w:t xml:space="preserve">, O. G., Adeniyi, O. C., </w:t>
      </w:r>
      <w:proofErr w:type="spellStart"/>
      <w:r w:rsidRPr="00B022DF">
        <w:t>Ipinnimo</w:t>
      </w:r>
      <w:proofErr w:type="spellEnd"/>
      <w:r w:rsidRPr="00B022DF">
        <w:t>, T. M., Adeosun, M. O., &amp; Kunle</w:t>
      </w:r>
      <w:r w:rsidRPr="00B022DF">
        <w:noBreakHyphen/>
        <w:t xml:space="preserve">Olowu, A. O. (2023). </w:t>
      </w:r>
      <w:r w:rsidRPr="00B022DF">
        <w:rPr>
          <w:rStyle w:val="Emphasis"/>
          <w:i w:val="0"/>
          <w:iCs w:val="0"/>
        </w:rPr>
        <w:t>Knowledge, attitude and uptake of vaccination among under</w:t>
      </w:r>
      <w:r w:rsidRPr="00B022DF">
        <w:rPr>
          <w:rStyle w:val="Emphasis"/>
          <w:i w:val="0"/>
          <w:iCs w:val="0"/>
        </w:rPr>
        <w:noBreakHyphen/>
        <w:t>five children in a semi</w:t>
      </w:r>
      <w:r w:rsidRPr="00B022DF">
        <w:rPr>
          <w:rStyle w:val="Emphasis"/>
          <w:i w:val="0"/>
          <w:iCs w:val="0"/>
        </w:rPr>
        <w:noBreakHyphen/>
        <w:t>urban community in Ekiti State, Nigeria.</w:t>
      </w:r>
      <w:r w:rsidRPr="00B022DF">
        <w:t xml:space="preserve"> Babcock University Medical Journal, 6(1), 40–49. </w:t>
      </w:r>
      <w:hyperlink r:id="rId13" w:history="1">
        <w:r w:rsidR="00620818" w:rsidRPr="00E86E78">
          <w:rPr>
            <w:rStyle w:val="Hyperlink"/>
          </w:rPr>
          <w:t>https://doi.org/10.38029/babcockuniv.med.j.v6i1.173</w:t>
        </w:r>
      </w:hyperlink>
    </w:p>
    <w:p w14:paraId="0782CC75" w14:textId="77777777" w:rsidR="00110212" w:rsidRDefault="003018FD" w:rsidP="002F35F6">
      <w:pPr>
        <w:spacing w:line="240" w:lineRule="auto"/>
        <w:ind w:left="900" w:hanging="900"/>
        <w:jc w:val="both"/>
      </w:pPr>
      <w:r w:rsidRPr="00B022DF">
        <w:t>Adisa, O. P., Akinleye, C. A., Obafisie, C. I., &amp; Oke, O. S. (2023). Childhood immunization perception and uptake among mothers of under-five children in Osogbo, Nigeria. Nigerian Journal of Public Health, 5(2), 34–42.</w:t>
      </w:r>
    </w:p>
    <w:p w14:paraId="24A22F1E" w14:textId="77777777" w:rsidR="00110212" w:rsidRDefault="003018FD" w:rsidP="002F35F6">
      <w:pPr>
        <w:spacing w:line="240" w:lineRule="auto"/>
        <w:ind w:left="900" w:hanging="900"/>
        <w:jc w:val="both"/>
      </w:pPr>
      <w:r w:rsidRPr="00B022DF">
        <w:lastRenderedPageBreak/>
        <w:t>AEFUTHA. (2024). Annual immunization performance report. Abakaliki: AE-FUTHA Press.</w:t>
      </w:r>
    </w:p>
    <w:p w14:paraId="27CEA96C" w14:textId="77777777" w:rsidR="00110212" w:rsidRDefault="003018FD" w:rsidP="002F35F6">
      <w:pPr>
        <w:spacing w:line="240" w:lineRule="auto"/>
        <w:ind w:left="900" w:hanging="900"/>
        <w:jc w:val="both"/>
      </w:pPr>
      <w:r w:rsidRPr="00B022DF">
        <w:t>Eze, P., &amp; Okoro, N. (2022). Immunization coverage and determinants in Southeast Nigeria. Journal of Global Health Reports, 6, e2022034.</w:t>
      </w:r>
    </w:p>
    <w:p w14:paraId="1CAD4C84" w14:textId="77777777" w:rsidR="00110212" w:rsidRDefault="003018FD" w:rsidP="002F35F6">
      <w:pPr>
        <w:spacing w:line="240" w:lineRule="auto"/>
        <w:ind w:left="900" w:hanging="900"/>
        <w:jc w:val="both"/>
      </w:pPr>
      <w:r w:rsidRPr="00B022DF">
        <w:t>Federal Ministry of Health (</w:t>
      </w:r>
      <w:proofErr w:type="spellStart"/>
      <w:r w:rsidRPr="00B022DF">
        <w:t>FMoH</w:t>
      </w:r>
      <w:proofErr w:type="spellEnd"/>
      <w:r w:rsidRPr="00B022DF">
        <w:t xml:space="preserve">). (2021). Nigeria immunization policy and strategy. Abuja: </w:t>
      </w:r>
      <w:proofErr w:type="spellStart"/>
      <w:r w:rsidRPr="00B022DF">
        <w:t>FMoH</w:t>
      </w:r>
      <w:proofErr w:type="spellEnd"/>
      <w:r w:rsidRPr="00B022DF">
        <w:t>.</w:t>
      </w:r>
    </w:p>
    <w:p w14:paraId="6A247436" w14:textId="6776B95A" w:rsidR="00110212" w:rsidRPr="00B56A95" w:rsidRDefault="003018FD" w:rsidP="002F35F6">
      <w:pPr>
        <w:spacing w:line="240" w:lineRule="auto"/>
        <w:ind w:left="900" w:hanging="900"/>
        <w:jc w:val="both"/>
      </w:pPr>
      <w:r w:rsidRPr="00B022DF">
        <w:t xml:space="preserve">Nnaji, C. A., </w:t>
      </w:r>
      <w:proofErr w:type="spellStart"/>
      <w:r w:rsidRPr="00B022DF">
        <w:t>Owoyemi</w:t>
      </w:r>
      <w:proofErr w:type="spellEnd"/>
      <w:r w:rsidRPr="00B022DF">
        <w:t xml:space="preserve">, A. J., Amaechi, U. A., &amp; Okolie, C. L. (2022). Vaccine hesitancy and COVID-19 </w:t>
      </w:r>
      <w:proofErr w:type="spellStart"/>
      <w:r w:rsidRPr="00B022DF">
        <w:t>immunisation</w:t>
      </w:r>
      <w:proofErr w:type="spellEnd"/>
      <w:r w:rsidRPr="00B022DF">
        <w:t xml:space="preserve"> in Africa: Challenges and strategies. The Lancet Global Health, 10(5), e746–e747. </w:t>
      </w:r>
      <w:hyperlink r:id="rId14" w:history="1">
        <w:r w:rsidR="00110212" w:rsidRPr="00B56A95">
          <w:rPr>
            <w:rStyle w:val="Hyperlink"/>
          </w:rPr>
          <w:t>https://doi.org/10.1016/S2214-109X(22)00096-1</w:t>
        </w:r>
      </w:hyperlink>
    </w:p>
    <w:p w14:paraId="343AC05C" w14:textId="77777777" w:rsidR="00110212" w:rsidRDefault="003018FD" w:rsidP="002F35F6">
      <w:pPr>
        <w:spacing w:line="240" w:lineRule="auto"/>
        <w:ind w:left="900" w:hanging="900"/>
        <w:jc w:val="both"/>
      </w:pPr>
      <w:r w:rsidRPr="001324AF">
        <w:rPr>
          <w:lang w:val="de-DE"/>
        </w:rPr>
        <w:t xml:space="preserve">Nunnally, J. C., &amp; Bernstein, I. H. (1994). </w:t>
      </w:r>
      <w:r w:rsidRPr="00B022DF">
        <w:t xml:space="preserve">Psychometric theory (3rd ed.). McGraw-Hill. </w:t>
      </w:r>
    </w:p>
    <w:p w14:paraId="6822FDF6" w14:textId="77777777" w:rsidR="00110212" w:rsidRDefault="003018FD" w:rsidP="002F35F6">
      <w:pPr>
        <w:spacing w:line="240" w:lineRule="auto"/>
        <w:ind w:left="900" w:hanging="900"/>
        <w:jc w:val="both"/>
      </w:pPr>
      <w:r w:rsidRPr="00B022DF">
        <w:t xml:space="preserve">Nwankwo, I. U., &amp; Onuoha, C. R. (2020). Mothers as community advocates for immunization uptake: The role of nurse-led interventions in Nigeria. </w:t>
      </w:r>
      <w:r w:rsidRPr="00B022DF">
        <w:rPr>
          <w:rStyle w:val="Emphasis"/>
          <w:i w:val="0"/>
          <w:iCs w:val="0"/>
        </w:rPr>
        <w:t>African Journal of Public Health, 12</w:t>
      </w:r>
      <w:r w:rsidRPr="00B022DF">
        <w:t>(2), 45-52.</w:t>
      </w:r>
    </w:p>
    <w:p w14:paraId="7CD056DD" w14:textId="77777777" w:rsidR="00110212" w:rsidRDefault="003018FD" w:rsidP="002F35F6">
      <w:pPr>
        <w:spacing w:line="240" w:lineRule="auto"/>
        <w:ind w:left="900" w:hanging="900"/>
        <w:jc w:val="both"/>
      </w:pPr>
      <w:r w:rsidRPr="00B022DF">
        <w:t xml:space="preserve"> Offit, P. A., Quarles, J., Gerber, M. A., Hackett, C. J., Marcuse, E. K., Kollman, T. R., … &amp; Landry, S. (2019). Addressing parents’ concerns: Do multiple vaccines overwhelm or weaken the infant’s immune system? Pediatrics, 109(1), 124–129. </w:t>
      </w:r>
      <w:hyperlink r:id="rId15" w:history="1">
        <w:r w:rsidRPr="00B022DF">
          <w:rPr>
            <w:rStyle w:val="Hyperlink"/>
            <w:color w:val="auto"/>
            <w:u w:val="none"/>
          </w:rPr>
          <w:t>https://doi.org/10.1542/peds.109.1.124</w:t>
        </w:r>
      </w:hyperlink>
      <w:r w:rsidRPr="00B022DF">
        <w:t xml:space="preserve"> </w:t>
      </w:r>
    </w:p>
    <w:p w14:paraId="09C196D8" w14:textId="77777777" w:rsidR="00110212" w:rsidRDefault="003018FD" w:rsidP="002F35F6">
      <w:pPr>
        <w:spacing w:line="240" w:lineRule="auto"/>
        <w:ind w:left="900" w:hanging="900"/>
        <w:jc w:val="both"/>
      </w:pPr>
      <w:r w:rsidRPr="00B022DF">
        <w:t xml:space="preserve">Royal College of Nursing. (2021). Nurse-led clinics. </w:t>
      </w:r>
      <w:hyperlink r:id="rId16" w:tgtFrame="C:\Users\User\AppData\Local\Microsoft\Windows\INetCache\IE\D1L6UX0S\_new" w:history="1">
        <w:r w:rsidRPr="00B022DF">
          <w:rPr>
            <w:rStyle w:val="Hyperlink"/>
            <w:color w:val="auto"/>
            <w:u w:val="none"/>
          </w:rPr>
          <w:t>https://www.rcn.org.uk/professional-development/publications</w:t>
        </w:r>
      </w:hyperlink>
    </w:p>
    <w:p w14:paraId="7AE165CF" w14:textId="77777777" w:rsidR="00110212" w:rsidRDefault="002F157C" w:rsidP="002F35F6">
      <w:pPr>
        <w:spacing w:line="240" w:lineRule="auto"/>
        <w:ind w:left="900" w:hanging="900"/>
        <w:jc w:val="both"/>
      </w:pPr>
      <w:r w:rsidRPr="00B022DF">
        <w:t xml:space="preserve">Sani, J., Halane, S., Ahmed, M. M., Ahmed, A. M., &amp; Hersi, M. D. (2018). Regional disparities and maternal sociodemographic determinants of full immunization coverage among children aged 12–23 months in Nigeria: Insights from the NDHS 2018. </w:t>
      </w:r>
      <w:r w:rsidRPr="00B022DF">
        <w:rPr>
          <w:rStyle w:val="Emphasis"/>
          <w:i w:val="0"/>
          <w:iCs w:val="0"/>
        </w:rPr>
        <w:t>Public Health &amp; Medical Therapeutics.</w:t>
      </w:r>
      <w:r w:rsidRPr="00B022DF">
        <w:t xml:space="preserve"> </w:t>
      </w:r>
      <w:hyperlink r:id="rId17" w:history="1">
        <w:r w:rsidRPr="00B022DF">
          <w:rPr>
            <w:rStyle w:val="Hyperlink"/>
            <w:color w:val="auto"/>
            <w:u w:val="none"/>
          </w:rPr>
          <w:t>https://doi.org/10.2147/PHMT.S520721</w:t>
        </w:r>
      </w:hyperlink>
    </w:p>
    <w:p w14:paraId="0E041364" w14:textId="5498CDA9" w:rsidR="00110212" w:rsidRDefault="00DD702E" w:rsidP="002F35F6">
      <w:pPr>
        <w:spacing w:line="240" w:lineRule="auto"/>
        <w:ind w:left="900" w:hanging="900"/>
        <w:jc w:val="both"/>
      </w:pPr>
      <w:r w:rsidRPr="00B022DF">
        <w:t xml:space="preserve"> </w:t>
      </w:r>
      <w:r w:rsidR="003018FD" w:rsidRPr="00B022DF">
        <w:t xml:space="preserve">Saleh, S., &amp; Chedid, P. (2025). Knowledge, attitude and practice toward childhood immunization among mothers in Lebanon. PLOS ONE, 20(5), e0322205. </w:t>
      </w:r>
      <w:hyperlink r:id="rId18" w:history="1">
        <w:r w:rsidR="00110212" w:rsidRPr="00FC030D">
          <w:rPr>
            <w:rStyle w:val="Hyperlink"/>
          </w:rPr>
          <w:t>https://doi.org/10.1371/journal.pone.0322205</w:t>
        </w:r>
      </w:hyperlink>
    </w:p>
    <w:p w14:paraId="5D001243" w14:textId="77777777" w:rsidR="00110212" w:rsidRDefault="003018FD" w:rsidP="002F35F6">
      <w:pPr>
        <w:spacing w:line="240" w:lineRule="auto"/>
        <w:ind w:left="900" w:hanging="900"/>
        <w:jc w:val="both"/>
      </w:pPr>
      <w:proofErr w:type="spellStart"/>
      <w:r w:rsidRPr="00B022DF">
        <w:t>Tarimo</w:t>
      </w:r>
      <w:proofErr w:type="spellEnd"/>
      <w:r w:rsidRPr="00B022DF">
        <w:t xml:space="preserve">, D. S., Swai, R. A., &amp; Chacha, M. (2023). Knowledge, attitude, and practice towards child </w:t>
      </w:r>
      <w:proofErr w:type="spellStart"/>
      <w:r w:rsidRPr="00B022DF">
        <w:t>immunisation</w:t>
      </w:r>
      <w:proofErr w:type="spellEnd"/>
      <w:r w:rsidRPr="00B022DF">
        <w:t xml:space="preserve"> among mothers attending Magu District Hospital, Mwanza, Tanzania. BMC Public Health, 23, 1456. </w:t>
      </w:r>
      <w:hyperlink r:id="rId19" w:tgtFrame="C:\Users\User\AppData\Local\Microsoft\Windows\INetCache\IE\D1L6UX0S\_new" w:history="1">
        <w:r w:rsidRPr="00B022DF">
          <w:rPr>
            <w:rStyle w:val="Hyperlink"/>
            <w:color w:val="auto"/>
            <w:u w:val="none"/>
          </w:rPr>
          <w:t>https://doi.org/10.1186/s12889-023-15871-1</w:t>
        </w:r>
      </w:hyperlink>
    </w:p>
    <w:p w14:paraId="00001547" w14:textId="77777777" w:rsidR="00110212" w:rsidRDefault="003018FD" w:rsidP="002F35F6">
      <w:pPr>
        <w:spacing w:line="240" w:lineRule="auto"/>
        <w:ind w:left="900" w:hanging="900"/>
        <w:jc w:val="both"/>
      </w:pPr>
      <w:proofErr w:type="spellStart"/>
      <w:r w:rsidRPr="00B022DF">
        <w:t>Tavakol</w:t>
      </w:r>
      <w:proofErr w:type="spellEnd"/>
      <w:r w:rsidRPr="00B022DF">
        <w:t xml:space="preserve">, M., &amp; Dennick, R. (2011). Making sense of Cronbach’s alpha. International Journal of Medical Education, 2, 53–55. </w:t>
      </w:r>
      <w:hyperlink r:id="rId20" w:tgtFrame="C:\Users\User\AppData\Local\Microsoft\Windows\INetCache\IE\D1L6UX0S\_new" w:history="1">
        <w:r w:rsidRPr="00B022DF">
          <w:rPr>
            <w:rStyle w:val="Hyperlink"/>
            <w:color w:val="auto"/>
            <w:u w:val="none"/>
          </w:rPr>
          <w:t>https://doi.org/10.5116/ijme.4dfb.8dfd</w:t>
        </w:r>
      </w:hyperlink>
      <w:r w:rsidRPr="00B022DF">
        <w:t xml:space="preserve"> </w:t>
      </w:r>
    </w:p>
    <w:p w14:paraId="2199AE33" w14:textId="778F4B1E" w:rsidR="00110212" w:rsidRDefault="003018FD" w:rsidP="002F35F6">
      <w:pPr>
        <w:spacing w:line="240" w:lineRule="auto"/>
        <w:ind w:left="900" w:hanging="900"/>
        <w:jc w:val="both"/>
      </w:pPr>
      <w:r w:rsidRPr="00B022DF">
        <w:t xml:space="preserve">Troeger, C., Khalil, I. A., Rao, P. C., Cao, S., Blacker, B. F., Ahmed, T., … &amp; Reiner, R. C. (2019). Rotavirus vaccination and the global burden of rotavirus diarrhea among children younger than 5 years. The Lancet Infectious Diseases, 18(10), 1106–1112. </w:t>
      </w:r>
      <w:hyperlink r:id="rId21" w:history="1">
        <w:r w:rsidR="00110212" w:rsidRPr="00FC030D">
          <w:rPr>
            <w:rStyle w:val="Hyperlink"/>
          </w:rPr>
          <w:t>https://doi.org/10.1016/S1473-3099(18)30595-3</w:t>
        </w:r>
      </w:hyperlink>
    </w:p>
    <w:p w14:paraId="5F9A6828" w14:textId="77777777" w:rsidR="00110212" w:rsidRDefault="003018FD" w:rsidP="002F35F6">
      <w:pPr>
        <w:spacing w:line="240" w:lineRule="auto"/>
        <w:ind w:left="900" w:hanging="900"/>
        <w:jc w:val="both"/>
      </w:pPr>
      <w:r w:rsidRPr="00B022DF">
        <w:lastRenderedPageBreak/>
        <w:t xml:space="preserve">UNICEF. (2023). Immunization coverage: Are we on track to reach every child? </w:t>
      </w:r>
      <w:hyperlink r:id="rId22" w:tgtFrame="C:\Users\User\AppData\Local\Microsoft\Windows\INetCache\IE\D1L6UX0S\_new" w:history="1">
        <w:r w:rsidRPr="00B022DF">
          <w:rPr>
            <w:rStyle w:val="Hyperlink"/>
            <w:color w:val="auto"/>
            <w:u w:val="none"/>
          </w:rPr>
          <w:t>https://www.unicef.org/immunization</w:t>
        </w:r>
      </w:hyperlink>
    </w:p>
    <w:p w14:paraId="4190286F" w14:textId="77777777" w:rsidR="00110212" w:rsidRDefault="003018FD" w:rsidP="002F35F6">
      <w:pPr>
        <w:spacing w:line="240" w:lineRule="auto"/>
        <w:ind w:left="900" w:hanging="900"/>
        <w:jc w:val="both"/>
      </w:pPr>
      <w:r w:rsidRPr="00B022DF">
        <w:t>Usman, A., Bello, I., &amp; Yusuf, L. (2023). Effect of structured nurse-led health education on immunization completion rates: A randomized controlled trial in northern Nigeria. BMC Public Health, 23, 657.</w:t>
      </w:r>
    </w:p>
    <w:p w14:paraId="2FA97CA4" w14:textId="77777777" w:rsidR="00110212" w:rsidRPr="00B56A95" w:rsidRDefault="003018FD" w:rsidP="002F35F6">
      <w:pPr>
        <w:spacing w:line="240" w:lineRule="auto"/>
        <w:ind w:left="900" w:hanging="900"/>
        <w:jc w:val="both"/>
      </w:pPr>
      <w:r w:rsidRPr="00B022DF">
        <w:t xml:space="preserve">Vaccine hesitancy. (2025). In Wikipedia. </w:t>
      </w:r>
      <w:hyperlink r:id="rId23" w:tgtFrame="C:\Users\User\AppData\Local\Microsoft\Windows\INetCache\IE\D1L6UX0S\_new" w:history="1">
        <w:r w:rsidRPr="00B56A95">
          <w:rPr>
            <w:rStyle w:val="Hyperlink"/>
            <w:color w:val="auto"/>
            <w:u w:val="none"/>
          </w:rPr>
          <w:t>https://en.wikipedia.org/wiki/Vaccine_hesitancy</w:t>
        </w:r>
      </w:hyperlink>
      <w:r w:rsidRPr="00B56A95">
        <w:t xml:space="preserve"> </w:t>
      </w:r>
    </w:p>
    <w:p w14:paraId="33189FD0" w14:textId="46C44C5E" w:rsidR="00110212" w:rsidRDefault="003018FD" w:rsidP="002F35F6">
      <w:pPr>
        <w:spacing w:line="240" w:lineRule="auto"/>
        <w:ind w:left="900" w:hanging="900"/>
        <w:jc w:val="both"/>
      </w:pPr>
      <w:r w:rsidRPr="001324AF">
        <w:rPr>
          <w:lang w:val="de-DE"/>
        </w:rPr>
        <w:t xml:space="preserve">Wahl, B., O'Brien, K. L., Greenbaum, A., Majumder, A., Liu, L., Chu, Y., … </w:t>
      </w:r>
      <w:r w:rsidRPr="00B022DF">
        <w:t xml:space="preserve">&amp; Black, R. E. (2018). Burden of Streptococcus pneumoniae and </w:t>
      </w:r>
      <w:proofErr w:type="spellStart"/>
      <w:r w:rsidRPr="00B022DF">
        <w:t>Haemophilus</w:t>
      </w:r>
      <w:proofErr w:type="spellEnd"/>
      <w:r w:rsidRPr="00B022DF">
        <w:t xml:space="preserve"> influenzae type b disease in children in the era of conjugate vaccines: Global, regional, and national estimates for 2000–2015. The Lancet Global Health, 6(7), e744–e757. </w:t>
      </w:r>
      <w:hyperlink r:id="rId24" w:history="1">
        <w:r w:rsidR="00110212" w:rsidRPr="00FC030D">
          <w:rPr>
            <w:rStyle w:val="Hyperlink"/>
          </w:rPr>
          <w:t>https://doi.org/10.1016/S2214-109X(18)30247-X</w:t>
        </w:r>
      </w:hyperlink>
    </w:p>
    <w:p w14:paraId="3F37A01E" w14:textId="77777777" w:rsidR="00110212" w:rsidRDefault="003018FD" w:rsidP="002F35F6">
      <w:pPr>
        <w:spacing w:line="240" w:lineRule="auto"/>
        <w:ind w:left="900" w:hanging="900"/>
        <w:jc w:val="both"/>
      </w:pPr>
      <w:r w:rsidRPr="00B022DF">
        <w:t xml:space="preserve">WHO. (2020). Report of the SAGE Working Group on vaccine hesitancy. </w:t>
      </w:r>
      <w:hyperlink r:id="rId25" w:tgtFrame="C:\Users\User\AppData\Local\Microsoft\Windows\INetCache\IE\D1L6UX0S\_new" w:history="1">
        <w:r w:rsidRPr="00B022DF">
          <w:rPr>
            <w:rStyle w:val="Hyperlink"/>
            <w:color w:val="auto"/>
            <w:u w:val="none"/>
          </w:rPr>
          <w:t>https://www.who.int/immunization/sage/meetings/2014/october/1_Report_WORKING_GROUP_vaccine_hesitancy_final.pdf</w:t>
        </w:r>
      </w:hyperlink>
    </w:p>
    <w:p w14:paraId="63CA8FA1" w14:textId="77777777" w:rsidR="00110212" w:rsidRDefault="003018FD" w:rsidP="002F35F6">
      <w:pPr>
        <w:spacing w:line="240" w:lineRule="auto"/>
        <w:ind w:left="900" w:hanging="900"/>
        <w:jc w:val="both"/>
      </w:pPr>
      <w:r w:rsidRPr="00B022DF">
        <w:t>WHO. (2023a). Immunization agenda 2030: A global strategy to leave no one behind. Geneva: World Health Organization.</w:t>
      </w:r>
    </w:p>
    <w:p w14:paraId="2464EA62" w14:textId="77777777" w:rsidR="00AF1868" w:rsidRPr="002F268D" w:rsidRDefault="00AF1868" w:rsidP="002F35F6">
      <w:pPr>
        <w:spacing w:line="240" w:lineRule="auto"/>
        <w:rPr>
          <w:rFonts w:eastAsia="Times New Roman"/>
          <w:b/>
        </w:rPr>
      </w:pPr>
    </w:p>
    <w:sectPr w:rsidR="00AF1868" w:rsidRPr="002F268D" w:rsidSect="005D22FF">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90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17AF" w14:textId="77777777" w:rsidR="00391D73" w:rsidRDefault="00391D73" w:rsidP="00B201A0">
      <w:pPr>
        <w:spacing w:before="0" w:after="0" w:line="240" w:lineRule="auto"/>
      </w:pPr>
      <w:r>
        <w:separator/>
      </w:r>
    </w:p>
  </w:endnote>
  <w:endnote w:type="continuationSeparator" w:id="0">
    <w:p w14:paraId="49E7596C" w14:textId="77777777" w:rsidR="00391D73" w:rsidRDefault="00391D73" w:rsidP="00B201A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0259" w14:textId="77777777" w:rsidR="00665A1F" w:rsidRDefault="00665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21484"/>
      <w:docPartObj>
        <w:docPartGallery w:val="Page Numbers (Bottom of Page)"/>
        <w:docPartUnique/>
      </w:docPartObj>
    </w:sdtPr>
    <w:sdtEndPr>
      <w:rPr>
        <w:noProof/>
      </w:rPr>
    </w:sdtEndPr>
    <w:sdtContent>
      <w:p w14:paraId="5527AD1F" w14:textId="6A8B378C" w:rsidR="004F7035" w:rsidRDefault="004F7035">
        <w:pPr>
          <w:pStyle w:val="Footer"/>
          <w:jc w:val="center"/>
        </w:pPr>
        <w:r>
          <w:fldChar w:fldCharType="begin"/>
        </w:r>
        <w:r>
          <w:instrText xml:space="preserve"> PAGE   \* MERGEFORMAT </w:instrText>
        </w:r>
        <w:r>
          <w:fldChar w:fldCharType="separate"/>
        </w:r>
        <w:r w:rsidR="003F3A16">
          <w:rPr>
            <w:noProof/>
          </w:rPr>
          <w:t>18</w:t>
        </w:r>
        <w:r>
          <w:rPr>
            <w:noProof/>
          </w:rPr>
          <w:fldChar w:fldCharType="end"/>
        </w:r>
      </w:p>
    </w:sdtContent>
  </w:sdt>
  <w:p w14:paraId="6E295387" w14:textId="3F7459CF" w:rsidR="004F7035" w:rsidRDefault="005D22FF" w:rsidP="005D22FF">
    <w:pPr>
      <w:pStyle w:val="Footer"/>
      <w:tabs>
        <w:tab w:val="clear" w:pos="4153"/>
        <w:tab w:val="clear" w:pos="8306"/>
        <w:tab w:val="left" w:pos="327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F350" w14:textId="77777777" w:rsidR="00665A1F" w:rsidRDefault="00665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364C" w14:textId="77777777" w:rsidR="00391D73" w:rsidRDefault="00391D73" w:rsidP="00B201A0">
      <w:pPr>
        <w:spacing w:before="0" w:after="0" w:line="240" w:lineRule="auto"/>
      </w:pPr>
      <w:r>
        <w:separator/>
      </w:r>
    </w:p>
  </w:footnote>
  <w:footnote w:type="continuationSeparator" w:id="0">
    <w:p w14:paraId="170F1EDF" w14:textId="77777777" w:rsidR="00391D73" w:rsidRDefault="00391D73" w:rsidP="00B201A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C064" w14:textId="4453C514" w:rsidR="00665A1F" w:rsidRDefault="00665A1F">
    <w:pPr>
      <w:pStyle w:val="Header"/>
    </w:pPr>
    <w:r>
      <w:rPr>
        <w:noProof/>
      </w:rPr>
      <w:pict w14:anchorId="0688AC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8251"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5461" w14:textId="5A936A87" w:rsidR="00665A1F" w:rsidRDefault="00665A1F">
    <w:pPr>
      <w:pStyle w:val="Header"/>
    </w:pPr>
    <w:r>
      <w:rPr>
        <w:noProof/>
      </w:rPr>
      <w:pict w14:anchorId="368655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8252"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52C5" w14:textId="0563E789" w:rsidR="00665A1F" w:rsidRDefault="00665A1F">
    <w:pPr>
      <w:pStyle w:val="Header"/>
    </w:pPr>
    <w:r>
      <w:rPr>
        <w:noProof/>
      </w:rPr>
      <w:pict w14:anchorId="722EB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8250"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D2DDF4"/>
    <w:multiLevelType w:val="multilevel"/>
    <w:tmpl w:val="BCD2DDF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D4D417C6"/>
    <w:multiLevelType w:val="multilevel"/>
    <w:tmpl w:val="D4D417C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EC6C8B35"/>
    <w:multiLevelType w:val="multilevel"/>
    <w:tmpl w:val="EC6C8B35"/>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312577"/>
    <w:multiLevelType w:val="hybridMultilevel"/>
    <w:tmpl w:val="E03C07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C5672"/>
    <w:multiLevelType w:val="hybridMultilevel"/>
    <w:tmpl w:val="3230D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F1426"/>
    <w:multiLevelType w:val="hybridMultilevel"/>
    <w:tmpl w:val="2EFCC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7258BF"/>
    <w:multiLevelType w:val="multilevel"/>
    <w:tmpl w:val="D9B0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96A18"/>
    <w:multiLevelType w:val="hybridMultilevel"/>
    <w:tmpl w:val="EC1236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D0AD5"/>
    <w:multiLevelType w:val="hybridMultilevel"/>
    <w:tmpl w:val="72CEB126"/>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B7CB5"/>
    <w:multiLevelType w:val="multilevel"/>
    <w:tmpl w:val="EFC2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57BB3"/>
    <w:multiLevelType w:val="multilevel"/>
    <w:tmpl w:val="C254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F10000"/>
    <w:multiLevelType w:val="hybridMultilevel"/>
    <w:tmpl w:val="47B698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329F4"/>
    <w:multiLevelType w:val="hybridMultilevel"/>
    <w:tmpl w:val="714259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4668D3"/>
    <w:multiLevelType w:val="hybridMultilevel"/>
    <w:tmpl w:val="81785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0B6633"/>
    <w:multiLevelType w:val="multilevel"/>
    <w:tmpl w:val="0092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92551"/>
    <w:multiLevelType w:val="multilevel"/>
    <w:tmpl w:val="B73C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56683"/>
    <w:multiLevelType w:val="hybridMultilevel"/>
    <w:tmpl w:val="DF6A7A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13959"/>
    <w:multiLevelType w:val="multilevel"/>
    <w:tmpl w:val="8EF0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128E2"/>
    <w:multiLevelType w:val="hybridMultilevel"/>
    <w:tmpl w:val="28744382"/>
    <w:lvl w:ilvl="0" w:tplc="5EB6E61A">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3C320A4E"/>
    <w:multiLevelType w:val="multilevel"/>
    <w:tmpl w:val="1EB0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496433"/>
    <w:multiLevelType w:val="multilevel"/>
    <w:tmpl w:val="66A64D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563741"/>
    <w:multiLevelType w:val="multilevel"/>
    <w:tmpl w:val="A508B0E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9"/>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7676D45"/>
    <w:multiLevelType w:val="hybridMultilevel"/>
    <w:tmpl w:val="4FC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959CB"/>
    <w:multiLevelType w:val="multilevel"/>
    <w:tmpl w:val="0F1E69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1655A51"/>
    <w:multiLevelType w:val="multilevel"/>
    <w:tmpl w:val="32DA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676A64"/>
    <w:multiLevelType w:val="multilevel"/>
    <w:tmpl w:val="A7FC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426407"/>
    <w:multiLevelType w:val="multilevel"/>
    <w:tmpl w:val="5092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430BA2"/>
    <w:multiLevelType w:val="hybridMultilevel"/>
    <w:tmpl w:val="F82679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F27329D"/>
    <w:multiLevelType w:val="hybridMultilevel"/>
    <w:tmpl w:val="B72C869A"/>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644E1"/>
    <w:multiLevelType w:val="hybridMultilevel"/>
    <w:tmpl w:val="39700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2B5DF1"/>
    <w:multiLevelType w:val="hybridMultilevel"/>
    <w:tmpl w:val="7BD65CA0"/>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3A59E3"/>
    <w:multiLevelType w:val="multilevel"/>
    <w:tmpl w:val="428A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2945E0"/>
    <w:multiLevelType w:val="hybridMultilevel"/>
    <w:tmpl w:val="AFFA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B83308"/>
    <w:multiLevelType w:val="hybridMultilevel"/>
    <w:tmpl w:val="0B04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837145"/>
    <w:multiLevelType w:val="multilevel"/>
    <w:tmpl w:val="1D92AA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9F864B1"/>
    <w:multiLevelType w:val="hybridMultilevel"/>
    <w:tmpl w:val="49B405D6"/>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C35CA5"/>
    <w:multiLevelType w:val="multilevel"/>
    <w:tmpl w:val="D3B2D9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65000D"/>
    <w:multiLevelType w:val="hybridMultilevel"/>
    <w:tmpl w:val="58AC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8F9CA2"/>
    <w:multiLevelType w:val="multilevel"/>
    <w:tmpl w:val="7D8F9CA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15673904">
    <w:abstractNumId w:val="0"/>
  </w:num>
  <w:num w:numId="2" w16cid:durableId="433356457">
    <w:abstractNumId w:val="2"/>
  </w:num>
  <w:num w:numId="3" w16cid:durableId="1018779776">
    <w:abstractNumId w:val="38"/>
  </w:num>
  <w:num w:numId="4" w16cid:durableId="130094534">
    <w:abstractNumId w:val="1"/>
  </w:num>
  <w:num w:numId="5" w16cid:durableId="1077945234">
    <w:abstractNumId w:val="29"/>
  </w:num>
  <w:num w:numId="6" w16cid:durableId="152064125">
    <w:abstractNumId w:val="4"/>
  </w:num>
  <w:num w:numId="7" w16cid:durableId="1344553162">
    <w:abstractNumId w:val="33"/>
  </w:num>
  <w:num w:numId="8" w16cid:durableId="836843583">
    <w:abstractNumId w:val="34"/>
  </w:num>
  <w:num w:numId="9" w16cid:durableId="1493987739">
    <w:abstractNumId w:val="21"/>
  </w:num>
  <w:num w:numId="10" w16cid:durableId="957373698">
    <w:abstractNumId w:val="17"/>
  </w:num>
  <w:num w:numId="11" w16cid:durableId="192351835">
    <w:abstractNumId w:val="26"/>
  </w:num>
  <w:num w:numId="12" w16cid:durableId="1424649923">
    <w:abstractNumId w:val="10"/>
  </w:num>
  <w:num w:numId="13" w16cid:durableId="462043951">
    <w:abstractNumId w:val="14"/>
  </w:num>
  <w:num w:numId="14" w16cid:durableId="1453205972">
    <w:abstractNumId w:val="25"/>
  </w:num>
  <w:num w:numId="15" w16cid:durableId="52239847">
    <w:abstractNumId w:val="24"/>
  </w:num>
  <w:num w:numId="16" w16cid:durableId="1988515291">
    <w:abstractNumId w:val="6"/>
  </w:num>
  <w:num w:numId="17" w16cid:durableId="1808235306">
    <w:abstractNumId w:val="19"/>
  </w:num>
  <w:num w:numId="18" w16cid:durableId="1407991281">
    <w:abstractNumId w:val="23"/>
  </w:num>
  <w:num w:numId="19" w16cid:durableId="1107382812">
    <w:abstractNumId w:val="9"/>
  </w:num>
  <w:num w:numId="20" w16cid:durableId="471871305">
    <w:abstractNumId w:val="22"/>
  </w:num>
  <w:num w:numId="21" w16cid:durableId="511796446">
    <w:abstractNumId w:val="37"/>
  </w:num>
  <w:num w:numId="22" w16cid:durableId="1727029648">
    <w:abstractNumId w:val="32"/>
  </w:num>
  <w:num w:numId="23" w16cid:durableId="252594962">
    <w:abstractNumId w:val="11"/>
  </w:num>
  <w:num w:numId="24" w16cid:durableId="923492291">
    <w:abstractNumId w:val="7"/>
  </w:num>
  <w:num w:numId="25" w16cid:durableId="880677821">
    <w:abstractNumId w:val="16"/>
  </w:num>
  <w:num w:numId="26" w16cid:durableId="229704335">
    <w:abstractNumId w:val="3"/>
  </w:num>
  <w:num w:numId="27" w16cid:durableId="1556773280">
    <w:abstractNumId w:val="35"/>
  </w:num>
  <w:num w:numId="28" w16cid:durableId="1825467029">
    <w:abstractNumId w:val="30"/>
  </w:num>
  <w:num w:numId="29" w16cid:durableId="876703551">
    <w:abstractNumId w:val="28"/>
  </w:num>
  <w:num w:numId="30" w16cid:durableId="24722000">
    <w:abstractNumId w:val="8"/>
  </w:num>
  <w:num w:numId="31" w16cid:durableId="812914414">
    <w:abstractNumId w:val="20"/>
  </w:num>
  <w:num w:numId="32" w16cid:durableId="111871982">
    <w:abstractNumId w:val="27"/>
  </w:num>
  <w:num w:numId="33" w16cid:durableId="862480564">
    <w:abstractNumId w:val="12"/>
  </w:num>
  <w:num w:numId="34" w16cid:durableId="2079938159">
    <w:abstractNumId w:val="5"/>
  </w:num>
  <w:num w:numId="35" w16cid:durableId="552504">
    <w:abstractNumId w:val="13"/>
  </w:num>
  <w:num w:numId="36" w16cid:durableId="1448038993">
    <w:abstractNumId w:val="18"/>
  </w:num>
  <w:num w:numId="37" w16cid:durableId="444809699">
    <w:abstractNumId w:val="15"/>
  </w:num>
  <w:num w:numId="38" w16cid:durableId="1788543001">
    <w:abstractNumId w:val="36"/>
  </w:num>
  <w:num w:numId="39" w16cid:durableId="20925011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rawingGridVerticalSpacing w:val="156"/>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7F664B"/>
    <w:rsid w:val="000110D9"/>
    <w:rsid w:val="00020990"/>
    <w:rsid w:val="000325AC"/>
    <w:rsid w:val="00043B2B"/>
    <w:rsid w:val="00062AEA"/>
    <w:rsid w:val="000728A9"/>
    <w:rsid w:val="00077269"/>
    <w:rsid w:val="00081142"/>
    <w:rsid w:val="00084652"/>
    <w:rsid w:val="0008724B"/>
    <w:rsid w:val="00091722"/>
    <w:rsid w:val="00094099"/>
    <w:rsid w:val="000A4DBF"/>
    <w:rsid w:val="000B4688"/>
    <w:rsid w:val="000B5B50"/>
    <w:rsid w:val="000B7BD7"/>
    <w:rsid w:val="000F59BE"/>
    <w:rsid w:val="000F74C3"/>
    <w:rsid w:val="000F783E"/>
    <w:rsid w:val="00102F85"/>
    <w:rsid w:val="00103C8E"/>
    <w:rsid w:val="00106459"/>
    <w:rsid w:val="00110212"/>
    <w:rsid w:val="001208C9"/>
    <w:rsid w:val="00127F8F"/>
    <w:rsid w:val="00130F11"/>
    <w:rsid w:val="001324AF"/>
    <w:rsid w:val="001420F8"/>
    <w:rsid w:val="001548CE"/>
    <w:rsid w:val="00195924"/>
    <w:rsid w:val="001B5895"/>
    <w:rsid w:val="001D0BDC"/>
    <w:rsid w:val="001E2995"/>
    <w:rsid w:val="001F08A6"/>
    <w:rsid w:val="001F3D70"/>
    <w:rsid w:val="00216E8B"/>
    <w:rsid w:val="00233196"/>
    <w:rsid w:val="00243538"/>
    <w:rsid w:val="0025167D"/>
    <w:rsid w:val="002622DC"/>
    <w:rsid w:val="00265F56"/>
    <w:rsid w:val="00266F7E"/>
    <w:rsid w:val="00281902"/>
    <w:rsid w:val="002A2B5A"/>
    <w:rsid w:val="002A46D2"/>
    <w:rsid w:val="002B456C"/>
    <w:rsid w:val="002C50B1"/>
    <w:rsid w:val="002C5652"/>
    <w:rsid w:val="002D16A1"/>
    <w:rsid w:val="002D6CA7"/>
    <w:rsid w:val="002E2C62"/>
    <w:rsid w:val="002F157C"/>
    <w:rsid w:val="002F268D"/>
    <w:rsid w:val="002F35F6"/>
    <w:rsid w:val="002F5853"/>
    <w:rsid w:val="003018FD"/>
    <w:rsid w:val="0030545F"/>
    <w:rsid w:val="00311105"/>
    <w:rsid w:val="00311A3E"/>
    <w:rsid w:val="00326349"/>
    <w:rsid w:val="003320B6"/>
    <w:rsid w:val="00345036"/>
    <w:rsid w:val="003732F8"/>
    <w:rsid w:val="00391D73"/>
    <w:rsid w:val="003B1DB1"/>
    <w:rsid w:val="003B5493"/>
    <w:rsid w:val="003D2068"/>
    <w:rsid w:val="003D62F9"/>
    <w:rsid w:val="003E349E"/>
    <w:rsid w:val="003E565C"/>
    <w:rsid w:val="003F0E1C"/>
    <w:rsid w:val="003F25FA"/>
    <w:rsid w:val="003F3A16"/>
    <w:rsid w:val="0042192C"/>
    <w:rsid w:val="004232B9"/>
    <w:rsid w:val="00424CE5"/>
    <w:rsid w:val="00432644"/>
    <w:rsid w:val="004367C5"/>
    <w:rsid w:val="00460387"/>
    <w:rsid w:val="004604A2"/>
    <w:rsid w:val="00483C2C"/>
    <w:rsid w:val="0048589F"/>
    <w:rsid w:val="004A519D"/>
    <w:rsid w:val="004A583C"/>
    <w:rsid w:val="004B0F6B"/>
    <w:rsid w:val="004B465B"/>
    <w:rsid w:val="004D7D04"/>
    <w:rsid w:val="004F7035"/>
    <w:rsid w:val="00511614"/>
    <w:rsid w:val="00514B17"/>
    <w:rsid w:val="005271FD"/>
    <w:rsid w:val="00560F6B"/>
    <w:rsid w:val="00564BF4"/>
    <w:rsid w:val="0057739E"/>
    <w:rsid w:val="00586D89"/>
    <w:rsid w:val="00593C90"/>
    <w:rsid w:val="005A7C30"/>
    <w:rsid w:val="005D22FF"/>
    <w:rsid w:val="005D4E49"/>
    <w:rsid w:val="005E730C"/>
    <w:rsid w:val="00620818"/>
    <w:rsid w:val="00633ECD"/>
    <w:rsid w:val="006543EC"/>
    <w:rsid w:val="00654978"/>
    <w:rsid w:val="00665A1F"/>
    <w:rsid w:val="006669A5"/>
    <w:rsid w:val="006C5D6B"/>
    <w:rsid w:val="006E1A10"/>
    <w:rsid w:val="006F6129"/>
    <w:rsid w:val="00727DB3"/>
    <w:rsid w:val="00734F52"/>
    <w:rsid w:val="0073693F"/>
    <w:rsid w:val="007C2F9E"/>
    <w:rsid w:val="007F24F4"/>
    <w:rsid w:val="007F5499"/>
    <w:rsid w:val="00804583"/>
    <w:rsid w:val="0081384F"/>
    <w:rsid w:val="00820AB0"/>
    <w:rsid w:val="008221B0"/>
    <w:rsid w:val="008331C1"/>
    <w:rsid w:val="00844ECA"/>
    <w:rsid w:val="0085608A"/>
    <w:rsid w:val="00875500"/>
    <w:rsid w:val="00886FEA"/>
    <w:rsid w:val="008A3445"/>
    <w:rsid w:val="008A4C3C"/>
    <w:rsid w:val="008B2144"/>
    <w:rsid w:val="008B62EB"/>
    <w:rsid w:val="008B7547"/>
    <w:rsid w:val="008C72BD"/>
    <w:rsid w:val="008E64BC"/>
    <w:rsid w:val="008F03CD"/>
    <w:rsid w:val="00905B90"/>
    <w:rsid w:val="00906DF7"/>
    <w:rsid w:val="00923B2E"/>
    <w:rsid w:val="00944B29"/>
    <w:rsid w:val="00946C35"/>
    <w:rsid w:val="0095043A"/>
    <w:rsid w:val="00957164"/>
    <w:rsid w:val="00961B61"/>
    <w:rsid w:val="009866EF"/>
    <w:rsid w:val="009A4F69"/>
    <w:rsid w:val="009B6AEB"/>
    <w:rsid w:val="009C312A"/>
    <w:rsid w:val="009D3669"/>
    <w:rsid w:val="009D66D9"/>
    <w:rsid w:val="009D6813"/>
    <w:rsid w:val="009E1DCD"/>
    <w:rsid w:val="00A0462A"/>
    <w:rsid w:val="00A06268"/>
    <w:rsid w:val="00A37764"/>
    <w:rsid w:val="00A4268A"/>
    <w:rsid w:val="00A44974"/>
    <w:rsid w:val="00A54286"/>
    <w:rsid w:val="00A55BFF"/>
    <w:rsid w:val="00A56E15"/>
    <w:rsid w:val="00A6336F"/>
    <w:rsid w:val="00A80530"/>
    <w:rsid w:val="00A8433C"/>
    <w:rsid w:val="00A92087"/>
    <w:rsid w:val="00A963B0"/>
    <w:rsid w:val="00AA3F63"/>
    <w:rsid w:val="00AA4950"/>
    <w:rsid w:val="00AA57AA"/>
    <w:rsid w:val="00AA7546"/>
    <w:rsid w:val="00AB5E80"/>
    <w:rsid w:val="00AB6978"/>
    <w:rsid w:val="00AC500D"/>
    <w:rsid w:val="00AE2012"/>
    <w:rsid w:val="00AF1868"/>
    <w:rsid w:val="00AF3F28"/>
    <w:rsid w:val="00B022DF"/>
    <w:rsid w:val="00B071A3"/>
    <w:rsid w:val="00B201A0"/>
    <w:rsid w:val="00B2293C"/>
    <w:rsid w:val="00B3025F"/>
    <w:rsid w:val="00B356F0"/>
    <w:rsid w:val="00B50FA0"/>
    <w:rsid w:val="00B519B7"/>
    <w:rsid w:val="00B56A95"/>
    <w:rsid w:val="00B646CE"/>
    <w:rsid w:val="00B67F32"/>
    <w:rsid w:val="00B70D26"/>
    <w:rsid w:val="00B81259"/>
    <w:rsid w:val="00B8561B"/>
    <w:rsid w:val="00B95DFB"/>
    <w:rsid w:val="00B96008"/>
    <w:rsid w:val="00B968A4"/>
    <w:rsid w:val="00BB7E23"/>
    <w:rsid w:val="00BD3E51"/>
    <w:rsid w:val="00BD5616"/>
    <w:rsid w:val="00BE1553"/>
    <w:rsid w:val="00BE2664"/>
    <w:rsid w:val="00BE67E7"/>
    <w:rsid w:val="00BF15C3"/>
    <w:rsid w:val="00BF3C05"/>
    <w:rsid w:val="00C11AA6"/>
    <w:rsid w:val="00C44B43"/>
    <w:rsid w:val="00C46AB2"/>
    <w:rsid w:val="00C54832"/>
    <w:rsid w:val="00C60646"/>
    <w:rsid w:val="00C61B39"/>
    <w:rsid w:val="00C66B29"/>
    <w:rsid w:val="00CA7785"/>
    <w:rsid w:val="00CB0BFB"/>
    <w:rsid w:val="00CC061F"/>
    <w:rsid w:val="00CC09F3"/>
    <w:rsid w:val="00CE5BD6"/>
    <w:rsid w:val="00CF07C0"/>
    <w:rsid w:val="00D12848"/>
    <w:rsid w:val="00D1540F"/>
    <w:rsid w:val="00D16D36"/>
    <w:rsid w:val="00D3364D"/>
    <w:rsid w:val="00D4358F"/>
    <w:rsid w:val="00D658E0"/>
    <w:rsid w:val="00D80B01"/>
    <w:rsid w:val="00D8196D"/>
    <w:rsid w:val="00DB518D"/>
    <w:rsid w:val="00DC31C4"/>
    <w:rsid w:val="00DD702E"/>
    <w:rsid w:val="00DE110A"/>
    <w:rsid w:val="00DE3867"/>
    <w:rsid w:val="00DE63CC"/>
    <w:rsid w:val="00DF4E27"/>
    <w:rsid w:val="00E059E3"/>
    <w:rsid w:val="00E10DB4"/>
    <w:rsid w:val="00E16D9D"/>
    <w:rsid w:val="00E219E1"/>
    <w:rsid w:val="00E53D6E"/>
    <w:rsid w:val="00E6065C"/>
    <w:rsid w:val="00E95DBD"/>
    <w:rsid w:val="00EB1CA9"/>
    <w:rsid w:val="00EC5158"/>
    <w:rsid w:val="00EF40F2"/>
    <w:rsid w:val="00F24F54"/>
    <w:rsid w:val="00F33D64"/>
    <w:rsid w:val="00F50B3B"/>
    <w:rsid w:val="00F52848"/>
    <w:rsid w:val="00F546ED"/>
    <w:rsid w:val="00FC41CB"/>
    <w:rsid w:val="00FD559E"/>
    <w:rsid w:val="397F6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05E1C"/>
  <w15:docId w15:val="{485A6ACB-2AEB-4B13-B3DE-7D4C9478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22DF"/>
    <w:pPr>
      <w:spacing w:before="100" w:beforeAutospacing="1" w:after="100" w:afterAutospacing="1" w:line="480" w:lineRule="auto"/>
    </w:pPr>
    <w:rPr>
      <w:rFonts w:ascii="Times New Roman" w:eastAsiaTheme="minorEastAsia" w:hAnsi="Times New Roman" w:cs="Times New Roman"/>
      <w:sz w:val="24"/>
      <w:szCs w:val="24"/>
      <w:lang w:eastAsia="zh-CN"/>
    </w:rPr>
  </w:style>
  <w:style w:type="paragraph" w:styleId="Heading1">
    <w:name w:val="heading 1"/>
    <w:basedOn w:val="Normal"/>
    <w:next w:val="Normal"/>
    <w:link w:val="Heading1Char"/>
    <w:qFormat/>
    <w:rsid w:val="00D3364D"/>
    <w:pPr>
      <w:jc w:val="center"/>
      <w:outlineLvl w:val="0"/>
    </w:pPr>
    <w:rPr>
      <w:b/>
      <w:bCs/>
    </w:rPr>
  </w:style>
  <w:style w:type="paragraph" w:styleId="Heading2">
    <w:name w:val="heading 2"/>
    <w:next w:val="Normal"/>
    <w:link w:val="Heading2Char"/>
    <w:unhideWhenUsed/>
    <w:qFormat/>
    <w:pPr>
      <w:spacing w:beforeAutospacing="1" w:afterAutospacing="1" w:line="480" w:lineRule="auto"/>
      <w:jc w:val="both"/>
      <w:outlineLvl w:val="1"/>
    </w:pPr>
    <w:rPr>
      <w:rFonts w:ascii="Times New Roman" w:hAnsi="Times New Roman" w:cs="Times New Roman"/>
      <w:b/>
      <w:bCs/>
      <w:sz w:val="24"/>
      <w:szCs w:val="24"/>
      <w:lang w:eastAsia="zh-CN"/>
    </w:rPr>
  </w:style>
  <w:style w:type="paragraph" w:styleId="Heading3">
    <w:name w:val="heading 3"/>
    <w:basedOn w:val="Normal"/>
    <w:next w:val="Normal"/>
    <w:link w:val="Heading3Char"/>
    <w:unhideWhenUsed/>
    <w:qFormat/>
    <w:rsid w:val="00514B17"/>
    <w:pPr>
      <w:jc w:val="both"/>
      <w:outlineLvl w:val="2"/>
    </w:pPr>
    <w:rPr>
      <w:b/>
      <w:bCs/>
    </w:rPr>
  </w:style>
  <w:style w:type="paragraph" w:styleId="Heading4">
    <w:name w:val="heading 4"/>
    <w:basedOn w:val="Normal"/>
    <w:next w:val="Normal"/>
    <w:link w:val="Heading4Char"/>
    <w:unhideWhenUsed/>
    <w:qFormat/>
    <w:rsid w:val="000F783E"/>
    <w:pPr>
      <w:outlineLvl w:val="3"/>
    </w:pPr>
    <w:rPr>
      <w:b/>
      <w:bCs/>
    </w:rPr>
  </w:style>
  <w:style w:type="paragraph" w:styleId="Heading5">
    <w:name w:val="heading 5"/>
    <w:basedOn w:val="Normal"/>
    <w:next w:val="Normal"/>
    <w:link w:val="Heading5Char"/>
    <w:unhideWhenUsed/>
    <w:qFormat/>
    <w:rsid w:val="000F783E"/>
    <w:pPr>
      <w:outlineLvl w:val="4"/>
    </w:pPr>
    <w:rPr>
      <w:b/>
      <w:bCs/>
    </w:rPr>
  </w:style>
  <w:style w:type="paragraph" w:styleId="Heading6">
    <w:name w:val="heading 6"/>
    <w:basedOn w:val="Normal"/>
    <w:next w:val="Normal"/>
    <w:link w:val="Heading6Char"/>
    <w:semiHidden/>
    <w:unhideWhenUsed/>
    <w:qFormat/>
    <w:pPr>
      <w:keepNext/>
      <w:keepLines/>
      <w:spacing w:before="240" w:after="64" w:line="320" w:lineRule="auto"/>
      <w:outlineLvl w:val="5"/>
    </w:pPr>
    <w:rPr>
      <w:b/>
      <w:bCs/>
    </w:rPr>
  </w:style>
  <w:style w:type="paragraph" w:styleId="Heading7">
    <w:name w:val="heading 7"/>
    <w:basedOn w:val="Normal"/>
    <w:next w:val="Normal"/>
    <w:link w:val="Heading7Char"/>
    <w:semiHidden/>
    <w:unhideWhenUsed/>
    <w:qFormat/>
    <w:pPr>
      <w:keepNext/>
      <w:keepLines/>
      <w:spacing w:before="240" w:after="64" w:line="320" w:lineRule="auto"/>
      <w:outlineLvl w:val="6"/>
    </w:pPr>
    <w:rPr>
      <w:b/>
      <w:bCs/>
    </w:rPr>
  </w:style>
  <w:style w:type="paragraph" w:styleId="Heading8">
    <w:name w:val="heading 8"/>
    <w:basedOn w:val="Normal"/>
    <w:next w:val="Normal"/>
    <w:link w:val="Heading8Char"/>
    <w:semiHidden/>
    <w:unhideWhenUsed/>
    <w:qFormat/>
    <w:pPr>
      <w:keepNext/>
      <w:keepLines/>
      <w:spacing w:before="240" w:after="64" w:line="320" w:lineRule="auto"/>
      <w:outlineLvl w:val="7"/>
    </w:pPr>
  </w:style>
  <w:style w:type="paragraph" w:styleId="Heading9">
    <w:name w:val="heading 9"/>
    <w:basedOn w:val="Normal"/>
    <w:next w:val="Normal"/>
    <w:link w:val="Heading9Char"/>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sz w:val="16"/>
      <w:szCs w:val="16"/>
    </w:rPr>
  </w:style>
  <w:style w:type="paragraph" w:styleId="Caption">
    <w:name w:val="caption"/>
    <w:next w:val="Normal"/>
    <w:unhideWhenUsed/>
    <w:qFormat/>
    <w:pPr>
      <w:spacing w:beforeAutospacing="1" w:afterAutospacing="1"/>
      <w:jc w:val="both"/>
    </w:pPr>
    <w:rPr>
      <w:rFonts w:ascii="Times New Roman" w:hAnsi="Times New Roman" w:cs="Times New Roman"/>
      <w:i/>
      <w:iCs/>
      <w:color w:val="44546A"/>
      <w:sz w:val="18"/>
      <w:szCs w:val="18"/>
      <w:lang w:eastAsia="zh-CN"/>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
    <w:rPr>
      <w:b/>
      <w:bCs/>
    </w:rPr>
  </w:style>
  <w:style w:type="character" w:styleId="Emphasis">
    <w:name w:val="Emphasis"/>
    <w:basedOn w:val="DefaultParagraphFont"/>
    <w:uiPriority w:val="20"/>
    <w:qFormat/>
    <w:rPr>
      <w:i/>
      <w:iCs/>
    </w:rPr>
  </w:style>
  <w:style w:type="character" w:styleId="FollowedHyperlink">
    <w:name w:val="FollowedHyperlink"/>
    <w:rPr>
      <w:color w:val="954F72"/>
      <w:u w:val="single"/>
    </w:rPr>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link w:val="HeaderChar"/>
    <w:pPr>
      <w:tabs>
        <w:tab w:val="center" w:pos="4153"/>
        <w:tab w:val="right" w:pos="8306"/>
      </w:tabs>
      <w:snapToGrid w:val="0"/>
    </w:pPr>
    <w:rPr>
      <w:sz w:val="18"/>
      <w:szCs w:val="18"/>
    </w:rPr>
  </w:style>
  <w:style w:type="character" w:styleId="Hyperlink">
    <w:name w:val="Hyperlink"/>
    <w:uiPriority w:val="99"/>
    <w:rPr>
      <w:color w:val="0000FF"/>
      <w:u w:val="single"/>
    </w:rPr>
  </w:style>
  <w:style w:type="paragraph" w:styleId="NormalWeb">
    <w:name w:val="Normal (Web)"/>
    <w:uiPriority w:val="99"/>
    <w:pPr>
      <w:spacing w:beforeAutospacing="1" w:afterAutospacing="1"/>
      <w:jc w:val="both"/>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Pr>
      <w:b/>
      <w:bCs/>
    </w:rPr>
  </w:style>
  <w:style w:type="paragraph" w:styleId="Subtitle">
    <w:name w:val="Subtitle"/>
    <w:basedOn w:val="Normal"/>
    <w:link w:val="SubtitleChar"/>
    <w:qFormat/>
    <w:pPr>
      <w:spacing w:before="240" w:after="60" w:line="312" w:lineRule="auto"/>
      <w:jc w:val="center"/>
      <w:outlineLvl w:val="1"/>
    </w:pPr>
    <w:rPr>
      <w:rFonts w:ascii="Arial" w:hAnsi="Arial" w:cs="Arial"/>
      <w:b/>
      <w:bCs/>
      <w:kern w:val="28"/>
      <w:sz w:val="32"/>
      <w:szCs w:val="32"/>
    </w:rPr>
  </w:style>
  <w:style w:type="table" w:styleId="TableGrid">
    <w:name w:val="Table Grid"/>
    <w:uiPriority w:val="39"/>
    <w:rPr>
      <w:rFonts w:cs="Times New Roman" w:hint="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styleId="TableofFigures">
    <w:name w:val="table of figures"/>
    <w:next w:val="Normal"/>
    <w:uiPriority w:val="99"/>
    <w:pPr>
      <w:spacing w:beforeAutospacing="1" w:afterAutospacing="1" w:line="480" w:lineRule="auto"/>
      <w:jc w:val="both"/>
    </w:pPr>
    <w:rPr>
      <w:rFonts w:ascii="Times New Roman" w:hAnsi="Times New Roman" w:cs="Times New Roman"/>
      <w:sz w:val="24"/>
      <w:szCs w:val="24"/>
      <w:lang w:eastAsia="zh-CN"/>
    </w:rPr>
  </w:style>
  <w:style w:type="paragraph" w:styleId="Title">
    <w:name w:val="Title"/>
    <w:basedOn w:val="Caption"/>
    <w:link w:val="TitleChar"/>
    <w:qFormat/>
    <w:rsid w:val="00E53D6E"/>
    <w:pPr>
      <w:spacing w:line="480" w:lineRule="auto"/>
    </w:pPr>
    <w:rPr>
      <w:b/>
      <w:bCs/>
      <w:i w:val="0"/>
      <w:iCs w:val="0"/>
      <w:color w:val="auto"/>
      <w:sz w:val="24"/>
      <w:szCs w:val="24"/>
    </w:rPr>
  </w:style>
  <w:style w:type="paragraph" w:styleId="TOC1">
    <w:name w:val="toc 1"/>
    <w:next w:val="Normal"/>
    <w:uiPriority w:val="39"/>
    <w:pPr>
      <w:spacing w:beforeAutospacing="1" w:afterAutospacing="1" w:line="480" w:lineRule="auto"/>
      <w:jc w:val="both"/>
    </w:pPr>
    <w:rPr>
      <w:rFonts w:ascii="Times New Roman" w:hAnsi="Times New Roman" w:cs="Times New Roman"/>
      <w:sz w:val="24"/>
      <w:szCs w:val="24"/>
      <w:lang w:eastAsia="zh-CN"/>
    </w:rPr>
  </w:style>
  <w:style w:type="paragraph" w:styleId="TOC2">
    <w:name w:val="toc 2"/>
    <w:next w:val="Normal"/>
    <w:uiPriority w:val="39"/>
    <w:pPr>
      <w:spacing w:beforeAutospacing="1" w:afterAutospacing="1" w:line="480" w:lineRule="auto"/>
      <w:ind w:left="240"/>
      <w:jc w:val="both"/>
    </w:pPr>
    <w:rPr>
      <w:rFonts w:ascii="Times New Roman" w:hAnsi="Times New Roman" w:cs="Times New Roman"/>
      <w:sz w:val="24"/>
      <w:szCs w:val="24"/>
      <w:lang w:eastAsia="zh-CN"/>
    </w:rPr>
  </w:style>
  <w:style w:type="paragraph" w:styleId="TOC3">
    <w:name w:val="toc 3"/>
    <w:next w:val="Normal"/>
    <w:uiPriority w:val="39"/>
    <w:pPr>
      <w:spacing w:beforeAutospacing="1" w:afterAutospacing="1" w:line="480" w:lineRule="auto"/>
      <w:ind w:left="480"/>
      <w:jc w:val="both"/>
    </w:pPr>
    <w:rPr>
      <w:rFonts w:ascii="Times New Roman" w:hAnsi="Times New Roman" w:cs="Times New Roman"/>
      <w:sz w:val="24"/>
      <w:szCs w:val="24"/>
      <w:lang w:eastAsia="zh-CN"/>
    </w:rPr>
  </w:style>
  <w:style w:type="paragraph" w:styleId="TOC4">
    <w:name w:val="toc 4"/>
    <w:next w:val="Normal"/>
    <w:uiPriority w:val="39"/>
    <w:pPr>
      <w:spacing w:beforeAutospacing="1" w:afterAutospacing="1" w:line="480" w:lineRule="auto"/>
      <w:ind w:left="720"/>
      <w:jc w:val="both"/>
    </w:pPr>
    <w:rPr>
      <w:rFonts w:ascii="Times New Roman" w:hAnsi="Times New Roman" w:cs="Times New Roman"/>
      <w:sz w:val="24"/>
      <w:szCs w:val="24"/>
      <w:lang w:eastAsia="zh-CN"/>
    </w:rPr>
  </w:style>
  <w:style w:type="character" w:customStyle="1" w:styleId="BalloonTextChar">
    <w:name w:val="Balloon Text Char"/>
    <w:link w:val="BalloonText"/>
    <w:rPr>
      <w:rFonts w:ascii="Segoe UI" w:eastAsia="Calibri" w:hAnsi="Segoe UI" w:cs="Segoe UI" w:hint="default"/>
      <w:sz w:val="18"/>
      <w:szCs w:val="18"/>
    </w:rPr>
  </w:style>
  <w:style w:type="paragraph" w:customStyle="1" w:styleId="msonospacing0">
    <w:name w:val="msonospacing"/>
    <w:rPr>
      <w:rFonts w:cs="Times New Roman" w:hint="eastAsia"/>
      <w:sz w:val="22"/>
      <w:szCs w:val="22"/>
      <w:lang w:eastAsia="zh-CN"/>
    </w:rPr>
  </w:style>
  <w:style w:type="character" w:customStyle="1" w:styleId="SubtitleChar">
    <w:name w:val="Subtitle Char"/>
    <w:link w:val="Subtitle"/>
    <w:rPr>
      <w:rFonts w:ascii="Times New Roman" w:eastAsia="Times New Roman" w:hAnsi="Times New Roman" w:cs="Times New Roman" w:hint="default"/>
      <w:color w:val="595959"/>
      <w:spacing w:val="15"/>
      <w:kern w:val="2"/>
      <w:sz w:val="28"/>
      <w:szCs w:val="28"/>
    </w:rPr>
  </w:style>
  <w:style w:type="character" w:customStyle="1" w:styleId="Heading9Char">
    <w:name w:val="Heading 9 Char"/>
    <w:link w:val="Heading9"/>
    <w:rPr>
      <w:rFonts w:ascii="Times New Roman" w:eastAsia="Times New Roman" w:hAnsi="Times New Roman" w:cs="Times New Roman" w:hint="default"/>
      <w:color w:val="272727"/>
      <w:kern w:val="2"/>
      <w:sz w:val="24"/>
    </w:rPr>
  </w:style>
  <w:style w:type="character" w:customStyle="1" w:styleId="CommentSubjectChar">
    <w:name w:val="Comment Subject Char"/>
    <w:basedOn w:val="CommentTextChar"/>
    <w:link w:val="CommentSubject"/>
    <w:rPr>
      <w:rFonts w:ascii="Times New Roman" w:eastAsia="Calibri" w:hAnsi="Times New Roman" w:cs="Times New Roman" w:hint="default"/>
      <w:b/>
      <w:bCs/>
      <w:sz w:val="20"/>
      <w:szCs w:val="20"/>
    </w:rPr>
  </w:style>
  <w:style w:type="character" w:customStyle="1" w:styleId="CommentTextChar">
    <w:name w:val="Comment Text Char"/>
    <w:link w:val="CommentText"/>
    <w:rPr>
      <w:rFonts w:ascii="Times New Roman" w:eastAsia="Calibri" w:hAnsi="Times New Roman" w:cs="Times New Roman" w:hint="default"/>
      <w:sz w:val="20"/>
      <w:szCs w:val="20"/>
    </w:rPr>
  </w:style>
  <w:style w:type="character" w:customStyle="1" w:styleId="ArinzeStyleChar">
    <w:name w:val="Arinze Style Char"/>
    <w:rPr>
      <w:rFonts w:ascii="Times New Roman" w:hAnsi="Times New Roman" w:cs="Times New Roman" w:hint="default"/>
      <w:b/>
      <w:kern w:val="2"/>
      <w:sz w:val="24"/>
      <w:szCs w:val="24"/>
    </w:rPr>
  </w:style>
  <w:style w:type="character" w:customStyle="1" w:styleId="msointenseemphasis0">
    <w:name w:val="msointenseemphasis"/>
    <w:rPr>
      <w:i/>
      <w:iCs/>
      <w:color w:val="2E74B5"/>
    </w:rPr>
  </w:style>
  <w:style w:type="character" w:customStyle="1" w:styleId="Heading5Char">
    <w:name w:val="Heading 5 Char"/>
    <w:link w:val="Heading5"/>
    <w:rsid w:val="000F783E"/>
    <w:rPr>
      <w:rFonts w:ascii="Times New Roman" w:eastAsiaTheme="minorEastAsia" w:hAnsi="Times New Roman" w:cs="Times New Roman"/>
      <w:b/>
      <w:bCs/>
      <w:sz w:val="24"/>
      <w:szCs w:val="24"/>
      <w:lang w:eastAsia="zh-CN"/>
    </w:rPr>
  </w:style>
  <w:style w:type="character" w:customStyle="1" w:styleId="Heading1Char">
    <w:name w:val="Heading 1 Char"/>
    <w:link w:val="Heading1"/>
    <w:rsid w:val="00D3364D"/>
    <w:rPr>
      <w:rFonts w:ascii="Times New Roman" w:eastAsiaTheme="minorEastAsia" w:hAnsi="Times New Roman" w:cs="Times New Roman"/>
      <w:b/>
      <w:bCs/>
      <w:sz w:val="24"/>
      <w:szCs w:val="24"/>
      <w:lang w:eastAsia="zh-CN"/>
    </w:rPr>
  </w:style>
  <w:style w:type="character" w:customStyle="1" w:styleId="HeaderChar">
    <w:name w:val="Header Char"/>
    <w:link w:val="Header"/>
    <w:rPr>
      <w:rFonts w:ascii="Times New Roman" w:eastAsia="Calibri" w:hAnsi="Times New Roman" w:cs="Times New Roman" w:hint="default"/>
      <w:sz w:val="24"/>
      <w:szCs w:val="24"/>
    </w:rPr>
  </w:style>
  <w:style w:type="character" w:customStyle="1" w:styleId="Heading2Char">
    <w:name w:val="Heading 2 Char"/>
    <w:link w:val="Heading2"/>
    <w:rPr>
      <w:rFonts w:ascii="Times New Roman" w:eastAsia="Calibri" w:hAnsi="Times New Roman" w:cs="Times New Roman" w:hint="default"/>
      <w:b/>
      <w:bCs/>
      <w:sz w:val="24"/>
      <w:szCs w:val="24"/>
    </w:rPr>
  </w:style>
  <w:style w:type="character" w:customStyle="1" w:styleId="Heading6Char">
    <w:name w:val="Heading 6 Char"/>
    <w:link w:val="Heading6"/>
    <w:rPr>
      <w:rFonts w:ascii="Times New Roman" w:eastAsia="Times New Roman" w:hAnsi="Times New Roman" w:cs="Times New Roman" w:hint="default"/>
      <w:i/>
      <w:iCs/>
      <w:color w:val="595959"/>
      <w:kern w:val="2"/>
      <w:sz w:val="24"/>
    </w:rPr>
  </w:style>
  <w:style w:type="character" w:customStyle="1" w:styleId="Heading3Char">
    <w:name w:val="Heading 3 Char"/>
    <w:link w:val="Heading3"/>
    <w:rsid w:val="00514B17"/>
    <w:rPr>
      <w:rFonts w:ascii="Times New Roman" w:eastAsiaTheme="minorEastAsia" w:hAnsi="Times New Roman" w:cs="Times New Roman"/>
      <w:b/>
      <w:bCs/>
      <w:sz w:val="24"/>
      <w:szCs w:val="24"/>
      <w:lang w:eastAsia="zh-CN"/>
    </w:rPr>
  </w:style>
  <w:style w:type="character" w:customStyle="1" w:styleId="IntenseQuoteChar">
    <w:name w:val="Intense Quote Char"/>
    <w:rPr>
      <w:rFonts w:ascii="Times New Roman" w:hAnsi="Times New Roman" w:cs="Times New Roman" w:hint="default"/>
      <w:i/>
      <w:iCs/>
      <w:color w:val="2E74B5"/>
      <w:kern w:val="2"/>
      <w:sz w:val="24"/>
    </w:rPr>
  </w:style>
  <w:style w:type="character" w:customStyle="1" w:styleId="Heading7Char">
    <w:name w:val="Heading 7 Char"/>
    <w:link w:val="Heading7"/>
    <w:rPr>
      <w:rFonts w:ascii="Times New Roman" w:eastAsia="Times New Roman" w:hAnsi="Times New Roman" w:cs="Times New Roman" w:hint="default"/>
      <w:color w:val="595959"/>
      <w:kern w:val="2"/>
      <w:sz w:val="24"/>
    </w:rPr>
  </w:style>
  <w:style w:type="character" w:customStyle="1" w:styleId="msointensereference0">
    <w:name w:val="msointensereference"/>
    <w:rPr>
      <w:b/>
      <w:bCs/>
      <w:smallCaps/>
      <w:color w:val="2E74B5"/>
      <w:spacing w:val="5"/>
    </w:rPr>
  </w:style>
  <w:style w:type="character" w:customStyle="1" w:styleId="QuoteChar">
    <w:name w:val="Quote Char"/>
    <w:rPr>
      <w:rFonts w:ascii="Times New Roman" w:hAnsi="Times New Roman" w:cs="Times New Roman" w:hint="default"/>
      <w:i/>
      <w:iCs/>
      <w:color w:val="404040"/>
      <w:kern w:val="2"/>
      <w:sz w:val="24"/>
    </w:rPr>
  </w:style>
  <w:style w:type="character" w:customStyle="1" w:styleId="Heading4Char">
    <w:name w:val="Heading 4 Char"/>
    <w:link w:val="Heading4"/>
    <w:rsid w:val="000F783E"/>
    <w:rPr>
      <w:rFonts w:ascii="Times New Roman" w:eastAsiaTheme="minorEastAsia" w:hAnsi="Times New Roman" w:cs="Times New Roman"/>
      <w:b/>
      <w:bCs/>
      <w:sz w:val="24"/>
      <w:szCs w:val="24"/>
      <w:lang w:eastAsia="zh-CN"/>
    </w:rPr>
  </w:style>
  <w:style w:type="character" w:customStyle="1" w:styleId="Heading8Char">
    <w:name w:val="Heading 8 Char"/>
    <w:link w:val="Heading8"/>
    <w:rPr>
      <w:rFonts w:ascii="Times New Roman" w:eastAsia="Times New Roman" w:hAnsi="Times New Roman" w:cs="Times New Roman" w:hint="default"/>
      <w:i/>
      <w:iCs/>
      <w:color w:val="272727"/>
      <w:kern w:val="2"/>
      <w:sz w:val="24"/>
    </w:rPr>
  </w:style>
  <w:style w:type="character" w:customStyle="1" w:styleId="FooterChar">
    <w:name w:val="Footer Char"/>
    <w:link w:val="Footer"/>
    <w:uiPriority w:val="99"/>
    <w:rPr>
      <w:rFonts w:ascii="Times New Roman" w:eastAsia="Calibri" w:hAnsi="Times New Roman" w:cs="Times New Roman" w:hint="default"/>
      <w:sz w:val="24"/>
      <w:szCs w:val="24"/>
    </w:rPr>
  </w:style>
  <w:style w:type="character" w:customStyle="1" w:styleId="TitleChar">
    <w:name w:val="Title Char"/>
    <w:link w:val="Title"/>
    <w:rsid w:val="00E53D6E"/>
    <w:rPr>
      <w:rFonts w:ascii="Times New Roman" w:hAnsi="Times New Roman" w:cs="Times New Roman"/>
      <w:b/>
      <w:bCs/>
      <w:sz w:val="24"/>
      <w:szCs w:val="24"/>
      <w:lang w:eastAsia="zh-CN"/>
    </w:rPr>
  </w:style>
  <w:style w:type="character" w:customStyle="1" w:styleId="ListofFiguresChar">
    <w:name w:val="List of Figures Char"/>
    <w:rPr>
      <w:rFonts w:ascii="Times New Roman" w:hAnsi="Times New Roman" w:cs="Times New Roman" w:hint="default"/>
      <w:b/>
      <w:bCs/>
      <w:color w:val="44546A"/>
      <w:kern w:val="2"/>
      <w:sz w:val="24"/>
      <w:szCs w:val="18"/>
    </w:rPr>
  </w:style>
  <w:style w:type="paragraph" w:styleId="ListParagraph">
    <w:name w:val="List Paragraph"/>
    <w:basedOn w:val="Normal"/>
    <w:uiPriority w:val="34"/>
    <w:qFormat/>
    <w:rsid w:val="00432644"/>
    <w:pPr>
      <w:ind w:left="720"/>
      <w:contextualSpacing/>
    </w:pPr>
  </w:style>
  <w:style w:type="paragraph" w:styleId="NoSpacing">
    <w:name w:val="No Spacing"/>
    <w:uiPriority w:val="1"/>
    <w:qFormat/>
    <w:rsid w:val="001324AF"/>
    <w:rPr>
      <w:rFonts w:asciiTheme="minorHAnsi" w:eastAsiaTheme="minorHAnsi" w:hAnsiTheme="minorHAnsi" w:cstheme="minorBidi"/>
      <w:sz w:val="22"/>
      <w:szCs w:val="22"/>
      <w:lang w:val="en-GB"/>
    </w:rPr>
  </w:style>
  <w:style w:type="character" w:customStyle="1" w:styleId="apple-converted-space">
    <w:name w:val="apple-converted-space"/>
    <w:basedOn w:val="DefaultParagraphFont"/>
    <w:rsid w:val="001324AF"/>
  </w:style>
  <w:style w:type="character" w:customStyle="1" w:styleId="UnresolvedMention1">
    <w:name w:val="Unresolved Mention1"/>
    <w:basedOn w:val="DefaultParagraphFont"/>
    <w:uiPriority w:val="99"/>
    <w:semiHidden/>
    <w:unhideWhenUsed/>
    <w:rsid w:val="00620818"/>
    <w:rPr>
      <w:color w:val="605E5C"/>
      <w:shd w:val="clear" w:color="auto" w:fill="E1DFDD"/>
    </w:rPr>
  </w:style>
  <w:style w:type="character" w:customStyle="1" w:styleId="UnresolvedMention2">
    <w:name w:val="Unresolved Mention2"/>
    <w:basedOn w:val="DefaultParagraphFont"/>
    <w:uiPriority w:val="99"/>
    <w:semiHidden/>
    <w:unhideWhenUsed/>
    <w:rsid w:val="00110212"/>
    <w:rPr>
      <w:color w:val="605E5C"/>
      <w:shd w:val="clear" w:color="auto" w:fill="E1DFDD"/>
    </w:rPr>
  </w:style>
  <w:style w:type="paragraph" w:styleId="TOC5">
    <w:name w:val="toc 5"/>
    <w:basedOn w:val="Normal"/>
    <w:next w:val="Normal"/>
    <w:autoRedefine/>
    <w:uiPriority w:val="39"/>
    <w:unhideWhenUsed/>
    <w:rsid w:val="00B56A95"/>
    <w:pPr>
      <w:spacing w:before="0" w:beforeAutospacing="0" w:afterAutospacing="0" w:line="278" w:lineRule="auto"/>
      <w:ind w:left="960"/>
    </w:pPr>
    <w:rPr>
      <w:rFonts w:asciiTheme="minorHAnsi" w:hAnsiTheme="minorHAnsi" w:cstheme="minorBidi"/>
      <w:kern w:val="2"/>
      <w:lang w:eastAsia="en-US"/>
      <w14:ligatures w14:val="standardContextual"/>
    </w:rPr>
  </w:style>
  <w:style w:type="paragraph" w:styleId="TOC6">
    <w:name w:val="toc 6"/>
    <w:basedOn w:val="Normal"/>
    <w:next w:val="Normal"/>
    <w:autoRedefine/>
    <w:uiPriority w:val="39"/>
    <w:unhideWhenUsed/>
    <w:rsid w:val="00B56A95"/>
    <w:pPr>
      <w:spacing w:before="0" w:beforeAutospacing="0" w:afterAutospacing="0" w:line="278" w:lineRule="auto"/>
      <w:ind w:left="1200"/>
    </w:pPr>
    <w:rPr>
      <w:rFonts w:asciiTheme="minorHAnsi" w:hAnsiTheme="minorHAnsi" w:cstheme="minorBidi"/>
      <w:kern w:val="2"/>
      <w:lang w:eastAsia="en-US"/>
      <w14:ligatures w14:val="standardContextual"/>
    </w:rPr>
  </w:style>
  <w:style w:type="paragraph" w:styleId="TOC7">
    <w:name w:val="toc 7"/>
    <w:basedOn w:val="Normal"/>
    <w:next w:val="Normal"/>
    <w:autoRedefine/>
    <w:uiPriority w:val="39"/>
    <w:unhideWhenUsed/>
    <w:rsid w:val="00B56A95"/>
    <w:pPr>
      <w:spacing w:before="0" w:beforeAutospacing="0" w:afterAutospacing="0" w:line="278" w:lineRule="auto"/>
      <w:ind w:left="1440"/>
    </w:pPr>
    <w:rPr>
      <w:rFonts w:asciiTheme="minorHAnsi" w:hAnsiTheme="minorHAnsi" w:cstheme="minorBidi"/>
      <w:kern w:val="2"/>
      <w:lang w:eastAsia="en-US"/>
      <w14:ligatures w14:val="standardContextual"/>
    </w:rPr>
  </w:style>
  <w:style w:type="paragraph" w:styleId="TOC8">
    <w:name w:val="toc 8"/>
    <w:basedOn w:val="Normal"/>
    <w:next w:val="Normal"/>
    <w:autoRedefine/>
    <w:uiPriority w:val="39"/>
    <w:unhideWhenUsed/>
    <w:rsid w:val="00B56A95"/>
    <w:pPr>
      <w:spacing w:before="0" w:beforeAutospacing="0" w:afterAutospacing="0" w:line="278" w:lineRule="auto"/>
      <w:ind w:left="1680"/>
    </w:pPr>
    <w:rPr>
      <w:rFonts w:asciiTheme="minorHAnsi" w:hAnsiTheme="minorHAnsi" w:cstheme="minorBidi"/>
      <w:kern w:val="2"/>
      <w:lang w:eastAsia="en-US"/>
      <w14:ligatures w14:val="standardContextual"/>
    </w:rPr>
  </w:style>
  <w:style w:type="paragraph" w:styleId="TOC9">
    <w:name w:val="toc 9"/>
    <w:basedOn w:val="Normal"/>
    <w:next w:val="Normal"/>
    <w:autoRedefine/>
    <w:uiPriority w:val="39"/>
    <w:unhideWhenUsed/>
    <w:rsid w:val="00B56A95"/>
    <w:pPr>
      <w:spacing w:before="0" w:beforeAutospacing="0" w:afterAutospacing="0" w:line="278" w:lineRule="auto"/>
      <w:ind w:left="1920"/>
    </w:pPr>
    <w:rPr>
      <w:rFonts w:asciiTheme="minorHAnsi" w:hAnsiTheme="minorHAnsi" w:cstheme="minorBidi"/>
      <w:kern w:val="2"/>
      <w:lang w:eastAsia="en-US"/>
      <w14:ligatures w14:val="standardContextual"/>
    </w:rPr>
  </w:style>
  <w:style w:type="character" w:customStyle="1" w:styleId="UnresolvedMention3">
    <w:name w:val="Unresolved Mention3"/>
    <w:basedOn w:val="DefaultParagraphFont"/>
    <w:uiPriority w:val="99"/>
    <w:semiHidden/>
    <w:unhideWhenUsed/>
    <w:rsid w:val="004367C5"/>
    <w:rPr>
      <w:color w:val="605E5C"/>
      <w:shd w:val="clear" w:color="auto" w:fill="E1DFDD"/>
    </w:rPr>
  </w:style>
  <w:style w:type="character" w:styleId="UnresolvedMention">
    <w:name w:val="Unresolved Mention"/>
    <w:basedOn w:val="DefaultParagraphFont"/>
    <w:uiPriority w:val="99"/>
    <w:semiHidden/>
    <w:unhideWhenUsed/>
    <w:rsid w:val="00154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3453">
      <w:bodyDiv w:val="1"/>
      <w:marLeft w:val="0"/>
      <w:marRight w:val="0"/>
      <w:marTop w:val="0"/>
      <w:marBottom w:val="0"/>
      <w:divBdr>
        <w:top w:val="none" w:sz="0" w:space="0" w:color="auto"/>
        <w:left w:val="none" w:sz="0" w:space="0" w:color="auto"/>
        <w:bottom w:val="none" w:sz="0" w:space="0" w:color="auto"/>
        <w:right w:val="none" w:sz="0" w:space="0" w:color="auto"/>
      </w:divBdr>
    </w:div>
    <w:div w:id="453981995">
      <w:bodyDiv w:val="1"/>
      <w:marLeft w:val="0"/>
      <w:marRight w:val="0"/>
      <w:marTop w:val="0"/>
      <w:marBottom w:val="0"/>
      <w:divBdr>
        <w:top w:val="none" w:sz="0" w:space="0" w:color="auto"/>
        <w:left w:val="none" w:sz="0" w:space="0" w:color="auto"/>
        <w:bottom w:val="none" w:sz="0" w:space="0" w:color="auto"/>
        <w:right w:val="none" w:sz="0" w:space="0" w:color="auto"/>
      </w:divBdr>
    </w:div>
    <w:div w:id="581990166">
      <w:bodyDiv w:val="1"/>
      <w:marLeft w:val="0"/>
      <w:marRight w:val="0"/>
      <w:marTop w:val="0"/>
      <w:marBottom w:val="0"/>
      <w:divBdr>
        <w:top w:val="none" w:sz="0" w:space="0" w:color="auto"/>
        <w:left w:val="none" w:sz="0" w:space="0" w:color="auto"/>
        <w:bottom w:val="none" w:sz="0" w:space="0" w:color="auto"/>
        <w:right w:val="none" w:sz="0" w:space="0" w:color="auto"/>
      </w:divBdr>
    </w:div>
    <w:div w:id="642275831">
      <w:bodyDiv w:val="1"/>
      <w:marLeft w:val="0"/>
      <w:marRight w:val="0"/>
      <w:marTop w:val="0"/>
      <w:marBottom w:val="0"/>
      <w:divBdr>
        <w:top w:val="none" w:sz="0" w:space="0" w:color="auto"/>
        <w:left w:val="none" w:sz="0" w:space="0" w:color="auto"/>
        <w:bottom w:val="none" w:sz="0" w:space="0" w:color="auto"/>
        <w:right w:val="none" w:sz="0" w:space="0" w:color="auto"/>
      </w:divBdr>
      <w:divsChild>
        <w:div w:id="672952152">
          <w:marLeft w:val="0"/>
          <w:marRight w:val="0"/>
          <w:marTop w:val="0"/>
          <w:marBottom w:val="0"/>
          <w:divBdr>
            <w:top w:val="none" w:sz="0" w:space="0" w:color="auto"/>
            <w:left w:val="none" w:sz="0" w:space="0" w:color="auto"/>
            <w:bottom w:val="none" w:sz="0" w:space="0" w:color="auto"/>
            <w:right w:val="none" w:sz="0" w:space="0" w:color="auto"/>
          </w:divBdr>
          <w:divsChild>
            <w:div w:id="20329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5285">
      <w:bodyDiv w:val="1"/>
      <w:marLeft w:val="0"/>
      <w:marRight w:val="0"/>
      <w:marTop w:val="0"/>
      <w:marBottom w:val="0"/>
      <w:divBdr>
        <w:top w:val="none" w:sz="0" w:space="0" w:color="auto"/>
        <w:left w:val="none" w:sz="0" w:space="0" w:color="auto"/>
        <w:bottom w:val="none" w:sz="0" w:space="0" w:color="auto"/>
        <w:right w:val="none" w:sz="0" w:space="0" w:color="auto"/>
      </w:divBdr>
      <w:divsChild>
        <w:div w:id="1524436050">
          <w:marLeft w:val="0"/>
          <w:marRight w:val="0"/>
          <w:marTop w:val="0"/>
          <w:marBottom w:val="0"/>
          <w:divBdr>
            <w:top w:val="none" w:sz="0" w:space="0" w:color="auto"/>
            <w:left w:val="none" w:sz="0" w:space="0" w:color="auto"/>
            <w:bottom w:val="none" w:sz="0" w:space="0" w:color="auto"/>
            <w:right w:val="none" w:sz="0" w:space="0" w:color="auto"/>
          </w:divBdr>
          <w:divsChild>
            <w:div w:id="3924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0172">
      <w:bodyDiv w:val="1"/>
      <w:marLeft w:val="0"/>
      <w:marRight w:val="0"/>
      <w:marTop w:val="0"/>
      <w:marBottom w:val="0"/>
      <w:divBdr>
        <w:top w:val="none" w:sz="0" w:space="0" w:color="auto"/>
        <w:left w:val="none" w:sz="0" w:space="0" w:color="auto"/>
        <w:bottom w:val="none" w:sz="0" w:space="0" w:color="auto"/>
        <w:right w:val="none" w:sz="0" w:space="0" w:color="auto"/>
      </w:divBdr>
    </w:div>
    <w:div w:id="1004210586">
      <w:bodyDiv w:val="1"/>
      <w:marLeft w:val="0"/>
      <w:marRight w:val="0"/>
      <w:marTop w:val="0"/>
      <w:marBottom w:val="0"/>
      <w:divBdr>
        <w:top w:val="none" w:sz="0" w:space="0" w:color="auto"/>
        <w:left w:val="none" w:sz="0" w:space="0" w:color="auto"/>
        <w:bottom w:val="none" w:sz="0" w:space="0" w:color="auto"/>
        <w:right w:val="none" w:sz="0" w:space="0" w:color="auto"/>
      </w:divBdr>
    </w:div>
    <w:div w:id="1053895495">
      <w:bodyDiv w:val="1"/>
      <w:marLeft w:val="0"/>
      <w:marRight w:val="0"/>
      <w:marTop w:val="0"/>
      <w:marBottom w:val="0"/>
      <w:divBdr>
        <w:top w:val="none" w:sz="0" w:space="0" w:color="auto"/>
        <w:left w:val="none" w:sz="0" w:space="0" w:color="auto"/>
        <w:bottom w:val="none" w:sz="0" w:space="0" w:color="auto"/>
        <w:right w:val="none" w:sz="0" w:space="0" w:color="auto"/>
      </w:divBdr>
    </w:div>
    <w:div w:id="1139496610">
      <w:bodyDiv w:val="1"/>
      <w:marLeft w:val="0"/>
      <w:marRight w:val="0"/>
      <w:marTop w:val="0"/>
      <w:marBottom w:val="0"/>
      <w:divBdr>
        <w:top w:val="none" w:sz="0" w:space="0" w:color="auto"/>
        <w:left w:val="none" w:sz="0" w:space="0" w:color="auto"/>
        <w:bottom w:val="none" w:sz="0" w:space="0" w:color="auto"/>
        <w:right w:val="none" w:sz="0" w:space="0" w:color="auto"/>
      </w:divBdr>
    </w:div>
    <w:div w:id="1279869604">
      <w:bodyDiv w:val="1"/>
      <w:marLeft w:val="0"/>
      <w:marRight w:val="0"/>
      <w:marTop w:val="0"/>
      <w:marBottom w:val="0"/>
      <w:divBdr>
        <w:top w:val="none" w:sz="0" w:space="0" w:color="auto"/>
        <w:left w:val="none" w:sz="0" w:space="0" w:color="auto"/>
        <w:bottom w:val="none" w:sz="0" w:space="0" w:color="auto"/>
        <w:right w:val="none" w:sz="0" w:space="0" w:color="auto"/>
      </w:divBdr>
    </w:div>
    <w:div w:id="1317995097">
      <w:bodyDiv w:val="1"/>
      <w:marLeft w:val="0"/>
      <w:marRight w:val="0"/>
      <w:marTop w:val="0"/>
      <w:marBottom w:val="0"/>
      <w:divBdr>
        <w:top w:val="none" w:sz="0" w:space="0" w:color="auto"/>
        <w:left w:val="none" w:sz="0" w:space="0" w:color="auto"/>
        <w:bottom w:val="none" w:sz="0" w:space="0" w:color="auto"/>
        <w:right w:val="none" w:sz="0" w:space="0" w:color="auto"/>
      </w:divBdr>
    </w:div>
    <w:div w:id="1358577443">
      <w:bodyDiv w:val="1"/>
      <w:marLeft w:val="0"/>
      <w:marRight w:val="0"/>
      <w:marTop w:val="0"/>
      <w:marBottom w:val="0"/>
      <w:divBdr>
        <w:top w:val="none" w:sz="0" w:space="0" w:color="auto"/>
        <w:left w:val="none" w:sz="0" w:space="0" w:color="auto"/>
        <w:bottom w:val="none" w:sz="0" w:space="0" w:color="auto"/>
        <w:right w:val="none" w:sz="0" w:space="0" w:color="auto"/>
      </w:divBdr>
    </w:div>
    <w:div w:id="1372418994">
      <w:bodyDiv w:val="1"/>
      <w:marLeft w:val="0"/>
      <w:marRight w:val="0"/>
      <w:marTop w:val="0"/>
      <w:marBottom w:val="0"/>
      <w:divBdr>
        <w:top w:val="none" w:sz="0" w:space="0" w:color="auto"/>
        <w:left w:val="none" w:sz="0" w:space="0" w:color="auto"/>
        <w:bottom w:val="none" w:sz="0" w:space="0" w:color="auto"/>
        <w:right w:val="none" w:sz="0" w:space="0" w:color="auto"/>
      </w:divBdr>
      <w:divsChild>
        <w:div w:id="201671627">
          <w:marLeft w:val="0"/>
          <w:marRight w:val="0"/>
          <w:marTop w:val="0"/>
          <w:marBottom w:val="0"/>
          <w:divBdr>
            <w:top w:val="none" w:sz="0" w:space="0" w:color="auto"/>
            <w:left w:val="none" w:sz="0" w:space="0" w:color="auto"/>
            <w:bottom w:val="none" w:sz="0" w:space="0" w:color="auto"/>
            <w:right w:val="none" w:sz="0" w:space="0" w:color="auto"/>
          </w:divBdr>
          <w:divsChild>
            <w:div w:id="3253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59336">
      <w:bodyDiv w:val="1"/>
      <w:marLeft w:val="0"/>
      <w:marRight w:val="0"/>
      <w:marTop w:val="0"/>
      <w:marBottom w:val="0"/>
      <w:divBdr>
        <w:top w:val="none" w:sz="0" w:space="0" w:color="auto"/>
        <w:left w:val="none" w:sz="0" w:space="0" w:color="auto"/>
        <w:bottom w:val="none" w:sz="0" w:space="0" w:color="auto"/>
        <w:right w:val="none" w:sz="0" w:space="0" w:color="auto"/>
      </w:divBdr>
    </w:div>
    <w:div w:id="1551696311">
      <w:bodyDiv w:val="1"/>
      <w:marLeft w:val="0"/>
      <w:marRight w:val="0"/>
      <w:marTop w:val="0"/>
      <w:marBottom w:val="0"/>
      <w:divBdr>
        <w:top w:val="none" w:sz="0" w:space="0" w:color="auto"/>
        <w:left w:val="none" w:sz="0" w:space="0" w:color="auto"/>
        <w:bottom w:val="none" w:sz="0" w:space="0" w:color="auto"/>
        <w:right w:val="none" w:sz="0" w:space="0" w:color="auto"/>
      </w:divBdr>
    </w:div>
    <w:div w:id="1676151704">
      <w:bodyDiv w:val="1"/>
      <w:marLeft w:val="0"/>
      <w:marRight w:val="0"/>
      <w:marTop w:val="0"/>
      <w:marBottom w:val="0"/>
      <w:divBdr>
        <w:top w:val="none" w:sz="0" w:space="0" w:color="auto"/>
        <w:left w:val="none" w:sz="0" w:space="0" w:color="auto"/>
        <w:bottom w:val="none" w:sz="0" w:space="0" w:color="auto"/>
        <w:right w:val="none" w:sz="0" w:space="0" w:color="auto"/>
      </w:divBdr>
      <w:divsChild>
        <w:div w:id="1284530793">
          <w:marLeft w:val="0"/>
          <w:marRight w:val="0"/>
          <w:marTop w:val="0"/>
          <w:marBottom w:val="0"/>
          <w:divBdr>
            <w:top w:val="none" w:sz="0" w:space="0" w:color="auto"/>
            <w:left w:val="none" w:sz="0" w:space="0" w:color="auto"/>
            <w:bottom w:val="none" w:sz="0" w:space="0" w:color="auto"/>
            <w:right w:val="none" w:sz="0" w:space="0" w:color="auto"/>
          </w:divBdr>
          <w:divsChild>
            <w:div w:id="2062167801">
              <w:marLeft w:val="0"/>
              <w:marRight w:val="0"/>
              <w:marTop w:val="0"/>
              <w:marBottom w:val="0"/>
              <w:divBdr>
                <w:top w:val="none" w:sz="0" w:space="0" w:color="auto"/>
                <w:left w:val="none" w:sz="0" w:space="0" w:color="auto"/>
                <w:bottom w:val="none" w:sz="0" w:space="0" w:color="auto"/>
                <w:right w:val="none" w:sz="0" w:space="0" w:color="auto"/>
              </w:divBdr>
              <w:divsChild>
                <w:div w:id="222300043">
                  <w:marLeft w:val="0"/>
                  <w:marRight w:val="0"/>
                  <w:marTop w:val="0"/>
                  <w:marBottom w:val="0"/>
                  <w:divBdr>
                    <w:top w:val="none" w:sz="0" w:space="0" w:color="auto"/>
                    <w:left w:val="none" w:sz="0" w:space="0" w:color="auto"/>
                    <w:bottom w:val="none" w:sz="0" w:space="0" w:color="auto"/>
                    <w:right w:val="none" w:sz="0" w:space="0" w:color="auto"/>
                  </w:divBdr>
                  <w:divsChild>
                    <w:div w:id="1461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7065">
              <w:marLeft w:val="0"/>
              <w:marRight w:val="0"/>
              <w:marTop w:val="0"/>
              <w:marBottom w:val="0"/>
              <w:divBdr>
                <w:top w:val="none" w:sz="0" w:space="0" w:color="auto"/>
                <w:left w:val="none" w:sz="0" w:space="0" w:color="auto"/>
                <w:bottom w:val="none" w:sz="0" w:space="0" w:color="auto"/>
                <w:right w:val="none" w:sz="0" w:space="0" w:color="auto"/>
              </w:divBdr>
              <w:divsChild>
                <w:div w:id="509763395">
                  <w:marLeft w:val="0"/>
                  <w:marRight w:val="0"/>
                  <w:marTop w:val="0"/>
                  <w:marBottom w:val="0"/>
                  <w:divBdr>
                    <w:top w:val="none" w:sz="0" w:space="0" w:color="auto"/>
                    <w:left w:val="none" w:sz="0" w:space="0" w:color="auto"/>
                    <w:bottom w:val="none" w:sz="0" w:space="0" w:color="auto"/>
                    <w:right w:val="none" w:sz="0" w:space="0" w:color="auto"/>
                  </w:divBdr>
                </w:div>
                <w:div w:id="556742085">
                  <w:marLeft w:val="0"/>
                  <w:marRight w:val="0"/>
                  <w:marTop w:val="0"/>
                  <w:marBottom w:val="0"/>
                  <w:divBdr>
                    <w:top w:val="none" w:sz="0" w:space="0" w:color="auto"/>
                    <w:left w:val="none" w:sz="0" w:space="0" w:color="auto"/>
                    <w:bottom w:val="none" w:sz="0" w:space="0" w:color="auto"/>
                    <w:right w:val="none" w:sz="0" w:space="0" w:color="auto"/>
                  </w:divBdr>
                </w:div>
              </w:divsChild>
            </w:div>
            <w:div w:id="1498577537">
              <w:marLeft w:val="0"/>
              <w:marRight w:val="0"/>
              <w:marTop w:val="0"/>
              <w:marBottom w:val="0"/>
              <w:divBdr>
                <w:top w:val="none" w:sz="0" w:space="0" w:color="auto"/>
                <w:left w:val="none" w:sz="0" w:space="0" w:color="auto"/>
                <w:bottom w:val="none" w:sz="0" w:space="0" w:color="auto"/>
                <w:right w:val="none" w:sz="0" w:space="0" w:color="auto"/>
              </w:divBdr>
            </w:div>
          </w:divsChild>
        </w:div>
        <w:div w:id="301547667">
          <w:marLeft w:val="0"/>
          <w:marRight w:val="0"/>
          <w:marTop w:val="0"/>
          <w:marBottom w:val="0"/>
          <w:divBdr>
            <w:top w:val="none" w:sz="0" w:space="0" w:color="auto"/>
            <w:left w:val="none" w:sz="0" w:space="0" w:color="auto"/>
            <w:bottom w:val="none" w:sz="0" w:space="0" w:color="auto"/>
            <w:right w:val="none" w:sz="0" w:space="0" w:color="auto"/>
          </w:divBdr>
          <w:divsChild>
            <w:div w:id="18298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3910">
      <w:bodyDiv w:val="1"/>
      <w:marLeft w:val="0"/>
      <w:marRight w:val="0"/>
      <w:marTop w:val="0"/>
      <w:marBottom w:val="0"/>
      <w:divBdr>
        <w:top w:val="none" w:sz="0" w:space="0" w:color="auto"/>
        <w:left w:val="none" w:sz="0" w:space="0" w:color="auto"/>
        <w:bottom w:val="none" w:sz="0" w:space="0" w:color="auto"/>
        <w:right w:val="none" w:sz="0" w:space="0" w:color="auto"/>
      </w:divBdr>
      <w:divsChild>
        <w:div w:id="465658106">
          <w:marLeft w:val="0"/>
          <w:marRight w:val="0"/>
          <w:marTop w:val="0"/>
          <w:marBottom w:val="0"/>
          <w:divBdr>
            <w:top w:val="none" w:sz="0" w:space="0" w:color="auto"/>
            <w:left w:val="none" w:sz="0" w:space="0" w:color="auto"/>
            <w:bottom w:val="none" w:sz="0" w:space="0" w:color="auto"/>
            <w:right w:val="none" w:sz="0" w:space="0" w:color="auto"/>
          </w:divBdr>
          <w:divsChild>
            <w:div w:id="16760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55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8029/babcockuniv.med.j.v6i1.173" TargetMode="External"/><Relationship Id="rId18" Type="http://schemas.openxmlformats.org/officeDocument/2006/relationships/hyperlink" Target="https://doi.org/10.1371/journal.pone.0322205"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1016/S1473-3099(18)30595-3" TargetMode="External"/><Relationship Id="rId7" Type="http://schemas.openxmlformats.org/officeDocument/2006/relationships/footnotes" Target="footnotes.xml"/><Relationship Id="rId12" Type="http://schemas.openxmlformats.org/officeDocument/2006/relationships/hyperlink" Target="https://doi.org/10.11604/pamj.supp.2021.40.1.30876" TargetMode="External"/><Relationship Id="rId17" Type="http://schemas.openxmlformats.org/officeDocument/2006/relationships/hyperlink" Target="https://doi.org/10.2147/PHMT.S520721" TargetMode="External"/><Relationship Id="rId25" Type="http://schemas.openxmlformats.org/officeDocument/2006/relationships/hyperlink" Target="https://www.who.int/immunization/sage/meetings/2014/october/1_Report_WORKING_GROUP_vaccine_hesitancy_final.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cn.org.uk/professional-development/publications" TargetMode="External"/><Relationship Id="rId20" Type="http://schemas.openxmlformats.org/officeDocument/2006/relationships/hyperlink" Target="https://doi.org/10.5116/ijme.4dfb.8df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86/s12889-021-11466-5" TargetMode="External"/><Relationship Id="rId24" Type="http://schemas.openxmlformats.org/officeDocument/2006/relationships/hyperlink" Target="https://doi.org/10.1016/S2214-109X(18)30247-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542/peds.109.1.124" TargetMode="External"/><Relationship Id="rId23" Type="http://schemas.openxmlformats.org/officeDocument/2006/relationships/hyperlink" Target="https://en.wikipedia.org/wiki/Vaccine_hesitancy"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i.org/10.1186/s12889-023-15871-1"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16/S2214-109X(22)00096-1" TargetMode="External"/><Relationship Id="rId22" Type="http://schemas.openxmlformats.org/officeDocument/2006/relationships/hyperlink" Target="https://www.unicef.org/immunization"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DDC0D121-396B-47F6-9E56-CA5A852167E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5658</Words>
  <Characters>32257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1084</cp:lastModifiedBy>
  <cp:revision>6</cp:revision>
  <dcterms:created xsi:type="dcterms:W3CDTF">2026-05-22T08:00:00Z</dcterms:created>
  <dcterms:modified xsi:type="dcterms:W3CDTF">2026-05-25T13:52:00Z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399C3387666B46D697B5DAC1075A5046_11</vt:lpwstr>
  </property>
  <property fmtid="{D5CDD505-2E9C-101B-9397-08002B2CF9AE}" pid="4" name="GrammarlyDocumentId">
    <vt:lpwstr>af86e9e6-7f9a-43d7-b5df-b4711506f173</vt:lpwstr>
  </property>
</Properties>
</file>