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37124" w14:textId="77777777" w:rsidR="00361E4A" w:rsidRPr="00361E4A" w:rsidRDefault="00361E4A" w:rsidP="00361E4A">
      <w:pPr>
        <w:jc w:val="both"/>
        <w:rPr>
          <w:rFonts w:ascii="Times New Roman" w:hAnsi="Times New Roman"/>
          <w:color w:val="000000"/>
          <w:lang w:val="en-IN" w:eastAsia="en-IN"/>
        </w:rPr>
      </w:pPr>
      <w:r w:rsidRPr="00361E4A">
        <w:rPr>
          <w:rFonts w:ascii="Times New Roman" w:hAnsi="Times New Roman"/>
          <w:color w:val="000000"/>
          <w:lang w:val="en-IN" w:eastAsia="en-IN"/>
        </w:rPr>
        <w:t>Original Research Article</w:t>
      </w:r>
    </w:p>
    <w:p w14:paraId="64983417" w14:textId="77777777" w:rsidR="004658C6" w:rsidRDefault="004658C6" w:rsidP="004658C6">
      <w:pPr>
        <w:pStyle w:val="Title"/>
        <w:spacing w:after="0"/>
        <w:jc w:val="both"/>
        <w:rPr>
          <w:rFonts w:ascii="Arial" w:hAnsi="Arial" w:cs="Arial"/>
        </w:rPr>
      </w:pPr>
    </w:p>
    <w:p w14:paraId="3E13312B" w14:textId="77777777" w:rsidR="004658C6" w:rsidRDefault="004658C6" w:rsidP="004658C6">
      <w:pPr>
        <w:pStyle w:val="NormalWeb"/>
        <w:jc w:val="right"/>
        <w:rPr>
          <w:rFonts w:ascii="Arial" w:hAnsi="Arial" w:cs="Arial"/>
          <w:b/>
          <w:sz w:val="36"/>
          <w:szCs w:val="36"/>
        </w:rPr>
      </w:pPr>
      <w:r w:rsidRPr="004658C6">
        <w:rPr>
          <w:rFonts w:ascii="Arial" w:hAnsi="Arial" w:cs="Arial"/>
          <w:b/>
          <w:sz w:val="36"/>
          <w:szCs w:val="36"/>
        </w:rPr>
        <w:t xml:space="preserve">Modeling the Mortality Incidence of Diabetic Mellitus among Farmers in Benue State Using Count Data Regression Models </w:t>
      </w:r>
    </w:p>
    <w:p w14:paraId="2B00A6B3" w14:textId="1BD5E292" w:rsidR="008F2D11" w:rsidRDefault="008F2D11" w:rsidP="008F2D11">
      <w:pPr>
        <w:pStyle w:val="Footer"/>
      </w:pPr>
    </w:p>
    <w:p w14:paraId="7C22B095" w14:textId="77777777" w:rsidR="00AB2775" w:rsidRDefault="00AB2775" w:rsidP="008F2D11">
      <w:pPr>
        <w:pStyle w:val="Footer"/>
      </w:pPr>
    </w:p>
    <w:p w14:paraId="5307EBF4" w14:textId="77777777" w:rsidR="008F2D11" w:rsidRPr="00EB2CAE" w:rsidRDefault="008F2D11" w:rsidP="004658C6">
      <w:pPr>
        <w:pStyle w:val="NormalWeb"/>
        <w:spacing w:before="0" w:beforeAutospacing="0" w:after="0" w:afterAutospacing="0"/>
        <w:jc w:val="right"/>
      </w:pPr>
    </w:p>
    <w:p w14:paraId="71F3E20E" w14:textId="77777777" w:rsidR="004658C6" w:rsidRPr="00FB3A86" w:rsidRDefault="004658C6" w:rsidP="004658C6">
      <w:pPr>
        <w:pStyle w:val="Affiliation"/>
        <w:spacing w:after="0" w:line="240" w:lineRule="auto"/>
        <w:jc w:val="both"/>
        <w:rPr>
          <w:rFonts w:ascii="Arial" w:hAnsi="Arial" w:cs="Arial"/>
        </w:rPr>
      </w:pPr>
    </w:p>
    <w:p w14:paraId="34341AF0" w14:textId="77777777" w:rsidR="004658C6" w:rsidRPr="00FB3A86" w:rsidRDefault="004658C6" w:rsidP="004658C6">
      <w:pPr>
        <w:pStyle w:val="Copyright"/>
        <w:spacing w:after="0" w:line="240" w:lineRule="auto"/>
        <w:jc w:val="both"/>
        <w:rPr>
          <w:rFonts w:ascii="Arial" w:hAnsi="Arial" w:cs="Arial"/>
        </w:rPr>
        <w:sectPr w:rsidR="004658C6" w:rsidRPr="00FB3A86" w:rsidSect="00AB2775">
          <w:headerReference w:type="even" r:id="rId7"/>
          <w:headerReference w:type="default" r:id="rId8"/>
          <w:footerReference w:type="even" r:id="rId9"/>
          <w:footerReference w:type="default" r:id="rId10"/>
          <w:headerReference w:type="first" r:id="rId11"/>
          <w:footerReference w:type="first" r:id="rId12"/>
          <w:pgSz w:w="12240" w:h="15840" w:code="1"/>
          <w:pgMar w:top="1440" w:right="2016" w:bottom="2016" w:left="2016" w:header="720" w:footer="1296" w:gutter="0"/>
          <w:cols w:space="720"/>
          <w:docGrid w:linePitch="272"/>
        </w:sectPr>
      </w:pPr>
      <w:r>
        <w:rPr>
          <w:rFonts w:ascii="Arial" w:hAnsi="Arial" w:cs="Arial"/>
          <w:noProof/>
        </w:rPr>
        <mc:AlternateContent>
          <mc:Choice Requires="wps">
            <w:drawing>
              <wp:inline distT="0" distB="0" distL="0" distR="0" wp14:anchorId="49D6C774" wp14:editId="4FAE7B37">
                <wp:extent cx="5303520" cy="0"/>
                <wp:effectExtent l="13335" t="13970" r="17145" b="14605"/>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00872F5" id="_x0000_t32" coordsize="21600,21600" o:spt="32" o:oned="t" path="m,l21600,21600e" filled="f">
                <v:path arrowok="t" fillok="f" o:connecttype="none"/>
                <o:lock v:ext="edit" shapetype="t"/>
              </v:shapetype>
              <v:shape id="Straight Arrow Connector 1" o:spid="_x0000_s1026" type="#_x0000_t32" style="width:417.6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" strokeweight="1.5pt">
                <w10:anchorlock/>
              </v:shape>
            </w:pict>
          </mc:Fallback>
        </mc:AlternateContent>
      </w:r>
      <w:r>
        <w:rPr>
          <w:rFonts w:ascii="Arial" w:hAnsi="Arial" w:cs="Arial"/>
        </w:rPr>
        <w:t>.</w:t>
      </w:r>
    </w:p>
    <w:p w14:paraId="4DFA39BC" w14:textId="77777777" w:rsidR="004658C6" w:rsidRDefault="004658C6" w:rsidP="004658C6">
      <w:pPr>
        <w:pStyle w:val="AbstHead"/>
        <w:spacing w:after="0"/>
        <w:jc w:val="both"/>
        <w:rPr>
          <w:rFonts w:ascii="Arial" w:hAnsi="Arial" w:cs="Arial"/>
        </w:rPr>
      </w:pPr>
      <w:r w:rsidRPr="00FB3A86">
        <w:rPr>
          <w:rFonts w:ascii="Arial" w:hAnsi="Arial" w:cs="Arial"/>
        </w:rPr>
        <w:t>ABSTRACT</w:t>
      </w:r>
      <w:r>
        <w:rPr>
          <w:rFonts w:ascii="Arial" w:hAnsi="Arial" w:cs="Arial"/>
        </w:rPr>
        <w:t xml:space="preserve"> </w:t>
      </w:r>
    </w:p>
    <w:p w14:paraId="1385C541" w14:textId="77777777" w:rsidR="004658C6" w:rsidRPr="00FB3A86" w:rsidRDefault="004658C6" w:rsidP="004658C6">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198"/>
      </w:tblGrid>
      <w:tr w:rsidR="004658C6" w:rsidRPr="00E66978" w14:paraId="7A6C84E5" w14:textId="77777777" w:rsidTr="004658C6">
        <w:tc>
          <w:tcPr>
            <w:tcW w:w="9576" w:type="dxa"/>
            <w:shd w:val="clear" w:color="auto" w:fill="F2F2F2"/>
          </w:tcPr>
          <w:p w14:paraId="0DED0DEE" w14:textId="77777777" w:rsidR="00F73E16" w:rsidRPr="00F73E16" w:rsidRDefault="00F73E16" w:rsidP="00F73E16">
            <w:pPr>
              <w:pStyle w:val="Body"/>
              <w:spacing w:after="0"/>
              <w:rPr>
                <w:rFonts w:ascii="Arial" w:eastAsia="Calibri" w:hAnsi="Arial" w:cs="Arial"/>
                <w:szCs w:val="22"/>
              </w:rPr>
            </w:pPr>
            <w:r w:rsidRPr="00F73E16">
              <w:rPr>
                <w:rFonts w:ascii="Arial" w:eastAsia="Calibri" w:hAnsi="Arial" w:cs="Arial"/>
                <w:b/>
                <w:szCs w:val="22"/>
              </w:rPr>
              <w:t>Aims:</w:t>
            </w:r>
            <w:r w:rsidRPr="00F73E16">
              <w:rPr>
                <w:rFonts w:ascii="Arial" w:eastAsia="Calibri" w:hAnsi="Arial" w:cs="Arial"/>
                <w:szCs w:val="22"/>
              </w:rPr>
              <w:t xml:space="preserve"> The aim of this study is to model the monthly cases of diabetes mellitus among farmers in Benue State, Nigeria, focusing on serologically confirmed, active, severe, and mortality diabetes cases using count data regression models.</w:t>
            </w:r>
          </w:p>
          <w:p w14:paraId="5A3C2998" w14:textId="77777777" w:rsidR="00F73E16" w:rsidRPr="00F73E16" w:rsidRDefault="00F73E16" w:rsidP="00F73E16">
            <w:pPr>
              <w:pStyle w:val="Body"/>
              <w:spacing w:after="0"/>
              <w:rPr>
                <w:rFonts w:ascii="Arial" w:eastAsia="Calibri" w:hAnsi="Arial" w:cs="Arial"/>
                <w:szCs w:val="22"/>
              </w:rPr>
            </w:pPr>
            <w:r w:rsidRPr="00F73E16">
              <w:rPr>
                <w:rFonts w:ascii="Arial" w:eastAsia="Calibri" w:hAnsi="Arial" w:cs="Arial"/>
                <w:b/>
                <w:szCs w:val="22"/>
              </w:rPr>
              <w:t>Study Design:</w:t>
            </w:r>
            <w:r w:rsidRPr="00F73E16">
              <w:rPr>
                <w:rFonts w:ascii="Arial" w:eastAsia="Calibri" w:hAnsi="Arial" w:cs="Arial"/>
                <w:szCs w:val="22"/>
              </w:rPr>
              <w:t xml:space="preserve"> The study adopted a retrospective quantitative research design using count data regression modeling. Three count data regression models—Poisson Regression (PR), Negative Binomial Regression (NBR), and Generalized Poisson Regression (GPR)—were employed to model and predict diabetes-related mortality based on confirmed, active, and severe diabetes cases.</w:t>
            </w:r>
          </w:p>
          <w:p w14:paraId="511486A8" w14:textId="77777777" w:rsidR="00F73E16" w:rsidRPr="00F73E16" w:rsidRDefault="00F73E16" w:rsidP="00F73E16">
            <w:pPr>
              <w:pStyle w:val="Body"/>
              <w:spacing w:after="0"/>
              <w:rPr>
                <w:rFonts w:ascii="Arial" w:eastAsia="Calibri" w:hAnsi="Arial" w:cs="Arial"/>
                <w:szCs w:val="22"/>
              </w:rPr>
            </w:pPr>
            <w:r w:rsidRPr="00F73E16">
              <w:rPr>
                <w:rFonts w:ascii="Arial" w:eastAsia="Calibri" w:hAnsi="Arial" w:cs="Arial"/>
                <w:b/>
                <w:szCs w:val="22"/>
              </w:rPr>
              <w:t>Place and Duration of Study:</w:t>
            </w:r>
            <w:r w:rsidRPr="00F73E16">
              <w:rPr>
                <w:rFonts w:ascii="Arial" w:eastAsia="Calibri" w:hAnsi="Arial" w:cs="Arial"/>
                <w:szCs w:val="22"/>
              </w:rPr>
              <w:t xml:space="preserve"> The study utilized secondary data obtained from the Benue State Epidemiological Unit, Makurdi, Benue State, Nigeria. The data covered the period from January 1, 2010, to December 30, 2023.</w:t>
            </w:r>
          </w:p>
          <w:p w14:paraId="1B7EBE17" w14:textId="77777777" w:rsidR="00F73E16" w:rsidRDefault="00F73E16" w:rsidP="00F73E16">
            <w:pPr>
              <w:pStyle w:val="Body"/>
              <w:spacing w:after="0"/>
              <w:rPr>
                <w:rFonts w:ascii="Arial" w:eastAsia="Calibri" w:hAnsi="Arial" w:cs="Arial"/>
                <w:szCs w:val="22"/>
              </w:rPr>
            </w:pPr>
            <w:r w:rsidRPr="00F73E16">
              <w:rPr>
                <w:rFonts w:ascii="Arial" w:eastAsia="Calibri" w:hAnsi="Arial" w:cs="Arial"/>
                <w:b/>
                <w:szCs w:val="22"/>
              </w:rPr>
              <w:t>Methodology:</w:t>
            </w:r>
            <w:r w:rsidRPr="00F73E16">
              <w:rPr>
                <w:rFonts w:ascii="Arial" w:eastAsia="Calibri" w:hAnsi="Arial" w:cs="Arial"/>
                <w:szCs w:val="22"/>
              </w:rPr>
              <w:t xml:space="preserve"> Monthly diabetes surveillance data comprising confirmed, active, severe, and mortality cases were analyzed using Poisson Regression, Negative Binomial Regression, and Generalized Poisson Regression models. Over-dispersion was assessed to determine the suitability of the Poisson Regression model. Model performance was evaluated using the -2 Log Likelihood (-2 </w:t>
            </w:r>
            <w:proofErr w:type="spellStart"/>
            <w:r w:rsidRPr="00F73E16">
              <w:rPr>
                <w:rFonts w:ascii="Arial" w:eastAsia="Calibri" w:hAnsi="Arial" w:cs="Arial"/>
                <w:szCs w:val="22"/>
              </w:rPr>
              <w:t>LogL</w:t>
            </w:r>
            <w:proofErr w:type="spellEnd"/>
            <w:r w:rsidRPr="00F73E16">
              <w:rPr>
                <w:rFonts w:ascii="Arial" w:eastAsia="Calibri" w:hAnsi="Arial" w:cs="Arial"/>
                <w:szCs w:val="22"/>
              </w:rPr>
              <w:t>), Akaike Information Criterion (AIC), and Bayesian Information Criterion (BIC), with the model exhibiting the best goodness-of-fit selected for predict</w:t>
            </w:r>
            <w:r>
              <w:rPr>
                <w:rFonts w:ascii="Arial" w:eastAsia="Calibri" w:hAnsi="Arial" w:cs="Arial"/>
                <w:szCs w:val="22"/>
              </w:rPr>
              <w:t>ing diabetes-related mortality.</w:t>
            </w:r>
          </w:p>
          <w:p w14:paraId="684F30C6" w14:textId="77777777" w:rsidR="00F73E16" w:rsidRPr="00F73E16" w:rsidRDefault="00F73E16" w:rsidP="00F73E16">
            <w:pPr>
              <w:pStyle w:val="Body"/>
              <w:spacing w:after="0"/>
              <w:rPr>
                <w:rFonts w:ascii="Arial" w:eastAsia="Calibri" w:hAnsi="Arial" w:cs="Arial"/>
                <w:szCs w:val="22"/>
              </w:rPr>
            </w:pPr>
            <w:r w:rsidRPr="00F73E16">
              <w:rPr>
                <w:rFonts w:ascii="Arial" w:eastAsia="Calibri" w:hAnsi="Arial" w:cs="Arial"/>
                <w:b/>
                <w:szCs w:val="22"/>
              </w:rPr>
              <w:t>Results:</w:t>
            </w:r>
            <w:r w:rsidRPr="00F73E16">
              <w:rPr>
                <w:rFonts w:ascii="Arial" w:eastAsia="Calibri" w:hAnsi="Arial" w:cs="Arial"/>
                <w:szCs w:val="22"/>
              </w:rPr>
              <w:t xml:space="preserve"> The analysis revealed significant over-dispersion in the Poisson Regression model, necessitating the application of the Negative Binomial Regression and Generalized Poisson Regression models. Among the competing models, the Negative Binomial Regression model provided the best fit, with a -2 Log Likelihood value of 155.32, an Akaike Information Criterion (AIC) of 150.12, and a Bayesian Information Criterion (BIC) of 158.47. These results indicate that the Negative Binomial Regression model is the most appropriate for modeling confirmed, active, and severe diabetes cases among farmers in Benue State. Furthermore, the study identified confirmed cases, active cases, and severe cases as significant predictors of diabetes-related mortality.</w:t>
            </w:r>
          </w:p>
          <w:p w14:paraId="410F1384" w14:textId="77777777" w:rsidR="004658C6" w:rsidRPr="00E66978" w:rsidRDefault="00F73E16" w:rsidP="00F73E16">
            <w:pPr>
              <w:pStyle w:val="Body"/>
              <w:spacing w:after="0"/>
              <w:rPr>
                <w:rFonts w:ascii="Arial" w:eastAsia="Calibri" w:hAnsi="Arial" w:cs="Arial"/>
                <w:szCs w:val="22"/>
              </w:rPr>
            </w:pPr>
            <w:r w:rsidRPr="00F73E16">
              <w:rPr>
                <w:rFonts w:ascii="Arial" w:eastAsia="Calibri" w:hAnsi="Arial" w:cs="Arial"/>
                <w:b/>
                <w:szCs w:val="22"/>
              </w:rPr>
              <w:t>Conclusion:</w:t>
            </w:r>
            <w:r w:rsidRPr="00F73E16">
              <w:rPr>
                <w:rFonts w:ascii="Arial" w:eastAsia="Calibri" w:hAnsi="Arial" w:cs="Arial"/>
                <w:szCs w:val="22"/>
              </w:rPr>
              <w:t xml:space="preserve"> The Negative Binomial Regression model is the most suitable count regression model for predicting diabetes-related mortality among farmers in Benue State due to its ability to account for over-dispersed count data. The study recommends that government, in collaboration with healthcare institutions, relevant ministries, non-governmental organizations, and international donor agencies, should strengthen rural healthcare services, enhance community-based diabetes awareness and education, improve disease surveillance and data monitoring systems, integrate predictive modeling into health planning, and build the capacity of local healthcare workers in diabetes </w:t>
            </w:r>
            <w:r w:rsidRPr="00F73E16">
              <w:rPr>
                <w:rFonts w:ascii="Arial" w:eastAsia="Calibri" w:hAnsi="Arial" w:cs="Arial"/>
                <w:szCs w:val="22"/>
              </w:rPr>
              <w:lastRenderedPageBreak/>
              <w:t>prevention, control, and management to reduce diabetes incidence and mortality among farmers in Benue State.</w:t>
            </w:r>
            <w:r w:rsidR="004658C6" w:rsidRPr="00E66978">
              <w:rPr>
                <w:rFonts w:ascii="Arial" w:hAnsi="Arial" w:cs="Arial"/>
              </w:rPr>
              <w:t>.</w:t>
            </w:r>
          </w:p>
        </w:tc>
      </w:tr>
    </w:tbl>
    <w:p w14:paraId="30332C25" w14:textId="77777777" w:rsidR="004658C6" w:rsidRPr="00FD4E87" w:rsidRDefault="004658C6" w:rsidP="00F73E16">
      <w:pPr>
        <w:pStyle w:val="Body"/>
        <w:spacing w:after="0"/>
        <w:rPr>
          <w:rFonts w:ascii="Arial" w:hAnsi="Arial" w:cs="Arial"/>
          <w:i/>
        </w:rPr>
      </w:pPr>
      <w:r>
        <w:rPr>
          <w:rFonts w:ascii="Arial" w:hAnsi="Arial" w:cs="Arial"/>
          <w:i/>
        </w:rPr>
        <w:lastRenderedPageBreak/>
        <w:t xml:space="preserve">Keywords: </w:t>
      </w:r>
      <w:r w:rsidR="00F73E16" w:rsidRPr="00F73E16">
        <w:rPr>
          <w:rFonts w:ascii="Arial" w:hAnsi="Arial" w:cs="Arial"/>
          <w:i/>
        </w:rPr>
        <w:t>Diabetes Mellitus, Mortality Incidence, Count Data Regression Models, Farmers, Benue State, Nigeria.</w:t>
      </w:r>
    </w:p>
    <w:p w14:paraId="36315119" w14:textId="77777777" w:rsidR="004658C6" w:rsidRDefault="004658C6" w:rsidP="004658C6">
      <w:pPr>
        <w:pStyle w:val="AbstHead"/>
        <w:spacing w:after="0"/>
        <w:jc w:val="both"/>
        <w:rPr>
          <w:rFonts w:ascii="Arial" w:hAnsi="Arial" w:cs="Arial"/>
        </w:rPr>
      </w:pPr>
    </w:p>
    <w:p w14:paraId="1D00F4C4" w14:textId="77777777" w:rsidR="004658C6" w:rsidRPr="00FB3A86" w:rsidRDefault="004658C6" w:rsidP="004658C6">
      <w:pPr>
        <w:pStyle w:val="AbstHead"/>
        <w:spacing w:after="0"/>
        <w:jc w:val="both"/>
        <w:rPr>
          <w:rFonts w:ascii="Arial" w:hAnsi="Arial" w:cs="Arial"/>
        </w:rPr>
      </w:pPr>
      <w:r>
        <w:rPr>
          <w:rFonts w:ascii="Arial" w:hAnsi="Arial" w:cs="Arial"/>
        </w:rPr>
        <w:t xml:space="preserve">1. </w:t>
      </w:r>
      <w:r w:rsidRPr="00FB3A86">
        <w:rPr>
          <w:rFonts w:ascii="Arial" w:hAnsi="Arial" w:cs="Arial"/>
        </w:rPr>
        <w:t>INTRODUCTION</w:t>
      </w:r>
      <w:r>
        <w:rPr>
          <w:rFonts w:ascii="Arial" w:hAnsi="Arial" w:cs="Arial"/>
        </w:rPr>
        <w:t xml:space="preserve"> </w:t>
      </w:r>
    </w:p>
    <w:p w14:paraId="48BABE06" w14:textId="77777777" w:rsidR="00F73E16" w:rsidRPr="00F73E16" w:rsidRDefault="00F73E16" w:rsidP="00F73E16">
      <w:pPr>
        <w:pStyle w:val="Body"/>
        <w:rPr>
          <w:rFonts w:ascii="Arial" w:hAnsi="Arial" w:cs="Arial"/>
        </w:rPr>
      </w:pPr>
      <w:r w:rsidRPr="00F73E16">
        <w:rPr>
          <w:rFonts w:ascii="Arial" w:hAnsi="Arial" w:cs="Arial"/>
        </w:rPr>
        <w:t>Diabetes mellitus (DM) is a chronic metabolic disorder characterized by elevated blood sugar levels due to insufficient insulin production or insulin resistance, causing glucose to accumulate in the bloodstream. This condition can lead to serious health complications, including cardiovascular disease, kidney failure, nerve damage, and even death if not effectively managed. The prevalence of diabetes has surged globally, posing a major public health challenge and impacting healthcare systems, particularly in low- and middle-income countries. In 2019, diabetes contributed to approximately 1.5 million deaths, with a notable rise in mortality in developing regions, including sub-Saharan Africa, where access to healthcare and diabetes management resources is often limited (García de Lucas &amp; Jiménez, 2021).</w:t>
      </w:r>
    </w:p>
    <w:p w14:paraId="3F18B636" w14:textId="77777777" w:rsidR="00F73E16" w:rsidRPr="00F73E16" w:rsidRDefault="00F73E16" w:rsidP="00F73E16">
      <w:pPr>
        <w:pStyle w:val="Body"/>
        <w:rPr>
          <w:rFonts w:ascii="Arial" w:hAnsi="Arial" w:cs="Arial"/>
        </w:rPr>
      </w:pPr>
      <w:r w:rsidRPr="00F73E16">
        <w:rPr>
          <w:rFonts w:ascii="Arial" w:hAnsi="Arial" w:cs="Arial"/>
        </w:rPr>
        <w:t xml:space="preserve">There are three main types of diabetes: Type 1, Type 2, and gestational diabetes. Type 1 diabetes is an autoimmune condition that destroys insulin-producing cells, necessitating lifelong insulin therapy. Type 2 diabetes, the most common form, arises from insulin resistance and can often be managed or prevented with lifestyle changes. Gestational diabetes occurs during pregnancy, often resolving post-birth but increasing the risk of Type 2 diabetes later (Li et al., 2017; Javeed &amp; Matveyenko, 2018; Damanik &amp; </w:t>
      </w:r>
      <w:proofErr w:type="spellStart"/>
      <w:r w:rsidRPr="00F73E16">
        <w:rPr>
          <w:rFonts w:ascii="Arial" w:hAnsi="Arial" w:cs="Arial"/>
        </w:rPr>
        <w:t>Yunir</w:t>
      </w:r>
      <w:proofErr w:type="spellEnd"/>
      <w:r w:rsidRPr="00F73E16">
        <w:rPr>
          <w:rFonts w:ascii="Arial" w:hAnsi="Arial" w:cs="Arial"/>
        </w:rPr>
        <w:t>, 2021).</w:t>
      </w:r>
    </w:p>
    <w:p w14:paraId="3212FAC7" w14:textId="77777777" w:rsidR="00F73E16" w:rsidRPr="00F73E16" w:rsidRDefault="00F73E16" w:rsidP="00F73E16">
      <w:pPr>
        <w:pStyle w:val="Body"/>
        <w:rPr>
          <w:rFonts w:ascii="Arial" w:hAnsi="Arial" w:cs="Arial"/>
        </w:rPr>
      </w:pPr>
      <w:r w:rsidRPr="00F73E16">
        <w:rPr>
          <w:rFonts w:ascii="Arial" w:hAnsi="Arial" w:cs="Arial"/>
        </w:rPr>
        <w:t>Untreated diabetes leads to complications like cardiovascular disease, kidney failure, neuropathy, and retinopathy. Diagnosis typically involves blood glucose tests and management strategies such as lifestyle adjustments, medications, and insulin therapy to prevent long-term complications (</w:t>
      </w:r>
      <w:proofErr w:type="spellStart"/>
      <w:r w:rsidRPr="00F73E16">
        <w:rPr>
          <w:rFonts w:ascii="Arial" w:hAnsi="Arial" w:cs="Arial"/>
        </w:rPr>
        <w:t>Glovaci</w:t>
      </w:r>
      <w:proofErr w:type="spellEnd"/>
      <w:r w:rsidRPr="00F73E16">
        <w:rPr>
          <w:rFonts w:ascii="Arial" w:hAnsi="Arial" w:cs="Arial"/>
        </w:rPr>
        <w:t xml:space="preserve"> et al., 2019; Ceriello &amp; </w:t>
      </w:r>
      <w:proofErr w:type="spellStart"/>
      <w:r w:rsidRPr="00F73E16">
        <w:rPr>
          <w:rFonts w:ascii="Arial" w:hAnsi="Arial" w:cs="Arial"/>
        </w:rPr>
        <w:t>Prattichizzo</w:t>
      </w:r>
      <w:proofErr w:type="spellEnd"/>
      <w:r w:rsidRPr="00F73E16">
        <w:rPr>
          <w:rFonts w:ascii="Arial" w:hAnsi="Arial" w:cs="Arial"/>
        </w:rPr>
        <w:t>, 2021). Diabetes has become a significant health concern globally, with cases rising from 108 million in 1980 to 422 million in 2014. Preventive measures, especially for Type 2 diabetes, include diet, exercise, and weight control, but the disease remains a major cause of mortality, particularly in lower-income regions (Meigs, 2019; García de Lucas &amp; Jiménez, 2021).</w:t>
      </w:r>
    </w:p>
    <w:p w14:paraId="1D2B70DF" w14:textId="77777777" w:rsidR="00F73E16" w:rsidRPr="00F73E16" w:rsidRDefault="00F73E16" w:rsidP="00F73E16">
      <w:pPr>
        <w:pStyle w:val="Body"/>
        <w:rPr>
          <w:rFonts w:ascii="Arial" w:hAnsi="Arial" w:cs="Arial"/>
        </w:rPr>
      </w:pPr>
      <w:r w:rsidRPr="00F73E16">
        <w:rPr>
          <w:rFonts w:ascii="Arial" w:hAnsi="Arial" w:cs="Arial"/>
        </w:rPr>
        <w:t>Nigeria, the most populous country in Africa, has witnessed a sharp rise in diabetes cases, reflecting broader global trends. This increase in diabetes prevalence has been observed across all age groups, with adult cases particularly prominent due to factors like urbanization, lifestyle changes, and the rising incidence of obesity. Benue State, known as the “food basket of Nigeria,” is home to a significant population of farmers, whose physical activity and dietary habits have traditionally been thought to lower the risk of non-communicable diseases. However, recent studies suggest that even agricultural communities in rural areas are not exempt from diabetes risk, largely due to lifestyle changes, reduced access to healthcare facilities, and limited diabetes awareness and education.</w:t>
      </w:r>
    </w:p>
    <w:p w14:paraId="2695E6EA" w14:textId="77777777" w:rsidR="00F73E16" w:rsidRPr="00F73E16" w:rsidRDefault="00F73E16" w:rsidP="00F73E16">
      <w:pPr>
        <w:pStyle w:val="Body"/>
        <w:rPr>
          <w:rFonts w:ascii="Arial" w:hAnsi="Arial" w:cs="Arial"/>
        </w:rPr>
      </w:pPr>
      <w:r w:rsidRPr="00F73E16">
        <w:rPr>
          <w:rFonts w:ascii="Arial" w:hAnsi="Arial" w:cs="Arial"/>
        </w:rPr>
        <w:t>Farmers in Benue State face unique challenges related to diabetes management. Their often remote work settings can limit access to regular healthcare services, and traditional dietary patterns, coupled with lifestyle changes, may contribute to the onset and progression of diabetes. Furthermore, the physical demands of farming require stable energy levels, which are compromised when diabetes is poorly managed. The lack of screening and preventive healthcare services in these communities contributes to late diagnoses, leading to complications that increase mortality risk among diabetic individuals. Understanding the factors associated with diabetes mortality in this population is crucial for developing targeted interventions to mitigate health risks.</w:t>
      </w:r>
    </w:p>
    <w:p w14:paraId="5FC878EC" w14:textId="77777777" w:rsidR="00F73E16" w:rsidRPr="00F73E16" w:rsidRDefault="00F73E16" w:rsidP="00F73E16">
      <w:pPr>
        <w:pStyle w:val="Body"/>
        <w:rPr>
          <w:rFonts w:ascii="Arial" w:hAnsi="Arial" w:cs="Arial"/>
        </w:rPr>
      </w:pPr>
      <w:r w:rsidRPr="00F73E16">
        <w:rPr>
          <w:rFonts w:ascii="Arial" w:hAnsi="Arial" w:cs="Arial"/>
        </w:rPr>
        <w:lastRenderedPageBreak/>
        <w:t xml:space="preserve">Given the limitations of traditional statistical methods in analyzing diabetes-related health outcomes, count data regression models have emerged as robust tools for understanding the incidence and risk factors of mortality related to diabetes. These models, including Poisson regression, negative binomial regression, and generalized Poisson regression, are designed to analyze count-based data and accommodate over-dispersion and skewness typical of health data. They are particularly valuable for assessing mortality rates by identifying significant predictors such as age, gender, socioeconomic status, comorbidities, and access to healthcare (Nwankwo &amp; </w:t>
      </w:r>
      <w:proofErr w:type="spellStart"/>
      <w:r w:rsidRPr="00F73E16">
        <w:rPr>
          <w:rFonts w:ascii="Arial" w:hAnsi="Arial" w:cs="Arial"/>
        </w:rPr>
        <w:t>Nwaigwe</w:t>
      </w:r>
      <w:proofErr w:type="spellEnd"/>
      <w:r w:rsidRPr="00F73E16">
        <w:rPr>
          <w:rFonts w:ascii="Arial" w:hAnsi="Arial" w:cs="Arial"/>
        </w:rPr>
        <w:t>, 2016).</w:t>
      </w:r>
    </w:p>
    <w:p w14:paraId="28D3CE60" w14:textId="77777777" w:rsidR="004658C6" w:rsidRDefault="00F73E16" w:rsidP="00F73E16">
      <w:pPr>
        <w:pStyle w:val="Body"/>
        <w:spacing w:after="0"/>
        <w:rPr>
          <w:rFonts w:ascii="Arial" w:hAnsi="Arial" w:cs="Arial"/>
        </w:rPr>
      </w:pPr>
      <w:r w:rsidRPr="00F73E16">
        <w:rPr>
          <w:rFonts w:ascii="Arial" w:hAnsi="Arial" w:cs="Arial"/>
        </w:rPr>
        <w:t>By applying count data regression models, this study aims to identify and model the factors contributing to diabetes-related mortality among farmers in Benue State. Insights from these models can inform public health strategies, such as targeted screening programs, improved healthcare access, and lifestyle interventions, to reduce diabetes mortality and improve quality of life for affected populations. Understanding the epidemiological and socioeconomic determinants of diabetes mortality among Benue State farmers has the potential to guide policy development and resource allocation, ultimately fostering better health outcomes within this vital community (</w:t>
      </w:r>
      <w:proofErr w:type="spellStart"/>
      <w:r w:rsidRPr="00F73E16">
        <w:rPr>
          <w:rFonts w:ascii="Arial" w:hAnsi="Arial" w:cs="Arial"/>
        </w:rPr>
        <w:t>Tlhaloganyang</w:t>
      </w:r>
      <w:proofErr w:type="spellEnd"/>
      <w:r w:rsidRPr="00F73E16">
        <w:rPr>
          <w:rFonts w:ascii="Arial" w:hAnsi="Arial" w:cs="Arial"/>
        </w:rPr>
        <w:t>, 2020).</w:t>
      </w:r>
    </w:p>
    <w:p w14:paraId="60A10E24" w14:textId="77777777" w:rsidR="00F73E16" w:rsidRDefault="00F73E16" w:rsidP="00F73E16">
      <w:pPr>
        <w:pStyle w:val="Body"/>
        <w:spacing w:after="0"/>
        <w:rPr>
          <w:rFonts w:ascii="Arial" w:hAnsi="Arial" w:cs="Arial"/>
        </w:rPr>
      </w:pPr>
    </w:p>
    <w:p w14:paraId="1DA8700B" w14:textId="77777777" w:rsidR="00F73E16" w:rsidRPr="00F73E16" w:rsidRDefault="00F73E16" w:rsidP="00F73E16">
      <w:pPr>
        <w:pStyle w:val="Body"/>
        <w:rPr>
          <w:rFonts w:ascii="Arial" w:hAnsi="Arial" w:cs="Arial"/>
        </w:rPr>
      </w:pPr>
      <w:r w:rsidRPr="00F73E16">
        <w:rPr>
          <w:rFonts w:ascii="Arial" w:hAnsi="Arial" w:cs="Arial"/>
        </w:rPr>
        <w:t xml:space="preserve">Several empirical evidence on the subject matter are well documented in literature. For example, Song et al. (2011) conducted a study to explore Bayesian hierarchical models for sparse data, focusing on diabetes in youth. It compared these models with traditional Poisson and zero-inflated models using simulated data. The sparse Poisson convolution model outperformed the others, as indicated by lower deviance information criterion (DIC) and mean squared prediction error. </w:t>
      </w:r>
      <w:proofErr w:type="spellStart"/>
      <w:r w:rsidRPr="00F73E16">
        <w:rPr>
          <w:rFonts w:ascii="Arial" w:hAnsi="Arial" w:cs="Arial"/>
        </w:rPr>
        <w:t>Askarishahi</w:t>
      </w:r>
      <w:proofErr w:type="spellEnd"/>
      <w:r w:rsidRPr="00F73E16">
        <w:rPr>
          <w:rFonts w:ascii="Arial" w:hAnsi="Arial" w:cs="Arial"/>
        </w:rPr>
        <w:t xml:space="preserve"> et al. (2014) analyzed diabetes-related mortality trends in Iran from 2003 to 2010 using join point regression. It found a significant increase in mortality rates, particularly from 2003 to 2007, with a shift to a gentler slope thereafter. The study highlighted a variation point in 2007 and noted higher mortality rates among men and women during this period. Orozco-</w:t>
      </w:r>
      <w:proofErr w:type="spellStart"/>
      <w:r w:rsidRPr="00F73E16">
        <w:rPr>
          <w:rFonts w:ascii="Arial" w:hAnsi="Arial" w:cs="Arial"/>
        </w:rPr>
        <w:t>Beltra´n</w:t>
      </w:r>
      <w:proofErr w:type="spellEnd"/>
      <w:r w:rsidRPr="00F73E16">
        <w:rPr>
          <w:rFonts w:ascii="Arial" w:hAnsi="Arial" w:cs="Arial"/>
        </w:rPr>
        <w:t xml:space="preserve"> et al. (2017) carried out ecological study to assess diabetes mortality in Spain from 1998 to 2013, revealing a significant decrease in standardized mortality rates, particularly in women. The study noted geographical disparities, with the highest mortality rates in the Canary Islands and a gradual reduction in regional differences over time.</w:t>
      </w:r>
    </w:p>
    <w:p w14:paraId="61DF1E3A" w14:textId="77777777" w:rsidR="00F73E16" w:rsidRPr="00F73E16" w:rsidRDefault="00F73E16" w:rsidP="00F73E16">
      <w:pPr>
        <w:pStyle w:val="Body"/>
        <w:rPr>
          <w:rFonts w:ascii="Arial" w:hAnsi="Arial" w:cs="Arial"/>
        </w:rPr>
      </w:pPr>
      <w:r w:rsidRPr="00F73E16">
        <w:rPr>
          <w:rFonts w:ascii="Arial" w:hAnsi="Arial" w:cs="Arial"/>
        </w:rPr>
        <w:t>Gholipour et al. (2018) employed descriptive and analytical analysis to compare artificial neural networks (ANN) and logistic regression in identifying type 2 diabetes (T2DM) risk factors in East Azerbaijan, Iran. Logistic regression identified age, family history, and residence as significant, while ANN highlighted age, body mass index, and smoking. Logistic regression was deemed more clinically interpretable. Lin et al. (2021) developed a Markov model to predict diabetes-related complications and mortality from a Taiwan database. It simulated transitions among 163,452 T2D patients and validated its predictions against existing models, demonstrating strong predictive accuracy and encouraging further applications in health decision-making. Giovanni et al. (2021) carried out a meta-analysis of 87 studies on COVID-19 mortality found diabetes to be the most significant predictor of mortality in hospitalized patients. The study identified demographic differences in mortality rates and emphasized the importance of managing diabetes and thrombotic complications in COVID-19 patients.</w:t>
      </w:r>
    </w:p>
    <w:p w14:paraId="479774CE" w14:textId="77777777" w:rsidR="00F73E16" w:rsidRPr="00F73E16" w:rsidRDefault="00F73E16" w:rsidP="00F73E16">
      <w:pPr>
        <w:pStyle w:val="Body"/>
        <w:rPr>
          <w:rFonts w:ascii="Arial" w:hAnsi="Arial" w:cs="Arial"/>
        </w:rPr>
      </w:pPr>
      <w:r w:rsidRPr="00F73E16">
        <w:rPr>
          <w:rFonts w:ascii="Arial" w:hAnsi="Arial" w:cs="Arial"/>
        </w:rPr>
        <w:t xml:space="preserve">Lee et al. (2021) developed a machine learning model to predict all-cause mortality in T2DM patients in Hong Kong. Using Cox proportional hazards and advanced machine learning techniques, the study identified multiple significant predictors and achieved high predictive accuracy with the final model. Fan et al. (2022) examined trends in diabetes-related mortality during the COVID-19 pandemic in the U.S. from 2006 to 2021, identifying a substantial increase in deaths during the pandemic, particularly among younger adults and Hispanic populations. </w:t>
      </w:r>
      <w:proofErr w:type="spellStart"/>
      <w:r w:rsidRPr="00F73E16">
        <w:rPr>
          <w:rFonts w:ascii="Arial" w:hAnsi="Arial" w:cs="Arial"/>
        </w:rPr>
        <w:t>Barsasella</w:t>
      </w:r>
      <w:proofErr w:type="spellEnd"/>
      <w:r w:rsidRPr="00F73E16">
        <w:rPr>
          <w:rFonts w:ascii="Arial" w:hAnsi="Arial" w:cs="Arial"/>
        </w:rPr>
        <w:t xml:space="preserve"> et al. (2022) developed a machine learning model to predict hospital </w:t>
      </w:r>
      <w:r w:rsidRPr="00F73E16">
        <w:rPr>
          <w:rFonts w:ascii="Arial" w:hAnsi="Arial" w:cs="Arial"/>
        </w:rPr>
        <w:lastRenderedPageBreak/>
        <w:t>Length of Stay (</w:t>
      </w:r>
      <w:proofErr w:type="spellStart"/>
      <w:r w:rsidRPr="00F73E16">
        <w:rPr>
          <w:rFonts w:ascii="Arial" w:hAnsi="Arial" w:cs="Arial"/>
        </w:rPr>
        <w:t>LoS</w:t>
      </w:r>
      <w:proofErr w:type="spellEnd"/>
      <w:r w:rsidRPr="00F73E16">
        <w:rPr>
          <w:rFonts w:ascii="Arial" w:hAnsi="Arial" w:cs="Arial"/>
        </w:rPr>
        <w:t xml:space="preserve">) and mortality in T2DM and hypertension patients using Taiwan’s health database. Logistic regression was most effective for mortality prediction, while linear regression excelled in predicting </w:t>
      </w:r>
      <w:proofErr w:type="spellStart"/>
      <w:r w:rsidRPr="00F73E16">
        <w:rPr>
          <w:rFonts w:ascii="Arial" w:hAnsi="Arial" w:cs="Arial"/>
        </w:rPr>
        <w:t>LoS</w:t>
      </w:r>
      <w:proofErr w:type="spellEnd"/>
      <w:r w:rsidRPr="00F73E16">
        <w:rPr>
          <w:rFonts w:ascii="Arial" w:hAnsi="Arial" w:cs="Arial"/>
        </w:rPr>
        <w:t>. Li et al. (2023) conducted a prospective study aimed to predict one-year mortality in older CAD patients with diabetes or impaired glucose tolerance using machine learning. The gradient boosting machine model performed best, identifying key risk and protective factors related to mortality.</w:t>
      </w:r>
    </w:p>
    <w:p w14:paraId="1868E598" w14:textId="77777777" w:rsidR="00F73E16" w:rsidRPr="00F73E16" w:rsidRDefault="00F73E16" w:rsidP="00F73E16">
      <w:pPr>
        <w:pStyle w:val="Body"/>
        <w:rPr>
          <w:rFonts w:ascii="Arial" w:hAnsi="Arial" w:cs="Arial"/>
        </w:rPr>
      </w:pPr>
      <w:r w:rsidRPr="00F73E16">
        <w:rPr>
          <w:rFonts w:ascii="Arial" w:hAnsi="Arial" w:cs="Arial"/>
        </w:rPr>
        <w:t xml:space="preserve">Soh et al. (2023) identified predictors for readmissions in adult diabetes patients, finding that a zero-inflated negative binomial model outperformed other regression models in predicting readmission rates. </w:t>
      </w:r>
      <w:proofErr w:type="spellStart"/>
      <w:r w:rsidRPr="00F73E16">
        <w:rPr>
          <w:rFonts w:ascii="Arial" w:hAnsi="Arial" w:cs="Arial"/>
        </w:rPr>
        <w:t>Kaombe</w:t>
      </w:r>
      <w:proofErr w:type="spellEnd"/>
      <w:r w:rsidRPr="00F73E16">
        <w:rPr>
          <w:rFonts w:ascii="Arial" w:hAnsi="Arial" w:cs="Arial"/>
        </w:rPr>
        <w:t xml:space="preserve"> et al. (2023) used outlier detection methods to study cancer patients with comorbid diabetes and hypertension in Malawi, recommending detailed analysis of outlier cases before implementing health interventions. Tanaka et al. (2024) investigated predictive models for new-onset diabetes in a cohort of health examination participants, identifying hemoglobin A1c and fatty liver index as key predictors and demonstrating no significant differences in performance among various machine learning models.</w:t>
      </w:r>
    </w:p>
    <w:p w14:paraId="0B3CBB22" w14:textId="77777777" w:rsidR="00F73E16" w:rsidRPr="00F73E16" w:rsidRDefault="00F73E16" w:rsidP="00F73E16">
      <w:pPr>
        <w:pStyle w:val="Body"/>
        <w:rPr>
          <w:rFonts w:ascii="Arial" w:hAnsi="Arial" w:cs="Arial"/>
        </w:rPr>
      </w:pPr>
      <w:r w:rsidRPr="00F73E16">
        <w:rPr>
          <w:rFonts w:ascii="Arial" w:hAnsi="Arial" w:cs="Arial"/>
        </w:rPr>
        <w:t>GBD (2023) provided global estimates of diabetes prevalence and burden from 1990 to 2021, projecting significant increases in diabetes cases and highlighting high BMI as a major contributing factor to type 2 diabetes DALYs. The projections indicated that over 1.31 billion people could be living with diabetes by 2050. Pan et al. (2024) conducted a study whose objective was to develop a predictive nomogram for estimating 5-year all-cause mortality risk among older adults with diabetes, addressing the increasing mortality rate and its implications for health and economic burdens.</w:t>
      </w:r>
    </w:p>
    <w:p w14:paraId="33E3C2B2" w14:textId="77777777" w:rsidR="00F73E16" w:rsidRDefault="00F73E16" w:rsidP="00F73E16">
      <w:pPr>
        <w:pStyle w:val="Body"/>
        <w:spacing w:after="0"/>
        <w:rPr>
          <w:rFonts w:ascii="Arial" w:hAnsi="Arial" w:cs="Arial"/>
        </w:rPr>
      </w:pPr>
      <w:r w:rsidRPr="00F73E16">
        <w:rPr>
          <w:rFonts w:ascii="Arial" w:hAnsi="Arial" w:cs="Arial"/>
        </w:rPr>
        <w:t>The above empirical literature review encapsulate the key findings and methodologies of each study, providing an overview of recent research on diabetes and its associated mortality trends and predictive modeling techniques.</w:t>
      </w:r>
    </w:p>
    <w:p w14:paraId="43B0FB1C" w14:textId="77777777" w:rsidR="00B42C33" w:rsidRPr="00B74453" w:rsidRDefault="00B42C33" w:rsidP="00F73E16">
      <w:pPr>
        <w:pStyle w:val="Body"/>
        <w:spacing w:after="0"/>
        <w:rPr>
          <w:rFonts w:ascii="Arial" w:hAnsi="Arial" w:cs="Arial"/>
        </w:rPr>
      </w:pPr>
    </w:p>
    <w:p w14:paraId="779E2FD8" w14:textId="77777777" w:rsidR="004658C6" w:rsidRPr="00FB3A86" w:rsidRDefault="004658C6" w:rsidP="004658C6">
      <w:pPr>
        <w:pStyle w:val="AbstHead"/>
        <w:spacing w:after="0"/>
        <w:jc w:val="both"/>
        <w:rPr>
          <w:rFonts w:ascii="Arial" w:hAnsi="Arial" w:cs="Arial"/>
        </w:rPr>
      </w:pPr>
      <w:r>
        <w:rPr>
          <w:rFonts w:ascii="Arial" w:hAnsi="Arial" w:cs="Arial"/>
        </w:rPr>
        <w:t xml:space="preserve">2. material and methods </w:t>
      </w:r>
    </w:p>
    <w:p w14:paraId="0A9E6709" w14:textId="77777777" w:rsidR="004658C6" w:rsidRPr="00B74453" w:rsidRDefault="004658C6" w:rsidP="004658C6">
      <w:pPr>
        <w:spacing w:before="240"/>
        <w:jc w:val="both"/>
        <w:rPr>
          <w:rFonts w:ascii="Arial" w:hAnsi="Arial" w:cs="Arial"/>
          <w:b/>
        </w:rPr>
      </w:pPr>
      <w:r w:rsidRPr="00B74453">
        <w:rPr>
          <w:rFonts w:ascii="Arial" w:hAnsi="Arial" w:cs="Arial"/>
          <w:b/>
        </w:rPr>
        <w:t>2.1 Data Source</w:t>
      </w:r>
    </w:p>
    <w:p w14:paraId="79E37798" w14:textId="77777777" w:rsidR="00F73E16" w:rsidRDefault="00F73E16" w:rsidP="004658C6">
      <w:pPr>
        <w:jc w:val="both"/>
        <w:rPr>
          <w:rFonts w:ascii="Arial" w:hAnsi="Arial" w:cs="Arial"/>
        </w:rPr>
      </w:pPr>
      <w:r w:rsidRPr="00F73E16">
        <w:rPr>
          <w:rFonts w:ascii="Arial" w:hAnsi="Arial" w:cs="Arial"/>
        </w:rPr>
        <w:t>The data used in this work comprised serologically monthly confirmed, active, severe and death cases due to Diabetes Mellitus in Benue state from 1st January, 2010 to 30th December, 2023. The data was obtained as secondary data from Benue Epidemiological Unit, Makurdi. The data was collected and sieved through occupation to ensure that participants are mostly farmers.</w:t>
      </w:r>
    </w:p>
    <w:p w14:paraId="266FEC52" w14:textId="77777777" w:rsidR="00F86B78" w:rsidRPr="00F86B78" w:rsidRDefault="00F86B78" w:rsidP="00F86B78">
      <w:pPr>
        <w:jc w:val="both"/>
        <w:rPr>
          <w:rFonts w:ascii="Arial" w:hAnsi="Arial" w:cs="Arial"/>
          <w:b/>
        </w:rPr>
      </w:pPr>
      <w:r w:rsidRPr="00F86B78">
        <w:rPr>
          <w:rFonts w:ascii="Arial" w:hAnsi="Arial" w:cs="Arial"/>
          <w:b/>
        </w:rPr>
        <w:t>2.2 Model Specification</w:t>
      </w:r>
    </w:p>
    <w:p w14:paraId="2EC9C10F" w14:textId="77777777" w:rsidR="00F86B78" w:rsidRPr="00F86B78" w:rsidRDefault="00F86B78" w:rsidP="00F86B78">
      <w:pPr>
        <w:jc w:val="both"/>
        <w:rPr>
          <w:rFonts w:ascii="Arial" w:hAnsi="Arial" w:cs="Arial"/>
        </w:rPr>
      </w:pPr>
      <w:r w:rsidRPr="00F86B78">
        <w:rPr>
          <w:rFonts w:ascii="Arial" w:hAnsi="Arial" w:cs="Arial"/>
        </w:rPr>
        <w:t>The models adopted for the current study are count data regression models comprising Poisson Regression (PR), Negative Binomial Regression (NBR) and Generalized Poisson Regression (GPR). The count data are the monthly death cases due to diabetes which are considered as the dependent variable whereas the monthly confirmed, active, severe, and recovered cases of diabetes mellitus are the independent variables. All the variables considered are continuous count data.</w:t>
      </w:r>
    </w:p>
    <w:p w14:paraId="0D0029EE" w14:textId="77777777" w:rsidR="00F86B78" w:rsidRPr="00F86B78" w:rsidRDefault="00F86B78" w:rsidP="00F86B78">
      <w:pPr>
        <w:jc w:val="both"/>
        <w:rPr>
          <w:rFonts w:ascii="Arial" w:hAnsi="Arial" w:cs="Arial"/>
          <w:b/>
        </w:rPr>
      </w:pPr>
      <w:r w:rsidRPr="00F86B78">
        <w:rPr>
          <w:rFonts w:ascii="Arial" w:hAnsi="Arial" w:cs="Arial"/>
          <w:b/>
        </w:rPr>
        <w:t>2.2.1 Poisson Regression Model</w:t>
      </w:r>
    </w:p>
    <w:p w14:paraId="5A553BE4" w14:textId="77777777" w:rsidR="00F86B78" w:rsidRDefault="00F86B78" w:rsidP="00F86B78">
      <w:pPr>
        <w:jc w:val="both"/>
        <w:rPr>
          <w:rFonts w:ascii="Arial" w:hAnsi="Arial" w:cs="Arial"/>
        </w:rPr>
      </w:pPr>
      <w:r w:rsidRPr="00F86B78">
        <w:rPr>
          <w:rFonts w:ascii="Arial" w:hAnsi="Arial" w:cs="Arial"/>
        </w:rPr>
        <w:t>Poisson regression is a type of regression analysis used when the dependent variable is a count variable, representing the number of events occurring in a fixed interval of time or space. The Poisson regression model assumes that the counts follow a Poisson distribution, which is characterized by the mean rate of events (</w:t>
      </w:r>
      <w:r w:rsidRPr="00F86B78">
        <w:rPr>
          <w:rFonts w:ascii="Arial" w:hAnsi="Arial" w:cs="Arial" w:hint="eastAsia"/>
        </w:rPr>
        <w:t>λ</w:t>
      </w:r>
      <w:r w:rsidRPr="00F86B78">
        <w:rPr>
          <w:rFonts w:ascii="Arial" w:hAnsi="Arial" w:cs="Arial"/>
        </w:rPr>
        <w:t>) occurring in the fixed interval (Agresti, 2007).</w:t>
      </w:r>
    </w:p>
    <w:p w14:paraId="12E78F05" w14:textId="77777777" w:rsidR="00F86B78" w:rsidRPr="00F86B78" w:rsidRDefault="00F86B78" w:rsidP="00F86B78">
      <w:pPr>
        <w:jc w:val="both"/>
        <w:rPr>
          <w:rFonts w:ascii="Arial" w:hAnsi="Arial" w:cs="Arial"/>
        </w:rPr>
      </w:pPr>
      <w:r w:rsidRPr="00F86B78">
        <w:rPr>
          <w:rFonts w:ascii="Arial" w:hAnsi="Arial" w:cs="Arial"/>
        </w:rPr>
        <w:t>The mathematical form of the Poisson regression model is given by:</w:t>
      </w:r>
    </w:p>
    <w:p w14:paraId="58666996" w14:textId="77777777" w:rsidR="00F86B78" w:rsidRPr="00F86B78" w:rsidRDefault="00000000" w:rsidP="00F86B78">
      <w:pPr>
        <w:jc w:val="both"/>
        <w:rPr>
          <w:rFonts w:ascii="Arial" w:hAnsi="Arial" w:cs="Arial"/>
        </w:rPr>
      </w:pPr>
      <m:oMathPara>
        <m:oMath>
          <m:func>
            <m:funcPr>
              <m:ctrlPr>
                <w:rPr>
                  <w:rFonts w:ascii="Cambria Math" w:hAnsi="Cambria Math" w:cs="Arial"/>
                  <w:i/>
                </w:rPr>
              </m:ctrlPr>
            </m:funcPr>
            <m:fName>
              <m:r>
                <m:rPr>
                  <m:sty m:val="p"/>
                </m:rPr>
                <w:rPr>
                  <w:rFonts w:ascii="Cambria Math" w:hAnsi="Cambria Math" w:cs="Arial"/>
                </w:rPr>
                <m:t>ln</m:t>
              </m:r>
            </m:fName>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λ</m:t>
                      </m:r>
                    </m:e>
                    <m:sub>
                      <m:r>
                        <w:rPr>
                          <w:rFonts w:ascii="Cambria Math" w:hAnsi="Cambria Math" w:cs="Arial"/>
                        </w:rPr>
                        <m:t>i</m:t>
                      </m:r>
                    </m:sub>
                  </m:sSub>
                </m:e>
              </m:d>
              <m:r>
                <w:rPr>
                  <w:rFonts w:ascii="Cambria Math" w:hAnsi="Cambria Math" w:cs="Arial"/>
                </w:rPr>
                <m:t>=</m:t>
              </m:r>
            </m:e>
          </m:func>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1</m:t>
              </m:r>
            </m:sub>
          </m:sSub>
          <m:sSub>
            <m:sSubPr>
              <m:ctrlPr>
                <w:rPr>
                  <w:rFonts w:ascii="Cambria Math" w:hAnsi="Cambria Math" w:cs="Arial"/>
                  <w:i/>
                </w:rPr>
              </m:ctrlPr>
            </m:sSubPr>
            <m:e>
              <m:r>
                <w:rPr>
                  <w:rFonts w:ascii="Cambria Math" w:hAnsi="Cambria Math" w:cs="Arial"/>
                </w:rPr>
                <m:t>X</m:t>
              </m:r>
            </m:e>
            <m:sub>
              <m:r>
                <w:rPr>
                  <w:rFonts w:ascii="Cambria Math" w:hAnsi="Cambria Math" w:cs="Arial"/>
                </w:rPr>
                <m:t>1</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2</m:t>
              </m:r>
            </m:sub>
          </m:sSub>
          <m:sSub>
            <m:sSubPr>
              <m:ctrlPr>
                <w:rPr>
                  <w:rFonts w:ascii="Cambria Math" w:hAnsi="Cambria Math" w:cs="Arial"/>
                  <w:i/>
                </w:rPr>
              </m:ctrlPr>
            </m:sSubPr>
            <m:e>
              <m:r>
                <w:rPr>
                  <w:rFonts w:ascii="Cambria Math" w:hAnsi="Cambria Math" w:cs="Arial"/>
                </w:rPr>
                <m:t>X</m:t>
              </m:r>
            </m:e>
            <m:sub>
              <m:r>
                <w:rPr>
                  <w:rFonts w:ascii="Cambria Math" w:hAnsi="Cambria Math" w:cs="Arial"/>
                </w:rPr>
                <m:t>2</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3</m:t>
              </m:r>
            </m:sub>
          </m:sSub>
          <m:sSub>
            <m:sSubPr>
              <m:ctrlPr>
                <w:rPr>
                  <w:rFonts w:ascii="Cambria Math" w:hAnsi="Cambria Math" w:cs="Arial"/>
                  <w:i/>
                </w:rPr>
              </m:ctrlPr>
            </m:sSubPr>
            <m:e>
              <m:r>
                <w:rPr>
                  <w:rFonts w:ascii="Cambria Math" w:hAnsi="Cambria Math" w:cs="Arial"/>
                </w:rPr>
                <m:t>X</m:t>
              </m:r>
            </m:e>
            <m:sub>
              <m:r>
                <w:rPr>
                  <w:rFonts w:ascii="Cambria Math" w:hAnsi="Cambria Math" w:cs="Arial"/>
                </w:rPr>
                <m:t>3</m:t>
              </m:r>
            </m:sub>
          </m:sSub>
          <m:r>
            <w:rPr>
              <w:rFonts w:ascii="Cambria Math" w:hAnsi="Cambria Math" w:cs="Arial"/>
            </w:rPr>
            <m:t>+</m:t>
          </m:r>
          <m:sSub>
            <m:sSubPr>
              <m:ctrlPr>
                <w:rPr>
                  <w:rFonts w:ascii="Cambria Math" w:hAnsi="Cambria Math" w:cs="Arial"/>
                  <w:i/>
                </w:rPr>
              </m:ctrlPr>
            </m:sSubPr>
            <m:e>
              <m:r>
                <w:rPr>
                  <w:rFonts w:ascii="Cambria Math" w:hAnsi="Cambria Math" w:cs="Arial"/>
                </w:rPr>
                <m:t>ε</m:t>
              </m:r>
            </m:e>
            <m:sub>
              <m:r>
                <w:rPr>
                  <w:rFonts w:ascii="Cambria Math" w:hAnsi="Cambria Math" w:cs="Arial"/>
                </w:rPr>
                <m:t>i</m:t>
              </m:r>
            </m:sub>
          </m:sSub>
          <m:r>
            <w:rPr>
              <w:rFonts w:ascii="Cambria Math" w:hAnsi="Cambria Math" w:cs="Arial"/>
            </w:rPr>
            <m:t xml:space="preserve">                                                                    (1)</m:t>
          </m:r>
        </m:oMath>
      </m:oMathPara>
    </w:p>
    <w:p w14:paraId="6BED973A" w14:textId="77777777" w:rsidR="00F86B78" w:rsidRPr="00F86B78" w:rsidRDefault="00F86B78" w:rsidP="00F86B78">
      <w:pPr>
        <w:jc w:val="both"/>
        <w:rPr>
          <w:rFonts w:ascii="Arial" w:hAnsi="Arial" w:cs="Arial"/>
        </w:rPr>
      </w:pPr>
      <w:r w:rsidRPr="00F86B78">
        <w:rPr>
          <w:rFonts w:ascii="Arial" w:hAnsi="Arial" w:cs="Arial"/>
        </w:rPr>
        <w:t xml:space="preserve">where </w:t>
      </w:r>
      <m:oMath>
        <m:sSub>
          <m:sSubPr>
            <m:ctrlPr>
              <w:rPr>
                <w:rFonts w:ascii="Cambria Math" w:hAnsi="Cambria Math" w:cs="Arial"/>
                <w:i/>
              </w:rPr>
            </m:ctrlPr>
          </m:sSubPr>
          <m:e>
            <m:r>
              <w:rPr>
                <w:rFonts w:ascii="Cambria Math" w:hAnsi="Cambria Math" w:cs="Arial"/>
              </w:rPr>
              <m:t>λ</m:t>
            </m:r>
          </m:e>
          <m:sub>
            <m:r>
              <w:rPr>
                <w:rFonts w:ascii="Cambria Math" w:hAnsi="Cambria Math" w:cs="Arial"/>
              </w:rPr>
              <m:t>i</m:t>
            </m:r>
          </m:sub>
        </m:sSub>
      </m:oMath>
      <w:r w:rsidRPr="00F86B78">
        <w:rPr>
          <w:rFonts w:ascii="Arial" w:eastAsiaTheme="minorEastAsia" w:hAnsi="Arial" w:cs="Arial"/>
        </w:rPr>
        <w:t xml:space="preserve"> </w:t>
      </w:r>
      <w:r w:rsidRPr="00F86B78">
        <w:rPr>
          <w:rFonts w:ascii="Arial" w:hAnsi="Arial" w:cs="Arial"/>
        </w:rPr>
        <w:t xml:space="preserve">is the expected diabetes mellitus related deaths for the </w:t>
      </w:r>
      <m:oMath>
        <m:r>
          <w:rPr>
            <w:rStyle w:val="katex-mathml"/>
            <w:rFonts w:ascii="Cambria Math" w:hAnsi="Cambria Math" w:cs="Arial"/>
            <w:bdr w:val="none" w:sz="0" w:space="0" w:color="auto" w:frame="1"/>
          </w:rPr>
          <m:t>i</m:t>
        </m:r>
      </m:oMath>
      <w:r w:rsidRPr="00F86B78">
        <w:rPr>
          <w:rStyle w:val="katex-mathml"/>
          <w:rFonts w:ascii="Arial" w:hAnsi="Arial" w:cs="Arial"/>
          <w:bdr w:val="none" w:sz="0" w:space="0" w:color="auto" w:frame="1"/>
        </w:rPr>
        <w:t>-</w:t>
      </w:r>
      <w:proofErr w:type="spellStart"/>
      <w:r w:rsidRPr="00F86B78">
        <w:rPr>
          <w:rFonts w:ascii="Arial" w:hAnsi="Arial" w:cs="Arial"/>
        </w:rPr>
        <w:t>th</w:t>
      </w:r>
      <w:proofErr w:type="spellEnd"/>
      <w:r w:rsidRPr="00F86B78">
        <w:rPr>
          <w:rFonts w:ascii="Arial" w:hAnsi="Arial" w:cs="Arial"/>
        </w:rPr>
        <w:t xml:space="preserve"> observation, </w:t>
      </w:r>
      <m:oMath>
        <m:func>
          <m:funcPr>
            <m:ctrlPr>
              <w:rPr>
                <w:rFonts w:ascii="Cambria Math" w:hAnsi="Cambria Math" w:cs="Arial"/>
                <w:i/>
              </w:rPr>
            </m:ctrlPr>
          </m:funcPr>
          <m:fName>
            <m:r>
              <m:rPr>
                <m:sty m:val="p"/>
              </m:rPr>
              <w:rPr>
                <w:rFonts w:ascii="Cambria Math" w:hAnsi="Cambria Math" w:cs="Arial"/>
              </w:rPr>
              <m:t>ln</m:t>
            </m:r>
          </m:fName>
          <m:e>
            <m:sSub>
              <m:sSubPr>
                <m:ctrlPr>
                  <w:rPr>
                    <w:rFonts w:ascii="Cambria Math" w:hAnsi="Cambria Math" w:cs="Arial"/>
                    <w:i/>
                  </w:rPr>
                </m:ctrlPr>
              </m:sSubPr>
              <m:e>
                <m:r>
                  <w:rPr>
                    <w:rFonts w:ascii="Cambria Math" w:hAnsi="Cambria Math" w:cs="Arial"/>
                  </w:rPr>
                  <m:t>λ</m:t>
                </m:r>
              </m:e>
              <m:sub>
                <m:r>
                  <w:rPr>
                    <w:rFonts w:ascii="Cambria Math" w:hAnsi="Cambria Math" w:cs="Arial"/>
                  </w:rPr>
                  <m:t>i</m:t>
                </m:r>
              </m:sub>
            </m:sSub>
          </m:e>
        </m:func>
      </m:oMath>
      <w:r w:rsidRPr="00F86B78">
        <w:rPr>
          <w:rFonts w:ascii="Arial" w:eastAsiaTheme="minorEastAsia" w:hAnsi="Arial" w:cs="Arial"/>
        </w:rPr>
        <w:t xml:space="preserve"> </w:t>
      </w:r>
      <w:r w:rsidRPr="00F86B78">
        <w:rPr>
          <w:rFonts w:ascii="Arial" w:hAnsi="Arial" w:cs="Arial"/>
        </w:rPr>
        <w:t xml:space="preserve">is the natural logarithm of the expected diabetes mellitus related death, and it serves as the link function, </w:t>
      </w:r>
      <m:oMath>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oMath>
      <w:r w:rsidRPr="00F86B78">
        <w:rPr>
          <w:rFonts w:ascii="Arial" w:eastAsiaTheme="minorEastAsia" w:hAnsi="Arial" w:cs="Arial"/>
        </w:rPr>
        <w:t xml:space="preserve"> </w:t>
      </w:r>
      <w:r w:rsidRPr="00F86B78">
        <w:rPr>
          <w:rFonts w:ascii="Arial" w:hAnsi="Arial" w:cs="Arial"/>
        </w:rPr>
        <w:t xml:space="preserve">is the intercept term, </w:t>
      </w:r>
      <m:oMath>
        <m:sSub>
          <m:sSubPr>
            <m:ctrlPr>
              <w:rPr>
                <w:rFonts w:ascii="Cambria Math" w:eastAsiaTheme="minorEastAsia" w:hAnsi="Cambria Math" w:cs="Arial"/>
                <w:i/>
              </w:rPr>
            </m:ctrlPr>
          </m:sSubPr>
          <m:e>
            <m:r>
              <w:rPr>
                <w:rFonts w:ascii="Cambria Math" w:eastAsiaTheme="minorEastAsia" w:hAnsi="Cambria Math" w:cs="Arial"/>
              </w:rPr>
              <m:t>x</m:t>
            </m:r>
          </m:e>
          <m:sub>
            <m:r>
              <w:rPr>
                <w:rFonts w:ascii="Cambria Math" w:eastAsiaTheme="minorEastAsia" w:hAnsi="Cambria Math" w:cs="Arial"/>
              </w:rPr>
              <m:t>1</m:t>
            </m:r>
          </m:sub>
        </m:sSub>
        <m:r>
          <w:rPr>
            <w:rFonts w:ascii="Cambria Math" w:eastAsiaTheme="minorEastAsia" w:hAnsi="Cambria Math" w:cs="Arial"/>
          </w:rPr>
          <m:t>=</m:t>
        </m:r>
      </m:oMath>
      <w:r w:rsidRPr="00F86B78">
        <w:rPr>
          <w:rFonts w:ascii="Arial" w:eastAsiaTheme="minorEastAsia" w:hAnsi="Arial" w:cs="Arial"/>
        </w:rPr>
        <w:t xml:space="preserve"> confirmed cases, </w:t>
      </w:r>
      <m:oMath>
        <m:sSub>
          <m:sSubPr>
            <m:ctrlPr>
              <w:rPr>
                <w:rFonts w:ascii="Cambria Math" w:eastAsiaTheme="minorEastAsia" w:hAnsi="Cambria Math" w:cs="Arial"/>
                <w:i/>
              </w:rPr>
            </m:ctrlPr>
          </m:sSubPr>
          <m:e>
            <m:r>
              <w:rPr>
                <w:rFonts w:ascii="Cambria Math" w:eastAsiaTheme="minorEastAsia" w:hAnsi="Cambria Math" w:cs="Arial"/>
              </w:rPr>
              <m:t>x</m:t>
            </m:r>
          </m:e>
          <m:sub>
            <m:r>
              <w:rPr>
                <w:rFonts w:ascii="Cambria Math" w:eastAsiaTheme="minorEastAsia" w:hAnsi="Cambria Math" w:cs="Arial"/>
              </w:rPr>
              <m:t>2</m:t>
            </m:r>
          </m:sub>
        </m:sSub>
        <m:r>
          <w:rPr>
            <w:rFonts w:ascii="Cambria Math" w:eastAsiaTheme="minorEastAsia" w:hAnsi="Cambria Math" w:cs="Arial"/>
          </w:rPr>
          <m:t>=</m:t>
        </m:r>
      </m:oMath>
      <w:r w:rsidRPr="00F86B78">
        <w:rPr>
          <w:rFonts w:ascii="Arial" w:eastAsiaTheme="minorEastAsia" w:hAnsi="Arial" w:cs="Arial"/>
        </w:rPr>
        <w:t xml:space="preserve"> active cases, </w:t>
      </w:r>
      <m:oMath>
        <m:sSub>
          <m:sSubPr>
            <m:ctrlPr>
              <w:rPr>
                <w:rFonts w:ascii="Cambria Math" w:eastAsiaTheme="minorEastAsia" w:hAnsi="Cambria Math" w:cs="Arial"/>
                <w:i/>
              </w:rPr>
            </m:ctrlPr>
          </m:sSubPr>
          <m:e>
            <m:r>
              <w:rPr>
                <w:rFonts w:ascii="Cambria Math" w:eastAsiaTheme="minorEastAsia" w:hAnsi="Cambria Math" w:cs="Arial"/>
              </w:rPr>
              <m:t>x</m:t>
            </m:r>
          </m:e>
          <m:sub>
            <m:r>
              <w:rPr>
                <w:rFonts w:ascii="Cambria Math" w:eastAsiaTheme="minorEastAsia" w:hAnsi="Cambria Math" w:cs="Arial"/>
              </w:rPr>
              <m:t>3</m:t>
            </m:r>
          </m:sub>
        </m:sSub>
        <m:r>
          <w:rPr>
            <w:rFonts w:ascii="Cambria Math" w:eastAsiaTheme="minorEastAsia" w:hAnsi="Cambria Math" w:cs="Arial"/>
          </w:rPr>
          <m:t>=</m:t>
        </m:r>
      </m:oMath>
      <w:r w:rsidRPr="00F86B78">
        <w:rPr>
          <w:rFonts w:ascii="Arial" w:eastAsiaTheme="minorEastAsia" w:hAnsi="Arial" w:cs="Arial"/>
        </w:rPr>
        <w:t xml:space="preserve"> severe cases, </w:t>
      </w:r>
      <m:oMath>
        <m:sSub>
          <m:sSubPr>
            <m:ctrlPr>
              <w:rPr>
                <w:rFonts w:ascii="Cambria Math" w:eastAsiaTheme="minorEastAsia" w:hAnsi="Cambria Math" w:cs="Arial"/>
                <w:i/>
              </w:rPr>
            </m:ctrlPr>
          </m:sSubPr>
          <m:e>
            <m:r>
              <w:rPr>
                <w:rFonts w:ascii="Cambria Math" w:eastAsiaTheme="minorEastAsia" w:hAnsi="Cambria Math" w:cs="Arial"/>
              </w:rPr>
              <m:t>β</m:t>
            </m:r>
          </m:e>
          <m:sub>
            <m:r>
              <w:rPr>
                <w:rFonts w:ascii="Cambria Math" w:eastAsiaTheme="minorEastAsia" w:hAnsi="Cambria Math" w:cs="Arial"/>
              </w:rPr>
              <m:t>1</m:t>
            </m:r>
          </m:sub>
        </m:sSub>
        <m:r>
          <w:rPr>
            <w:rFonts w:ascii="Cambria Math" w:eastAsiaTheme="minorEastAsia" w:hAnsi="Cambria Math" w:cs="Arial"/>
          </w:rPr>
          <m:t xml:space="preserve">, </m:t>
        </m:r>
        <m:sSub>
          <m:sSubPr>
            <m:ctrlPr>
              <w:rPr>
                <w:rFonts w:ascii="Cambria Math" w:eastAsiaTheme="minorEastAsia" w:hAnsi="Cambria Math" w:cs="Arial"/>
                <w:i/>
              </w:rPr>
            </m:ctrlPr>
          </m:sSubPr>
          <m:e>
            <m:r>
              <w:rPr>
                <w:rFonts w:ascii="Cambria Math" w:eastAsiaTheme="minorEastAsia" w:hAnsi="Cambria Math" w:cs="Arial"/>
              </w:rPr>
              <m:t>β</m:t>
            </m:r>
          </m:e>
          <m:sub>
            <m:r>
              <w:rPr>
                <w:rFonts w:ascii="Cambria Math" w:eastAsiaTheme="minorEastAsia" w:hAnsi="Cambria Math" w:cs="Arial"/>
              </w:rPr>
              <m:t>2</m:t>
            </m:r>
          </m:sub>
        </m:sSub>
        <m:r>
          <w:rPr>
            <w:rFonts w:ascii="Cambria Math" w:eastAsiaTheme="minorEastAsia" w:hAnsi="Cambria Math" w:cs="Arial"/>
          </w:rPr>
          <m:t>,</m:t>
        </m:r>
      </m:oMath>
      <w:r w:rsidRPr="00F86B78">
        <w:rPr>
          <w:rFonts w:ascii="Arial" w:eastAsiaTheme="minorEastAsia" w:hAnsi="Arial" w:cs="Arial"/>
        </w:rPr>
        <w:t xml:space="preserve"> and </w:t>
      </w:r>
      <m:oMath>
        <m:sSub>
          <m:sSubPr>
            <m:ctrlPr>
              <w:rPr>
                <w:rFonts w:ascii="Cambria Math" w:eastAsiaTheme="minorEastAsia" w:hAnsi="Cambria Math" w:cs="Arial"/>
                <w:i/>
              </w:rPr>
            </m:ctrlPr>
          </m:sSubPr>
          <m:e>
            <m:r>
              <w:rPr>
                <w:rFonts w:ascii="Cambria Math" w:eastAsiaTheme="minorEastAsia" w:hAnsi="Cambria Math" w:cs="Arial"/>
              </w:rPr>
              <m:t>β</m:t>
            </m:r>
          </m:e>
          <m:sub>
            <m:r>
              <w:rPr>
                <w:rFonts w:ascii="Cambria Math" w:eastAsiaTheme="minorEastAsia" w:hAnsi="Cambria Math" w:cs="Arial"/>
              </w:rPr>
              <m:t>3</m:t>
            </m:r>
          </m:sub>
        </m:sSub>
      </m:oMath>
      <w:r w:rsidRPr="00F86B78">
        <w:rPr>
          <w:rFonts w:ascii="Arial" w:eastAsiaTheme="minorEastAsia" w:hAnsi="Arial" w:cs="Arial"/>
        </w:rPr>
        <w:t xml:space="preserve"> are the slope coefficients corresponding to the confirmed, active, and severe </w:t>
      </w:r>
      <w:r w:rsidRPr="00F86B78">
        <w:rPr>
          <w:rFonts w:ascii="Arial" w:hAnsi="Arial" w:cs="Arial"/>
        </w:rPr>
        <w:t>diabetes mellitus</w:t>
      </w:r>
      <w:r w:rsidRPr="00F86B78">
        <w:rPr>
          <w:rFonts w:ascii="Arial" w:eastAsiaTheme="minorEastAsia" w:hAnsi="Arial" w:cs="Arial"/>
        </w:rPr>
        <w:t xml:space="preserve"> cases respectively and </w:t>
      </w:r>
      <m:oMath>
        <m:sSub>
          <m:sSubPr>
            <m:ctrlPr>
              <w:rPr>
                <w:rFonts w:ascii="Cambria Math" w:eastAsiaTheme="minorEastAsia" w:hAnsi="Cambria Math" w:cs="Arial"/>
                <w:i/>
              </w:rPr>
            </m:ctrlPr>
          </m:sSubPr>
          <m:e>
            <m:r>
              <w:rPr>
                <w:rFonts w:ascii="Cambria Math" w:eastAsiaTheme="minorEastAsia" w:hAnsi="Cambria Math" w:cs="Arial"/>
              </w:rPr>
              <m:t>ε</m:t>
            </m:r>
          </m:e>
          <m:sub>
            <m:r>
              <w:rPr>
                <w:rFonts w:ascii="Cambria Math" w:eastAsiaTheme="minorEastAsia" w:hAnsi="Cambria Math" w:cs="Arial"/>
              </w:rPr>
              <m:t>i</m:t>
            </m:r>
          </m:sub>
        </m:sSub>
      </m:oMath>
      <w:r w:rsidRPr="00F86B78">
        <w:rPr>
          <w:rFonts w:ascii="Arial" w:eastAsiaTheme="minorEastAsia" w:hAnsi="Arial" w:cs="Arial"/>
        </w:rPr>
        <w:t xml:space="preserve"> are the error terms which account for the unexplained variations or factors not included in the model.</w:t>
      </w:r>
    </w:p>
    <w:p w14:paraId="14CF6FF4" w14:textId="77777777" w:rsidR="00F86B78" w:rsidRPr="00F86B78" w:rsidRDefault="00F86B78" w:rsidP="00F86B78">
      <w:pPr>
        <w:jc w:val="both"/>
        <w:rPr>
          <w:rFonts w:ascii="Arial" w:hAnsi="Arial" w:cs="Arial"/>
        </w:rPr>
      </w:pPr>
      <w:r w:rsidRPr="00F86B78">
        <w:rPr>
          <w:rFonts w:ascii="Arial" w:hAnsi="Arial" w:cs="Arial"/>
        </w:rPr>
        <w:t xml:space="preserve">The model assumes that the observed counts </w:t>
      </w:r>
      <m:oMath>
        <m:sSub>
          <m:sSubPr>
            <m:ctrlPr>
              <w:rPr>
                <w:rFonts w:ascii="Cambria Math" w:hAnsi="Cambria Math" w:cs="Arial"/>
                <w:i/>
              </w:rPr>
            </m:ctrlPr>
          </m:sSubPr>
          <m:e>
            <m:r>
              <w:rPr>
                <w:rFonts w:ascii="Cambria Math" w:hAnsi="Cambria Math" w:cs="Arial"/>
              </w:rPr>
              <m:t>y</m:t>
            </m:r>
          </m:e>
          <m:sub>
            <m:r>
              <w:rPr>
                <w:rFonts w:ascii="Cambria Math" w:hAnsi="Cambria Math" w:cs="Arial"/>
              </w:rPr>
              <m:t>i</m:t>
            </m:r>
          </m:sub>
        </m:sSub>
      </m:oMath>
      <w:r w:rsidRPr="00F86B78">
        <w:rPr>
          <w:rFonts w:ascii="Arial" w:hAnsi="Arial" w:cs="Arial"/>
        </w:rPr>
        <w:t xml:space="preserve"> follow a Poisson distribution with mean </w:t>
      </w:r>
      <m:oMath>
        <m:sSub>
          <m:sSubPr>
            <m:ctrlPr>
              <w:rPr>
                <w:rFonts w:ascii="Cambria Math" w:hAnsi="Cambria Math" w:cs="Arial"/>
                <w:i/>
              </w:rPr>
            </m:ctrlPr>
          </m:sSubPr>
          <m:e>
            <m:r>
              <w:rPr>
                <w:rFonts w:ascii="Cambria Math" w:hAnsi="Cambria Math" w:cs="Arial"/>
              </w:rPr>
              <m:t>λ</m:t>
            </m:r>
          </m:e>
          <m:sub>
            <m:r>
              <w:rPr>
                <w:rFonts w:ascii="Cambria Math" w:hAnsi="Cambria Math" w:cs="Arial"/>
              </w:rPr>
              <m:t>i</m:t>
            </m:r>
          </m:sub>
        </m:sSub>
        <m:r>
          <w:rPr>
            <w:rFonts w:ascii="Cambria Math" w:hAnsi="Cambria Math" w:cs="Arial"/>
          </w:rPr>
          <m:t>:</m:t>
        </m:r>
      </m:oMath>
      <w:r w:rsidRPr="00F86B78">
        <w:rPr>
          <w:rFonts w:ascii="Arial" w:hAnsi="Arial" w:cs="Arial"/>
        </w:rPr>
        <w:t xml:space="preserve"> </w:t>
      </w:r>
    </w:p>
    <w:p w14:paraId="75069C0F" w14:textId="77777777" w:rsidR="00F86B78" w:rsidRPr="00F86B78" w:rsidRDefault="00000000" w:rsidP="00F86B78">
      <w:pPr>
        <w:jc w:val="both"/>
        <w:rPr>
          <w:rStyle w:val="katex-mathml"/>
          <w:rFonts w:ascii="Arial" w:hAnsi="Arial" w:cs="Arial"/>
          <w:bdr w:val="none" w:sz="0" w:space="0" w:color="auto" w:frame="1"/>
        </w:rPr>
      </w:pPr>
      <m:oMathPara>
        <m:oMath>
          <m:func>
            <m:funcPr>
              <m:ctrlPr>
                <w:rPr>
                  <w:rStyle w:val="katex-mathml"/>
                  <w:rFonts w:ascii="Cambria Math" w:hAnsi="Cambria Math" w:cs="Arial"/>
                  <w:i/>
                  <w:bdr w:val="none" w:sz="0" w:space="0" w:color="auto" w:frame="1"/>
                </w:rPr>
              </m:ctrlPr>
            </m:funcPr>
            <m:fName>
              <m:r>
                <m:rPr>
                  <m:sty m:val="p"/>
                </m:rPr>
                <w:rPr>
                  <w:rStyle w:val="katex-mathml"/>
                  <w:rFonts w:ascii="Cambria Math" w:hAnsi="Cambria Math" w:cs="Arial"/>
                  <w:bdr w:val="none" w:sz="0" w:space="0" w:color="auto" w:frame="1"/>
                </w:rPr>
                <m:t>P</m:t>
              </m:r>
            </m:fName>
            <m:e>
              <m:d>
                <m:dPr>
                  <m:ctrlPr>
                    <w:rPr>
                      <w:rStyle w:val="katex-mathml"/>
                      <w:rFonts w:ascii="Cambria Math" w:hAnsi="Cambria Math" w:cs="Arial"/>
                      <w:i/>
                      <w:bdr w:val="none" w:sz="0" w:space="0" w:color="auto" w:frame="1"/>
                    </w:rPr>
                  </m:ctrlPr>
                </m:dPr>
                <m:e>
                  <m:sSub>
                    <m:sSubPr>
                      <m:ctrlPr>
                        <w:rPr>
                          <w:rStyle w:val="katex-mathml"/>
                          <w:rFonts w:ascii="Cambria Math" w:hAnsi="Cambria Math" w:cs="Arial"/>
                          <w:i/>
                          <w:bdr w:val="none" w:sz="0" w:space="0" w:color="auto" w:frame="1"/>
                        </w:rPr>
                      </m:ctrlPr>
                    </m:sSubPr>
                    <m:e>
                      <m:r>
                        <w:rPr>
                          <w:rStyle w:val="katex-mathml"/>
                          <w:rFonts w:ascii="Cambria Math" w:hAnsi="Cambria Math" w:cs="Arial"/>
                          <w:bdr w:val="none" w:sz="0" w:space="0" w:color="auto" w:frame="1"/>
                        </w:rPr>
                        <m:t>Y</m:t>
                      </m:r>
                    </m:e>
                    <m:sub>
                      <m:r>
                        <w:rPr>
                          <w:rStyle w:val="katex-mathml"/>
                          <w:rFonts w:ascii="Cambria Math" w:hAnsi="Cambria Math" w:cs="Arial"/>
                          <w:bdr w:val="none" w:sz="0" w:space="0" w:color="auto" w:frame="1"/>
                        </w:rPr>
                        <m:t>i</m:t>
                      </m:r>
                    </m:sub>
                  </m:sSub>
                  <m:r>
                    <w:rPr>
                      <w:rStyle w:val="katex-mathml"/>
                      <w:rFonts w:ascii="Cambria Math" w:hAnsi="Cambria Math" w:cs="Arial"/>
                      <w:bdr w:val="none" w:sz="0" w:space="0" w:color="auto" w:frame="1"/>
                    </w:rPr>
                    <m:t>=</m:t>
                  </m:r>
                  <m:sSub>
                    <m:sSubPr>
                      <m:ctrlPr>
                        <w:rPr>
                          <w:rStyle w:val="katex-mathml"/>
                          <w:rFonts w:ascii="Cambria Math" w:hAnsi="Cambria Math" w:cs="Arial"/>
                          <w:i/>
                          <w:bdr w:val="none" w:sz="0" w:space="0" w:color="auto" w:frame="1"/>
                        </w:rPr>
                      </m:ctrlPr>
                    </m:sSubPr>
                    <m:e>
                      <m:r>
                        <w:rPr>
                          <w:rStyle w:val="katex-mathml"/>
                          <w:rFonts w:ascii="Cambria Math" w:hAnsi="Cambria Math" w:cs="Arial"/>
                          <w:bdr w:val="none" w:sz="0" w:space="0" w:color="auto" w:frame="1"/>
                        </w:rPr>
                        <m:t>y</m:t>
                      </m:r>
                    </m:e>
                    <m:sub>
                      <m:r>
                        <w:rPr>
                          <w:rStyle w:val="katex-mathml"/>
                          <w:rFonts w:ascii="Cambria Math" w:hAnsi="Cambria Math" w:cs="Arial"/>
                          <w:bdr w:val="none" w:sz="0" w:space="0" w:color="auto" w:frame="1"/>
                        </w:rPr>
                        <m:t>i</m:t>
                      </m:r>
                    </m:sub>
                  </m:sSub>
                </m:e>
              </m:d>
            </m:e>
          </m:func>
          <m:r>
            <w:rPr>
              <w:rStyle w:val="katex-mathml"/>
              <w:rFonts w:ascii="Cambria Math" w:hAnsi="Cambria Math" w:cs="Arial"/>
              <w:bdr w:val="none" w:sz="0" w:space="0" w:color="auto" w:frame="1"/>
            </w:rPr>
            <m:t>=</m:t>
          </m:r>
          <m:f>
            <m:fPr>
              <m:ctrlPr>
                <w:rPr>
                  <w:rStyle w:val="katex-mathml"/>
                  <w:rFonts w:ascii="Cambria Math" w:hAnsi="Cambria Math" w:cs="Arial"/>
                  <w:i/>
                  <w:bdr w:val="none" w:sz="0" w:space="0" w:color="auto" w:frame="1"/>
                </w:rPr>
              </m:ctrlPr>
            </m:fPr>
            <m:num>
              <m:sSup>
                <m:sSupPr>
                  <m:ctrlPr>
                    <w:rPr>
                      <w:rStyle w:val="katex-mathml"/>
                      <w:rFonts w:ascii="Cambria Math" w:hAnsi="Cambria Math" w:cs="Arial"/>
                      <w:i/>
                      <w:bdr w:val="none" w:sz="0" w:space="0" w:color="auto" w:frame="1"/>
                    </w:rPr>
                  </m:ctrlPr>
                </m:sSupPr>
                <m:e>
                  <m:r>
                    <w:rPr>
                      <w:rStyle w:val="katex-mathml"/>
                      <w:rFonts w:ascii="Cambria Math" w:hAnsi="Cambria Math" w:cs="Arial"/>
                      <w:bdr w:val="none" w:sz="0" w:space="0" w:color="auto" w:frame="1"/>
                    </w:rPr>
                    <m:t>e</m:t>
                  </m:r>
                </m:e>
                <m:sup>
                  <m:r>
                    <w:rPr>
                      <w:rStyle w:val="katex-mathml"/>
                      <w:rFonts w:ascii="Cambria Math" w:hAnsi="Cambria Math" w:cs="Arial"/>
                      <w:bdr w:val="none" w:sz="0" w:space="0" w:color="auto" w:frame="1"/>
                    </w:rPr>
                    <m:t>-</m:t>
                  </m:r>
                  <m:sSub>
                    <m:sSubPr>
                      <m:ctrlPr>
                        <w:rPr>
                          <w:rStyle w:val="katex-mathml"/>
                          <w:rFonts w:ascii="Cambria Math" w:hAnsi="Cambria Math" w:cs="Arial"/>
                          <w:i/>
                          <w:bdr w:val="none" w:sz="0" w:space="0" w:color="auto" w:frame="1"/>
                        </w:rPr>
                      </m:ctrlPr>
                    </m:sSubPr>
                    <m:e>
                      <m:r>
                        <w:rPr>
                          <w:rStyle w:val="katex-mathml"/>
                          <w:rFonts w:ascii="Cambria Math" w:hAnsi="Cambria Math" w:cs="Arial"/>
                          <w:bdr w:val="none" w:sz="0" w:space="0" w:color="auto" w:frame="1"/>
                        </w:rPr>
                        <m:t>λ</m:t>
                      </m:r>
                    </m:e>
                    <m:sub>
                      <m:r>
                        <w:rPr>
                          <w:rStyle w:val="katex-mathml"/>
                          <w:rFonts w:ascii="Cambria Math" w:hAnsi="Cambria Math" w:cs="Arial"/>
                          <w:bdr w:val="none" w:sz="0" w:space="0" w:color="auto" w:frame="1"/>
                        </w:rPr>
                        <m:t>i</m:t>
                      </m:r>
                    </m:sub>
                  </m:sSub>
                </m:sup>
              </m:sSup>
              <m:sSubSup>
                <m:sSubSupPr>
                  <m:ctrlPr>
                    <w:rPr>
                      <w:rStyle w:val="katex-mathml"/>
                      <w:rFonts w:ascii="Cambria Math" w:hAnsi="Cambria Math" w:cs="Arial"/>
                      <w:i/>
                      <w:bdr w:val="none" w:sz="0" w:space="0" w:color="auto" w:frame="1"/>
                    </w:rPr>
                  </m:ctrlPr>
                </m:sSubSupPr>
                <m:e>
                  <m:r>
                    <w:rPr>
                      <w:rStyle w:val="katex-mathml"/>
                      <w:rFonts w:ascii="Cambria Math" w:hAnsi="Cambria Math" w:cs="Arial"/>
                      <w:bdr w:val="none" w:sz="0" w:space="0" w:color="auto" w:frame="1"/>
                    </w:rPr>
                    <m:t>λ</m:t>
                  </m:r>
                </m:e>
                <m:sub>
                  <m:r>
                    <w:rPr>
                      <w:rStyle w:val="katex-mathml"/>
                      <w:rFonts w:ascii="Cambria Math" w:hAnsi="Cambria Math" w:cs="Arial"/>
                      <w:bdr w:val="none" w:sz="0" w:space="0" w:color="auto" w:frame="1"/>
                    </w:rPr>
                    <m:t>i</m:t>
                  </m:r>
                </m:sub>
                <m:sup>
                  <m:sSub>
                    <m:sSubPr>
                      <m:ctrlPr>
                        <w:rPr>
                          <w:rStyle w:val="katex-mathml"/>
                          <w:rFonts w:ascii="Cambria Math" w:hAnsi="Cambria Math" w:cs="Arial"/>
                          <w:i/>
                          <w:bdr w:val="none" w:sz="0" w:space="0" w:color="auto" w:frame="1"/>
                        </w:rPr>
                      </m:ctrlPr>
                    </m:sSubPr>
                    <m:e>
                      <m:r>
                        <w:rPr>
                          <w:rStyle w:val="katex-mathml"/>
                          <w:rFonts w:ascii="Cambria Math" w:hAnsi="Cambria Math" w:cs="Arial"/>
                          <w:bdr w:val="none" w:sz="0" w:space="0" w:color="auto" w:frame="1"/>
                        </w:rPr>
                        <m:t>y</m:t>
                      </m:r>
                    </m:e>
                    <m:sub>
                      <m:r>
                        <w:rPr>
                          <w:rStyle w:val="katex-mathml"/>
                          <w:rFonts w:ascii="Cambria Math" w:hAnsi="Cambria Math" w:cs="Arial"/>
                          <w:bdr w:val="none" w:sz="0" w:space="0" w:color="auto" w:frame="1"/>
                        </w:rPr>
                        <m:t>i</m:t>
                      </m:r>
                    </m:sub>
                  </m:sSub>
                </m:sup>
              </m:sSubSup>
            </m:num>
            <m:den>
              <m:sSub>
                <m:sSubPr>
                  <m:ctrlPr>
                    <w:rPr>
                      <w:rStyle w:val="katex-mathml"/>
                      <w:rFonts w:ascii="Cambria Math" w:hAnsi="Cambria Math" w:cs="Arial"/>
                      <w:i/>
                      <w:bdr w:val="none" w:sz="0" w:space="0" w:color="auto" w:frame="1"/>
                    </w:rPr>
                  </m:ctrlPr>
                </m:sSubPr>
                <m:e>
                  <m:r>
                    <w:rPr>
                      <w:rStyle w:val="katex-mathml"/>
                      <w:rFonts w:ascii="Cambria Math" w:hAnsi="Cambria Math" w:cs="Arial"/>
                      <w:bdr w:val="none" w:sz="0" w:space="0" w:color="auto" w:frame="1"/>
                    </w:rPr>
                    <m:t>y</m:t>
                  </m:r>
                </m:e>
                <m:sub>
                  <m:r>
                    <w:rPr>
                      <w:rStyle w:val="katex-mathml"/>
                      <w:rFonts w:ascii="Cambria Math" w:hAnsi="Cambria Math" w:cs="Arial"/>
                      <w:bdr w:val="none" w:sz="0" w:space="0" w:color="auto" w:frame="1"/>
                    </w:rPr>
                    <m:t>i</m:t>
                  </m:r>
                </m:sub>
              </m:sSub>
              <m:r>
                <w:rPr>
                  <w:rStyle w:val="katex-mathml"/>
                  <w:rFonts w:ascii="Cambria Math" w:hAnsi="Cambria Math" w:cs="Arial"/>
                  <w:bdr w:val="none" w:sz="0" w:space="0" w:color="auto" w:frame="1"/>
                </w:rPr>
                <m:t>!</m:t>
              </m:r>
            </m:den>
          </m:f>
          <m:r>
            <w:rPr>
              <w:rStyle w:val="katex-mathml"/>
              <w:rFonts w:ascii="Cambria Math" w:hAnsi="Cambria Math" w:cs="Arial"/>
              <w:bdr w:val="none" w:sz="0" w:space="0" w:color="auto" w:frame="1"/>
            </w:rPr>
            <m:t xml:space="preserve">                                                                                                            (2)</m:t>
          </m:r>
        </m:oMath>
      </m:oMathPara>
    </w:p>
    <w:p w14:paraId="199DE30A" w14:textId="77777777" w:rsidR="00F86B78" w:rsidRPr="00F86B78" w:rsidRDefault="00F86B78" w:rsidP="00F86B78">
      <w:pPr>
        <w:jc w:val="both"/>
        <w:rPr>
          <w:rFonts w:ascii="Arial" w:hAnsi="Arial" w:cs="Arial"/>
        </w:rPr>
      </w:pPr>
      <w:r w:rsidRPr="00F86B78">
        <w:rPr>
          <w:rFonts w:ascii="Arial" w:hAnsi="Arial" w:cs="Arial"/>
        </w:rPr>
        <w:t xml:space="preserve">The link function </w:t>
      </w:r>
      <m:oMath>
        <m:func>
          <m:funcPr>
            <m:ctrlPr>
              <w:rPr>
                <w:rFonts w:ascii="Cambria Math" w:hAnsi="Cambria Math" w:cs="Arial"/>
                <w:i/>
              </w:rPr>
            </m:ctrlPr>
          </m:funcPr>
          <m:fName>
            <m:r>
              <m:rPr>
                <m:sty m:val="p"/>
              </m:rPr>
              <w:rPr>
                <w:rFonts w:ascii="Cambria Math" w:hAnsi="Cambria Math" w:cs="Arial"/>
              </w:rPr>
              <m:t>ln</m:t>
            </m:r>
          </m:fName>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λ</m:t>
                    </m:r>
                  </m:e>
                  <m:sub>
                    <m:r>
                      <w:rPr>
                        <w:rFonts w:ascii="Cambria Math" w:hAnsi="Cambria Math" w:cs="Arial"/>
                      </w:rPr>
                      <m:t>i</m:t>
                    </m:r>
                  </m:sub>
                </m:sSub>
              </m:e>
            </m:d>
          </m:e>
        </m:func>
      </m:oMath>
      <w:r w:rsidRPr="00F86B78">
        <w:rPr>
          <w:rFonts w:ascii="Arial" w:hAnsi="Arial" w:cs="Arial"/>
        </w:rPr>
        <w:t xml:space="preserve"> transforms the linear combination of the independent variables into the range of real numbers, ensuring that the predicted values are positive. The Poisson regression model expresses the logarithm of the expected count as a linear combination of predictor variables, and it is commonly estimated using maximum likelihood methods.</w:t>
      </w:r>
    </w:p>
    <w:p w14:paraId="591BA636" w14:textId="77777777" w:rsidR="00F86B78" w:rsidRPr="00F86B78" w:rsidRDefault="00F86B78" w:rsidP="00F86B78">
      <w:pPr>
        <w:spacing w:before="240"/>
        <w:jc w:val="both"/>
        <w:rPr>
          <w:rFonts w:ascii="Arial" w:hAnsi="Arial" w:cs="Arial"/>
          <w:b/>
        </w:rPr>
      </w:pPr>
      <w:r w:rsidRPr="00F86B78">
        <w:rPr>
          <w:rFonts w:ascii="Arial" w:hAnsi="Arial" w:cs="Arial"/>
          <w:b/>
        </w:rPr>
        <w:t>2.2.2 The Negative Binomial Regression</w:t>
      </w:r>
    </w:p>
    <w:p w14:paraId="14C44C92" w14:textId="77777777" w:rsidR="00F86B78" w:rsidRPr="00F86B78" w:rsidRDefault="00F86B78" w:rsidP="00F86B78">
      <w:pPr>
        <w:spacing w:before="240"/>
        <w:jc w:val="both"/>
        <w:rPr>
          <w:rFonts w:ascii="Arial" w:hAnsi="Arial" w:cs="Arial"/>
        </w:rPr>
      </w:pPr>
      <w:r w:rsidRPr="00F86B78">
        <w:rPr>
          <w:rFonts w:ascii="Arial" w:hAnsi="Arial" w:cs="Arial"/>
        </w:rPr>
        <w:t>The Negative Binomial Regression model is a type of generalized linear model (GLM) that is used for count data when the variance is greater than the mean, which is a common characteristic of count data. The Negative Binomial Regression model is particularly suitable when there is over-dispersion in the data, meaning that the variability is higher than what would be expected under a Poisson distribution (</w:t>
      </w:r>
      <w:proofErr w:type="spellStart"/>
      <w:r w:rsidRPr="00F86B78">
        <w:rPr>
          <w:rFonts w:ascii="Arial" w:hAnsi="Arial" w:cs="Arial"/>
        </w:rPr>
        <w:t>Hilbe</w:t>
      </w:r>
      <w:proofErr w:type="spellEnd"/>
      <w:r w:rsidRPr="00F86B78">
        <w:rPr>
          <w:rFonts w:ascii="Arial" w:hAnsi="Arial" w:cs="Arial"/>
        </w:rPr>
        <w:t>, 2011).</w:t>
      </w:r>
    </w:p>
    <w:p w14:paraId="49BA468B" w14:textId="77777777" w:rsidR="00F86B78" w:rsidRPr="00F86B78" w:rsidRDefault="00F86B78" w:rsidP="00F86B78">
      <w:pPr>
        <w:jc w:val="both"/>
        <w:rPr>
          <w:rFonts w:ascii="Arial" w:hAnsi="Arial" w:cs="Arial"/>
        </w:rPr>
      </w:pPr>
      <w:r w:rsidRPr="00F86B78">
        <w:rPr>
          <w:rFonts w:ascii="Arial" w:hAnsi="Arial" w:cs="Arial"/>
        </w:rPr>
        <w:t>The probability mass function (PMF) of the Negative Binomial distribution is given by:</w:t>
      </w:r>
    </w:p>
    <w:p w14:paraId="0A31239B" w14:textId="77777777" w:rsidR="00F86B78" w:rsidRPr="00F86B78" w:rsidRDefault="00F86B78" w:rsidP="00F86B78">
      <w:pPr>
        <w:jc w:val="both"/>
        <w:rPr>
          <w:rFonts w:ascii="Arial" w:eastAsiaTheme="minorEastAsia" w:hAnsi="Arial" w:cs="Arial"/>
        </w:rPr>
      </w:pPr>
      <m:oMathPara>
        <m:oMath>
          <m:r>
            <w:rPr>
              <w:rFonts w:ascii="Cambria Math" w:hAnsi="Cambria Math" w:cs="Arial"/>
            </w:rPr>
            <m:t>P</m:t>
          </m:r>
          <m:d>
            <m:dPr>
              <m:ctrlPr>
                <w:rPr>
                  <w:rFonts w:ascii="Cambria Math" w:hAnsi="Cambria Math" w:cs="Arial"/>
                  <w:i/>
                </w:rPr>
              </m:ctrlPr>
            </m:dPr>
            <m:e>
              <m:r>
                <w:rPr>
                  <w:rFonts w:ascii="Cambria Math" w:hAnsi="Cambria Math" w:cs="Arial"/>
                </w:rPr>
                <m:t>Y-y</m:t>
              </m:r>
            </m:e>
          </m:d>
          <m:r>
            <w:rPr>
              <w:rFonts w:ascii="Cambria Math" w:hAnsi="Cambria Math" w:cs="Arial"/>
            </w:rPr>
            <m:t>=</m:t>
          </m:r>
          <m:f>
            <m:fPr>
              <m:ctrlPr>
                <w:rPr>
                  <w:rFonts w:ascii="Cambria Math" w:hAnsi="Cambria Math" w:cs="Arial"/>
                  <w:i/>
                </w:rPr>
              </m:ctrlPr>
            </m:fPr>
            <m:num>
              <m:r>
                <w:rPr>
                  <w:rFonts w:ascii="Cambria Math" w:hAnsi="Cambria Math" w:cs="Arial"/>
                </w:rPr>
                <m:t>Г</m:t>
              </m:r>
              <m:d>
                <m:dPr>
                  <m:ctrlPr>
                    <w:rPr>
                      <w:rFonts w:ascii="Cambria Math" w:hAnsi="Cambria Math" w:cs="Arial"/>
                      <w:i/>
                    </w:rPr>
                  </m:ctrlPr>
                </m:dPr>
                <m:e>
                  <m:r>
                    <w:rPr>
                      <w:rFonts w:ascii="Cambria Math" w:hAnsi="Cambria Math" w:cs="Arial"/>
                    </w:rPr>
                    <m:t>y+r</m:t>
                  </m:r>
                </m:e>
              </m:d>
            </m:num>
            <m:den>
              <m:r>
                <w:rPr>
                  <w:rFonts w:ascii="Cambria Math" w:hAnsi="Cambria Math" w:cs="Arial"/>
                </w:rPr>
                <m:t>Г</m:t>
              </m:r>
              <m:d>
                <m:dPr>
                  <m:ctrlPr>
                    <w:rPr>
                      <w:rFonts w:ascii="Cambria Math" w:hAnsi="Cambria Math" w:cs="Arial"/>
                      <w:i/>
                    </w:rPr>
                  </m:ctrlPr>
                </m:dPr>
                <m:e>
                  <m:r>
                    <w:rPr>
                      <w:rFonts w:ascii="Cambria Math" w:hAnsi="Cambria Math" w:cs="Arial"/>
                    </w:rPr>
                    <m:t>r</m:t>
                  </m:r>
                </m:e>
              </m:d>
              <m:r>
                <w:rPr>
                  <w:rFonts w:ascii="Cambria Math" w:hAnsi="Cambria Math" w:cs="Arial"/>
                </w:rPr>
                <m:t>.y!</m:t>
              </m:r>
            </m:den>
          </m:f>
          <m:r>
            <w:rPr>
              <w:rFonts w:ascii="Cambria Math" w:hAnsi="Cambria Math" w:cs="Arial"/>
            </w:rPr>
            <m:t>.</m:t>
          </m:r>
          <m:sSup>
            <m:sSupPr>
              <m:ctrlPr>
                <w:rPr>
                  <w:rFonts w:ascii="Cambria Math" w:hAnsi="Cambria Math" w:cs="Arial"/>
                  <w:i/>
                </w:rPr>
              </m:ctrlPr>
            </m:sSupPr>
            <m:e>
              <m:r>
                <w:rPr>
                  <w:rFonts w:ascii="Cambria Math" w:hAnsi="Cambria Math" w:cs="Arial"/>
                </w:rPr>
                <m:t>p</m:t>
              </m:r>
            </m:e>
            <m:sup>
              <m:r>
                <w:rPr>
                  <w:rFonts w:ascii="Cambria Math" w:hAnsi="Cambria Math" w:cs="Arial"/>
                </w:rPr>
                <m:t>r</m:t>
              </m:r>
            </m:sup>
          </m:sSup>
          <m:r>
            <w:rPr>
              <w:rFonts w:ascii="Cambria Math" w:hAnsi="Cambria Math" w:cs="Arial"/>
            </w:rPr>
            <m:t>.</m:t>
          </m:r>
          <m:sSup>
            <m:sSupPr>
              <m:ctrlPr>
                <w:rPr>
                  <w:rFonts w:ascii="Cambria Math" w:hAnsi="Cambria Math" w:cs="Arial"/>
                  <w:i/>
                </w:rPr>
              </m:ctrlPr>
            </m:sSupPr>
            <m:e>
              <m:r>
                <w:rPr>
                  <w:rFonts w:ascii="Cambria Math" w:hAnsi="Cambria Math" w:cs="Arial"/>
                </w:rPr>
                <m:t>(1-p)</m:t>
              </m:r>
            </m:e>
            <m:sup>
              <m:r>
                <w:rPr>
                  <w:rFonts w:ascii="Cambria Math" w:hAnsi="Cambria Math" w:cs="Arial"/>
                </w:rPr>
                <m:t>y</m:t>
              </m:r>
            </m:sup>
          </m:sSup>
          <m:r>
            <w:rPr>
              <w:rFonts w:ascii="Cambria Math" w:hAnsi="Cambria Math" w:cs="Arial"/>
            </w:rPr>
            <m:t xml:space="preserve">                                                                                        (3)</m:t>
          </m:r>
        </m:oMath>
      </m:oMathPara>
    </w:p>
    <w:p w14:paraId="1A2FB45F" w14:textId="77777777" w:rsidR="00F86B78" w:rsidRPr="00F86B78" w:rsidRDefault="00F86B78" w:rsidP="00F86B78">
      <w:pPr>
        <w:jc w:val="both"/>
        <w:rPr>
          <w:rFonts w:ascii="Arial" w:hAnsi="Arial" w:cs="Arial"/>
        </w:rPr>
      </w:pPr>
      <w:r w:rsidRPr="00F86B78">
        <w:rPr>
          <w:rFonts w:ascii="Arial" w:eastAsiaTheme="minorEastAsia" w:hAnsi="Arial" w:cs="Arial"/>
        </w:rPr>
        <w:t xml:space="preserve">where </w:t>
      </w:r>
      <m:oMath>
        <m:r>
          <w:rPr>
            <w:rFonts w:ascii="Cambria Math" w:eastAsiaTheme="minorEastAsia" w:hAnsi="Cambria Math" w:cs="Arial"/>
          </w:rPr>
          <m:t>Y</m:t>
        </m:r>
      </m:oMath>
      <w:r w:rsidRPr="00F86B78">
        <w:rPr>
          <w:rFonts w:ascii="Arial" w:eastAsiaTheme="minorEastAsia" w:hAnsi="Arial" w:cs="Arial"/>
        </w:rPr>
        <w:t xml:space="preserve"> </w:t>
      </w:r>
      <w:r w:rsidRPr="00F86B78">
        <w:rPr>
          <w:rFonts w:ascii="Arial" w:hAnsi="Arial" w:cs="Arial"/>
        </w:rPr>
        <w:t xml:space="preserve">is the random variable representing the count, </w:t>
      </w:r>
      <m:oMath>
        <m:r>
          <w:rPr>
            <w:rFonts w:ascii="Cambria Math" w:hAnsi="Cambria Math" w:cs="Arial"/>
          </w:rPr>
          <m:t>y</m:t>
        </m:r>
      </m:oMath>
      <w:r w:rsidRPr="00F86B78">
        <w:rPr>
          <w:rFonts w:ascii="Arial" w:hAnsi="Arial" w:cs="Arial"/>
        </w:rPr>
        <w:t xml:space="preserve"> is the observed count, </w:t>
      </w:r>
      <m:oMath>
        <m:r>
          <w:rPr>
            <w:rFonts w:ascii="Cambria Math" w:hAnsi="Cambria Math" w:cs="Arial"/>
          </w:rPr>
          <m:t>r</m:t>
        </m:r>
      </m:oMath>
      <w:r w:rsidRPr="00F86B78">
        <w:rPr>
          <w:rFonts w:ascii="Arial" w:hAnsi="Arial" w:cs="Arial"/>
        </w:rPr>
        <w:t xml:space="preserve"> is the dispersion parameter (shape parameter) of the distribution, </w:t>
      </w:r>
      <m:oMath>
        <m:r>
          <w:rPr>
            <w:rFonts w:ascii="Cambria Math" w:hAnsi="Cambria Math" w:cs="Arial"/>
          </w:rPr>
          <m:t>p</m:t>
        </m:r>
      </m:oMath>
      <w:r w:rsidRPr="00F86B78">
        <w:rPr>
          <w:rFonts w:ascii="Arial" w:hAnsi="Arial" w:cs="Arial"/>
        </w:rPr>
        <w:t xml:space="preserve"> is the probability of success in a single trial and </w:t>
      </w:r>
      <m:oMath>
        <m:r>
          <w:rPr>
            <w:rFonts w:ascii="Cambria Math" w:hAnsi="Cambria Math" w:cs="Arial"/>
          </w:rPr>
          <m:t>Г(.)</m:t>
        </m:r>
      </m:oMath>
      <w:r w:rsidRPr="00F86B78">
        <w:rPr>
          <w:rFonts w:ascii="Arial" w:eastAsiaTheme="minorEastAsia" w:hAnsi="Arial" w:cs="Arial"/>
        </w:rPr>
        <w:t xml:space="preserve"> </w:t>
      </w:r>
      <w:r w:rsidRPr="00F86B78">
        <w:rPr>
          <w:rFonts w:ascii="Arial" w:hAnsi="Arial" w:cs="Arial"/>
        </w:rPr>
        <w:t>is the gamma function (</w:t>
      </w:r>
      <w:proofErr w:type="spellStart"/>
      <w:r w:rsidRPr="00F86B78">
        <w:rPr>
          <w:rFonts w:ascii="Arial" w:hAnsi="Arial" w:cs="Arial"/>
        </w:rPr>
        <w:t>Hilbe</w:t>
      </w:r>
      <w:proofErr w:type="spellEnd"/>
      <w:r w:rsidRPr="00F86B78">
        <w:rPr>
          <w:rFonts w:ascii="Arial" w:hAnsi="Arial" w:cs="Arial"/>
        </w:rPr>
        <w:t>, 2011).</w:t>
      </w:r>
    </w:p>
    <w:p w14:paraId="332769CB" w14:textId="77777777" w:rsidR="00F86B78" w:rsidRPr="00F86B78" w:rsidRDefault="00F86B78" w:rsidP="00F86B78">
      <w:pPr>
        <w:jc w:val="both"/>
        <w:rPr>
          <w:rFonts w:ascii="Arial" w:hAnsi="Arial" w:cs="Arial"/>
        </w:rPr>
      </w:pPr>
      <w:r w:rsidRPr="00F86B78">
        <w:rPr>
          <w:rFonts w:ascii="Arial" w:hAnsi="Arial" w:cs="Arial"/>
        </w:rPr>
        <w:t>The mean</w:t>
      </w:r>
      <w:r w:rsidRPr="00F86B78">
        <w:rPr>
          <w:rStyle w:val="katex-mathml"/>
          <w:rFonts w:ascii="Arial" w:hAnsi="Arial" w:cs="Arial"/>
          <w:bdr w:val="none" w:sz="0" w:space="0" w:color="auto" w:frame="1"/>
        </w:rPr>
        <w:t xml:space="preserve"> </w:t>
      </w:r>
      <m:oMath>
        <m:r>
          <w:rPr>
            <w:rStyle w:val="katex-mathml"/>
            <w:rFonts w:ascii="Cambria Math" w:hAnsi="Cambria Math" w:cs="Arial"/>
            <w:bdr w:val="none" w:sz="0" w:space="0" w:color="auto" w:frame="1"/>
          </w:rPr>
          <m:t>μ</m:t>
        </m:r>
      </m:oMath>
      <w:r w:rsidRPr="00F86B78">
        <w:rPr>
          <w:rFonts w:ascii="Arial" w:hAnsi="Arial" w:cs="Arial"/>
        </w:rPr>
        <w:t xml:space="preserve"> and variance</w:t>
      </w:r>
      <w:r w:rsidRPr="00F86B78">
        <w:rPr>
          <w:rStyle w:val="katex-mathml"/>
          <w:rFonts w:ascii="Arial" w:hAnsi="Arial" w:cs="Arial"/>
          <w:bdr w:val="none" w:sz="0" w:space="0" w:color="auto" w:frame="1"/>
        </w:rPr>
        <w:t xml:space="preserve"> </w:t>
      </w:r>
      <m:oMath>
        <m:sSup>
          <m:sSupPr>
            <m:ctrlPr>
              <w:rPr>
                <w:rStyle w:val="katex-mathml"/>
                <w:rFonts w:ascii="Cambria Math" w:hAnsi="Cambria Math" w:cs="Arial"/>
                <w:i/>
                <w:bdr w:val="none" w:sz="0" w:space="0" w:color="auto" w:frame="1"/>
              </w:rPr>
            </m:ctrlPr>
          </m:sSupPr>
          <m:e>
            <m:r>
              <w:rPr>
                <w:rStyle w:val="katex-mathml"/>
                <w:rFonts w:ascii="Cambria Math" w:hAnsi="Cambria Math" w:cs="Arial"/>
                <w:bdr w:val="none" w:sz="0" w:space="0" w:color="auto" w:frame="1"/>
              </w:rPr>
              <m:t>σ</m:t>
            </m:r>
          </m:e>
          <m:sup>
            <m:r>
              <w:rPr>
                <w:rStyle w:val="katex-mathml"/>
                <w:rFonts w:ascii="Cambria Math" w:hAnsi="Cambria Math" w:cs="Arial"/>
                <w:bdr w:val="none" w:sz="0" w:space="0" w:color="auto" w:frame="1"/>
              </w:rPr>
              <m:t>2</m:t>
            </m:r>
          </m:sup>
        </m:sSup>
      </m:oMath>
      <w:r w:rsidRPr="00F86B78">
        <w:rPr>
          <w:rStyle w:val="katex-mathml"/>
          <w:rFonts w:ascii="Arial" w:eastAsiaTheme="minorEastAsia" w:hAnsi="Arial" w:cs="Arial"/>
          <w:bdr w:val="none" w:sz="0" w:space="0" w:color="auto" w:frame="1"/>
        </w:rPr>
        <w:t xml:space="preserve"> </w:t>
      </w:r>
      <w:r w:rsidRPr="00F86B78">
        <w:rPr>
          <w:rFonts w:ascii="Arial" w:hAnsi="Arial" w:cs="Arial"/>
        </w:rPr>
        <w:t>of the Negative Binomial distribution are given by:</w:t>
      </w:r>
    </w:p>
    <w:p w14:paraId="0A125CF4" w14:textId="77777777" w:rsidR="00F86B78" w:rsidRPr="00F86B78" w:rsidRDefault="00F86B78" w:rsidP="00F86B78">
      <w:pPr>
        <w:jc w:val="both"/>
        <w:rPr>
          <w:rFonts w:ascii="Arial" w:eastAsiaTheme="minorEastAsia" w:hAnsi="Arial" w:cs="Arial"/>
        </w:rPr>
      </w:pPr>
      <m:oMathPara>
        <m:oMath>
          <m:r>
            <w:rPr>
              <w:rFonts w:ascii="Cambria Math" w:hAnsi="Cambria Math" w:cs="Arial"/>
            </w:rPr>
            <m:t>μ=</m:t>
          </m:r>
          <m:f>
            <m:fPr>
              <m:ctrlPr>
                <w:rPr>
                  <w:rFonts w:ascii="Cambria Math" w:hAnsi="Cambria Math" w:cs="Arial"/>
                  <w:i/>
                </w:rPr>
              </m:ctrlPr>
            </m:fPr>
            <m:num>
              <m:r>
                <w:rPr>
                  <w:rFonts w:ascii="Cambria Math" w:hAnsi="Cambria Math" w:cs="Arial"/>
                </w:rPr>
                <m:t>r(1-p)</m:t>
              </m:r>
            </m:num>
            <m:den>
              <m:r>
                <w:rPr>
                  <w:rFonts w:ascii="Cambria Math" w:hAnsi="Cambria Math" w:cs="Arial"/>
                </w:rPr>
                <m:t>p</m:t>
              </m:r>
            </m:den>
          </m:f>
          <m:r>
            <w:rPr>
              <w:rFonts w:ascii="Cambria Math" w:hAnsi="Cambria Math" w:cs="Arial"/>
            </w:rPr>
            <m:t xml:space="preserve">  </m:t>
          </m:r>
          <m:r>
            <m:rPr>
              <m:sty m:val="p"/>
            </m:rPr>
            <w:rPr>
              <w:rFonts w:ascii="Cambria Math" w:hAnsi="Cambria Math" w:cs="Arial"/>
            </w:rPr>
            <m:t>and</m:t>
          </m:r>
          <m:r>
            <w:rPr>
              <w:rFonts w:ascii="Cambria Math" w:hAnsi="Cambria Math" w:cs="Arial"/>
            </w:rPr>
            <m:t xml:space="preserve"> </m:t>
          </m:r>
          <m:sSup>
            <m:sSupPr>
              <m:ctrlPr>
                <w:rPr>
                  <w:rFonts w:ascii="Cambria Math" w:hAnsi="Cambria Math" w:cs="Arial"/>
                  <w:i/>
                </w:rPr>
              </m:ctrlPr>
            </m:sSupPr>
            <m:e>
              <m:r>
                <w:rPr>
                  <w:rFonts w:ascii="Cambria Math" w:hAnsi="Cambria Math" w:cs="Arial"/>
                </w:rPr>
                <m:t>σ</m:t>
              </m:r>
            </m:e>
            <m:sup>
              <m:r>
                <w:rPr>
                  <w:rFonts w:ascii="Cambria Math" w:hAnsi="Cambria Math" w:cs="Arial"/>
                </w:rPr>
                <m:t>2</m:t>
              </m:r>
            </m:sup>
          </m:sSup>
          <m:r>
            <w:rPr>
              <w:rFonts w:ascii="Cambria Math" w:hAnsi="Cambria Math" w:cs="Arial"/>
            </w:rPr>
            <m:t>=</m:t>
          </m:r>
          <m:f>
            <m:fPr>
              <m:ctrlPr>
                <w:rPr>
                  <w:rFonts w:ascii="Cambria Math" w:hAnsi="Cambria Math" w:cs="Arial"/>
                  <w:i/>
                </w:rPr>
              </m:ctrlPr>
            </m:fPr>
            <m:num>
              <m:r>
                <w:rPr>
                  <w:rFonts w:ascii="Cambria Math" w:hAnsi="Cambria Math" w:cs="Arial"/>
                </w:rPr>
                <m:t>r(1-p)</m:t>
              </m:r>
            </m:num>
            <m:den>
              <m:sSup>
                <m:sSupPr>
                  <m:ctrlPr>
                    <w:rPr>
                      <w:rFonts w:ascii="Cambria Math" w:hAnsi="Cambria Math" w:cs="Arial"/>
                      <w:i/>
                    </w:rPr>
                  </m:ctrlPr>
                </m:sSupPr>
                <m:e>
                  <m:r>
                    <w:rPr>
                      <w:rFonts w:ascii="Cambria Math" w:hAnsi="Cambria Math" w:cs="Arial"/>
                    </w:rPr>
                    <m:t>p</m:t>
                  </m:r>
                </m:e>
                <m:sup>
                  <m:r>
                    <w:rPr>
                      <w:rFonts w:ascii="Cambria Math" w:hAnsi="Cambria Math" w:cs="Arial"/>
                    </w:rPr>
                    <m:t>2</m:t>
                  </m:r>
                </m:sup>
              </m:sSup>
            </m:den>
          </m:f>
          <m:r>
            <w:rPr>
              <w:rFonts w:ascii="Cambria Math" w:hAnsi="Cambria Math" w:cs="Arial"/>
            </w:rPr>
            <m:t xml:space="preserve">                                                                                                      (4)</m:t>
          </m:r>
        </m:oMath>
      </m:oMathPara>
    </w:p>
    <w:p w14:paraId="7D84A5B3" w14:textId="77777777" w:rsidR="00F86B78" w:rsidRPr="00F86B78" w:rsidRDefault="00F86B78" w:rsidP="00F86B78">
      <w:pPr>
        <w:jc w:val="both"/>
        <w:rPr>
          <w:rFonts w:ascii="Arial" w:hAnsi="Arial" w:cs="Arial"/>
        </w:rPr>
      </w:pPr>
      <w:r w:rsidRPr="00F86B78">
        <w:rPr>
          <w:rFonts w:ascii="Arial" w:hAnsi="Arial" w:cs="Arial"/>
        </w:rPr>
        <w:t>In the context of regression modeling, the Negative Binomial Regression model extends the Poisson Regression model by introducing a dispersion parameter</w:t>
      </w:r>
      <w:r w:rsidRPr="00F86B78">
        <w:rPr>
          <w:rStyle w:val="katex-mathml"/>
          <w:rFonts w:ascii="Arial" w:hAnsi="Arial" w:cs="Arial"/>
          <w:bdr w:val="none" w:sz="0" w:space="0" w:color="auto" w:frame="1"/>
        </w:rPr>
        <w:t xml:space="preserve"> </w:t>
      </w:r>
      <m:oMath>
        <m:r>
          <w:rPr>
            <w:rStyle w:val="katex-mathml"/>
            <w:rFonts w:ascii="Cambria Math" w:hAnsi="Cambria Math" w:cs="Arial"/>
            <w:bdr w:val="none" w:sz="0" w:space="0" w:color="auto" w:frame="1"/>
          </w:rPr>
          <m:t>r</m:t>
        </m:r>
      </m:oMath>
      <w:r w:rsidRPr="00F86B78">
        <w:rPr>
          <w:rFonts w:ascii="Arial" w:hAnsi="Arial" w:cs="Arial"/>
        </w:rPr>
        <w:t xml:space="preserve">. The mean </w:t>
      </w:r>
      <m:oMath>
        <m:r>
          <w:rPr>
            <w:rFonts w:ascii="Cambria Math" w:hAnsi="Cambria Math" w:cs="Arial"/>
          </w:rPr>
          <m:t>μ</m:t>
        </m:r>
      </m:oMath>
      <w:r w:rsidRPr="00F86B78">
        <w:rPr>
          <w:rFonts w:ascii="Arial" w:eastAsiaTheme="minorEastAsia" w:hAnsi="Arial" w:cs="Arial"/>
        </w:rPr>
        <w:t xml:space="preserve"> </w:t>
      </w:r>
      <w:r w:rsidRPr="00F86B78">
        <w:rPr>
          <w:rFonts w:ascii="Arial" w:hAnsi="Arial" w:cs="Arial"/>
        </w:rPr>
        <w:t xml:space="preserve">is related to the linear predictor </w:t>
      </w:r>
      <m:oMath>
        <m:r>
          <w:rPr>
            <w:rFonts w:ascii="Cambria Math" w:hAnsi="Cambria Math" w:cs="Arial"/>
          </w:rPr>
          <m:t>η</m:t>
        </m:r>
      </m:oMath>
      <w:r w:rsidRPr="00F86B78">
        <w:rPr>
          <w:rFonts w:ascii="Arial" w:eastAsiaTheme="minorEastAsia" w:hAnsi="Arial" w:cs="Arial"/>
        </w:rPr>
        <w:t xml:space="preserve"> </w:t>
      </w:r>
      <w:r w:rsidRPr="00F86B78">
        <w:rPr>
          <w:rFonts w:ascii="Arial" w:hAnsi="Arial" w:cs="Arial"/>
        </w:rPr>
        <w:t xml:space="preserve">through the logarithmic link function,  </w:t>
      </w:r>
      <m:oMath>
        <m:func>
          <m:funcPr>
            <m:ctrlPr>
              <w:rPr>
                <w:rFonts w:ascii="Cambria Math" w:hAnsi="Cambria Math" w:cs="Arial"/>
                <w:i/>
              </w:rPr>
            </m:ctrlPr>
          </m:funcPr>
          <m:fName>
            <m:r>
              <m:rPr>
                <m:sty m:val="p"/>
              </m:rPr>
              <w:rPr>
                <w:rFonts w:ascii="Cambria Math" w:hAnsi="Cambria Math" w:cs="Arial"/>
              </w:rPr>
              <m:t>ln</m:t>
            </m:r>
          </m:fName>
          <m:e>
            <m:d>
              <m:dPr>
                <m:ctrlPr>
                  <w:rPr>
                    <w:rFonts w:ascii="Cambria Math" w:hAnsi="Cambria Math" w:cs="Arial"/>
                    <w:i/>
                  </w:rPr>
                </m:ctrlPr>
              </m:dPr>
              <m:e>
                <m:r>
                  <w:rPr>
                    <w:rFonts w:ascii="Cambria Math" w:hAnsi="Cambria Math" w:cs="Arial"/>
                  </w:rPr>
                  <m:t>μ</m:t>
                </m:r>
              </m:e>
            </m:d>
          </m:e>
        </m:func>
        <m:r>
          <w:rPr>
            <w:rFonts w:ascii="Cambria Math" w:hAnsi="Cambria Math" w:cs="Arial"/>
          </w:rPr>
          <m:t>=η</m:t>
        </m:r>
      </m:oMath>
      <w:r w:rsidRPr="00F86B78">
        <w:rPr>
          <w:rFonts w:ascii="Arial" w:eastAsiaTheme="minorEastAsia" w:hAnsi="Arial" w:cs="Arial"/>
        </w:rPr>
        <w:t xml:space="preserve"> </w:t>
      </w:r>
      <w:r w:rsidRPr="00F86B78">
        <w:rPr>
          <w:rFonts w:ascii="Arial" w:hAnsi="Arial" w:cs="Arial"/>
        </w:rPr>
        <w:t>(</w:t>
      </w:r>
      <w:proofErr w:type="spellStart"/>
      <w:r w:rsidRPr="00F86B78">
        <w:rPr>
          <w:rFonts w:ascii="Arial" w:hAnsi="Arial" w:cs="Arial"/>
        </w:rPr>
        <w:t>Hilbe</w:t>
      </w:r>
      <w:proofErr w:type="spellEnd"/>
      <w:r w:rsidRPr="00F86B78">
        <w:rPr>
          <w:rFonts w:ascii="Arial" w:hAnsi="Arial" w:cs="Arial"/>
        </w:rPr>
        <w:t>, 2011).</w:t>
      </w:r>
    </w:p>
    <w:p w14:paraId="64D5B28B" w14:textId="77777777" w:rsidR="00F86B78" w:rsidRPr="00F86B78" w:rsidRDefault="00F86B78" w:rsidP="00F86B78">
      <w:pPr>
        <w:jc w:val="both"/>
        <w:rPr>
          <w:rFonts w:ascii="Arial" w:hAnsi="Arial" w:cs="Arial"/>
        </w:rPr>
      </w:pPr>
      <w:r w:rsidRPr="00F86B78">
        <w:rPr>
          <w:rFonts w:ascii="Arial" w:hAnsi="Arial" w:cs="Arial"/>
        </w:rPr>
        <w:t xml:space="preserve">The linear predictor </w:t>
      </w:r>
      <m:oMath>
        <m:r>
          <w:rPr>
            <w:rFonts w:ascii="Cambria Math" w:hAnsi="Cambria Math" w:cs="Arial"/>
          </w:rPr>
          <m:t>η</m:t>
        </m:r>
      </m:oMath>
      <w:r w:rsidRPr="00F86B78">
        <w:rPr>
          <w:rFonts w:ascii="Arial" w:eastAsiaTheme="minorEastAsia" w:hAnsi="Arial" w:cs="Arial"/>
        </w:rPr>
        <w:t xml:space="preserve"> </w:t>
      </w:r>
      <w:r w:rsidRPr="00F86B78">
        <w:rPr>
          <w:rFonts w:ascii="Arial" w:hAnsi="Arial" w:cs="Arial"/>
        </w:rPr>
        <w:t>is modeled as a linear combination of predictors:</w:t>
      </w:r>
    </w:p>
    <w:p w14:paraId="752F7BB3" w14:textId="77777777" w:rsidR="00F86B78" w:rsidRPr="00F86B78" w:rsidRDefault="00F86B78" w:rsidP="00F86B78">
      <w:pPr>
        <w:jc w:val="both"/>
        <w:rPr>
          <w:rFonts w:ascii="Arial" w:eastAsiaTheme="minorEastAsia" w:hAnsi="Arial" w:cs="Arial"/>
        </w:rPr>
      </w:pPr>
      <m:oMathPara>
        <m:oMath>
          <m:r>
            <w:rPr>
              <w:rFonts w:ascii="Cambria Math" w:hAnsi="Cambria Math" w:cs="Arial"/>
            </w:rPr>
            <m:t>η=</m:t>
          </m:r>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1</m:t>
              </m:r>
            </m:sub>
          </m:sSub>
          <m:sSub>
            <m:sSubPr>
              <m:ctrlPr>
                <w:rPr>
                  <w:rFonts w:ascii="Cambria Math" w:hAnsi="Cambria Math" w:cs="Arial"/>
                  <w:i/>
                </w:rPr>
              </m:ctrlPr>
            </m:sSubPr>
            <m:e>
              <m:r>
                <w:rPr>
                  <w:rFonts w:ascii="Cambria Math" w:hAnsi="Cambria Math" w:cs="Arial"/>
                </w:rPr>
                <m:t>x</m:t>
              </m:r>
            </m:e>
            <m:sub>
              <m:r>
                <w:rPr>
                  <w:rFonts w:ascii="Cambria Math" w:hAnsi="Cambria Math" w:cs="Arial"/>
                </w:rPr>
                <m:t>1</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2</m:t>
              </m:r>
            </m:sub>
          </m:sSub>
          <m:sSub>
            <m:sSubPr>
              <m:ctrlPr>
                <w:rPr>
                  <w:rFonts w:ascii="Cambria Math" w:hAnsi="Cambria Math" w:cs="Arial"/>
                  <w:i/>
                </w:rPr>
              </m:ctrlPr>
            </m:sSubPr>
            <m:e>
              <m:r>
                <w:rPr>
                  <w:rFonts w:ascii="Cambria Math" w:hAnsi="Cambria Math" w:cs="Arial"/>
                </w:rPr>
                <m:t>x</m:t>
              </m:r>
            </m:e>
            <m:sub>
              <m:r>
                <w:rPr>
                  <w:rFonts w:ascii="Cambria Math" w:hAnsi="Cambria Math" w:cs="Arial"/>
                </w:rPr>
                <m:t>2</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3</m:t>
              </m:r>
            </m:sub>
          </m:sSub>
          <m:sSub>
            <m:sSubPr>
              <m:ctrlPr>
                <w:rPr>
                  <w:rFonts w:ascii="Cambria Math" w:hAnsi="Cambria Math" w:cs="Arial"/>
                  <w:i/>
                </w:rPr>
              </m:ctrlPr>
            </m:sSubPr>
            <m:e>
              <m:r>
                <w:rPr>
                  <w:rFonts w:ascii="Cambria Math" w:hAnsi="Cambria Math" w:cs="Arial"/>
                </w:rPr>
                <m:t>x</m:t>
              </m:r>
            </m:e>
            <m:sub>
              <m:r>
                <w:rPr>
                  <w:rFonts w:ascii="Cambria Math" w:hAnsi="Cambria Math" w:cs="Arial"/>
                </w:rPr>
                <m:t>3</m:t>
              </m:r>
            </m:sub>
          </m:sSub>
          <m:r>
            <w:rPr>
              <w:rFonts w:ascii="Cambria Math" w:hAnsi="Cambria Math" w:cs="Arial"/>
            </w:rPr>
            <m:t>+</m:t>
          </m:r>
          <m:sSub>
            <m:sSubPr>
              <m:ctrlPr>
                <w:rPr>
                  <w:rFonts w:ascii="Cambria Math" w:hAnsi="Cambria Math" w:cs="Arial"/>
                  <w:i/>
                </w:rPr>
              </m:ctrlPr>
            </m:sSubPr>
            <m:e>
              <m:r>
                <w:rPr>
                  <w:rFonts w:ascii="Cambria Math" w:hAnsi="Cambria Math" w:cs="Arial"/>
                </w:rPr>
                <m:t>ε</m:t>
              </m:r>
            </m:e>
            <m:sub>
              <m:r>
                <w:rPr>
                  <w:rFonts w:ascii="Cambria Math" w:hAnsi="Cambria Math" w:cs="Arial"/>
                </w:rPr>
                <m:t>i</m:t>
              </m:r>
            </m:sub>
          </m:sSub>
          <m:r>
            <w:rPr>
              <w:rFonts w:ascii="Cambria Math" w:hAnsi="Cambria Math" w:cs="Arial"/>
            </w:rPr>
            <m:t xml:space="preserve">                                                                                                         (5)</m:t>
          </m:r>
        </m:oMath>
      </m:oMathPara>
    </w:p>
    <w:p w14:paraId="39A96FDF" w14:textId="77777777" w:rsidR="00F86B78" w:rsidRPr="00F86B78" w:rsidRDefault="00F86B78" w:rsidP="00F86B78">
      <w:pPr>
        <w:jc w:val="both"/>
        <w:rPr>
          <w:rFonts w:ascii="Arial" w:eastAsiaTheme="minorEastAsia" w:hAnsi="Arial" w:cs="Arial"/>
        </w:rPr>
      </w:pPr>
      <w:r w:rsidRPr="00F86B78">
        <w:rPr>
          <w:rFonts w:ascii="Arial" w:eastAsiaTheme="minorEastAsia" w:hAnsi="Arial" w:cs="Arial"/>
        </w:rPr>
        <w:t xml:space="preserve">where </w:t>
      </w:r>
      <m:oMath>
        <m:sSub>
          <m:sSubPr>
            <m:ctrlPr>
              <w:rPr>
                <w:rFonts w:ascii="Cambria Math" w:eastAsiaTheme="minorEastAsia" w:hAnsi="Cambria Math" w:cs="Arial"/>
                <w:i/>
              </w:rPr>
            </m:ctrlPr>
          </m:sSubPr>
          <m:e>
            <m:r>
              <w:rPr>
                <w:rFonts w:ascii="Cambria Math" w:eastAsiaTheme="minorEastAsia" w:hAnsi="Cambria Math" w:cs="Arial"/>
              </w:rPr>
              <m:t>x</m:t>
            </m:r>
          </m:e>
          <m:sub>
            <m:r>
              <w:rPr>
                <w:rFonts w:ascii="Cambria Math" w:eastAsiaTheme="minorEastAsia" w:hAnsi="Cambria Math" w:cs="Arial"/>
              </w:rPr>
              <m:t>1</m:t>
            </m:r>
          </m:sub>
        </m:sSub>
        <m:r>
          <w:rPr>
            <w:rFonts w:ascii="Cambria Math" w:eastAsiaTheme="minorEastAsia" w:hAnsi="Cambria Math" w:cs="Arial"/>
          </w:rPr>
          <m:t>=</m:t>
        </m:r>
      </m:oMath>
      <w:r w:rsidRPr="00F86B78">
        <w:rPr>
          <w:rFonts w:ascii="Arial" w:eastAsiaTheme="minorEastAsia" w:hAnsi="Arial" w:cs="Arial"/>
        </w:rPr>
        <w:t xml:space="preserve"> confirmed cases, </w:t>
      </w:r>
      <m:oMath>
        <m:sSub>
          <m:sSubPr>
            <m:ctrlPr>
              <w:rPr>
                <w:rFonts w:ascii="Cambria Math" w:eastAsiaTheme="minorEastAsia" w:hAnsi="Cambria Math" w:cs="Arial"/>
                <w:i/>
              </w:rPr>
            </m:ctrlPr>
          </m:sSubPr>
          <m:e>
            <m:r>
              <w:rPr>
                <w:rFonts w:ascii="Cambria Math" w:eastAsiaTheme="minorEastAsia" w:hAnsi="Cambria Math" w:cs="Arial"/>
              </w:rPr>
              <m:t>x</m:t>
            </m:r>
          </m:e>
          <m:sub>
            <m:r>
              <w:rPr>
                <w:rFonts w:ascii="Cambria Math" w:eastAsiaTheme="minorEastAsia" w:hAnsi="Cambria Math" w:cs="Arial"/>
              </w:rPr>
              <m:t>2</m:t>
            </m:r>
          </m:sub>
        </m:sSub>
        <m:r>
          <w:rPr>
            <w:rFonts w:ascii="Cambria Math" w:eastAsiaTheme="minorEastAsia" w:hAnsi="Cambria Math" w:cs="Arial"/>
          </w:rPr>
          <m:t>=</m:t>
        </m:r>
      </m:oMath>
      <w:r w:rsidRPr="00F86B78">
        <w:rPr>
          <w:rFonts w:ascii="Arial" w:eastAsiaTheme="minorEastAsia" w:hAnsi="Arial" w:cs="Arial"/>
        </w:rPr>
        <w:t xml:space="preserve"> active cases, </w:t>
      </w:r>
      <m:oMath>
        <m:sSub>
          <m:sSubPr>
            <m:ctrlPr>
              <w:rPr>
                <w:rFonts w:ascii="Cambria Math" w:eastAsiaTheme="minorEastAsia" w:hAnsi="Cambria Math" w:cs="Arial"/>
                <w:i/>
              </w:rPr>
            </m:ctrlPr>
          </m:sSubPr>
          <m:e>
            <m:r>
              <w:rPr>
                <w:rFonts w:ascii="Cambria Math" w:eastAsiaTheme="minorEastAsia" w:hAnsi="Cambria Math" w:cs="Arial"/>
              </w:rPr>
              <m:t>x</m:t>
            </m:r>
          </m:e>
          <m:sub>
            <m:r>
              <w:rPr>
                <w:rFonts w:ascii="Cambria Math" w:eastAsiaTheme="minorEastAsia" w:hAnsi="Cambria Math" w:cs="Arial"/>
              </w:rPr>
              <m:t>3</m:t>
            </m:r>
          </m:sub>
        </m:sSub>
        <m:r>
          <w:rPr>
            <w:rFonts w:ascii="Cambria Math" w:eastAsiaTheme="minorEastAsia" w:hAnsi="Cambria Math" w:cs="Arial"/>
          </w:rPr>
          <m:t>=</m:t>
        </m:r>
      </m:oMath>
      <w:r w:rsidRPr="00F86B78">
        <w:rPr>
          <w:rFonts w:ascii="Arial" w:eastAsiaTheme="minorEastAsia" w:hAnsi="Arial" w:cs="Arial"/>
        </w:rPr>
        <w:t xml:space="preserve"> severe cases, </w:t>
      </w:r>
      <m:oMath>
        <m:sSub>
          <m:sSubPr>
            <m:ctrlPr>
              <w:rPr>
                <w:rFonts w:ascii="Cambria Math" w:eastAsiaTheme="minorEastAsia" w:hAnsi="Cambria Math" w:cs="Arial"/>
                <w:i/>
              </w:rPr>
            </m:ctrlPr>
          </m:sSubPr>
          <m:e>
            <m:r>
              <w:rPr>
                <w:rFonts w:ascii="Cambria Math" w:eastAsiaTheme="minorEastAsia" w:hAnsi="Cambria Math" w:cs="Arial"/>
              </w:rPr>
              <m:t>β</m:t>
            </m:r>
          </m:e>
          <m:sub>
            <m:r>
              <w:rPr>
                <w:rFonts w:ascii="Cambria Math" w:eastAsiaTheme="minorEastAsia" w:hAnsi="Cambria Math" w:cs="Arial"/>
              </w:rPr>
              <m:t>0</m:t>
            </m:r>
          </m:sub>
        </m:sSub>
        <m:r>
          <w:rPr>
            <w:rFonts w:ascii="Cambria Math" w:eastAsiaTheme="minorEastAsia" w:hAnsi="Cambria Math" w:cs="Arial"/>
          </w:rPr>
          <m:t>=</m:t>
        </m:r>
      </m:oMath>
      <w:r w:rsidRPr="00F86B78">
        <w:rPr>
          <w:rFonts w:ascii="Arial" w:eastAsiaTheme="minorEastAsia" w:hAnsi="Arial" w:cs="Arial"/>
        </w:rPr>
        <w:t xml:space="preserve"> intercept, </w:t>
      </w:r>
      <m:oMath>
        <m:sSub>
          <m:sSubPr>
            <m:ctrlPr>
              <w:rPr>
                <w:rFonts w:ascii="Cambria Math" w:eastAsiaTheme="minorEastAsia" w:hAnsi="Cambria Math" w:cs="Arial"/>
                <w:i/>
              </w:rPr>
            </m:ctrlPr>
          </m:sSubPr>
          <m:e>
            <m:r>
              <w:rPr>
                <w:rFonts w:ascii="Cambria Math" w:eastAsiaTheme="minorEastAsia" w:hAnsi="Cambria Math" w:cs="Arial"/>
              </w:rPr>
              <m:t>β</m:t>
            </m:r>
          </m:e>
          <m:sub>
            <m:r>
              <w:rPr>
                <w:rFonts w:ascii="Cambria Math" w:eastAsiaTheme="minorEastAsia" w:hAnsi="Cambria Math" w:cs="Arial"/>
              </w:rPr>
              <m:t>1</m:t>
            </m:r>
          </m:sub>
        </m:sSub>
        <m:r>
          <w:rPr>
            <w:rFonts w:ascii="Cambria Math" w:eastAsiaTheme="minorEastAsia" w:hAnsi="Cambria Math" w:cs="Arial"/>
          </w:rPr>
          <m:t xml:space="preserve">, </m:t>
        </m:r>
        <m:sSub>
          <m:sSubPr>
            <m:ctrlPr>
              <w:rPr>
                <w:rFonts w:ascii="Cambria Math" w:eastAsiaTheme="minorEastAsia" w:hAnsi="Cambria Math" w:cs="Arial"/>
                <w:i/>
              </w:rPr>
            </m:ctrlPr>
          </m:sSubPr>
          <m:e>
            <m:r>
              <w:rPr>
                <w:rFonts w:ascii="Cambria Math" w:eastAsiaTheme="minorEastAsia" w:hAnsi="Cambria Math" w:cs="Arial"/>
              </w:rPr>
              <m:t>β</m:t>
            </m:r>
          </m:e>
          <m:sub>
            <m:r>
              <w:rPr>
                <w:rFonts w:ascii="Cambria Math" w:eastAsiaTheme="minorEastAsia" w:hAnsi="Cambria Math" w:cs="Arial"/>
              </w:rPr>
              <m:t>2</m:t>
            </m:r>
          </m:sub>
        </m:sSub>
        <m:r>
          <w:rPr>
            <w:rFonts w:ascii="Cambria Math" w:eastAsiaTheme="minorEastAsia" w:hAnsi="Cambria Math" w:cs="Arial"/>
          </w:rPr>
          <m:t>,</m:t>
        </m:r>
      </m:oMath>
      <w:r w:rsidRPr="00F86B78">
        <w:rPr>
          <w:rFonts w:ascii="Arial" w:eastAsiaTheme="minorEastAsia" w:hAnsi="Arial" w:cs="Arial"/>
        </w:rPr>
        <w:t xml:space="preserve"> and </w:t>
      </w:r>
      <m:oMath>
        <m:sSub>
          <m:sSubPr>
            <m:ctrlPr>
              <w:rPr>
                <w:rFonts w:ascii="Cambria Math" w:eastAsiaTheme="minorEastAsia" w:hAnsi="Cambria Math" w:cs="Arial"/>
                <w:i/>
              </w:rPr>
            </m:ctrlPr>
          </m:sSubPr>
          <m:e>
            <m:r>
              <w:rPr>
                <w:rFonts w:ascii="Cambria Math" w:eastAsiaTheme="minorEastAsia" w:hAnsi="Cambria Math" w:cs="Arial"/>
              </w:rPr>
              <m:t>β</m:t>
            </m:r>
          </m:e>
          <m:sub>
            <m:r>
              <w:rPr>
                <w:rFonts w:ascii="Cambria Math" w:eastAsiaTheme="minorEastAsia" w:hAnsi="Cambria Math" w:cs="Arial"/>
              </w:rPr>
              <m:t>3</m:t>
            </m:r>
          </m:sub>
        </m:sSub>
      </m:oMath>
      <w:r w:rsidRPr="00F86B78">
        <w:rPr>
          <w:rFonts w:ascii="Arial" w:eastAsiaTheme="minorEastAsia" w:hAnsi="Arial" w:cs="Arial"/>
        </w:rPr>
        <w:t xml:space="preserve"> are the slope coefficients corresponding to the confirmed, active, and severe </w:t>
      </w:r>
      <w:r w:rsidRPr="00F86B78">
        <w:rPr>
          <w:rFonts w:ascii="Arial" w:hAnsi="Arial" w:cs="Arial"/>
        </w:rPr>
        <w:t>diabetes mellitus</w:t>
      </w:r>
      <w:r w:rsidRPr="00F86B78">
        <w:rPr>
          <w:rFonts w:ascii="Arial" w:eastAsiaTheme="minorEastAsia" w:hAnsi="Arial" w:cs="Arial"/>
        </w:rPr>
        <w:t xml:space="preserve"> cases respectively and </w:t>
      </w:r>
      <m:oMath>
        <m:sSub>
          <m:sSubPr>
            <m:ctrlPr>
              <w:rPr>
                <w:rFonts w:ascii="Cambria Math" w:eastAsiaTheme="minorEastAsia" w:hAnsi="Cambria Math" w:cs="Arial"/>
                <w:i/>
              </w:rPr>
            </m:ctrlPr>
          </m:sSubPr>
          <m:e>
            <m:r>
              <w:rPr>
                <w:rFonts w:ascii="Cambria Math" w:eastAsiaTheme="minorEastAsia" w:hAnsi="Cambria Math" w:cs="Arial"/>
              </w:rPr>
              <m:t>ε</m:t>
            </m:r>
          </m:e>
          <m:sub>
            <m:r>
              <w:rPr>
                <w:rFonts w:ascii="Cambria Math" w:eastAsiaTheme="minorEastAsia" w:hAnsi="Cambria Math" w:cs="Arial"/>
              </w:rPr>
              <m:t>i</m:t>
            </m:r>
          </m:sub>
        </m:sSub>
      </m:oMath>
      <w:r w:rsidRPr="00F86B78">
        <w:rPr>
          <w:rFonts w:ascii="Arial" w:eastAsiaTheme="minorEastAsia" w:hAnsi="Arial" w:cs="Arial"/>
        </w:rPr>
        <w:t xml:space="preserve"> are the error terms which account for the unexplained variations or factors not included in the model.</w:t>
      </w:r>
    </w:p>
    <w:p w14:paraId="3435A2F1" w14:textId="77777777" w:rsidR="00F86B78" w:rsidRPr="00F86B78" w:rsidRDefault="00F86B78" w:rsidP="00756351">
      <w:pPr>
        <w:jc w:val="both"/>
        <w:rPr>
          <w:rFonts w:ascii="Arial" w:hAnsi="Arial" w:cs="Arial"/>
        </w:rPr>
      </w:pPr>
      <w:r w:rsidRPr="00F86B78">
        <w:rPr>
          <w:rFonts w:ascii="Arial" w:hAnsi="Arial" w:cs="Arial"/>
        </w:rPr>
        <w:t xml:space="preserve">The dispersion parameter </w:t>
      </w:r>
      <m:oMath>
        <m:r>
          <w:rPr>
            <w:rStyle w:val="katex-mathml"/>
            <w:rFonts w:ascii="Cambria Math" w:hAnsi="Cambria Math" w:cs="Arial"/>
            <w:bdr w:val="none" w:sz="0" w:space="0" w:color="auto" w:frame="1"/>
          </w:rPr>
          <m:t>r</m:t>
        </m:r>
      </m:oMath>
      <w:r w:rsidRPr="00F86B78">
        <w:rPr>
          <w:rStyle w:val="katex-mathml"/>
          <w:rFonts w:ascii="Arial" w:hAnsi="Arial" w:cs="Arial"/>
          <w:bdr w:val="none" w:sz="0" w:space="0" w:color="auto" w:frame="1"/>
        </w:rPr>
        <w:t xml:space="preserve"> </w:t>
      </w:r>
      <w:r w:rsidRPr="00F86B78">
        <w:rPr>
          <w:rFonts w:ascii="Arial" w:hAnsi="Arial" w:cs="Arial"/>
        </w:rPr>
        <w:t>is estimated along with the coefficients during the model fitting process. The Negative Binomial Regression model allows for handling over-dispersed count data and provides a flexible approach for modeling relationships between predictors and count outcomes.</w:t>
      </w:r>
    </w:p>
    <w:p w14:paraId="08B8C4BB" w14:textId="77777777" w:rsidR="00F86B78" w:rsidRPr="00CA6A0C" w:rsidRDefault="00F86B78" w:rsidP="00F86B78">
      <w:pPr>
        <w:jc w:val="both"/>
        <w:rPr>
          <w:rFonts w:ascii="Times New Roman" w:hAnsi="Times New Roman"/>
          <w:sz w:val="24"/>
          <w:szCs w:val="24"/>
        </w:rPr>
      </w:pPr>
    </w:p>
    <w:p w14:paraId="335FF0DB" w14:textId="77777777" w:rsidR="00F86B78" w:rsidRPr="00F86B78" w:rsidRDefault="00F86B78" w:rsidP="00F86B78">
      <w:pPr>
        <w:jc w:val="both"/>
        <w:rPr>
          <w:rFonts w:ascii="Arial" w:hAnsi="Arial" w:cs="Arial"/>
          <w:b/>
        </w:rPr>
      </w:pPr>
      <w:r w:rsidRPr="00F86B78">
        <w:rPr>
          <w:rFonts w:ascii="Arial" w:hAnsi="Arial" w:cs="Arial"/>
          <w:b/>
        </w:rPr>
        <w:t>2.2.3 The Generalized Poisson Regression (GPR)</w:t>
      </w:r>
    </w:p>
    <w:p w14:paraId="02A7E0DF" w14:textId="77777777" w:rsidR="00F86B78" w:rsidRPr="00F86B78" w:rsidRDefault="00F86B78" w:rsidP="00F86B78">
      <w:pPr>
        <w:jc w:val="both"/>
        <w:rPr>
          <w:rFonts w:ascii="Arial" w:hAnsi="Arial" w:cs="Arial"/>
        </w:rPr>
      </w:pPr>
      <w:r w:rsidRPr="00F86B78">
        <w:rPr>
          <w:rFonts w:ascii="Arial" w:hAnsi="Arial" w:cs="Arial"/>
        </w:rPr>
        <w:t>The Generalized Poisson Regression (GPR) is a model that extends the Poisson Regression by introducing an additional parameter to account for over-dispersion (Agresti, 2007). The probability mass function (PMF) of the Generalized Poisson distribution is given by:</w:t>
      </w:r>
    </w:p>
    <w:p w14:paraId="7D6A8048" w14:textId="77777777" w:rsidR="00F86B78" w:rsidRPr="00F86B78" w:rsidRDefault="00F86B78" w:rsidP="00F86B78">
      <w:pPr>
        <w:jc w:val="both"/>
        <w:rPr>
          <w:rFonts w:ascii="Arial" w:eastAsiaTheme="minorEastAsia" w:hAnsi="Arial" w:cs="Arial"/>
        </w:rPr>
      </w:pPr>
      <m:oMathPara>
        <m:oMath>
          <m:r>
            <w:rPr>
              <w:rFonts w:ascii="Cambria Math" w:hAnsi="Cambria Math" w:cs="Arial"/>
            </w:rPr>
            <m:t>P</m:t>
          </m:r>
          <m:d>
            <m:dPr>
              <m:ctrlPr>
                <w:rPr>
                  <w:rFonts w:ascii="Cambria Math" w:hAnsi="Cambria Math" w:cs="Arial"/>
                  <w:i/>
                </w:rPr>
              </m:ctrlPr>
            </m:dPr>
            <m:e>
              <m:r>
                <w:rPr>
                  <w:rFonts w:ascii="Cambria Math" w:hAnsi="Cambria Math" w:cs="Arial"/>
                </w:rPr>
                <m:t>Y=y</m:t>
              </m:r>
            </m:e>
          </m:d>
          <m:r>
            <w:rPr>
              <w:rFonts w:ascii="Cambria Math" w:hAnsi="Cambria Math" w:cs="Arial"/>
            </w:rPr>
            <m:t>=</m:t>
          </m:r>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e</m:t>
                  </m:r>
                </m:e>
                <m:sup>
                  <m:r>
                    <w:rPr>
                      <w:rFonts w:ascii="Cambria Math" w:hAnsi="Cambria Math" w:cs="Arial"/>
                    </w:rPr>
                    <m:t>-λ</m:t>
                  </m:r>
                </m:sup>
              </m:sSup>
              <m:sSup>
                <m:sSupPr>
                  <m:ctrlPr>
                    <w:rPr>
                      <w:rFonts w:ascii="Cambria Math" w:hAnsi="Cambria Math" w:cs="Arial"/>
                      <w:i/>
                    </w:rPr>
                  </m:ctrlPr>
                </m:sSupPr>
                <m:e>
                  <m:r>
                    <w:rPr>
                      <w:rFonts w:ascii="Cambria Math" w:hAnsi="Cambria Math" w:cs="Arial"/>
                    </w:rPr>
                    <m:t>λ</m:t>
                  </m:r>
                </m:e>
                <m:sup>
                  <m:r>
                    <w:rPr>
                      <w:rFonts w:ascii="Cambria Math" w:hAnsi="Cambria Math" w:cs="Arial"/>
                    </w:rPr>
                    <m:t>y</m:t>
                  </m:r>
                </m:sup>
              </m:sSup>
            </m:num>
            <m:den>
              <m:d>
                <m:dPr>
                  <m:ctrlPr>
                    <w:rPr>
                      <w:rFonts w:ascii="Cambria Math" w:hAnsi="Cambria Math" w:cs="Arial"/>
                      <w:i/>
                    </w:rPr>
                  </m:ctrlPr>
                </m:dPr>
                <m:e>
                  <m:r>
                    <w:rPr>
                      <w:rFonts w:ascii="Cambria Math" w:hAnsi="Cambria Math" w:cs="Arial"/>
                    </w:rPr>
                    <m:t>1+αy</m:t>
                  </m:r>
                </m:e>
              </m:d>
              <m:r>
                <w:rPr>
                  <w:rFonts w:ascii="Cambria Math" w:hAnsi="Cambria Math" w:cs="Arial"/>
                </w:rPr>
                <m:t>y!</m:t>
              </m:r>
            </m:den>
          </m:f>
          <m:r>
            <w:rPr>
              <w:rFonts w:ascii="Cambria Math" w:hAnsi="Cambria Math" w:cs="Arial"/>
            </w:rPr>
            <m:t xml:space="preserve">                                                                                                          (6)</m:t>
          </m:r>
        </m:oMath>
      </m:oMathPara>
    </w:p>
    <w:p w14:paraId="79C84FFA" w14:textId="77777777" w:rsidR="00F86B78" w:rsidRPr="00F86B78" w:rsidRDefault="00F86B78" w:rsidP="00F86B78">
      <w:pPr>
        <w:jc w:val="both"/>
        <w:rPr>
          <w:rFonts w:ascii="Arial" w:hAnsi="Arial" w:cs="Arial"/>
        </w:rPr>
      </w:pPr>
      <w:r w:rsidRPr="00F86B78">
        <w:rPr>
          <w:rFonts w:ascii="Arial" w:eastAsiaTheme="minorEastAsia" w:hAnsi="Arial" w:cs="Arial"/>
        </w:rPr>
        <w:t xml:space="preserve">where </w:t>
      </w:r>
      <m:oMath>
        <m:r>
          <w:rPr>
            <w:rFonts w:ascii="Cambria Math" w:eastAsiaTheme="minorEastAsia" w:hAnsi="Cambria Math" w:cs="Arial"/>
          </w:rPr>
          <m:t>Y</m:t>
        </m:r>
      </m:oMath>
      <w:r w:rsidRPr="00F86B78">
        <w:rPr>
          <w:rFonts w:ascii="Arial" w:eastAsiaTheme="minorEastAsia" w:hAnsi="Arial" w:cs="Arial"/>
        </w:rPr>
        <w:t xml:space="preserve"> </w:t>
      </w:r>
      <w:r w:rsidRPr="00F86B78">
        <w:rPr>
          <w:rFonts w:ascii="Arial" w:hAnsi="Arial" w:cs="Arial"/>
        </w:rPr>
        <w:t xml:space="preserve">is the random variable representing the count, </w:t>
      </w:r>
      <m:oMath>
        <m:r>
          <w:rPr>
            <w:rFonts w:ascii="Cambria Math" w:hAnsi="Cambria Math" w:cs="Arial"/>
          </w:rPr>
          <m:t>y</m:t>
        </m:r>
      </m:oMath>
      <w:r w:rsidRPr="00F86B78">
        <w:rPr>
          <w:rFonts w:ascii="Arial" w:hAnsi="Arial" w:cs="Arial"/>
        </w:rPr>
        <w:t xml:space="preserve"> is the observed count, </w:t>
      </w:r>
      <m:oMath>
        <m:r>
          <w:rPr>
            <w:rFonts w:ascii="Cambria Math" w:hAnsi="Cambria Math" w:cs="Arial"/>
          </w:rPr>
          <m:t>λ</m:t>
        </m:r>
      </m:oMath>
      <w:r w:rsidRPr="00F86B78">
        <w:rPr>
          <w:rFonts w:ascii="Arial" w:eastAsiaTheme="minorEastAsia" w:hAnsi="Arial" w:cs="Arial"/>
        </w:rPr>
        <w:t xml:space="preserve"> </w:t>
      </w:r>
      <w:r w:rsidRPr="00F86B78">
        <w:rPr>
          <w:rFonts w:ascii="Arial" w:hAnsi="Arial" w:cs="Arial"/>
        </w:rPr>
        <w:t xml:space="preserve">is the mean parameter and </w:t>
      </w:r>
      <m:oMath>
        <m:r>
          <w:rPr>
            <w:rFonts w:ascii="Cambria Math" w:hAnsi="Cambria Math" w:cs="Arial"/>
          </w:rPr>
          <m:t>α</m:t>
        </m:r>
      </m:oMath>
      <w:r w:rsidRPr="00F86B78">
        <w:rPr>
          <w:rFonts w:ascii="Arial" w:eastAsiaTheme="minorEastAsia" w:hAnsi="Arial" w:cs="Arial"/>
        </w:rPr>
        <w:t xml:space="preserve"> </w:t>
      </w:r>
      <w:r w:rsidRPr="00F86B78">
        <w:rPr>
          <w:rFonts w:ascii="Arial" w:hAnsi="Arial" w:cs="Arial"/>
        </w:rPr>
        <w:t>is the over-dispersion parameter.</w:t>
      </w:r>
    </w:p>
    <w:p w14:paraId="14B12A7A" w14:textId="77777777" w:rsidR="00F86B78" w:rsidRPr="00F86B78" w:rsidRDefault="00F86B78" w:rsidP="00F86B78">
      <w:pPr>
        <w:jc w:val="both"/>
        <w:rPr>
          <w:rFonts w:ascii="Arial" w:eastAsiaTheme="minorEastAsia" w:hAnsi="Arial" w:cs="Arial"/>
          <w:b/>
          <w:bCs/>
        </w:rPr>
      </w:pPr>
      <w:r w:rsidRPr="00F86B78">
        <w:rPr>
          <w:rFonts w:ascii="Arial" w:hAnsi="Arial" w:cs="Arial"/>
        </w:rPr>
        <w:t xml:space="preserve">The mean </w:t>
      </w:r>
      <m:oMath>
        <m:r>
          <w:rPr>
            <w:rFonts w:ascii="Cambria Math" w:hAnsi="Cambria Math" w:cs="Arial"/>
          </w:rPr>
          <m:t>μ</m:t>
        </m:r>
      </m:oMath>
      <w:r w:rsidRPr="00F86B78">
        <w:rPr>
          <w:rFonts w:ascii="Arial" w:eastAsiaTheme="minorEastAsia" w:hAnsi="Arial" w:cs="Arial"/>
        </w:rPr>
        <w:t xml:space="preserve"> </w:t>
      </w:r>
      <w:r w:rsidRPr="00F86B78">
        <w:rPr>
          <w:rFonts w:ascii="Arial" w:hAnsi="Arial" w:cs="Arial"/>
        </w:rPr>
        <w:t xml:space="preserve">of the Generalized Poisson distribution is given as </w:t>
      </w:r>
      <m:oMath>
        <m:r>
          <w:rPr>
            <w:rFonts w:ascii="Cambria Math" w:hAnsi="Cambria Math" w:cs="Arial"/>
          </w:rPr>
          <m:t>μ=λ</m:t>
        </m:r>
      </m:oMath>
      <w:r w:rsidRPr="00F86B78">
        <w:rPr>
          <w:rFonts w:ascii="Arial" w:eastAsiaTheme="minorEastAsia" w:hAnsi="Arial" w:cs="Arial"/>
          <w:bCs/>
        </w:rPr>
        <w:t xml:space="preserve"> and the variance </w:t>
      </w:r>
      <m:oMath>
        <m:sSup>
          <m:sSupPr>
            <m:ctrlPr>
              <w:rPr>
                <w:rFonts w:ascii="Cambria Math" w:eastAsiaTheme="minorEastAsia" w:hAnsi="Cambria Math" w:cs="Arial"/>
                <w:bCs/>
                <w:i/>
              </w:rPr>
            </m:ctrlPr>
          </m:sSupPr>
          <m:e>
            <m:r>
              <w:rPr>
                <w:rFonts w:ascii="Cambria Math" w:eastAsiaTheme="minorEastAsia" w:hAnsi="Cambria Math" w:cs="Arial"/>
              </w:rPr>
              <m:t>σ</m:t>
            </m:r>
          </m:e>
          <m:sup>
            <m:r>
              <w:rPr>
                <w:rFonts w:ascii="Cambria Math" w:eastAsiaTheme="minorEastAsia" w:hAnsi="Cambria Math" w:cs="Arial"/>
              </w:rPr>
              <m:t>2</m:t>
            </m:r>
          </m:sup>
        </m:sSup>
      </m:oMath>
      <w:r w:rsidRPr="00F86B78">
        <w:rPr>
          <w:rFonts w:ascii="Arial" w:eastAsiaTheme="minorEastAsia" w:hAnsi="Arial" w:cs="Arial"/>
          <w:bCs/>
        </w:rPr>
        <w:t xml:space="preserve"> is given as </w:t>
      </w:r>
      <m:oMath>
        <m:sSup>
          <m:sSupPr>
            <m:ctrlPr>
              <w:rPr>
                <w:rFonts w:ascii="Cambria Math" w:eastAsiaTheme="minorEastAsia" w:hAnsi="Cambria Math" w:cs="Arial"/>
                <w:bCs/>
                <w:i/>
              </w:rPr>
            </m:ctrlPr>
          </m:sSupPr>
          <m:e>
            <m:r>
              <w:rPr>
                <w:rFonts w:ascii="Cambria Math" w:eastAsiaTheme="minorEastAsia" w:hAnsi="Cambria Math" w:cs="Arial"/>
              </w:rPr>
              <m:t>σ</m:t>
            </m:r>
          </m:e>
          <m:sup>
            <m:r>
              <w:rPr>
                <w:rFonts w:ascii="Cambria Math" w:eastAsiaTheme="minorEastAsia" w:hAnsi="Cambria Math" w:cs="Arial"/>
              </w:rPr>
              <m:t>2</m:t>
            </m:r>
          </m:sup>
        </m:sSup>
        <m:r>
          <w:rPr>
            <w:rFonts w:ascii="Cambria Math" w:eastAsiaTheme="minorEastAsia" w:hAnsi="Cambria Math" w:cs="Arial"/>
          </w:rPr>
          <m:t>=λ</m:t>
        </m:r>
        <m:d>
          <m:dPr>
            <m:ctrlPr>
              <w:rPr>
                <w:rFonts w:ascii="Cambria Math" w:eastAsiaTheme="minorEastAsia" w:hAnsi="Cambria Math" w:cs="Arial"/>
                <w:bCs/>
                <w:i/>
              </w:rPr>
            </m:ctrlPr>
          </m:dPr>
          <m:e>
            <m:r>
              <w:rPr>
                <w:rFonts w:ascii="Cambria Math" w:eastAsiaTheme="minorEastAsia" w:hAnsi="Cambria Math" w:cs="Arial"/>
              </w:rPr>
              <m:t>1+αλ</m:t>
            </m:r>
          </m:e>
        </m:d>
        <m:r>
          <m:rPr>
            <m:sty m:val="bi"/>
          </m:rPr>
          <w:rPr>
            <w:rFonts w:ascii="Cambria Math" w:eastAsiaTheme="minorEastAsia" w:hAnsi="Cambria Math" w:cs="Arial"/>
          </w:rPr>
          <m:t>.</m:t>
        </m:r>
      </m:oMath>
    </w:p>
    <w:p w14:paraId="6BB73926" w14:textId="77777777" w:rsidR="00F86B78" w:rsidRPr="00F86B78" w:rsidRDefault="00F86B78" w:rsidP="00F86B78">
      <w:pPr>
        <w:jc w:val="both"/>
        <w:rPr>
          <w:rFonts w:ascii="Arial" w:hAnsi="Arial" w:cs="Arial"/>
        </w:rPr>
      </w:pPr>
      <w:r w:rsidRPr="00F86B78">
        <w:rPr>
          <w:rFonts w:ascii="Arial" w:hAnsi="Arial" w:cs="Arial"/>
        </w:rPr>
        <w:lastRenderedPageBreak/>
        <w:t xml:space="preserve">In the context of regression modeling, the Generalized Poisson Regression model models the logarithm of the mean </w:t>
      </w:r>
      <m:oMath>
        <m:r>
          <w:rPr>
            <w:rFonts w:ascii="Cambria Math" w:hAnsi="Cambria Math" w:cs="Arial"/>
          </w:rPr>
          <m:t>λ</m:t>
        </m:r>
      </m:oMath>
      <w:r w:rsidRPr="00F86B78">
        <w:rPr>
          <w:rFonts w:ascii="Arial" w:eastAsiaTheme="minorEastAsia" w:hAnsi="Arial" w:cs="Arial"/>
        </w:rPr>
        <w:t xml:space="preserve"> </w:t>
      </w:r>
      <w:r w:rsidRPr="00F86B78">
        <w:rPr>
          <w:rFonts w:ascii="Arial" w:hAnsi="Arial" w:cs="Arial"/>
        </w:rPr>
        <w:t xml:space="preserve">as a linear combination of predictors using the link function. The link function is often the logarithmic function, leading to a linear predictor </w:t>
      </w:r>
      <m:oMath>
        <m:r>
          <w:rPr>
            <w:rFonts w:ascii="Cambria Math" w:hAnsi="Cambria Math" w:cs="Arial"/>
          </w:rPr>
          <m:t>η</m:t>
        </m:r>
      </m:oMath>
      <w:r w:rsidRPr="00F86B78">
        <w:rPr>
          <w:rFonts w:ascii="Arial" w:eastAsiaTheme="minorEastAsia" w:hAnsi="Arial" w:cs="Arial"/>
        </w:rPr>
        <w:t xml:space="preserve">, </w:t>
      </w:r>
      <w:r w:rsidRPr="00F86B78">
        <w:rPr>
          <w:rFonts w:ascii="Arial" w:hAnsi="Arial" w:cs="Arial"/>
        </w:rPr>
        <w:t xml:space="preserve"> </w:t>
      </w:r>
      <m:oMath>
        <m:func>
          <m:funcPr>
            <m:ctrlPr>
              <w:rPr>
                <w:rFonts w:ascii="Cambria Math" w:hAnsi="Cambria Math" w:cs="Arial"/>
                <w:i/>
              </w:rPr>
            </m:ctrlPr>
          </m:funcPr>
          <m:fName>
            <m:r>
              <m:rPr>
                <m:sty m:val="p"/>
              </m:rPr>
              <w:rPr>
                <w:rFonts w:ascii="Cambria Math" w:hAnsi="Cambria Math" w:cs="Arial"/>
              </w:rPr>
              <m:t>ln</m:t>
            </m:r>
          </m:fName>
          <m:e>
            <m:d>
              <m:dPr>
                <m:ctrlPr>
                  <w:rPr>
                    <w:rFonts w:ascii="Cambria Math" w:hAnsi="Cambria Math" w:cs="Arial"/>
                    <w:i/>
                  </w:rPr>
                </m:ctrlPr>
              </m:dPr>
              <m:e>
                <m:r>
                  <w:rPr>
                    <w:rFonts w:ascii="Cambria Math" w:hAnsi="Cambria Math" w:cs="Arial"/>
                  </w:rPr>
                  <m:t>λ</m:t>
                </m:r>
              </m:e>
            </m:d>
          </m:e>
        </m:func>
        <m:r>
          <w:rPr>
            <w:rFonts w:ascii="Cambria Math" w:hAnsi="Cambria Math" w:cs="Arial"/>
          </w:rPr>
          <m:t>=η</m:t>
        </m:r>
      </m:oMath>
      <w:r w:rsidRPr="00F86B78">
        <w:rPr>
          <w:rFonts w:ascii="Arial" w:eastAsiaTheme="minorEastAsia" w:hAnsi="Arial" w:cs="Arial"/>
        </w:rPr>
        <w:t xml:space="preserve"> </w:t>
      </w:r>
      <w:r w:rsidRPr="00F86B78">
        <w:rPr>
          <w:rFonts w:ascii="Arial" w:hAnsi="Arial" w:cs="Arial"/>
        </w:rPr>
        <w:t>(Agresti, 2007).</w:t>
      </w:r>
    </w:p>
    <w:p w14:paraId="6F1854CC" w14:textId="77777777" w:rsidR="00F86B78" w:rsidRPr="00F86B78" w:rsidRDefault="00F86B78" w:rsidP="00F86B78">
      <w:pPr>
        <w:jc w:val="both"/>
        <w:rPr>
          <w:rFonts w:ascii="Arial" w:hAnsi="Arial" w:cs="Arial"/>
        </w:rPr>
      </w:pPr>
      <w:r w:rsidRPr="00F86B78">
        <w:rPr>
          <w:rFonts w:ascii="Arial" w:hAnsi="Arial" w:cs="Arial"/>
        </w:rPr>
        <w:t xml:space="preserve">The linear predictor </w:t>
      </w:r>
      <m:oMath>
        <m:r>
          <w:rPr>
            <w:rFonts w:ascii="Cambria Math" w:hAnsi="Cambria Math" w:cs="Arial"/>
          </w:rPr>
          <m:t>η</m:t>
        </m:r>
      </m:oMath>
      <w:r w:rsidRPr="00F86B78">
        <w:rPr>
          <w:rFonts w:ascii="Arial" w:hAnsi="Arial" w:cs="Arial"/>
        </w:rPr>
        <w:t xml:space="preserve"> is modeled as:</w:t>
      </w:r>
    </w:p>
    <w:p w14:paraId="137A08D4" w14:textId="77777777" w:rsidR="00F86B78" w:rsidRPr="00F86B78" w:rsidRDefault="00F86B78" w:rsidP="00F86B78">
      <w:pPr>
        <w:jc w:val="both"/>
        <w:rPr>
          <w:rFonts w:ascii="Arial" w:eastAsiaTheme="minorEastAsia" w:hAnsi="Arial" w:cs="Arial"/>
        </w:rPr>
      </w:pPr>
      <m:oMathPara>
        <m:oMath>
          <m:r>
            <w:rPr>
              <w:rFonts w:ascii="Cambria Math" w:hAnsi="Cambria Math" w:cs="Arial"/>
            </w:rPr>
            <m:t>η=</m:t>
          </m:r>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1</m:t>
              </m:r>
            </m:sub>
          </m:sSub>
          <m:sSub>
            <m:sSubPr>
              <m:ctrlPr>
                <w:rPr>
                  <w:rFonts w:ascii="Cambria Math" w:hAnsi="Cambria Math" w:cs="Arial"/>
                  <w:i/>
                </w:rPr>
              </m:ctrlPr>
            </m:sSubPr>
            <m:e>
              <m:r>
                <w:rPr>
                  <w:rFonts w:ascii="Cambria Math" w:hAnsi="Cambria Math" w:cs="Arial"/>
                </w:rPr>
                <m:t>x</m:t>
              </m:r>
            </m:e>
            <m:sub>
              <m:r>
                <w:rPr>
                  <w:rFonts w:ascii="Cambria Math" w:hAnsi="Cambria Math" w:cs="Arial"/>
                </w:rPr>
                <m:t>1</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2</m:t>
              </m:r>
            </m:sub>
          </m:sSub>
          <m:sSub>
            <m:sSubPr>
              <m:ctrlPr>
                <w:rPr>
                  <w:rFonts w:ascii="Cambria Math" w:hAnsi="Cambria Math" w:cs="Arial"/>
                  <w:i/>
                </w:rPr>
              </m:ctrlPr>
            </m:sSubPr>
            <m:e>
              <m:r>
                <w:rPr>
                  <w:rFonts w:ascii="Cambria Math" w:hAnsi="Cambria Math" w:cs="Arial"/>
                </w:rPr>
                <m:t>x</m:t>
              </m:r>
            </m:e>
            <m:sub>
              <m:r>
                <w:rPr>
                  <w:rFonts w:ascii="Cambria Math" w:hAnsi="Cambria Math" w:cs="Arial"/>
                </w:rPr>
                <m:t>2</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3</m:t>
              </m:r>
            </m:sub>
          </m:sSub>
          <m:sSub>
            <m:sSubPr>
              <m:ctrlPr>
                <w:rPr>
                  <w:rFonts w:ascii="Cambria Math" w:hAnsi="Cambria Math" w:cs="Arial"/>
                  <w:i/>
                </w:rPr>
              </m:ctrlPr>
            </m:sSubPr>
            <m:e>
              <m:r>
                <w:rPr>
                  <w:rFonts w:ascii="Cambria Math" w:hAnsi="Cambria Math" w:cs="Arial"/>
                </w:rPr>
                <m:t>x</m:t>
              </m:r>
            </m:e>
            <m:sub>
              <m:r>
                <w:rPr>
                  <w:rFonts w:ascii="Cambria Math" w:hAnsi="Cambria Math" w:cs="Arial"/>
                </w:rPr>
                <m:t>3</m:t>
              </m:r>
            </m:sub>
          </m:sSub>
          <m:r>
            <w:rPr>
              <w:rFonts w:ascii="Cambria Math" w:hAnsi="Cambria Math" w:cs="Arial"/>
            </w:rPr>
            <m:t>+</m:t>
          </m:r>
          <m:sSub>
            <m:sSubPr>
              <m:ctrlPr>
                <w:rPr>
                  <w:rFonts w:ascii="Cambria Math" w:hAnsi="Cambria Math" w:cs="Arial"/>
                  <w:i/>
                </w:rPr>
              </m:ctrlPr>
            </m:sSubPr>
            <m:e>
              <m:r>
                <w:rPr>
                  <w:rFonts w:ascii="Cambria Math" w:hAnsi="Cambria Math" w:cs="Arial"/>
                </w:rPr>
                <m:t>ε</m:t>
              </m:r>
            </m:e>
            <m:sub>
              <m:r>
                <w:rPr>
                  <w:rFonts w:ascii="Cambria Math" w:hAnsi="Cambria Math" w:cs="Arial"/>
                </w:rPr>
                <m:t>i</m:t>
              </m:r>
            </m:sub>
          </m:sSub>
          <m:r>
            <w:rPr>
              <w:rFonts w:ascii="Cambria Math" w:hAnsi="Cambria Math" w:cs="Arial"/>
            </w:rPr>
            <m:t xml:space="preserve">                                                                             (7)</m:t>
          </m:r>
        </m:oMath>
      </m:oMathPara>
    </w:p>
    <w:p w14:paraId="4BB16416" w14:textId="77777777" w:rsidR="00F86B78" w:rsidRPr="00F86B78" w:rsidRDefault="00F86B78" w:rsidP="00F86B78">
      <w:pPr>
        <w:jc w:val="both"/>
        <w:rPr>
          <w:rFonts w:ascii="Arial" w:eastAsiaTheme="minorEastAsia" w:hAnsi="Arial" w:cs="Arial"/>
        </w:rPr>
      </w:pPr>
      <w:r w:rsidRPr="00F86B78">
        <w:rPr>
          <w:rFonts w:ascii="Arial" w:eastAsiaTheme="minorEastAsia" w:hAnsi="Arial" w:cs="Arial"/>
        </w:rPr>
        <w:t>All the parameters are as earlier defined.</w:t>
      </w:r>
    </w:p>
    <w:p w14:paraId="6F598D3C" w14:textId="77777777" w:rsidR="00F86B78" w:rsidRPr="00F86B78" w:rsidRDefault="00F86B78" w:rsidP="00F86B78">
      <w:pPr>
        <w:jc w:val="both"/>
        <w:rPr>
          <w:rFonts w:ascii="Arial" w:hAnsi="Arial" w:cs="Arial"/>
        </w:rPr>
      </w:pPr>
      <w:r w:rsidRPr="00F86B78">
        <w:rPr>
          <w:rFonts w:ascii="Arial" w:hAnsi="Arial" w:cs="Arial"/>
        </w:rPr>
        <w:t xml:space="preserve">The model parameters, including the over-dispersion parameter </w:t>
      </w:r>
      <m:oMath>
        <m:r>
          <w:rPr>
            <w:rFonts w:ascii="Cambria Math" w:hAnsi="Cambria Math" w:cs="Arial"/>
          </w:rPr>
          <m:t>α</m:t>
        </m:r>
      </m:oMath>
      <w:r w:rsidRPr="00F86B78">
        <w:rPr>
          <w:rFonts w:ascii="Arial" w:hAnsi="Arial" w:cs="Arial"/>
        </w:rPr>
        <w:t>, are estimated during the model fitting process. The Generalized Poisson Regression allows for flexibility in handling over-dispersed count data, and it is particularly useful when the assumption of equidispersion in the Poisson model is violated. The choice of the link function and the inclusion of predictors follow similar principles to other generalized linear models.</w:t>
      </w:r>
    </w:p>
    <w:p w14:paraId="598C308E" w14:textId="77777777" w:rsidR="00F86B78" w:rsidRPr="00F86B78" w:rsidRDefault="00756351" w:rsidP="0005770B">
      <w:pPr>
        <w:jc w:val="both"/>
        <w:rPr>
          <w:rFonts w:ascii="Arial" w:hAnsi="Arial" w:cs="Arial"/>
          <w:b/>
        </w:rPr>
      </w:pPr>
      <w:r>
        <w:rPr>
          <w:rFonts w:ascii="Arial" w:hAnsi="Arial" w:cs="Arial"/>
          <w:b/>
        </w:rPr>
        <w:t>2</w:t>
      </w:r>
      <w:r w:rsidR="00F86B78" w:rsidRPr="00F86B78">
        <w:rPr>
          <w:rFonts w:ascii="Arial" w:hAnsi="Arial" w:cs="Arial"/>
          <w:b/>
        </w:rPr>
        <w:t>.3 Model Evaluation and Diagnostic Checks</w:t>
      </w:r>
    </w:p>
    <w:p w14:paraId="722F97DE" w14:textId="77777777" w:rsidR="00F86B78" w:rsidRPr="00F86B78" w:rsidRDefault="00F86B78" w:rsidP="0005770B">
      <w:pPr>
        <w:jc w:val="both"/>
        <w:rPr>
          <w:rFonts w:ascii="Arial" w:hAnsi="Arial" w:cs="Arial"/>
          <w:b/>
        </w:rPr>
      </w:pPr>
      <w:r w:rsidRPr="00F86B78">
        <w:rPr>
          <w:rFonts w:ascii="Arial" w:hAnsi="Arial" w:cs="Arial"/>
        </w:rPr>
        <w:t>The following goodness-of-fit measures are employed to evaluate model performance and to check the adequacy of the estimated models.</w:t>
      </w:r>
    </w:p>
    <w:p w14:paraId="26E20926" w14:textId="77777777" w:rsidR="00F86B78" w:rsidRPr="00F86B78" w:rsidRDefault="00756351" w:rsidP="0005770B">
      <w:pPr>
        <w:jc w:val="both"/>
        <w:rPr>
          <w:rFonts w:ascii="Arial" w:hAnsi="Arial" w:cs="Arial"/>
          <w:b/>
        </w:rPr>
      </w:pPr>
      <w:r>
        <w:rPr>
          <w:rFonts w:ascii="Arial" w:hAnsi="Arial" w:cs="Arial"/>
          <w:b/>
        </w:rPr>
        <w:t>2</w:t>
      </w:r>
      <w:r w:rsidR="00F86B78" w:rsidRPr="00F86B78">
        <w:rPr>
          <w:rFonts w:ascii="Arial" w:hAnsi="Arial" w:cs="Arial"/>
          <w:b/>
        </w:rPr>
        <w:t>.3.1 Deviance statistic</w:t>
      </w:r>
    </w:p>
    <w:p w14:paraId="4885C70D" w14:textId="77777777" w:rsidR="00F86B78" w:rsidRPr="00F86B78" w:rsidRDefault="00F86B78" w:rsidP="0005770B">
      <w:pPr>
        <w:jc w:val="both"/>
        <w:rPr>
          <w:rFonts w:ascii="Arial" w:hAnsi="Arial" w:cs="Arial"/>
        </w:rPr>
      </w:pPr>
      <w:r w:rsidRPr="00F86B78">
        <w:rPr>
          <w:rFonts w:ascii="Arial" w:hAnsi="Arial" w:cs="Arial"/>
        </w:rPr>
        <w:t xml:space="preserve">Deviance is defined as the log likelihood of the final model multiplied by (-2). It is mathematically expressed as: </w:t>
      </w:r>
    </w:p>
    <w:p w14:paraId="4F322C2B" w14:textId="77777777" w:rsidR="00F86B78" w:rsidRPr="00F86B78" w:rsidRDefault="00F86B78" w:rsidP="0005770B">
      <w:pPr>
        <w:jc w:val="both"/>
        <w:rPr>
          <w:rFonts w:ascii="Arial" w:eastAsiaTheme="minorEastAsia" w:hAnsi="Arial" w:cs="Arial"/>
        </w:rPr>
      </w:pPr>
      <m:oMathPara>
        <m:oMath>
          <m:r>
            <m:rPr>
              <m:sty m:val="p"/>
            </m:rPr>
            <w:rPr>
              <w:rFonts w:ascii="Cambria Math" w:hAnsi="Cambria Math" w:cs="Arial"/>
            </w:rPr>
            <m:t>Deviance</m:t>
          </m:r>
          <m:r>
            <w:rPr>
              <w:rFonts w:ascii="Cambria Math" w:hAnsi="Cambria Math" w:cs="Arial"/>
            </w:rPr>
            <m:t>=</m:t>
          </m:r>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n</m:t>
              </m:r>
            </m:sup>
            <m:e>
              <m:r>
                <w:rPr>
                  <w:rFonts w:ascii="Cambria Math" w:hAnsi="Cambria Math" w:cs="Arial"/>
                </w:rPr>
                <m:t>2</m:t>
              </m:r>
              <m:d>
                <m:dPr>
                  <m:begChr m:val="["/>
                  <m:endChr m:val="]"/>
                  <m:ctrlPr>
                    <w:rPr>
                      <w:rFonts w:ascii="Cambria Math" w:hAnsi="Cambria Math" w:cs="Arial"/>
                      <w:i/>
                    </w:rPr>
                  </m:ctrlPr>
                </m:dPr>
                <m:e>
                  <m:sSub>
                    <m:sSubPr>
                      <m:ctrlPr>
                        <w:rPr>
                          <w:rFonts w:ascii="Cambria Math" w:hAnsi="Cambria Math" w:cs="Arial"/>
                          <w:i/>
                        </w:rPr>
                      </m:ctrlPr>
                    </m:sSubPr>
                    <m:e>
                      <m:r>
                        <w:rPr>
                          <w:rFonts w:ascii="Cambria Math" w:hAnsi="Cambria Math" w:cs="Arial"/>
                        </w:rPr>
                        <m:t>y</m:t>
                      </m:r>
                    </m:e>
                    <m:sub>
                      <m:r>
                        <w:rPr>
                          <w:rFonts w:ascii="Cambria Math" w:hAnsi="Cambria Math" w:cs="Arial"/>
                        </w:rPr>
                        <m:t>i</m:t>
                      </m:r>
                    </m:sub>
                  </m:sSub>
                  <m:func>
                    <m:funcPr>
                      <m:ctrlPr>
                        <w:rPr>
                          <w:rFonts w:ascii="Cambria Math" w:hAnsi="Cambria Math" w:cs="Arial"/>
                          <w:i/>
                        </w:rPr>
                      </m:ctrlPr>
                    </m:funcPr>
                    <m:fName>
                      <m:r>
                        <m:rPr>
                          <m:sty m:val="p"/>
                        </m:rPr>
                        <w:rPr>
                          <w:rFonts w:ascii="Cambria Math" w:hAnsi="Cambria Math" w:cs="Arial"/>
                        </w:rPr>
                        <m:t>log</m:t>
                      </m:r>
                    </m:fName>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y</m:t>
                              </m:r>
                            </m:e>
                            <m:sub>
                              <m:r>
                                <w:rPr>
                                  <w:rFonts w:ascii="Cambria Math" w:hAnsi="Cambria Math" w:cs="Arial"/>
                                </w:rPr>
                                <m:t>i</m:t>
                              </m:r>
                            </m:sub>
                          </m:sSub>
                        </m:num>
                        <m:den>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y</m:t>
                                  </m:r>
                                </m:e>
                              </m:acc>
                            </m:e>
                            <m:sub>
                              <m:r>
                                <w:rPr>
                                  <w:rFonts w:ascii="Cambria Math" w:hAnsi="Cambria Math" w:cs="Arial"/>
                                </w:rPr>
                                <m:t>i</m:t>
                              </m:r>
                            </m:sub>
                          </m:sSub>
                        </m:den>
                      </m:f>
                    </m:e>
                  </m:func>
                  <m:r>
                    <w:rPr>
                      <w:rFonts w:ascii="Cambria Math" w:hAnsi="Cambria Math" w:cs="Arial"/>
                    </w:rPr>
                    <m:t>-</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y</m:t>
                          </m:r>
                        </m:e>
                        <m:sub>
                          <m:r>
                            <w:rPr>
                              <w:rFonts w:ascii="Cambria Math" w:hAnsi="Cambria Math" w:cs="Arial"/>
                            </w:rPr>
                            <m:t>i</m:t>
                          </m:r>
                        </m:sub>
                      </m:sSub>
                      <m:r>
                        <w:rPr>
                          <w:rFonts w:ascii="Cambria Math" w:hAnsi="Cambria Math" w:cs="Arial"/>
                        </w:rPr>
                        <m:t>-</m:t>
                      </m:r>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y</m:t>
                              </m:r>
                            </m:e>
                          </m:acc>
                        </m:e>
                        <m:sub>
                          <m:r>
                            <w:rPr>
                              <w:rFonts w:ascii="Cambria Math" w:hAnsi="Cambria Math" w:cs="Arial"/>
                            </w:rPr>
                            <m:t>i</m:t>
                          </m:r>
                        </m:sub>
                      </m:sSub>
                    </m:e>
                  </m:d>
                </m:e>
              </m:d>
            </m:e>
          </m:nary>
          <m:r>
            <w:rPr>
              <w:rFonts w:ascii="Cambria Math" w:hAnsi="Cambria Math" w:cs="Arial"/>
            </w:rPr>
            <m:t xml:space="preserve">                                                                                 (8)</m:t>
          </m:r>
        </m:oMath>
      </m:oMathPara>
    </w:p>
    <w:p w14:paraId="52D53D6B" w14:textId="77777777" w:rsidR="00F86B78" w:rsidRPr="00F86B78" w:rsidRDefault="00F86B78" w:rsidP="0005770B">
      <w:pPr>
        <w:jc w:val="both"/>
        <w:rPr>
          <w:rFonts w:ascii="Arial" w:eastAsiaTheme="minorEastAsia" w:hAnsi="Arial" w:cs="Arial"/>
        </w:rPr>
      </w:pPr>
      <w:r w:rsidRPr="00F86B78">
        <w:rPr>
          <w:rFonts w:ascii="Arial" w:eastAsiaTheme="minorEastAsia" w:hAnsi="Arial" w:cs="Arial"/>
        </w:rPr>
        <w:t xml:space="preserve">where </w:t>
      </w:r>
      <m:oMath>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y</m:t>
                </m:r>
              </m:e>
            </m:acc>
          </m:e>
          <m:sub>
            <m:r>
              <w:rPr>
                <w:rFonts w:ascii="Cambria Math" w:eastAsiaTheme="minorEastAsia" w:hAnsi="Cambria Math" w:cs="Arial"/>
              </w:rPr>
              <m:t>i</m:t>
            </m:r>
          </m:sub>
        </m:sSub>
      </m:oMath>
      <w:r w:rsidRPr="00F86B78">
        <w:rPr>
          <w:rFonts w:ascii="Arial" w:eastAsiaTheme="minorEastAsia" w:hAnsi="Arial" w:cs="Arial"/>
        </w:rPr>
        <w:t xml:space="preserve"> is the predicted value of </w:t>
      </w:r>
      <m:oMath>
        <m:sSub>
          <m:sSubPr>
            <m:ctrlPr>
              <w:rPr>
                <w:rFonts w:ascii="Cambria Math" w:eastAsiaTheme="minorEastAsia" w:hAnsi="Cambria Math" w:cs="Arial"/>
                <w:i/>
              </w:rPr>
            </m:ctrlPr>
          </m:sSubPr>
          <m:e>
            <m:r>
              <w:rPr>
                <w:rFonts w:ascii="Cambria Math" w:eastAsiaTheme="minorEastAsia" w:hAnsi="Cambria Math" w:cs="Arial"/>
              </w:rPr>
              <m:t>y</m:t>
            </m:r>
          </m:e>
          <m:sub>
            <m:r>
              <w:rPr>
                <w:rFonts w:ascii="Cambria Math" w:eastAsiaTheme="minorEastAsia" w:hAnsi="Cambria Math" w:cs="Arial"/>
              </w:rPr>
              <m:t>i</m:t>
            </m:r>
          </m:sub>
        </m:sSub>
      </m:oMath>
      <w:r w:rsidRPr="00F86B78">
        <w:rPr>
          <w:rFonts w:ascii="Arial" w:eastAsiaTheme="minorEastAsia" w:hAnsi="Arial" w:cs="Arial"/>
        </w:rPr>
        <w:t>.</w:t>
      </w:r>
    </w:p>
    <w:p w14:paraId="59A21CDE" w14:textId="77777777" w:rsidR="00F86B78" w:rsidRPr="00F86B78" w:rsidRDefault="00756351" w:rsidP="0005770B">
      <w:pPr>
        <w:jc w:val="both"/>
        <w:rPr>
          <w:rFonts w:ascii="Arial" w:eastAsiaTheme="minorEastAsia" w:hAnsi="Arial" w:cs="Arial"/>
          <w:b/>
        </w:rPr>
      </w:pPr>
      <w:r>
        <w:rPr>
          <w:rFonts w:ascii="Arial" w:eastAsiaTheme="minorEastAsia" w:hAnsi="Arial" w:cs="Arial"/>
          <w:b/>
        </w:rPr>
        <w:t>2</w:t>
      </w:r>
      <w:r w:rsidR="00F86B78" w:rsidRPr="00F86B78">
        <w:rPr>
          <w:rFonts w:ascii="Arial" w:eastAsiaTheme="minorEastAsia" w:hAnsi="Arial" w:cs="Arial"/>
          <w:b/>
        </w:rPr>
        <w:t>.3.2 Pearson chi-square</w:t>
      </w:r>
    </w:p>
    <w:p w14:paraId="3B3A592D" w14:textId="77777777" w:rsidR="00F86B78" w:rsidRPr="00F86B78" w:rsidRDefault="00F86B78" w:rsidP="0005770B">
      <w:pPr>
        <w:jc w:val="both"/>
        <w:rPr>
          <w:rFonts w:ascii="Arial" w:eastAsiaTheme="minorEastAsia" w:hAnsi="Arial" w:cs="Arial"/>
        </w:rPr>
      </w:pPr>
      <w:r w:rsidRPr="00F86B78">
        <w:rPr>
          <w:rFonts w:ascii="Arial" w:eastAsiaTheme="minorEastAsia" w:hAnsi="Arial" w:cs="Arial"/>
        </w:rPr>
        <w:t>This is a goodness-of-fit measure that compares fitted values of the outcome variables with the actual values. It is computed mathematically as:</w:t>
      </w:r>
    </w:p>
    <w:p w14:paraId="487BD5BC" w14:textId="77777777" w:rsidR="00F86B78" w:rsidRPr="00F86B78" w:rsidRDefault="00F86B78" w:rsidP="0005770B">
      <w:pPr>
        <w:jc w:val="both"/>
        <w:rPr>
          <w:rFonts w:ascii="Arial" w:eastAsiaTheme="minorEastAsia" w:hAnsi="Arial" w:cs="Arial"/>
        </w:rPr>
      </w:pPr>
      <m:oMathPara>
        <m:oMath>
          <m:r>
            <w:rPr>
              <w:rFonts w:ascii="Cambria Math" w:hAnsi="Cambria Math" w:cs="Arial"/>
            </w:rPr>
            <m:t xml:space="preserve"> </m:t>
          </m:r>
          <m:sSubSup>
            <m:sSubSupPr>
              <m:ctrlPr>
                <w:rPr>
                  <w:rFonts w:ascii="Cambria Math" w:hAnsi="Cambria Math" w:cs="Arial"/>
                  <w:i/>
                </w:rPr>
              </m:ctrlPr>
            </m:sSubSupPr>
            <m:e>
              <m:r>
                <m:rPr>
                  <m:scr m:val="script"/>
                </m:rPr>
                <w:rPr>
                  <w:rFonts w:ascii="Cambria Math" w:hAnsi="Cambria Math" w:cs="Arial"/>
                </w:rPr>
                <m:t>X</m:t>
              </m:r>
            </m:e>
            <m:sub>
              <m:r>
                <w:rPr>
                  <w:rFonts w:ascii="Cambria Math" w:hAnsi="Cambria Math" w:cs="Arial"/>
                </w:rPr>
                <m:t>p</m:t>
              </m:r>
            </m:sub>
            <m:sup>
              <m:r>
                <w:rPr>
                  <w:rFonts w:ascii="Cambria Math" w:hAnsi="Cambria Math" w:cs="Arial"/>
                </w:rPr>
                <m:t>2</m:t>
              </m:r>
            </m:sup>
          </m:sSubSup>
          <m:r>
            <w:rPr>
              <w:rFonts w:ascii="Cambria Math" w:hAnsi="Cambria Math" w:cs="Arial"/>
            </w:rPr>
            <m:t>=</m:t>
          </m:r>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n</m:t>
              </m:r>
            </m:sup>
            <m:e>
              <m:f>
                <m:fPr>
                  <m:ctrlPr>
                    <w:rPr>
                      <w:rFonts w:ascii="Cambria Math" w:hAnsi="Cambria Math" w:cs="Arial"/>
                      <w:i/>
                    </w:rPr>
                  </m:ctrlPr>
                </m:fPr>
                <m:num>
                  <m:sSup>
                    <m:sSupPr>
                      <m:ctrlPr>
                        <w:rPr>
                          <w:rFonts w:ascii="Cambria Math" w:hAnsi="Cambria Math" w:cs="Arial"/>
                          <w:i/>
                        </w:rPr>
                      </m:ctrlPr>
                    </m:sSupPr>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y</m:t>
                              </m:r>
                            </m:e>
                            <m:sub>
                              <m:r>
                                <w:rPr>
                                  <w:rFonts w:ascii="Cambria Math" w:hAnsi="Cambria Math" w:cs="Arial"/>
                                </w:rPr>
                                <m:t>i</m:t>
                              </m:r>
                            </m:sub>
                          </m:sSub>
                          <m:r>
                            <w:rPr>
                              <w:rFonts w:ascii="Cambria Math" w:hAnsi="Cambria Math" w:cs="Arial"/>
                            </w:rPr>
                            <m:t>-</m:t>
                          </m:r>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y</m:t>
                                  </m:r>
                                </m:e>
                              </m:acc>
                            </m:e>
                            <m:sub>
                              <m:r>
                                <w:rPr>
                                  <w:rFonts w:ascii="Cambria Math" w:hAnsi="Cambria Math" w:cs="Arial"/>
                                </w:rPr>
                                <m:t>i</m:t>
                              </m:r>
                            </m:sub>
                          </m:sSub>
                        </m:e>
                      </m:d>
                    </m:e>
                    <m:sup>
                      <m:r>
                        <w:rPr>
                          <w:rFonts w:ascii="Cambria Math" w:hAnsi="Cambria Math" w:cs="Arial"/>
                        </w:rPr>
                        <m:t>2</m:t>
                      </m:r>
                    </m:sup>
                  </m:sSup>
                </m:num>
                <m:den>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y</m:t>
                          </m:r>
                        </m:e>
                      </m:acc>
                    </m:e>
                    <m:sub>
                      <m:r>
                        <w:rPr>
                          <w:rFonts w:ascii="Cambria Math" w:hAnsi="Cambria Math" w:cs="Arial"/>
                        </w:rPr>
                        <m:t>i</m:t>
                      </m:r>
                    </m:sub>
                  </m:sSub>
                </m:den>
              </m:f>
            </m:e>
          </m:nary>
          <m:r>
            <w:rPr>
              <w:rFonts w:ascii="Cambria Math" w:hAnsi="Cambria Math" w:cs="Arial"/>
            </w:rPr>
            <m:t xml:space="preserve">                                                                                                                    (9)</m:t>
          </m:r>
        </m:oMath>
      </m:oMathPara>
    </w:p>
    <w:p w14:paraId="51C36496" w14:textId="77777777" w:rsidR="00F86B78" w:rsidRPr="00F86B78" w:rsidRDefault="00F86B78" w:rsidP="0005770B">
      <w:pPr>
        <w:jc w:val="both"/>
        <w:rPr>
          <w:rFonts w:ascii="Arial" w:eastAsiaTheme="minorEastAsia" w:hAnsi="Arial" w:cs="Arial"/>
        </w:rPr>
      </w:pPr>
      <w:r w:rsidRPr="00F86B78">
        <w:rPr>
          <w:rFonts w:ascii="Arial" w:eastAsiaTheme="minorEastAsia" w:hAnsi="Arial" w:cs="Arial"/>
        </w:rPr>
        <w:t xml:space="preserve">where </w:t>
      </w:r>
      <m:oMath>
        <m:sSub>
          <m:sSubPr>
            <m:ctrlPr>
              <w:rPr>
                <w:rFonts w:ascii="Cambria Math" w:eastAsiaTheme="minorEastAsia" w:hAnsi="Cambria Math" w:cs="Arial"/>
                <w:i/>
              </w:rPr>
            </m:ctrlPr>
          </m:sSubPr>
          <m:e>
            <m:acc>
              <m:accPr>
                <m:ctrlPr>
                  <w:rPr>
                    <w:rFonts w:ascii="Cambria Math" w:eastAsiaTheme="minorEastAsia" w:hAnsi="Cambria Math" w:cs="Arial"/>
                    <w:i/>
                  </w:rPr>
                </m:ctrlPr>
              </m:accPr>
              <m:e>
                <m:r>
                  <w:rPr>
                    <w:rFonts w:ascii="Cambria Math" w:eastAsiaTheme="minorEastAsia" w:hAnsi="Cambria Math" w:cs="Arial"/>
                  </w:rPr>
                  <m:t>y</m:t>
                </m:r>
              </m:e>
            </m:acc>
          </m:e>
          <m:sub>
            <m:r>
              <w:rPr>
                <w:rFonts w:ascii="Cambria Math" w:eastAsiaTheme="minorEastAsia" w:hAnsi="Cambria Math" w:cs="Arial"/>
              </w:rPr>
              <m:t>i</m:t>
            </m:r>
          </m:sub>
        </m:sSub>
      </m:oMath>
      <w:r w:rsidRPr="00F86B78">
        <w:rPr>
          <w:rFonts w:ascii="Arial" w:eastAsiaTheme="minorEastAsia" w:hAnsi="Arial" w:cs="Arial"/>
        </w:rPr>
        <w:t xml:space="preserve"> is the predicted value of </w:t>
      </w:r>
      <m:oMath>
        <m:sSub>
          <m:sSubPr>
            <m:ctrlPr>
              <w:rPr>
                <w:rFonts w:ascii="Cambria Math" w:eastAsiaTheme="minorEastAsia" w:hAnsi="Cambria Math" w:cs="Arial"/>
                <w:i/>
              </w:rPr>
            </m:ctrlPr>
          </m:sSubPr>
          <m:e>
            <m:r>
              <w:rPr>
                <w:rFonts w:ascii="Cambria Math" w:eastAsiaTheme="minorEastAsia" w:hAnsi="Cambria Math" w:cs="Arial"/>
              </w:rPr>
              <m:t>y</m:t>
            </m:r>
          </m:e>
          <m:sub>
            <m:r>
              <w:rPr>
                <w:rFonts w:ascii="Cambria Math" w:eastAsiaTheme="minorEastAsia" w:hAnsi="Cambria Math" w:cs="Arial"/>
              </w:rPr>
              <m:t>i</m:t>
            </m:r>
          </m:sub>
        </m:sSub>
      </m:oMath>
      <w:r w:rsidRPr="00F86B78">
        <w:rPr>
          <w:rFonts w:ascii="Arial" w:eastAsiaTheme="minorEastAsia" w:hAnsi="Arial" w:cs="Arial"/>
        </w:rPr>
        <w:t>.</w:t>
      </w:r>
    </w:p>
    <w:p w14:paraId="4FF6BFC8" w14:textId="77777777" w:rsidR="00F86B78" w:rsidRPr="00F86B78" w:rsidRDefault="00756351" w:rsidP="0005770B">
      <w:pPr>
        <w:jc w:val="both"/>
        <w:rPr>
          <w:rFonts w:ascii="Arial" w:eastAsiaTheme="minorEastAsia" w:hAnsi="Arial" w:cs="Arial"/>
          <w:b/>
        </w:rPr>
      </w:pPr>
      <w:r>
        <w:rPr>
          <w:rFonts w:ascii="Arial" w:eastAsiaTheme="minorEastAsia" w:hAnsi="Arial" w:cs="Arial"/>
          <w:b/>
        </w:rPr>
        <w:t>2</w:t>
      </w:r>
      <w:r w:rsidR="00F86B78" w:rsidRPr="00F86B78">
        <w:rPr>
          <w:rFonts w:ascii="Arial" w:eastAsiaTheme="minorEastAsia" w:hAnsi="Arial" w:cs="Arial"/>
          <w:b/>
        </w:rPr>
        <w:t>.3.3 Akaike information criterion (AIC)</w:t>
      </w:r>
    </w:p>
    <w:p w14:paraId="48284E12" w14:textId="77777777" w:rsidR="00F86B78" w:rsidRPr="00F86B78" w:rsidRDefault="00F86B78" w:rsidP="0005770B">
      <w:pPr>
        <w:jc w:val="both"/>
        <w:rPr>
          <w:rFonts w:ascii="Arial" w:eastAsiaTheme="minorEastAsia" w:hAnsi="Arial" w:cs="Arial"/>
        </w:rPr>
      </w:pPr>
      <w:r w:rsidRPr="00F86B78">
        <w:rPr>
          <w:rFonts w:ascii="Arial" w:eastAsiaTheme="minorEastAsia" w:hAnsi="Arial" w:cs="Arial"/>
        </w:rPr>
        <w:t>Akaike information criterion (AIC) is a goodness-of-fit measure defined as:</w:t>
      </w:r>
    </w:p>
    <w:p w14:paraId="4D47F064" w14:textId="77777777" w:rsidR="00F86B78" w:rsidRPr="00F86B78" w:rsidRDefault="00F86B78" w:rsidP="0005770B">
      <w:pPr>
        <w:jc w:val="both"/>
        <w:rPr>
          <w:rFonts w:ascii="Arial" w:eastAsiaTheme="minorEastAsia" w:hAnsi="Arial" w:cs="Arial"/>
        </w:rPr>
      </w:pPr>
      <m:oMathPara>
        <m:oMath>
          <m:r>
            <m:rPr>
              <m:sty m:val="p"/>
            </m:rPr>
            <w:rPr>
              <w:rFonts w:ascii="Cambria Math" w:eastAsiaTheme="minorEastAsia" w:hAnsi="Cambria Math" w:cs="Arial"/>
            </w:rPr>
            <m:t>AIC</m:t>
          </m:r>
          <m:r>
            <w:rPr>
              <w:rFonts w:ascii="Cambria Math" w:eastAsiaTheme="minorEastAsia" w:hAnsi="Cambria Math" w:cs="Arial"/>
            </w:rPr>
            <m:t>=-2</m:t>
          </m:r>
          <m:func>
            <m:funcPr>
              <m:ctrlPr>
                <w:rPr>
                  <w:rFonts w:ascii="Cambria Math" w:eastAsiaTheme="minorEastAsia" w:hAnsi="Cambria Math" w:cs="Arial"/>
                  <w:i/>
                </w:rPr>
              </m:ctrlPr>
            </m:funcPr>
            <m:fName>
              <m:r>
                <m:rPr>
                  <m:sty m:val="p"/>
                </m:rPr>
                <w:rPr>
                  <w:rFonts w:ascii="Cambria Math" w:hAnsi="Cambria Math" w:cs="Arial"/>
                </w:rPr>
                <m:t>ln</m:t>
              </m:r>
            </m:fName>
            <m:e>
              <m:r>
                <w:rPr>
                  <w:rFonts w:ascii="Cambria Math" w:eastAsiaTheme="minorEastAsia" w:hAnsi="Cambria Math" w:cs="Arial"/>
                </w:rPr>
                <m:t xml:space="preserve">L+2k     </m:t>
              </m:r>
            </m:e>
          </m:func>
          <m:r>
            <w:rPr>
              <w:rFonts w:ascii="Cambria Math" w:eastAsiaTheme="minorEastAsia" w:hAnsi="Cambria Math" w:cs="Arial"/>
            </w:rPr>
            <m:t xml:space="preserve">                                                                                                            (10)</m:t>
          </m:r>
        </m:oMath>
      </m:oMathPara>
    </w:p>
    <w:p w14:paraId="5BDDFCBA" w14:textId="77777777" w:rsidR="00F86B78" w:rsidRPr="00F86B78" w:rsidRDefault="00756351" w:rsidP="0005770B">
      <w:pPr>
        <w:jc w:val="both"/>
        <w:rPr>
          <w:rFonts w:ascii="Arial" w:eastAsiaTheme="minorEastAsia" w:hAnsi="Arial" w:cs="Arial"/>
          <w:b/>
        </w:rPr>
      </w:pPr>
      <w:r>
        <w:rPr>
          <w:rFonts w:ascii="Arial" w:eastAsiaTheme="minorEastAsia" w:hAnsi="Arial" w:cs="Arial"/>
          <w:b/>
        </w:rPr>
        <w:t>2</w:t>
      </w:r>
      <w:r w:rsidR="00F86B78" w:rsidRPr="00F86B78">
        <w:rPr>
          <w:rFonts w:ascii="Arial" w:eastAsiaTheme="minorEastAsia" w:hAnsi="Arial" w:cs="Arial"/>
          <w:b/>
        </w:rPr>
        <w:t>.3.4 Bayesian information criterion (BIC)</w:t>
      </w:r>
    </w:p>
    <w:p w14:paraId="6E354196" w14:textId="77777777" w:rsidR="00F86B78" w:rsidRPr="00F86B78" w:rsidRDefault="00F86B78" w:rsidP="0005770B">
      <w:pPr>
        <w:jc w:val="both"/>
        <w:rPr>
          <w:rFonts w:ascii="Arial" w:eastAsiaTheme="minorEastAsia" w:hAnsi="Arial" w:cs="Arial"/>
        </w:rPr>
      </w:pPr>
      <w:r w:rsidRPr="00F86B78">
        <w:rPr>
          <w:rFonts w:ascii="Arial" w:eastAsiaTheme="minorEastAsia" w:hAnsi="Arial" w:cs="Arial"/>
        </w:rPr>
        <w:t>Bayesian information criterion (BIC) is a goodness-of-fit measure defined as:</w:t>
      </w:r>
    </w:p>
    <w:p w14:paraId="0C22056A" w14:textId="77777777" w:rsidR="00F86B78" w:rsidRPr="00F86B78" w:rsidRDefault="00F86B78" w:rsidP="0005770B">
      <w:pPr>
        <w:jc w:val="both"/>
        <w:rPr>
          <w:rFonts w:ascii="Arial" w:eastAsiaTheme="minorEastAsia" w:hAnsi="Arial" w:cs="Arial"/>
        </w:rPr>
      </w:pPr>
      <m:oMathPara>
        <m:oMath>
          <m:r>
            <m:rPr>
              <m:sty m:val="p"/>
            </m:rPr>
            <w:rPr>
              <w:rFonts w:ascii="Cambria Math" w:eastAsiaTheme="minorEastAsia" w:hAnsi="Cambria Math" w:cs="Arial"/>
            </w:rPr>
            <m:t>BIC</m:t>
          </m:r>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-2</m:t>
              </m:r>
              <m:func>
                <m:funcPr>
                  <m:ctrlPr>
                    <w:rPr>
                      <w:rFonts w:ascii="Cambria Math" w:eastAsiaTheme="minorEastAsia" w:hAnsi="Cambria Math" w:cs="Arial"/>
                      <w:i/>
                    </w:rPr>
                  </m:ctrlPr>
                </m:funcPr>
                <m:fName>
                  <m:r>
                    <m:rPr>
                      <m:sty m:val="p"/>
                    </m:rPr>
                    <w:rPr>
                      <w:rFonts w:ascii="Cambria Math" w:hAnsi="Cambria Math" w:cs="Arial"/>
                    </w:rPr>
                    <m:t>ln</m:t>
                  </m:r>
                </m:fName>
                <m:e>
                  <m:r>
                    <w:rPr>
                      <w:rFonts w:ascii="Cambria Math" w:eastAsiaTheme="minorEastAsia" w:hAnsi="Cambria Math" w:cs="Arial"/>
                    </w:rPr>
                    <m:t>L+k</m:t>
                  </m:r>
                  <m:func>
                    <m:funcPr>
                      <m:ctrlPr>
                        <w:rPr>
                          <w:rFonts w:ascii="Cambria Math" w:eastAsiaTheme="minorEastAsia" w:hAnsi="Cambria Math" w:cs="Arial"/>
                          <w:i/>
                        </w:rPr>
                      </m:ctrlPr>
                    </m:funcPr>
                    <m:fName>
                      <m:r>
                        <m:rPr>
                          <m:sty m:val="p"/>
                        </m:rPr>
                        <w:rPr>
                          <w:rFonts w:ascii="Cambria Math" w:hAnsi="Cambria Math" w:cs="Arial"/>
                        </w:rPr>
                        <m:t>ln</m:t>
                      </m:r>
                    </m:fName>
                    <m:e>
                      <m:r>
                        <w:rPr>
                          <w:rFonts w:ascii="Cambria Math" w:eastAsiaTheme="minorEastAsia" w:hAnsi="Cambria Math" w:cs="Arial"/>
                        </w:rPr>
                        <m:t>(n)</m:t>
                      </m:r>
                    </m:e>
                  </m:func>
                </m:e>
              </m:func>
            </m:num>
            <m:den>
              <m:r>
                <w:rPr>
                  <w:rFonts w:ascii="Cambria Math" w:eastAsiaTheme="minorEastAsia" w:hAnsi="Cambria Math" w:cs="Arial"/>
                </w:rPr>
                <m:t>n</m:t>
              </m:r>
            </m:den>
          </m:f>
          <m:r>
            <w:rPr>
              <w:rFonts w:ascii="Cambria Math" w:eastAsiaTheme="minorEastAsia" w:hAnsi="Cambria Math" w:cs="Arial"/>
            </w:rPr>
            <m:t xml:space="preserve">                                                                                                      (11)</m:t>
          </m:r>
        </m:oMath>
      </m:oMathPara>
    </w:p>
    <w:p w14:paraId="103678F8" w14:textId="77777777" w:rsidR="00F86B78" w:rsidRPr="00F86B78" w:rsidRDefault="00F86B78" w:rsidP="0005770B">
      <w:pPr>
        <w:jc w:val="both"/>
        <w:rPr>
          <w:rFonts w:ascii="Arial" w:eastAsiaTheme="minorEastAsia" w:hAnsi="Arial" w:cs="Arial"/>
        </w:rPr>
      </w:pPr>
      <w:r w:rsidRPr="00F86B78">
        <w:rPr>
          <w:rFonts w:ascii="Arial" w:eastAsiaTheme="minorEastAsia" w:hAnsi="Arial" w:cs="Arial"/>
        </w:rPr>
        <w:t xml:space="preserve">where </w:t>
      </w:r>
      <m:oMath>
        <m:r>
          <w:rPr>
            <w:rFonts w:ascii="Cambria Math" w:eastAsiaTheme="minorEastAsia" w:hAnsi="Cambria Math" w:cs="Arial"/>
          </w:rPr>
          <m:t>n</m:t>
        </m:r>
      </m:oMath>
      <w:r w:rsidRPr="00F86B78">
        <w:rPr>
          <w:rFonts w:ascii="Arial" w:eastAsiaTheme="minorEastAsia" w:hAnsi="Arial" w:cs="Arial"/>
        </w:rPr>
        <w:t xml:space="preserve"> is the total number of observations, </w:t>
      </w:r>
      <m:oMath>
        <m:r>
          <w:rPr>
            <w:rFonts w:ascii="Cambria Math" w:eastAsiaTheme="minorEastAsia" w:hAnsi="Cambria Math" w:cs="Arial"/>
          </w:rPr>
          <m:t>k</m:t>
        </m:r>
      </m:oMath>
      <w:r w:rsidRPr="00F86B78">
        <w:rPr>
          <w:rFonts w:ascii="Arial" w:eastAsiaTheme="minorEastAsia" w:hAnsi="Arial" w:cs="Arial"/>
        </w:rPr>
        <w:t xml:space="preserve"> is the number of model parameters and </w:t>
      </w:r>
      <m:oMath>
        <m:r>
          <w:rPr>
            <w:rFonts w:ascii="Cambria Math" w:eastAsiaTheme="minorEastAsia" w:hAnsi="Cambria Math" w:cs="Arial"/>
          </w:rPr>
          <m:t>L</m:t>
        </m:r>
      </m:oMath>
      <w:r w:rsidRPr="00F86B78">
        <w:rPr>
          <w:rFonts w:ascii="Arial" w:eastAsiaTheme="minorEastAsia" w:hAnsi="Arial" w:cs="Arial"/>
        </w:rPr>
        <w:t xml:space="preserve"> is the likelihood function of the final model defined as:</w:t>
      </w:r>
    </w:p>
    <w:p w14:paraId="14CB842F" w14:textId="77777777" w:rsidR="00F86B78" w:rsidRPr="00F86B78" w:rsidRDefault="00F86B78" w:rsidP="0005770B">
      <w:pPr>
        <w:jc w:val="both"/>
        <w:rPr>
          <w:rFonts w:ascii="Arial" w:eastAsiaTheme="minorEastAsia" w:hAnsi="Arial" w:cs="Arial"/>
        </w:rPr>
      </w:pPr>
      <m:oMathPara>
        <m:oMath>
          <m:r>
            <w:rPr>
              <w:rFonts w:ascii="Cambria Math" w:eastAsiaTheme="minorEastAsia" w:hAnsi="Cambria Math" w:cs="Arial"/>
            </w:rPr>
            <m:t>L=</m:t>
          </m:r>
          <m:nary>
            <m:naryPr>
              <m:chr m:val="∏"/>
              <m:limLoc m:val="undOvr"/>
              <m:ctrlPr>
                <w:rPr>
                  <w:rFonts w:ascii="Cambria Math" w:eastAsiaTheme="minorEastAsia" w:hAnsi="Cambria Math" w:cs="Arial"/>
                  <w:i/>
                </w:rPr>
              </m:ctrlPr>
            </m:naryPr>
            <m:sub>
              <m:r>
                <w:rPr>
                  <w:rFonts w:ascii="Cambria Math" w:eastAsiaTheme="minorEastAsia" w:hAnsi="Cambria Math" w:cs="Arial"/>
                </w:rPr>
                <m:t>i=0</m:t>
              </m:r>
            </m:sub>
            <m:sup>
              <m:r>
                <w:rPr>
                  <w:rFonts w:ascii="Cambria Math" w:eastAsiaTheme="minorEastAsia" w:hAnsi="Cambria Math" w:cs="Arial"/>
                </w:rPr>
                <m:t>n</m:t>
              </m:r>
            </m:sup>
            <m:e>
              <m:sSup>
                <m:sSupPr>
                  <m:ctrlPr>
                    <w:rPr>
                      <w:rFonts w:ascii="Cambria Math" w:eastAsiaTheme="minorEastAsia" w:hAnsi="Cambria Math" w:cs="Arial"/>
                      <w:i/>
                    </w:rPr>
                  </m:ctrlPr>
                </m:sSupPr>
                <m:e>
                  <m:d>
                    <m:dPr>
                      <m:ctrlPr>
                        <w:rPr>
                          <w:rFonts w:ascii="Cambria Math" w:eastAsiaTheme="minorEastAsia" w:hAnsi="Cambria Math" w:cs="Arial"/>
                          <w:i/>
                        </w:rPr>
                      </m:ctrlPr>
                    </m:dPr>
                    <m:e>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2π</m:t>
                          </m:r>
                          <m:sSubSup>
                            <m:sSubSupPr>
                              <m:ctrlPr>
                                <w:rPr>
                                  <w:rFonts w:ascii="Cambria Math" w:eastAsiaTheme="minorEastAsia" w:hAnsi="Cambria Math" w:cs="Arial"/>
                                  <w:i/>
                                </w:rPr>
                              </m:ctrlPr>
                            </m:sSubSupPr>
                            <m:e>
                              <m:r>
                                <w:rPr>
                                  <w:rFonts w:ascii="Cambria Math" w:eastAsiaTheme="minorEastAsia" w:hAnsi="Cambria Math" w:cs="Arial"/>
                                </w:rPr>
                                <m:t>σ</m:t>
                              </m:r>
                            </m:e>
                            <m:sub>
                              <m:r>
                                <w:rPr>
                                  <w:rFonts w:ascii="Cambria Math" w:eastAsiaTheme="minorEastAsia" w:hAnsi="Cambria Math" w:cs="Arial"/>
                                </w:rPr>
                                <m:t>i</m:t>
                              </m:r>
                            </m:sub>
                            <m:sup>
                              <m:r>
                                <w:rPr>
                                  <w:rFonts w:ascii="Cambria Math" w:eastAsiaTheme="minorEastAsia" w:hAnsi="Cambria Math" w:cs="Arial"/>
                                </w:rPr>
                                <m:t>2</m:t>
                              </m:r>
                            </m:sup>
                          </m:sSubSup>
                        </m:den>
                      </m:f>
                    </m:e>
                  </m:d>
                </m:e>
                <m:sup>
                  <m:f>
                    <m:fPr>
                      <m:type m:val="skw"/>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2</m:t>
                      </m:r>
                    </m:den>
                  </m:f>
                </m:sup>
              </m:sSup>
              <m:r>
                <w:rPr>
                  <w:rFonts w:ascii="Cambria Math" w:eastAsiaTheme="minorEastAsia" w:hAnsi="Cambria Math" w:cs="Arial"/>
                </w:rPr>
                <m:t>exp</m:t>
              </m:r>
              <m:d>
                <m:dPr>
                  <m:begChr m:val="["/>
                  <m:endChr m:val="]"/>
                  <m:ctrlPr>
                    <w:rPr>
                      <w:rFonts w:ascii="Cambria Math" w:eastAsiaTheme="minorEastAsia" w:hAnsi="Cambria Math" w:cs="Arial"/>
                      <w:i/>
                    </w:rPr>
                  </m:ctrlPr>
                </m:dPr>
                <m:e>
                  <m:r>
                    <w:rPr>
                      <w:rFonts w:ascii="Cambria Math" w:eastAsiaTheme="minorEastAsia" w:hAnsi="Cambria Math" w:cs="Arial"/>
                    </w:rPr>
                    <m:t>-</m:t>
                  </m:r>
                  <m:nary>
                    <m:naryPr>
                      <m:chr m:val="∑"/>
                      <m:ctrlPr>
                        <w:rPr>
                          <w:rFonts w:ascii="Cambria Math" w:eastAsiaTheme="minorEastAsia" w:hAnsi="Cambria Math" w:cs="Arial"/>
                          <w:i/>
                        </w:rPr>
                      </m:ctrlPr>
                    </m:naryPr>
                    <m:sub>
                      <m:r>
                        <w:rPr>
                          <w:rFonts w:ascii="Cambria Math" w:hAnsi="Cambria Math" w:cs="Arial"/>
                        </w:rPr>
                        <m:t>i=1</m:t>
                      </m:r>
                    </m:sub>
                    <m:sup>
                      <m:r>
                        <w:rPr>
                          <w:rFonts w:ascii="Cambria Math" w:hAnsi="Cambria Math" w:cs="Arial"/>
                        </w:rPr>
                        <m:t>n</m:t>
                      </m:r>
                    </m:sup>
                    <m:e>
                      <m:f>
                        <m:fPr>
                          <m:ctrlPr>
                            <w:rPr>
                              <w:rFonts w:ascii="Cambria Math" w:eastAsiaTheme="minorEastAsia" w:hAnsi="Cambria Math" w:cs="Arial"/>
                              <w:i/>
                            </w:rPr>
                          </m:ctrlPr>
                        </m:fPr>
                        <m:num>
                          <m:sSup>
                            <m:sSupPr>
                              <m:ctrlPr>
                                <w:rPr>
                                  <w:rFonts w:ascii="Cambria Math" w:eastAsiaTheme="minorEastAsia" w:hAnsi="Cambria Math" w:cs="Arial"/>
                                  <w:i/>
                                </w:rPr>
                              </m:ctrlPr>
                            </m:sSupPr>
                            <m:e>
                              <m:d>
                                <m:dPr>
                                  <m:ctrlPr>
                                    <w:rPr>
                                      <w:rFonts w:ascii="Cambria Math" w:eastAsiaTheme="minorEastAsia" w:hAnsi="Cambria Math" w:cs="Arial"/>
                                      <w:i/>
                                    </w:rPr>
                                  </m:ctrlPr>
                                </m:dPr>
                                <m:e>
                                  <m:sSub>
                                    <m:sSubPr>
                                      <m:ctrlPr>
                                        <w:rPr>
                                          <w:rFonts w:ascii="Cambria Math" w:eastAsiaTheme="minorEastAsia" w:hAnsi="Cambria Math" w:cs="Arial"/>
                                          <w:i/>
                                        </w:rPr>
                                      </m:ctrlPr>
                                    </m:sSubPr>
                                    <m:e>
                                      <m:r>
                                        <w:rPr>
                                          <w:rFonts w:ascii="Cambria Math" w:eastAsiaTheme="minorEastAsia" w:hAnsi="Cambria Math" w:cs="Arial"/>
                                        </w:rPr>
                                        <m:t>y</m:t>
                                      </m:r>
                                    </m:e>
                                    <m:sub>
                                      <m:r>
                                        <w:rPr>
                                          <w:rFonts w:ascii="Cambria Math" w:eastAsiaTheme="minorEastAsia" w:hAnsi="Cambria Math" w:cs="Arial"/>
                                        </w:rPr>
                                        <m:t>i</m:t>
                                      </m:r>
                                    </m:sub>
                                  </m:sSub>
                                  <m:r>
                                    <w:rPr>
                                      <w:rFonts w:ascii="Cambria Math" w:eastAsiaTheme="minorEastAsia" w:hAnsi="Cambria Math" w:cs="Arial"/>
                                    </w:rPr>
                                    <m:t>-μ</m:t>
                                  </m:r>
                                </m:e>
                              </m:d>
                            </m:e>
                            <m:sup>
                              <m:r>
                                <w:rPr>
                                  <w:rFonts w:ascii="Cambria Math" w:eastAsiaTheme="minorEastAsia" w:hAnsi="Cambria Math" w:cs="Arial"/>
                                </w:rPr>
                                <m:t>2</m:t>
                              </m:r>
                            </m:sup>
                          </m:sSup>
                        </m:num>
                        <m:den>
                          <m:r>
                            <w:rPr>
                              <w:rFonts w:ascii="Cambria Math" w:eastAsiaTheme="minorEastAsia" w:hAnsi="Cambria Math" w:cs="Arial"/>
                            </w:rPr>
                            <m:t>2</m:t>
                          </m:r>
                          <m:sSubSup>
                            <m:sSubSupPr>
                              <m:ctrlPr>
                                <w:rPr>
                                  <w:rFonts w:ascii="Cambria Math" w:eastAsiaTheme="minorEastAsia" w:hAnsi="Cambria Math" w:cs="Arial"/>
                                  <w:i/>
                                </w:rPr>
                              </m:ctrlPr>
                            </m:sSubSupPr>
                            <m:e>
                              <m:r>
                                <w:rPr>
                                  <w:rFonts w:ascii="Cambria Math" w:eastAsiaTheme="minorEastAsia" w:hAnsi="Cambria Math" w:cs="Arial"/>
                                </w:rPr>
                                <m:t>σ</m:t>
                              </m:r>
                            </m:e>
                            <m:sub>
                              <m:r>
                                <w:rPr>
                                  <w:rFonts w:ascii="Cambria Math" w:eastAsiaTheme="minorEastAsia" w:hAnsi="Cambria Math" w:cs="Arial"/>
                                </w:rPr>
                                <m:t>i</m:t>
                              </m:r>
                            </m:sub>
                            <m:sup>
                              <m:r>
                                <w:rPr>
                                  <w:rFonts w:ascii="Cambria Math" w:eastAsiaTheme="minorEastAsia" w:hAnsi="Cambria Math" w:cs="Arial"/>
                                </w:rPr>
                                <m:t>2</m:t>
                              </m:r>
                            </m:sup>
                          </m:sSubSup>
                        </m:den>
                      </m:f>
                    </m:e>
                  </m:nary>
                </m:e>
              </m:d>
            </m:e>
          </m:nary>
          <m:r>
            <w:rPr>
              <w:rFonts w:ascii="Cambria Math" w:eastAsiaTheme="minorEastAsia" w:hAnsi="Cambria Math" w:cs="Arial"/>
            </w:rPr>
            <m:t xml:space="preserve">                                                                         (12)</m:t>
          </m:r>
        </m:oMath>
      </m:oMathPara>
    </w:p>
    <w:p w14:paraId="5E9ABA7E" w14:textId="77777777" w:rsidR="00F86B78" w:rsidRPr="00F86B78" w:rsidRDefault="00000000" w:rsidP="00F86B78">
      <w:pPr>
        <w:jc w:val="both"/>
        <w:rPr>
          <w:rFonts w:ascii="Arial" w:eastAsiaTheme="minorEastAsia" w:hAnsi="Arial" w:cs="Arial"/>
        </w:rPr>
      </w:pPr>
      <m:oMathPara>
        <m:oMath>
          <m:func>
            <m:funcPr>
              <m:ctrlPr>
                <w:rPr>
                  <w:rFonts w:ascii="Cambria Math" w:eastAsiaTheme="minorEastAsia" w:hAnsi="Cambria Math" w:cs="Arial"/>
                </w:rPr>
              </m:ctrlPr>
            </m:funcPr>
            <m:fName>
              <m:r>
                <m:rPr>
                  <m:sty m:val="p"/>
                </m:rPr>
                <w:rPr>
                  <w:rFonts w:ascii="Cambria Math" w:eastAsiaTheme="minorEastAsia" w:hAnsi="Cambria Math" w:cs="Arial"/>
                </w:rPr>
                <m:t>ln</m:t>
              </m:r>
            </m:fName>
            <m:e>
              <m:d>
                <m:dPr>
                  <m:ctrlPr>
                    <w:rPr>
                      <w:rFonts w:ascii="Cambria Math" w:eastAsiaTheme="minorEastAsia" w:hAnsi="Cambria Math" w:cs="Arial"/>
                      <w:i/>
                    </w:rPr>
                  </m:ctrlPr>
                </m:dPr>
                <m:e>
                  <m:r>
                    <w:rPr>
                      <w:rFonts w:ascii="Cambria Math" w:eastAsiaTheme="minorEastAsia" w:hAnsi="Cambria Math" w:cs="Arial"/>
                    </w:rPr>
                    <m:t>L</m:t>
                  </m:r>
                </m:e>
              </m:d>
            </m:e>
          </m:func>
          <m:r>
            <w:rPr>
              <w:rFonts w:ascii="Cambria Math" w:eastAsiaTheme="minorEastAsia" w:hAnsi="Cambria Math" w:cs="Arial"/>
            </w:rPr>
            <m:t>=In</m:t>
          </m:r>
          <m:d>
            <m:dPr>
              <m:begChr m:val="["/>
              <m:endChr m:val="]"/>
              <m:ctrlPr>
                <w:rPr>
                  <w:rFonts w:ascii="Cambria Math" w:eastAsiaTheme="minorEastAsia" w:hAnsi="Cambria Math" w:cs="Arial"/>
                  <w:i/>
                </w:rPr>
              </m:ctrlPr>
            </m:dPr>
            <m:e>
              <m:nary>
                <m:naryPr>
                  <m:chr m:val="∏"/>
                  <m:limLoc m:val="undOvr"/>
                  <m:ctrlPr>
                    <w:rPr>
                      <w:rFonts w:ascii="Cambria Math" w:eastAsiaTheme="minorEastAsia" w:hAnsi="Cambria Math" w:cs="Arial"/>
                      <w:i/>
                    </w:rPr>
                  </m:ctrlPr>
                </m:naryPr>
                <m:sub>
                  <m:r>
                    <w:rPr>
                      <w:rFonts w:ascii="Cambria Math" w:eastAsiaTheme="minorEastAsia" w:hAnsi="Cambria Math" w:cs="Arial"/>
                    </w:rPr>
                    <m:t>i=1</m:t>
                  </m:r>
                </m:sub>
                <m:sup>
                  <m:r>
                    <w:rPr>
                      <w:rFonts w:ascii="Cambria Math" w:eastAsiaTheme="minorEastAsia" w:hAnsi="Cambria Math" w:cs="Arial"/>
                    </w:rPr>
                    <m:t>n</m:t>
                  </m:r>
                </m:sup>
                <m:e>
                  <m:sSup>
                    <m:sSupPr>
                      <m:ctrlPr>
                        <w:rPr>
                          <w:rFonts w:ascii="Cambria Math" w:eastAsiaTheme="minorEastAsia" w:hAnsi="Cambria Math" w:cs="Arial"/>
                          <w:i/>
                        </w:rPr>
                      </m:ctrlPr>
                    </m:sSupPr>
                    <m:e>
                      <m:d>
                        <m:dPr>
                          <m:ctrlPr>
                            <w:rPr>
                              <w:rFonts w:ascii="Cambria Math" w:eastAsiaTheme="minorEastAsia" w:hAnsi="Cambria Math" w:cs="Arial"/>
                              <w:i/>
                            </w:rPr>
                          </m:ctrlPr>
                        </m:dPr>
                        <m:e>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2π</m:t>
                              </m:r>
                              <m:sSubSup>
                                <m:sSubSupPr>
                                  <m:ctrlPr>
                                    <w:rPr>
                                      <w:rFonts w:ascii="Cambria Math" w:eastAsiaTheme="minorEastAsia" w:hAnsi="Cambria Math" w:cs="Arial"/>
                                      <w:i/>
                                    </w:rPr>
                                  </m:ctrlPr>
                                </m:sSubSupPr>
                                <m:e>
                                  <m:r>
                                    <w:rPr>
                                      <w:rFonts w:ascii="Cambria Math" w:eastAsiaTheme="minorEastAsia" w:hAnsi="Cambria Math" w:cs="Arial"/>
                                    </w:rPr>
                                    <m:t>σ</m:t>
                                  </m:r>
                                </m:e>
                                <m:sub>
                                  <m:r>
                                    <w:rPr>
                                      <w:rFonts w:ascii="Cambria Math" w:eastAsiaTheme="minorEastAsia" w:hAnsi="Cambria Math" w:cs="Arial"/>
                                    </w:rPr>
                                    <m:t>i</m:t>
                                  </m:r>
                                </m:sub>
                                <m:sup>
                                  <m:r>
                                    <w:rPr>
                                      <w:rFonts w:ascii="Cambria Math" w:eastAsiaTheme="minorEastAsia" w:hAnsi="Cambria Math" w:cs="Arial"/>
                                    </w:rPr>
                                    <m:t>2</m:t>
                                  </m:r>
                                </m:sup>
                              </m:sSubSup>
                            </m:den>
                          </m:f>
                        </m:e>
                      </m:d>
                    </m:e>
                    <m:sup>
                      <m:f>
                        <m:fPr>
                          <m:type m:val="skw"/>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2</m:t>
                          </m:r>
                        </m:den>
                      </m:f>
                    </m:sup>
                  </m:sSup>
                </m:e>
              </m:nary>
            </m:e>
          </m:d>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2</m:t>
              </m:r>
            </m:den>
          </m:f>
          <m:nary>
            <m:naryPr>
              <m:chr m:val="∑"/>
              <m:ctrlPr>
                <w:rPr>
                  <w:rFonts w:ascii="Cambria Math" w:eastAsiaTheme="minorEastAsia" w:hAnsi="Cambria Math" w:cs="Arial"/>
                  <w:i/>
                </w:rPr>
              </m:ctrlPr>
            </m:naryPr>
            <m:sub>
              <m:r>
                <w:rPr>
                  <w:rFonts w:ascii="Cambria Math" w:hAnsi="Cambria Math" w:cs="Arial"/>
                </w:rPr>
                <m:t>i=1</m:t>
              </m:r>
            </m:sub>
            <m:sup>
              <m:r>
                <w:rPr>
                  <w:rFonts w:ascii="Cambria Math" w:hAnsi="Cambria Math" w:cs="Arial"/>
                </w:rPr>
                <m:t>n</m:t>
              </m:r>
            </m:sup>
            <m:e>
              <m:f>
                <m:fPr>
                  <m:ctrlPr>
                    <w:rPr>
                      <w:rFonts w:ascii="Cambria Math" w:eastAsiaTheme="minorEastAsia" w:hAnsi="Cambria Math" w:cs="Arial"/>
                      <w:i/>
                    </w:rPr>
                  </m:ctrlPr>
                </m:fPr>
                <m:num>
                  <m:sSup>
                    <m:sSupPr>
                      <m:ctrlPr>
                        <w:rPr>
                          <w:rFonts w:ascii="Cambria Math" w:eastAsiaTheme="minorEastAsia" w:hAnsi="Cambria Math" w:cs="Arial"/>
                          <w:i/>
                        </w:rPr>
                      </m:ctrlPr>
                    </m:sSupPr>
                    <m:e>
                      <m:d>
                        <m:dPr>
                          <m:ctrlPr>
                            <w:rPr>
                              <w:rFonts w:ascii="Cambria Math" w:eastAsiaTheme="minorEastAsia" w:hAnsi="Cambria Math" w:cs="Arial"/>
                              <w:i/>
                            </w:rPr>
                          </m:ctrlPr>
                        </m:dPr>
                        <m:e>
                          <m:sSub>
                            <m:sSubPr>
                              <m:ctrlPr>
                                <w:rPr>
                                  <w:rFonts w:ascii="Cambria Math" w:eastAsiaTheme="minorEastAsia" w:hAnsi="Cambria Math" w:cs="Arial"/>
                                  <w:i/>
                                </w:rPr>
                              </m:ctrlPr>
                            </m:sSubPr>
                            <m:e>
                              <m:r>
                                <w:rPr>
                                  <w:rFonts w:ascii="Cambria Math" w:eastAsiaTheme="minorEastAsia" w:hAnsi="Cambria Math" w:cs="Arial"/>
                                </w:rPr>
                                <m:t>y</m:t>
                              </m:r>
                            </m:e>
                            <m:sub>
                              <m:r>
                                <w:rPr>
                                  <w:rFonts w:ascii="Cambria Math" w:eastAsiaTheme="minorEastAsia" w:hAnsi="Cambria Math" w:cs="Arial"/>
                                </w:rPr>
                                <m:t>i</m:t>
                              </m:r>
                            </m:sub>
                          </m:sSub>
                          <m:r>
                            <w:rPr>
                              <w:rFonts w:ascii="Cambria Math" w:eastAsiaTheme="minorEastAsia" w:hAnsi="Cambria Math" w:cs="Arial"/>
                            </w:rPr>
                            <m:t>-μ</m:t>
                          </m:r>
                        </m:e>
                      </m:d>
                    </m:e>
                    <m:sup>
                      <m:r>
                        <w:rPr>
                          <w:rFonts w:ascii="Cambria Math" w:eastAsiaTheme="minorEastAsia" w:hAnsi="Cambria Math" w:cs="Arial"/>
                        </w:rPr>
                        <m:t>2</m:t>
                      </m:r>
                    </m:sup>
                  </m:sSup>
                </m:num>
                <m:den>
                  <m:sSubSup>
                    <m:sSubSupPr>
                      <m:ctrlPr>
                        <w:rPr>
                          <w:rFonts w:ascii="Cambria Math" w:eastAsiaTheme="minorEastAsia" w:hAnsi="Cambria Math" w:cs="Arial"/>
                          <w:i/>
                        </w:rPr>
                      </m:ctrlPr>
                    </m:sSubSupPr>
                    <m:e>
                      <m:r>
                        <w:rPr>
                          <w:rFonts w:ascii="Cambria Math" w:eastAsiaTheme="minorEastAsia" w:hAnsi="Cambria Math" w:cs="Arial"/>
                        </w:rPr>
                        <m:t>σ</m:t>
                      </m:r>
                    </m:e>
                    <m:sub>
                      <m:r>
                        <w:rPr>
                          <w:rFonts w:ascii="Cambria Math" w:eastAsiaTheme="minorEastAsia" w:hAnsi="Cambria Math" w:cs="Arial"/>
                        </w:rPr>
                        <m:t>i</m:t>
                      </m:r>
                    </m:sub>
                    <m:sup>
                      <m:r>
                        <w:rPr>
                          <w:rFonts w:ascii="Cambria Math" w:eastAsiaTheme="minorEastAsia" w:hAnsi="Cambria Math" w:cs="Arial"/>
                        </w:rPr>
                        <m:t>2</m:t>
                      </m:r>
                    </m:sup>
                  </m:sSubSup>
                </m:den>
              </m:f>
            </m:e>
          </m:nary>
          <m:r>
            <w:rPr>
              <w:rFonts w:ascii="Cambria Math" w:eastAsiaTheme="minorEastAsia" w:hAnsi="Cambria Math" w:cs="Arial"/>
            </w:rPr>
            <m:t xml:space="preserve">                                                                (13)</m:t>
          </m:r>
        </m:oMath>
      </m:oMathPara>
    </w:p>
    <w:p w14:paraId="70F14F2F" w14:textId="77777777" w:rsidR="004658C6" w:rsidRPr="00F86B78" w:rsidRDefault="00F86B78" w:rsidP="00F86B78">
      <w:pPr>
        <w:pStyle w:val="Body"/>
        <w:spacing w:after="0"/>
        <w:rPr>
          <w:rFonts w:ascii="Arial" w:hAnsi="Arial" w:cs="Arial"/>
        </w:rPr>
      </w:pPr>
      <w:r w:rsidRPr="00F86B78">
        <w:rPr>
          <w:rFonts w:ascii="Arial" w:eastAsiaTheme="minorEastAsia" w:hAnsi="Arial" w:cs="Arial"/>
        </w:rPr>
        <w:t>Thus given a set of estimated Poisson regression models for a given dataset, the preferred model is the one with the minimum values of information criteria and maximum log likelihood value.</w:t>
      </w:r>
    </w:p>
    <w:p w14:paraId="7477AEFD" w14:textId="77777777" w:rsidR="004658C6" w:rsidRDefault="004658C6" w:rsidP="004658C6">
      <w:pPr>
        <w:pStyle w:val="Head1"/>
        <w:spacing w:after="0"/>
        <w:jc w:val="both"/>
        <w:rPr>
          <w:rFonts w:ascii="Arial" w:hAnsi="Arial" w:cs="Arial"/>
        </w:rPr>
      </w:pPr>
      <w:r>
        <w:rPr>
          <w:rFonts w:ascii="Arial" w:hAnsi="Arial" w:cs="Arial"/>
        </w:rPr>
        <w:t>3. results and discussion</w:t>
      </w:r>
    </w:p>
    <w:p w14:paraId="2E8115EC" w14:textId="77777777" w:rsidR="004658C6" w:rsidRPr="00FB3A86" w:rsidRDefault="004658C6" w:rsidP="004658C6">
      <w:pPr>
        <w:pStyle w:val="Head1"/>
        <w:spacing w:after="0"/>
        <w:jc w:val="both"/>
        <w:rPr>
          <w:rFonts w:ascii="Arial" w:hAnsi="Arial" w:cs="Arial"/>
        </w:rPr>
      </w:pPr>
    </w:p>
    <w:p w14:paraId="2932DBDF" w14:textId="77777777" w:rsidR="00F86B78" w:rsidRPr="00756351" w:rsidRDefault="00756351" w:rsidP="00756351">
      <w:pPr>
        <w:jc w:val="both"/>
        <w:rPr>
          <w:rFonts w:ascii="Arial" w:hAnsi="Arial" w:cs="Arial"/>
          <w:b/>
        </w:rPr>
      </w:pPr>
      <w:r>
        <w:rPr>
          <w:rFonts w:ascii="Arial" w:hAnsi="Arial" w:cs="Arial"/>
          <w:b/>
        </w:rPr>
        <w:t>3</w:t>
      </w:r>
      <w:r w:rsidR="00F86B78" w:rsidRPr="00756351">
        <w:rPr>
          <w:rFonts w:ascii="Arial" w:hAnsi="Arial" w:cs="Arial"/>
          <w:b/>
        </w:rPr>
        <w:t>.1 Descriptive Statistics of Diabetic Cases in Benue State</w:t>
      </w:r>
    </w:p>
    <w:p w14:paraId="1F29CB63" w14:textId="77777777" w:rsidR="00F86B78" w:rsidRPr="00756351" w:rsidRDefault="00F86B78" w:rsidP="00756351">
      <w:pPr>
        <w:jc w:val="both"/>
        <w:rPr>
          <w:rFonts w:ascii="Arial" w:hAnsi="Arial" w:cs="Arial"/>
        </w:rPr>
      </w:pPr>
      <w:r w:rsidRPr="00756351">
        <w:rPr>
          <w:rFonts w:ascii="Arial" w:hAnsi="Arial" w:cs="Arial"/>
        </w:rPr>
        <w:t>The summary statistics for confirmed, active, severe ad death cases of diabetes mellitus in Benue state are computed ad reported in Table 1.</w:t>
      </w:r>
    </w:p>
    <w:p w14:paraId="216C527C" w14:textId="77777777" w:rsidR="00F86B78" w:rsidRPr="00756351" w:rsidRDefault="00F86B78" w:rsidP="00756351">
      <w:pPr>
        <w:jc w:val="both"/>
        <w:rPr>
          <w:rFonts w:ascii="Arial" w:hAnsi="Arial" w:cs="Arial"/>
          <w:b/>
        </w:rPr>
      </w:pPr>
      <w:r w:rsidRPr="00756351">
        <w:rPr>
          <w:rFonts w:ascii="Arial" w:hAnsi="Arial" w:cs="Arial"/>
          <w:b/>
        </w:rPr>
        <w:t xml:space="preserve">Table 1: Descriptive Statistics of Study Variables </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674"/>
        <w:gridCol w:w="1714"/>
        <w:gridCol w:w="1602"/>
        <w:gridCol w:w="1615"/>
        <w:gridCol w:w="1603"/>
      </w:tblGrid>
      <w:tr w:rsidR="00F86B78" w:rsidRPr="00756351" w14:paraId="626053C2" w14:textId="77777777" w:rsidTr="007C37C3">
        <w:tc>
          <w:tcPr>
            <w:tcW w:w="1915" w:type="dxa"/>
            <w:tcBorders>
              <w:top w:val="single" w:sz="4" w:space="0" w:color="auto"/>
              <w:bottom w:val="single" w:sz="4" w:space="0" w:color="auto"/>
            </w:tcBorders>
          </w:tcPr>
          <w:p w14:paraId="53A51764" w14:textId="77777777" w:rsidR="00F86B78" w:rsidRPr="00756351" w:rsidRDefault="00F86B78" w:rsidP="007C37C3">
            <w:pPr>
              <w:rPr>
                <w:rFonts w:ascii="Arial" w:hAnsi="Arial" w:cs="Arial"/>
                <w:b/>
              </w:rPr>
            </w:pPr>
            <w:r w:rsidRPr="00756351">
              <w:rPr>
                <w:rFonts w:ascii="Arial" w:hAnsi="Arial" w:cs="Arial"/>
                <w:b/>
              </w:rPr>
              <w:lastRenderedPageBreak/>
              <w:t xml:space="preserve">Variable </w:t>
            </w:r>
          </w:p>
        </w:tc>
        <w:tc>
          <w:tcPr>
            <w:tcW w:w="1915" w:type="dxa"/>
            <w:tcBorders>
              <w:top w:val="single" w:sz="4" w:space="0" w:color="auto"/>
              <w:bottom w:val="single" w:sz="4" w:space="0" w:color="auto"/>
            </w:tcBorders>
          </w:tcPr>
          <w:p w14:paraId="7F7F47F1" w14:textId="77777777" w:rsidR="00F86B78" w:rsidRPr="00756351" w:rsidRDefault="00F86B78" w:rsidP="007C37C3">
            <w:pPr>
              <w:jc w:val="center"/>
              <w:rPr>
                <w:rFonts w:ascii="Arial" w:hAnsi="Arial" w:cs="Arial"/>
                <w:b/>
              </w:rPr>
            </w:pPr>
            <w:r w:rsidRPr="00756351">
              <w:rPr>
                <w:rFonts w:ascii="Arial" w:hAnsi="Arial" w:cs="Arial"/>
                <w:b/>
              </w:rPr>
              <w:t>Confirmed Cases</w:t>
            </w:r>
          </w:p>
        </w:tc>
        <w:tc>
          <w:tcPr>
            <w:tcW w:w="1915" w:type="dxa"/>
            <w:tcBorders>
              <w:top w:val="single" w:sz="4" w:space="0" w:color="auto"/>
              <w:bottom w:val="single" w:sz="4" w:space="0" w:color="auto"/>
            </w:tcBorders>
          </w:tcPr>
          <w:p w14:paraId="50F7E8FA" w14:textId="77777777" w:rsidR="00F86B78" w:rsidRPr="00756351" w:rsidRDefault="00F86B78" w:rsidP="007C37C3">
            <w:pPr>
              <w:jc w:val="center"/>
              <w:rPr>
                <w:rFonts w:ascii="Arial" w:hAnsi="Arial" w:cs="Arial"/>
                <w:b/>
              </w:rPr>
            </w:pPr>
            <w:r w:rsidRPr="00756351">
              <w:rPr>
                <w:rFonts w:ascii="Arial" w:hAnsi="Arial" w:cs="Arial"/>
                <w:b/>
              </w:rPr>
              <w:t>Active Cases</w:t>
            </w:r>
          </w:p>
        </w:tc>
        <w:tc>
          <w:tcPr>
            <w:tcW w:w="1915" w:type="dxa"/>
            <w:tcBorders>
              <w:top w:val="single" w:sz="4" w:space="0" w:color="auto"/>
              <w:bottom w:val="single" w:sz="4" w:space="0" w:color="auto"/>
            </w:tcBorders>
          </w:tcPr>
          <w:p w14:paraId="51B1A58C" w14:textId="77777777" w:rsidR="00F86B78" w:rsidRPr="00756351" w:rsidRDefault="00F86B78" w:rsidP="007C37C3">
            <w:pPr>
              <w:jc w:val="center"/>
              <w:rPr>
                <w:rFonts w:ascii="Arial" w:hAnsi="Arial" w:cs="Arial"/>
                <w:b/>
              </w:rPr>
            </w:pPr>
            <w:r w:rsidRPr="00756351">
              <w:rPr>
                <w:rFonts w:ascii="Arial" w:hAnsi="Arial" w:cs="Arial"/>
                <w:b/>
              </w:rPr>
              <w:t>Severe Cases</w:t>
            </w:r>
          </w:p>
        </w:tc>
        <w:tc>
          <w:tcPr>
            <w:tcW w:w="1916" w:type="dxa"/>
            <w:tcBorders>
              <w:top w:val="single" w:sz="4" w:space="0" w:color="auto"/>
              <w:bottom w:val="single" w:sz="4" w:space="0" w:color="auto"/>
            </w:tcBorders>
          </w:tcPr>
          <w:p w14:paraId="2728C6D3" w14:textId="77777777" w:rsidR="00F86B78" w:rsidRPr="00756351" w:rsidRDefault="00F86B78" w:rsidP="007C37C3">
            <w:pPr>
              <w:jc w:val="center"/>
              <w:rPr>
                <w:rFonts w:ascii="Arial" w:hAnsi="Arial" w:cs="Arial"/>
                <w:b/>
              </w:rPr>
            </w:pPr>
            <w:r w:rsidRPr="00756351">
              <w:rPr>
                <w:rFonts w:ascii="Arial" w:hAnsi="Arial" w:cs="Arial"/>
                <w:b/>
              </w:rPr>
              <w:t>Death Cases</w:t>
            </w:r>
          </w:p>
        </w:tc>
      </w:tr>
      <w:tr w:rsidR="00F86B78" w:rsidRPr="00756351" w14:paraId="6C4297B7" w14:textId="77777777" w:rsidTr="007C37C3">
        <w:tc>
          <w:tcPr>
            <w:tcW w:w="1915" w:type="dxa"/>
            <w:tcBorders>
              <w:top w:val="single" w:sz="4" w:space="0" w:color="auto"/>
            </w:tcBorders>
          </w:tcPr>
          <w:p w14:paraId="247A21C7" w14:textId="77777777" w:rsidR="00F86B78" w:rsidRPr="00756351" w:rsidRDefault="00F86B78" w:rsidP="007C37C3">
            <w:pPr>
              <w:rPr>
                <w:rFonts w:ascii="Arial" w:hAnsi="Arial" w:cs="Arial"/>
              </w:rPr>
            </w:pPr>
            <w:r w:rsidRPr="00756351">
              <w:rPr>
                <w:rFonts w:ascii="Arial" w:hAnsi="Arial" w:cs="Arial"/>
              </w:rPr>
              <w:t xml:space="preserve">Mean </w:t>
            </w:r>
          </w:p>
        </w:tc>
        <w:tc>
          <w:tcPr>
            <w:tcW w:w="1915" w:type="dxa"/>
            <w:tcBorders>
              <w:top w:val="single" w:sz="4" w:space="0" w:color="auto"/>
            </w:tcBorders>
          </w:tcPr>
          <w:p w14:paraId="7C6EA322" w14:textId="77777777" w:rsidR="00F86B78" w:rsidRPr="00756351" w:rsidRDefault="00F86B78" w:rsidP="007C37C3">
            <w:pPr>
              <w:jc w:val="center"/>
              <w:rPr>
                <w:rFonts w:ascii="Arial" w:hAnsi="Arial" w:cs="Arial"/>
              </w:rPr>
            </w:pPr>
            <w:r w:rsidRPr="00756351">
              <w:rPr>
                <w:rFonts w:ascii="Arial" w:hAnsi="Arial" w:cs="Arial"/>
              </w:rPr>
              <w:t>1189.8</w:t>
            </w:r>
          </w:p>
        </w:tc>
        <w:tc>
          <w:tcPr>
            <w:tcW w:w="1915" w:type="dxa"/>
            <w:tcBorders>
              <w:top w:val="single" w:sz="4" w:space="0" w:color="auto"/>
            </w:tcBorders>
          </w:tcPr>
          <w:p w14:paraId="3B75595F" w14:textId="77777777" w:rsidR="00F86B78" w:rsidRPr="00756351" w:rsidRDefault="00F86B78" w:rsidP="007C37C3">
            <w:pPr>
              <w:jc w:val="center"/>
              <w:rPr>
                <w:rFonts w:ascii="Arial" w:hAnsi="Arial" w:cs="Arial"/>
              </w:rPr>
            </w:pPr>
            <w:r w:rsidRPr="00756351">
              <w:rPr>
                <w:rFonts w:ascii="Arial" w:hAnsi="Arial" w:cs="Arial"/>
              </w:rPr>
              <w:t>804.43</w:t>
            </w:r>
          </w:p>
        </w:tc>
        <w:tc>
          <w:tcPr>
            <w:tcW w:w="1915" w:type="dxa"/>
            <w:tcBorders>
              <w:top w:val="single" w:sz="4" w:space="0" w:color="auto"/>
            </w:tcBorders>
          </w:tcPr>
          <w:p w14:paraId="1FF25B78" w14:textId="77777777" w:rsidR="00F86B78" w:rsidRPr="00756351" w:rsidRDefault="00F86B78" w:rsidP="007C37C3">
            <w:pPr>
              <w:jc w:val="center"/>
              <w:rPr>
                <w:rFonts w:ascii="Arial" w:hAnsi="Arial" w:cs="Arial"/>
              </w:rPr>
            </w:pPr>
            <w:r w:rsidRPr="00756351">
              <w:rPr>
                <w:rFonts w:ascii="Arial" w:hAnsi="Arial" w:cs="Arial"/>
              </w:rPr>
              <w:t>296.18</w:t>
            </w:r>
          </w:p>
        </w:tc>
        <w:tc>
          <w:tcPr>
            <w:tcW w:w="1916" w:type="dxa"/>
            <w:tcBorders>
              <w:top w:val="single" w:sz="4" w:space="0" w:color="auto"/>
            </w:tcBorders>
          </w:tcPr>
          <w:p w14:paraId="2FABC8C9" w14:textId="77777777" w:rsidR="00F86B78" w:rsidRPr="00756351" w:rsidRDefault="00F86B78" w:rsidP="007C37C3">
            <w:pPr>
              <w:jc w:val="center"/>
              <w:rPr>
                <w:rFonts w:ascii="Arial" w:hAnsi="Arial" w:cs="Arial"/>
              </w:rPr>
            </w:pPr>
            <w:r w:rsidRPr="00756351">
              <w:rPr>
                <w:rFonts w:ascii="Arial" w:hAnsi="Arial" w:cs="Arial"/>
              </w:rPr>
              <w:t>81.978</w:t>
            </w:r>
          </w:p>
        </w:tc>
      </w:tr>
      <w:tr w:rsidR="00F86B78" w:rsidRPr="00756351" w14:paraId="1B6FEAE4" w14:textId="77777777" w:rsidTr="007C37C3">
        <w:tc>
          <w:tcPr>
            <w:tcW w:w="1915" w:type="dxa"/>
          </w:tcPr>
          <w:p w14:paraId="51C3395F" w14:textId="77777777" w:rsidR="00F86B78" w:rsidRPr="00756351" w:rsidRDefault="00F86B78" w:rsidP="007C37C3">
            <w:pPr>
              <w:rPr>
                <w:rFonts w:ascii="Arial" w:hAnsi="Arial" w:cs="Arial"/>
              </w:rPr>
            </w:pPr>
            <w:r w:rsidRPr="00756351">
              <w:rPr>
                <w:rFonts w:ascii="Arial" w:hAnsi="Arial" w:cs="Arial"/>
              </w:rPr>
              <w:t>SE Mean</w:t>
            </w:r>
          </w:p>
        </w:tc>
        <w:tc>
          <w:tcPr>
            <w:tcW w:w="1915" w:type="dxa"/>
          </w:tcPr>
          <w:p w14:paraId="497CCEF2" w14:textId="77777777" w:rsidR="00F86B78" w:rsidRPr="00756351" w:rsidRDefault="00F86B78" w:rsidP="007C37C3">
            <w:pPr>
              <w:jc w:val="center"/>
              <w:rPr>
                <w:rFonts w:ascii="Arial" w:hAnsi="Arial" w:cs="Arial"/>
              </w:rPr>
            </w:pPr>
            <w:r w:rsidRPr="00756351">
              <w:rPr>
                <w:rFonts w:ascii="Arial" w:hAnsi="Arial" w:cs="Arial"/>
              </w:rPr>
              <w:t>3.06</w:t>
            </w:r>
          </w:p>
        </w:tc>
        <w:tc>
          <w:tcPr>
            <w:tcW w:w="1915" w:type="dxa"/>
          </w:tcPr>
          <w:p w14:paraId="541C0729" w14:textId="77777777" w:rsidR="00F86B78" w:rsidRPr="00756351" w:rsidRDefault="00F86B78" w:rsidP="007C37C3">
            <w:pPr>
              <w:jc w:val="center"/>
              <w:rPr>
                <w:rFonts w:ascii="Arial" w:hAnsi="Arial" w:cs="Arial"/>
              </w:rPr>
            </w:pPr>
            <w:r w:rsidRPr="00756351">
              <w:rPr>
                <w:rFonts w:ascii="Arial" w:hAnsi="Arial" w:cs="Arial"/>
              </w:rPr>
              <w:t>6.58</w:t>
            </w:r>
          </w:p>
        </w:tc>
        <w:tc>
          <w:tcPr>
            <w:tcW w:w="1915" w:type="dxa"/>
          </w:tcPr>
          <w:p w14:paraId="524B834A" w14:textId="77777777" w:rsidR="00F86B78" w:rsidRPr="00756351" w:rsidRDefault="00F86B78" w:rsidP="007C37C3">
            <w:pPr>
              <w:jc w:val="center"/>
              <w:rPr>
                <w:rFonts w:ascii="Arial" w:hAnsi="Arial" w:cs="Arial"/>
              </w:rPr>
            </w:pPr>
            <w:r w:rsidRPr="00756351">
              <w:rPr>
                <w:rFonts w:ascii="Arial" w:hAnsi="Arial" w:cs="Arial"/>
              </w:rPr>
              <w:t>3.47</w:t>
            </w:r>
          </w:p>
        </w:tc>
        <w:tc>
          <w:tcPr>
            <w:tcW w:w="1916" w:type="dxa"/>
          </w:tcPr>
          <w:p w14:paraId="35F88E17" w14:textId="77777777" w:rsidR="00F86B78" w:rsidRPr="00756351" w:rsidRDefault="00F86B78" w:rsidP="007C37C3">
            <w:pPr>
              <w:jc w:val="center"/>
              <w:rPr>
                <w:rFonts w:ascii="Arial" w:hAnsi="Arial" w:cs="Arial"/>
              </w:rPr>
            </w:pPr>
            <w:r w:rsidRPr="00756351">
              <w:rPr>
                <w:rFonts w:ascii="Arial" w:hAnsi="Arial" w:cs="Arial"/>
              </w:rPr>
              <w:t>0.874</w:t>
            </w:r>
          </w:p>
        </w:tc>
      </w:tr>
      <w:tr w:rsidR="00F86B78" w:rsidRPr="00756351" w14:paraId="62E9D10B" w14:textId="77777777" w:rsidTr="007C37C3">
        <w:tc>
          <w:tcPr>
            <w:tcW w:w="1915" w:type="dxa"/>
          </w:tcPr>
          <w:p w14:paraId="2F92DAD6" w14:textId="77777777" w:rsidR="00F86B78" w:rsidRPr="00756351" w:rsidRDefault="00F86B78" w:rsidP="007C37C3">
            <w:pPr>
              <w:rPr>
                <w:rFonts w:ascii="Arial" w:hAnsi="Arial" w:cs="Arial"/>
              </w:rPr>
            </w:pPr>
            <w:r w:rsidRPr="00756351">
              <w:rPr>
                <w:rFonts w:ascii="Arial" w:hAnsi="Arial" w:cs="Arial"/>
              </w:rPr>
              <w:t xml:space="preserve">Std Deviation </w:t>
            </w:r>
          </w:p>
        </w:tc>
        <w:tc>
          <w:tcPr>
            <w:tcW w:w="1915" w:type="dxa"/>
          </w:tcPr>
          <w:p w14:paraId="2FE20B73" w14:textId="77777777" w:rsidR="00F86B78" w:rsidRPr="00756351" w:rsidRDefault="00F86B78" w:rsidP="007C37C3">
            <w:pPr>
              <w:jc w:val="center"/>
              <w:rPr>
                <w:rFonts w:ascii="Arial" w:hAnsi="Arial" w:cs="Arial"/>
              </w:rPr>
            </w:pPr>
            <w:r w:rsidRPr="00756351">
              <w:rPr>
                <w:rFonts w:ascii="Arial" w:hAnsi="Arial" w:cs="Arial"/>
              </w:rPr>
              <w:t>46.3</w:t>
            </w:r>
          </w:p>
        </w:tc>
        <w:tc>
          <w:tcPr>
            <w:tcW w:w="1915" w:type="dxa"/>
          </w:tcPr>
          <w:p w14:paraId="0DDE0E1A" w14:textId="77777777" w:rsidR="00F86B78" w:rsidRPr="00756351" w:rsidRDefault="00F86B78" w:rsidP="007C37C3">
            <w:pPr>
              <w:jc w:val="center"/>
              <w:rPr>
                <w:rFonts w:ascii="Arial" w:hAnsi="Arial" w:cs="Arial"/>
              </w:rPr>
            </w:pPr>
            <w:r w:rsidRPr="00756351">
              <w:rPr>
                <w:rFonts w:ascii="Arial" w:hAnsi="Arial" w:cs="Arial"/>
              </w:rPr>
              <w:t>99.32</w:t>
            </w:r>
          </w:p>
        </w:tc>
        <w:tc>
          <w:tcPr>
            <w:tcW w:w="1915" w:type="dxa"/>
          </w:tcPr>
          <w:p w14:paraId="1ACFAE53" w14:textId="77777777" w:rsidR="00F86B78" w:rsidRPr="00756351" w:rsidRDefault="00F86B78" w:rsidP="007C37C3">
            <w:pPr>
              <w:jc w:val="center"/>
              <w:rPr>
                <w:rFonts w:ascii="Arial" w:hAnsi="Arial" w:cs="Arial"/>
              </w:rPr>
            </w:pPr>
            <w:r w:rsidRPr="00756351">
              <w:rPr>
                <w:rFonts w:ascii="Arial" w:hAnsi="Arial" w:cs="Arial"/>
              </w:rPr>
              <w:t>52.39</w:t>
            </w:r>
          </w:p>
        </w:tc>
        <w:tc>
          <w:tcPr>
            <w:tcW w:w="1916" w:type="dxa"/>
          </w:tcPr>
          <w:p w14:paraId="2C5F6671" w14:textId="77777777" w:rsidR="00F86B78" w:rsidRPr="00756351" w:rsidRDefault="00F86B78" w:rsidP="007C37C3">
            <w:pPr>
              <w:jc w:val="center"/>
              <w:rPr>
                <w:rFonts w:ascii="Arial" w:hAnsi="Arial" w:cs="Arial"/>
              </w:rPr>
            </w:pPr>
            <w:r w:rsidRPr="00756351">
              <w:rPr>
                <w:rFonts w:ascii="Arial" w:hAnsi="Arial" w:cs="Arial"/>
              </w:rPr>
              <w:t>13.201</w:t>
            </w:r>
          </w:p>
        </w:tc>
      </w:tr>
      <w:tr w:rsidR="00F86B78" w:rsidRPr="00756351" w14:paraId="2763B877" w14:textId="77777777" w:rsidTr="007C37C3">
        <w:tc>
          <w:tcPr>
            <w:tcW w:w="1915" w:type="dxa"/>
          </w:tcPr>
          <w:p w14:paraId="3F058496" w14:textId="77777777" w:rsidR="00F86B78" w:rsidRPr="00756351" w:rsidRDefault="00F86B78" w:rsidP="007C37C3">
            <w:pPr>
              <w:rPr>
                <w:rFonts w:ascii="Arial" w:hAnsi="Arial" w:cs="Arial"/>
              </w:rPr>
            </w:pPr>
            <w:r w:rsidRPr="00756351">
              <w:rPr>
                <w:rFonts w:ascii="Arial" w:hAnsi="Arial" w:cs="Arial"/>
              </w:rPr>
              <w:t xml:space="preserve">Minimum </w:t>
            </w:r>
          </w:p>
        </w:tc>
        <w:tc>
          <w:tcPr>
            <w:tcW w:w="1915" w:type="dxa"/>
          </w:tcPr>
          <w:p w14:paraId="51BC566B" w14:textId="77777777" w:rsidR="00F86B78" w:rsidRPr="00756351" w:rsidRDefault="00F86B78" w:rsidP="007C37C3">
            <w:pPr>
              <w:jc w:val="center"/>
              <w:rPr>
                <w:rFonts w:ascii="Arial" w:hAnsi="Arial" w:cs="Arial"/>
              </w:rPr>
            </w:pPr>
            <w:r w:rsidRPr="00756351">
              <w:rPr>
                <w:rFonts w:ascii="Arial" w:hAnsi="Arial" w:cs="Arial"/>
              </w:rPr>
              <w:t>954.0</w:t>
            </w:r>
          </w:p>
        </w:tc>
        <w:tc>
          <w:tcPr>
            <w:tcW w:w="1915" w:type="dxa"/>
          </w:tcPr>
          <w:p w14:paraId="414C1E3D" w14:textId="77777777" w:rsidR="00F86B78" w:rsidRPr="00756351" w:rsidRDefault="00F86B78" w:rsidP="007C37C3">
            <w:pPr>
              <w:jc w:val="center"/>
              <w:rPr>
                <w:rFonts w:ascii="Arial" w:hAnsi="Arial" w:cs="Arial"/>
              </w:rPr>
            </w:pPr>
            <w:r w:rsidRPr="00756351">
              <w:rPr>
                <w:rFonts w:ascii="Arial" w:hAnsi="Arial" w:cs="Arial"/>
              </w:rPr>
              <w:t>631.0</w:t>
            </w:r>
          </w:p>
        </w:tc>
        <w:tc>
          <w:tcPr>
            <w:tcW w:w="1915" w:type="dxa"/>
          </w:tcPr>
          <w:p w14:paraId="2030DC0F" w14:textId="77777777" w:rsidR="00F86B78" w:rsidRPr="00756351" w:rsidRDefault="00F86B78" w:rsidP="007C37C3">
            <w:pPr>
              <w:jc w:val="center"/>
              <w:rPr>
                <w:rFonts w:ascii="Arial" w:hAnsi="Arial" w:cs="Arial"/>
              </w:rPr>
            </w:pPr>
            <w:r w:rsidRPr="00756351">
              <w:rPr>
                <w:rFonts w:ascii="Arial" w:hAnsi="Arial" w:cs="Arial"/>
              </w:rPr>
              <w:t>199.0</w:t>
            </w:r>
          </w:p>
        </w:tc>
        <w:tc>
          <w:tcPr>
            <w:tcW w:w="1916" w:type="dxa"/>
          </w:tcPr>
          <w:p w14:paraId="0D76F362" w14:textId="77777777" w:rsidR="00F86B78" w:rsidRPr="00756351" w:rsidRDefault="00F86B78" w:rsidP="007C37C3">
            <w:pPr>
              <w:jc w:val="center"/>
              <w:rPr>
                <w:rFonts w:ascii="Arial" w:hAnsi="Arial" w:cs="Arial"/>
              </w:rPr>
            </w:pPr>
            <w:r w:rsidRPr="00756351">
              <w:rPr>
                <w:rFonts w:ascii="Arial" w:hAnsi="Arial" w:cs="Arial"/>
              </w:rPr>
              <w:t>53.00</w:t>
            </w:r>
          </w:p>
        </w:tc>
      </w:tr>
      <w:tr w:rsidR="00F86B78" w:rsidRPr="00756351" w14:paraId="1AB301DB" w14:textId="77777777" w:rsidTr="007C37C3">
        <w:tc>
          <w:tcPr>
            <w:tcW w:w="1915" w:type="dxa"/>
          </w:tcPr>
          <w:p w14:paraId="37A87A1C" w14:textId="77777777" w:rsidR="00F86B78" w:rsidRPr="00756351" w:rsidRDefault="00F86B78" w:rsidP="007C37C3">
            <w:pPr>
              <w:rPr>
                <w:rFonts w:ascii="Arial" w:hAnsi="Arial" w:cs="Arial"/>
              </w:rPr>
            </w:pPr>
            <w:r w:rsidRPr="00756351">
              <w:rPr>
                <w:rFonts w:ascii="Arial" w:hAnsi="Arial" w:cs="Arial"/>
              </w:rPr>
              <w:t xml:space="preserve">Q1 </w:t>
            </w:r>
          </w:p>
        </w:tc>
        <w:tc>
          <w:tcPr>
            <w:tcW w:w="1915" w:type="dxa"/>
          </w:tcPr>
          <w:p w14:paraId="55614595" w14:textId="77777777" w:rsidR="00F86B78" w:rsidRPr="00756351" w:rsidRDefault="00F86B78" w:rsidP="007C37C3">
            <w:pPr>
              <w:jc w:val="center"/>
              <w:rPr>
                <w:rFonts w:ascii="Arial" w:hAnsi="Arial" w:cs="Arial"/>
              </w:rPr>
            </w:pPr>
            <w:r w:rsidRPr="00756351">
              <w:rPr>
                <w:rFonts w:ascii="Arial" w:hAnsi="Arial" w:cs="Arial"/>
              </w:rPr>
              <w:t>1175.0</w:t>
            </w:r>
          </w:p>
        </w:tc>
        <w:tc>
          <w:tcPr>
            <w:tcW w:w="1915" w:type="dxa"/>
          </w:tcPr>
          <w:p w14:paraId="0FB754ED" w14:textId="77777777" w:rsidR="00F86B78" w:rsidRPr="00756351" w:rsidRDefault="00F86B78" w:rsidP="007C37C3">
            <w:pPr>
              <w:jc w:val="center"/>
              <w:rPr>
                <w:rFonts w:ascii="Arial" w:hAnsi="Arial" w:cs="Arial"/>
              </w:rPr>
            </w:pPr>
            <w:r w:rsidRPr="00756351">
              <w:rPr>
                <w:rFonts w:ascii="Arial" w:hAnsi="Arial" w:cs="Arial"/>
              </w:rPr>
              <w:t>713.25</w:t>
            </w:r>
          </w:p>
        </w:tc>
        <w:tc>
          <w:tcPr>
            <w:tcW w:w="1915" w:type="dxa"/>
          </w:tcPr>
          <w:p w14:paraId="0741BBE0" w14:textId="77777777" w:rsidR="00F86B78" w:rsidRPr="00756351" w:rsidRDefault="00F86B78" w:rsidP="007C37C3">
            <w:pPr>
              <w:jc w:val="center"/>
              <w:rPr>
                <w:rFonts w:ascii="Arial" w:hAnsi="Arial" w:cs="Arial"/>
              </w:rPr>
            </w:pPr>
            <w:r w:rsidRPr="00756351">
              <w:rPr>
                <w:rFonts w:ascii="Arial" w:hAnsi="Arial" w:cs="Arial"/>
              </w:rPr>
              <w:t>254.0</w:t>
            </w:r>
          </w:p>
        </w:tc>
        <w:tc>
          <w:tcPr>
            <w:tcW w:w="1916" w:type="dxa"/>
          </w:tcPr>
          <w:p w14:paraId="7FD1478E" w14:textId="77777777" w:rsidR="00F86B78" w:rsidRPr="00756351" w:rsidRDefault="00F86B78" w:rsidP="007C37C3">
            <w:pPr>
              <w:jc w:val="center"/>
              <w:rPr>
                <w:rFonts w:ascii="Arial" w:hAnsi="Arial" w:cs="Arial"/>
              </w:rPr>
            </w:pPr>
            <w:r w:rsidRPr="00756351">
              <w:rPr>
                <w:rFonts w:ascii="Arial" w:hAnsi="Arial" w:cs="Arial"/>
              </w:rPr>
              <w:t>72.00</w:t>
            </w:r>
          </w:p>
        </w:tc>
      </w:tr>
      <w:tr w:rsidR="00F86B78" w:rsidRPr="00756351" w14:paraId="219A9DF9" w14:textId="77777777" w:rsidTr="007C37C3">
        <w:tc>
          <w:tcPr>
            <w:tcW w:w="1915" w:type="dxa"/>
          </w:tcPr>
          <w:p w14:paraId="605AFE5B" w14:textId="77777777" w:rsidR="00F86B78" w:rsidRPr="00756351" w:rsidRDefault="00F86B78" w:rsidP="007C37C3">
            <w:pPr>
              <w:rPr>
                <w:rFonts w:ascii="Arial" w:hAnsi="Arial" w:cs="Arial"/>
              </w:rPr>
            </w:pPr>
            <w:r w:rsidRPr="00756351">
              <w:rPr>
                <w:rFonts w:ascii="Arial" w:hAnsi="Arial" w:cs="Arial"/>
              </w:rPr>
              <w:t>Median</w:t>
            </w:r>
          </w:p>
        </w:tc>
        <w:tc>
          <w:tcPr>
            <w:tcW w:w="1915" w:type="dxa"/>
          </w:tcPr>
          <w:p w14:paraId="1DDCD40F" w14:textId="77777777" w:rsidR="00F86B78" w:rsidRPr="00756351" w:rsidRDefault="00F86B78" w:rsidP="007C37C3">
            <w:pPr>
              <w:jc w:val="center"/>
              <w:rPr>
                <w:rFonts w:ascii="Arial" w:hAnsi="Arial" w:cs="Arial"/>
              </w:rPr>
            </w:pPr>
            <w:r w:rsidRPr="00756351">
              <w:rPr>
                <w:rFonts w:ascii="Arial" w:hAnsi="Arial" w:cs="Arial"/>
              </w:rPr>
              <w:t>1195.0</w:t>
            </w:r>
          </w:p>
        </w:tc>
        <w:tc>
          <w:tcPr>
            <w:tcW w:w="1915" w:type="dxa"/>
          </w:tcPr>
          <w:p w14:paraId="3BC0059D" w14:textId="77777777" w:rsidR="00F86B78" w:rsidRPr="00756351" w:rsidRDefault="00F86B78" w:rsidP="007C37C3">
            <w:pPr>
              <w:jc w:val="center"/>
              <w:rPr>
                <w:rFonts w:ascii="Arial" w:hAnsi="Arial" w:cs="Arial"/>
              </w:rPr>
            </w:pPr>
            <w:r w:rsidRPr="00756351">
              <w:rPr>
                <w:rFonts w:ascii="Arial" w:hAnsi="Arial" w:cs="Arial"/>
              </w:rPr>
              <w:t>811.50</w:t>
            </w:r>
          </w:p>
        </w:tc>
        <w:tc>
          <w:tcPr>
            <w:tcW w:w="1915" w:type="dxa"/>
          </w:tcPr>
          <w:p w14:paraId="50A41A6C" w14:textId="77777777" w:rsidR="00F86B78" w:rsidRPr="00756351" w:rsidRDefault="00F86B78" w:rsidP="007C37C3">
            <w:pPr>
              <w:jc w:val="center"/>
              <w:rPr>
                <w:rFonts w:ascii="Arial" w:hAnsi="Arial" w:cs="Arial"/>
              </w:rPr>
            </w:pPr>
            <w:r w:rsidRPr="00756351">
              <w:rPr>
                <w:rFonts w:ascii="Arial" w:hAnsi="Arial" w:cs="Arial"/>
              </w:rPr>
              <w:t>297.0</w:t>
            </w:r>
          </w:p>
        </w:tc>
        <w:tc>
          <w:tcPr>
            <w:tcW w:w="1916" w:type="dxa"/>
          </w:tcPr>
          <w:p w14:paraId="42967887" w14:textId="77777777" w:rsidR="00F86B78" w:rsidRPr="00756351" w:rsidRDefault="00F86B78" w:rsidP="007C37C3">
            <w:pPr>
              <w:jc w:val="center"/>
              <w:rPr>
                <w:rFonts w:ascii="Arial" w:hAnsi="Arial" w:cs="Arial"/>
              </w:rPr>
            </w:pPr>
            <w:r w:rsidRPr="00756351">
              <w:rPr>
                <w:rFonts w:ascii="Arial" w:hAnsi="Arial" w:cs="Arial"/>
              </w:rPr>
              <w:t>80.00</w:t>
            </w:r>
          </w:p>
        </w:tc>
      </w:tr>
      <w:tr w:rsidR="00F86B78" w:rsidRPr="00756351" w14:paraId="5CAE2B94" w14:textId="77777777" w:rsidTr="007C37C3">
        <w:tc>
          <w:tcPr>
            <w:tcW w:w="1915" w:type="dxa"/>
          </w:tcPr>
          <w:p w14:paraId="43AB2582" w14:textId="77777777" w:rsidR="00F86B78" w:rsidRPr="00756351" w:rsidRDefault="00F86B78" w:rsidP="007C37C3">
            <w:pPr>
              <w:rPr>
                <w:rFonts w:ascii="Arial" w:hAnsi="Arial" w:cs="Arial"/>
              </w:rPr>
            </w:pPr>
            <w:r w:rsidRPr="00756351">
              <w:rPr>
                <w:rFonts w:ascii="Arial" w:hAnsi="Arial" w:cs="Arial"/>
              </w:rPr>
              <w:t xml:space="preserve">Q3 </w:t>
            </w:r>
          </w:p>
        </w:tc>
        <w:tc>
          <w:tcPr>
            <w:tcW w:w="1915" w:type="dxa"/>
          </w:tcPr>
          <w:p w14:paraId="17CAD414" w14:textId="77777777" w:rsidR="00F86B78" w:rsidRPr="00756351" w:rsidRDefault="00F86B78" w:rsidP="007C37C3">
            <w:pPr>
              <w:jc w:val="center"/>
              <w:rPr>
                <w:rFonts w:ascii="Arial" w:hAnsi="Arial" w:cs="Arial"/>
              </w:rPr>
            </w:pPr>
            <w:r w:rsidRPr="00756351">
              <w:rPr>
                <w:rFonts w:ascii="Arial" w:hAnsi="Arial" w:cs="Arial"/>
              </w:rPr>
              <w:t>1217.0</w:t>
            </w:r>
          </w:p>
        </w:tc>
        <w:tc>
          <w:tcPr>
            <w:tcW w:w="1915" w:type="dxa"/>
          </w:tcPr>
          <w:p w14:paraId="5B36D3AA" w14:textId="77777777" w:rsidR="00F86B78" w:rsidRPr="00756351" w:rsidRDefault="00F86B78" w:rsidP="007C37C3">
            <w:pPr>
              <w:jc w:val="center"/>
              <w:rPr>
                <w:rFonts w:ascii="Arial" w:hAnsi="Arial" w:cs="Arial"/>
              </w:rPr>
            </w:pPr>
            <w:r w:rsidRPr="00756351">
              <w:rPr>
                <w:rFonts w:ascii="Arial" w:hAnsi="Arial" w:cs="Arial"/>
              </w:rPr>
              <w:t>892.0</w:t>
            </w:r>
          </w:p>
        </w:tc>
        <w:tc>
          <w:tcPr>
            <w:tcW w:w="1915" w:type="dxa"/>
          </w:tcPr>
          <w:p w14:paraId="6162F6C6" w14:textId="77777777" w:rsidR="00F86B78" w:rsidRPr="00756351" w:rsidRDefault="00F86B78" w:rsidP="007C37C3">
            <w:pPr>
              <w:jc w:val="center"/>
              <w:rPr>
                <w:rFonts w:ascii="Arial" w:hAnsi="Arial" w:cs="Arial"/>
              </w:rPr>
            </w:pPr>
            <w:r w:rsidRPr="00756351">
              <w:rPr>
                <w:rFonts w:ascii="Arial" w:hAnsi="Arial" w:cs="Arial"/>
              </w:rPr>
              <w:t>342.0</w:t>
            </w:r>
          </w:p>
        </w:tc>
        <w:tc>
          <w:tcPr>
            <w:tcW w:w="1916" w:type="dxa"/>
          </w:tcPr>
          <w:p w14:paraId="2CA1F7DA" w14:textId="77777777" w:rsidR="00F86B78" w:rsidRPr="00756351" w:rsidRDefault="00F86B78" w:rsidP="007C37C3">
            <w:pPr>
              <w:jc w:val="center"/>
              <w:rPr>
                <w:rFonts w:ascii="Arial" w:hAnsi="Arial" w:cs="Arial"/>
              </w:rPr>
            </w:pPr>
            <w:r w:rsidRPr="00756351">
              <w:rPr>
                <w:rFonts w:ascii="Arial" w:hAnsi="Arial" w:cs="Arial"/>
              </w:rPr>
              <w:t>91.00</w:t>
            </w:r>
          </w:p>
        </w:tc>
      </w:tr>
      <w:tr w:rsidR="00F86B78" w:rsidRPr="00756351" w14:paraId="7C706EB2" w14:textId="77777777" w:rsidTr="007C37C3">
        <w:tc>
          <w:tcPr>
            <w:tcW w:w="1915" w:type="dxa"/>
          </w:tcPr>
          <w:p w14:paraId="20CAAE40" w14:textId="77777777" w:rsidR="00F86B78" w:rsidRPr="00756351" w:rsidRDefault="00F86B78" w:rsidP="007C37C3">
            <w:pPr>
              <w:rPr>
                <w:rFonts w:ascii="Arial" w:hAnsi="Arial" w:cs="Arial"/>
              </w:rPr>
            </w:pPr>
            <w:r w:rsidRPr="00756351">
              <w:rPr>
                <w:rFonts w:ascii="Arial" w:hAnsi="Arial" w:cs="Arial"/>
              </w:rPr>
              <w:t>Maximum</w:t>
            </w:r>
          </w:p>
        </w:tc>
        <w:tc>
          <w:tcPr>
            <w:tcW w:w="1915" w:type="dxa"/>
          </w:tcPr>
          <w:p w14:paraId="1A8B8CCB" w14:textId="77777777" w:rsidR="00F86B78" w:rsidRPr="00756351" w:rsidRDefault="00F86B78" w:rsidP="007C37C3">
            <w:pPr>
              <w:jc w:val="center"/>
              <w:rPr>
                <w:rFonts w:ascii="Arial" w:hAnsi="Arial" w:cs="Arial"/>
              </w:rPr>
            </w:pPr>
            <w:r w:rsidRPr="00756351">
              <w:rPr>
                <w:rFonts w:ascii="Arial" w:hAnsi="Arial" w:cs="Arial"/>
              </w:rPr>
              <w:t>1282.0</w:t>
            </w:r>
          </w:p>
        </w:tc>
        <w:tc>
          <w:tcPr>
            <w:tcW w:w="1915" w:type="dxa"/>
          </w:tcPr>
          <w:p w14:paraId="76A4FC6B" w14:textId="77777777" w:rsidR="00F86B78" w:rsidRPr="00756351" w:rsidRDefault="00F86B78" w:rsidP="007C37C3">
            <w:pPr>
              <w:jc w:val="center"/>
              <w:rPr>
                <w:rFonts w:ascii="Arial" w:hAnsi="Arial" w:cs="Arial"/>
              </w:rPr>
            </w:pPr>
            <w:r w:rsidRPr="00756351">
              <w:rPr>
                <w:rFonts w:ascii="Arial" w:hAnsi="Arial" w:cs="Arial"/>
              </w:rPr>
              <w:t>976.0</w:t>
            </w:r>
          </w:p>
        </w:tc>
        <w:tc>
          <w:tcPr>
            <w:tcW w:w="1915" w:type="dxa"/>
          </w:tcPr>
          <w:p w14:paraId="32748950" w14:textId="77777777" w:rsidR="00F86B78" w:rsidRPr="00756351" w:rsidRDefault="00F86B78" w:rsidP="007C37C3">
            <w:pPr>
              <w:jc w:val="center"/>
              <w:rPr>
                <w:rFonts w:ascii="Arial" w:hAnsi="Arial" w:cs="Arial"/>
              </w:rPr>
            </w:pPr>
            <w:r w:rsidRPr="00756351">
              <w:rPr>
                <w:rFonts w:ascii="Arial" w:hAnsi="Arial" w:cs="Arial"/>
              </w:rPr>
              <w:t>387.0</w:t>
            </w:r>
          </w:p>
        </w:tc>
        <w:tc>
          <w:tcPr>
            <w:tcW w:w="1916" w:type="dxa"/>
          </w:tcPr>
          <w:p w14:paraId="3BC48007" w14:textId="77777777" w:rsidR="00F86B78" w:rsidRPr="00756351" w:rsidRDefault="00F86B78" w:rsidP="007C37C3">
            <w:pPr>
              <w:jc w:val="center"/>
              <w:rPr>
                <w:rFonts w:ascii="Arial" w:hAnsi="Arial" w:cs="Arial"/>
              </w:rPr>
            </w:pPr>
            <w:r w:rsidRPr="00756351">
              <w:rPr>
                <w:rFonts w:ascii="Arial" w:hAnsi="Arial" w:cs="Arial"/>
              </w:rPr>
              <w:t>111.0</w:t>
            </w:r>
          </w:p>
        </w:tc>
      </w:tr>
      <w:tr w:rsidR="00F86B78" w:rsidRPr="00756351" w14:paraId="08591B49" w14:textId="77777777" w:rsidTr="007C37C3">
        <w:tc>
          <w:tcPr>
            <w:tcW w:w="1915" w:type="dxa"/>
          </w:tcPr>
          <w:p w14:paraId="0053A0EC" w14:textId="77777777" w:rsidR="00F86B78" w:rsidRPr="00756351" w:rsidRDefault="00F86B78" w:rsidP="007C37C3">
            <w:pPr>
              <w:rPr>
                <w:rFonts w:ascii="Arial" w:hAnsi="Arial" w:cs="Arial"/>
              </w:rPr>
            </w:pPr>
            <w:r w:rsidRPr="00756351">
              <w:rPr>
                <w:rFonts w:ascii="Arial" w:hAnsi="Arial" w:cs="Arial"/>
              </w:rPr>
              <w:t>No. of Obs.</w:t>
            </w:r>
          </w:p>
        </w:tc>
        <w:tc>
          <w:tcPr>
            <w:tcW w:w="1915" w:type="dxa"/>
          </w:tcPr>
          <w:p w14:paraId="235133C2" w14:textId="77777777" w:rsidR="00F86B78" w:rsidRPr="00756351" w:rsidRDefault="00F86B78" w:rsidP="007C37C3">
            <w:pPr>
              <w:jc w:val="center"/>
              <w:rPr>
                <w:rFonts w:ascii="Arial" w:hAnsi="Arial" w:cs="Arial"/>
              </w:rPr>
            </w:pPr>
            <w:r w:rsidRPr="00756351">
              <w:rPr>
                <w:rFonts w:ascii="Arial" w:hAnsi="Arial" w:cs="Arial"/>
              </w:rPr>
              <w:t>228</w:t>
            </w:r>
          </w:p>
        </w:tc>
        <w:tc>
          <w:tcPr>
            <w:tcW w:w="1915" w:type="dxa"/>
          </w:tcPr>
          <w:p w14:paraId="7D3B71E4" w14:textId="77777777" w:rsidR="00F86B78" w:rsidRPr="00756351" w:rsidRDefault="00F86B78" w:rsidP="007C37C3">
            <w:pPr>
              <w:jc w:val="center"/>
              <w:rPr>
                <w:rFonts w:ascii="Arial" w:hAnsi="Arial" w:cs="Arial"/>
              </w:rPr>
            </w:pPr>
            <w:r w:rsidRPr="00756351">
              <w:rPr>
                <w:rFonts w:ascii="Arial" w:hAnsi="Arial" w:cs="Arial"/>
              </w:rPr>
              <w:t>228</w:t>
            </w:r>
          </w:p>
        </w:tc>
        <w:tc>
          <w:tcPr>
            <w:tcW w:w="1915" w:type="dxa"/>
          </w:tcPr>
          <w:p w14:paraId="6C8D2CF0" w14:textId="77777777" w:rsidR="00F86B78" w:rsidRPr="00756351" w:rsidRDefault="00F86B78" w:rsidP="007C37C3">
            <w:pPr>
              <w:jc w:val="center"/>
              <w:rPr>
                <w:rFonts w:ascii="Arial" w:hAnsi="Arial" w:cs="Arial"/>
              </w:rPr>
            </w:pPr>
            <w:r w:rsidRPr="00756351">
              <w:rPr>
                <w:rFonts w:ascii="Arial" w:hAnsi="Arial" w:cs="Arial"/>
              </w:rPr>
              <w:t>228</w:t>
            </w:r>
          </w:p>
        </w:tc>
        <w:tc>
          <w:tcPr>
            <w:tcW w:w="1916" w:type="dxa"/>
          </w:tcPr>
          <w:p w14:paraId="7F01EFCA" w14:textId="77777777" w:rsidR="00F86B78" w:rsidRPr="00756351" w:rsidRDefault="00F86B78" w:rsidP="007C37C3">
            <w:pPr>
              <w:jc w:val="center"/>
              <w:rPr>
                <w:rFonts w:ascii="Arial" w:hAnsi="Arial" w:cs="Arial"/>
              </w:rPr>
            </w:pPr>
            <w:r w:rsidRPr="00756351">
              <w:rPr>
                <w:rFonts w:ascii="Arial" w:hAnsi="Arial" w:cs="Arial"/>
              </w:rPr>
              <w:t>228</w:t>
            </w:r>
          </w:p>
        </w:tc>
      </w:tr>
    </w:tbl>
    <w:p w14:paraId="5D787F95" w14:textId="77777777" w:rsidR="00F86B78" w:rsidRPr="00756351" w:rsidRDefault="00F86B78" w:rsidP="00F86B78">
      <w:pPr>
        <w:pStyle w:val="NormalWeb"/>
        <w:spacing w:before="240" w:beforeAutospacing="0" w:after="0" w:afterAutospacing="0"/>
        <w:jc w:val="both"/>
        <w:rPr>
          <w:rFonts w:ascii="Arial" w:hAnsi="Arial" w:cs="Arial"/>
          <w:sz w:val="20"/>
          <w:szCs w:val="20"/>
        </w:rPr>
      </w:pPr>
      <w:r w:rsidRPr="00756351">
        <w:rPr>
          <w:rFonts w:ascii="Arial" w:hAnsi="Arial" w:cs="Arial"/>
          <w:sz w:val="20"/>
          <w:szCs w:val="20"/>
        </w:rPr>
        <w:t>The summary statistics for diabetic cases in Benue State, presented in Table 1, indicate that the monthly averages for confirmed, active, severe, and death cases are approximately 1190, 804, 296, and 82 persons, respectively, with corresponding standard deviations of about 46, 99, 52, and 13 persons. The relatively high standard deviations suggest considerable dispersion from the mean values for each category of cases. Additionally, the large ranges between maximum and minimum values support the observation of substantial variability in these diabetic case numbers over the study period.</w:t>
      </w:r>
    </w:p>
    <w:p w14:paraId="72C35C94" w14:textId="77777777" w:rsidR="00F86B78" w:rsidRPr="00756351" w:rsidRDefault="00F86B78" w:rsidP="00F86B78">
      <w:pPr>
        <w:pStyle w:val="NormalWeb"/>
        <w:spacing w:before="240" w:beforeAutospacing="0" w:after="0" w:afterAutospacing="0"/>
        <w:jc w:val="both"/>
        <w:rPr>
          <w:rFonts w:ascii="Arial" w:hAnsi="Arial" w:cs="Arial"/>
          <w:sz w:val="20"/>
          <w:szCs w:val="20"/>
        </w:rPr>
      </w:pPr>
      <w:r w:rsidRPr="00756351">
        <w:rPr>
          <w:rFonts w:ascii="Arial" w:hAnsi="Arial" w:cs="Arial"/>
          <w:sz w:val="20"/>
          <w:szCs w:val="20"/>
        </w:rPr>
        <w:t>These summary statistics suggest that the high mean values of confirmed, active, and severe diabetes mellitus cases over the 228-month study period have likely contributed to the observed elevated number of diabetes-related deaths in the region.</w:t>
      </w:r>
    </w:p>
    <w:p w14:paraId="4BC397B8" w14:textId="77777777" w:rsidR="00F86B78" w:rsidRPr="00756351" w:rsidRDefault="00756351" w:rsidP="00F86B78">
      <w:pPr>
        <w:pStyle w:val="NormalWeb"/>
        <w:spacing w:before="240" w:beforeAutospacing="0" w:after="0" w:afterAutospacing="0"/>
        <w:jc w:val="both"/>
        <w:rPr>
          <w:rFonts w:ascii="Arial" w:hAnsi="Arial" w:cs="Arial"/>
          <w:sz w:val="20"/>
          <w:szCs w:val="20"/>
        </w:rPr>
      </w:pPr>
      <w:r>
        <w:rPr>
          <w:rFonts w:ascii="Arial" w:hAnsi="Arial" w:cs="Arial"/>
          <w:b/>
          <w:sz w:val="20"/>
          <w:szCs w:val="20"/>
        </w:rPr>
        <w:t>3</w:t>
      </w:r>
      <w:r w:rsidR="00F86B78" w:rsidRPr="00756351">
        <w:rPr>
          <w:rFonts w:ascii="Arial" w:hAnsi="Arial" w:cs="Arial"/>
          <w:b/>
          <w:sz w:val="20"/>
          <w:szCs w:val="20"/>
        </w:rPr>
        <w:t>.2 Graphical Examination of the Study Variables</w:t>
      </w:r>
    </w:p>
    <w:p w14:paraId="29A054B9" w14:textId="77777777" w:rsidR="00F86B78" w:rsidRPr="00756351" w:rsidRDefault="00F86B78" w:rsidP="00F86B78">
      <w:pPr>
        <w:pStyle w:val="NormalWeb"/>
        <w:spacing w:before="240" w:beforeAutospacing="0" w:after="0" w:afterAutospacing="0"/>
        <w:jc w:val="both"/>
        <w:rPr>
          <w:rFonts w:ascii="Arial" w:hAnsi="Arial" w:cs="Arial"/>
          <w:sz w:val="20"/>
          <w:szCs w:val="20"/>
        </w:rPr>
      </w:pPr>
      <w:r w:rsidRPr="00756351">
        <w:rPr>
          <w:rFonts w:ascii="Arial" w:hAnsi="Arial" w:cs="Arial"/>
          <w:sz w:val="20"/>
          <w:szCs w:val="20"/>
        </w:rPr>
        <w:t>Examining the graphs of confirmed, active, severe, and mortality cases of diabetes mellitus is essential for identifying trends and patterns over time, which can provide insights into the progression and fluctuations of the disease within a population. By analyzing these visual representations, healthcare providers and policymakers can better understand peak periods, seasonal variations, and the impact of interventions. This information is crucial for planning targeted healthcare responses, optimizing resource allocation, and developing strategies to reduce disease incidence and manage complications, ultimately improving health outcomes for affected populations. The time plots of the confirmed, active, severe, and mortality cases of diabetes mellitus are plotted in Figures 1, 2, 3, and 4 respectively.</w:t>
      </w:r>
    </w:p>
    <w:p w14:paraId="06DEFFBF" w14:textId="77777777" w:rsidR="00F86B78" w:rsidRDefault="00F86B78" w:rsidP="00F86B78">
      <w:pPr>
        <w:rPr>
          <w:rFonts w:ascii="Times New Roman" w:hAnsi="Times New Roman"/>
          <w:b/>
          <w:sz w:val="24"/>
          <w:szCs w:val="24"/>
        </w:rPr>
      </w:pPr>
    </w:p>
    <w:p w14:paraId="34060141" w14:textId="77777777" w:rsidR="00F86B78" w:rsidRDefault="00F86B78" w:rsidP="00F86B78">
      <w:pPr>
        <w:rPr>
          <w:rFonts w:ascii="Times New Roman" w:hAnsi="Times New Roman"/>
          <w:b/>
          <w:sz w:val="24"/>
          <w:szCs w:val="24"/>
        </w:rPr>
      </w:pPr>
      <w:r>
        <w:rPr>
          <w:rFonts w:ascii="Times New Roman" w:hAnsi="Times New Roman"/>
          <w:b/>
          <w:noProof/>
          <w:sz w:val="24"/>
          <w:szCs w:val="24"/>
        </w:rPr>
        <w:drawing>
          <wp:inline distT="0" distB="0" distL="0" distR="0" wp14:anchorId="31BF81CE" wp14:editId="1AE399CC">
            <wp:extent cx="5483253" cy="1844702"/>
            <wp:effectExtent l="19050" t="0" r="3147"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5486400" cy="1845761"/>
                    </a:xfrm>
                    <a:prstGeom prst="rect">
                      <a:avLst/>
                    </a:prstGeom>
                    <a:noFill/>
                    <a:ln w="9525">
                      <a:noFill/>
                      <a:miter lim="800000"/>
                      <a:headEnd/>
                      <a:tailEnd/>
                    </a:ln>
                  </pic:spPr>
                </pic:pic>
              </a:graphicData>
            </a:graphic>
          </wp:inline>
        </w:drawing>
      </w:r>
    </w:p>
    <w:p w14:paraId="656ADD4C" w14:textId="77777777" w:rsidR="00F86B78" w:rsidRPr="00756351" w:rsidRDefault="00F86B78" w:rsidP="00F86B78">
      <w:pPr>
        <w:rPr>
          <w:rFonts w:ascii="Arial" w:hAnsi="Arial" w:cs="Arial"/>
        </w:rPr>
      </w:pPr>
      <w:r w:rsidRPr="00756351">
        <w:rPr>
          <w:rFonts w:ascii="Arial" w:hAnsi="Arial" w:cs="Arial"/>
          <w:b/>
        </w:rPr>
        <w:t>Figure 1: Time Series Plot of Diabetes Confirmed Cases in Benue State</w:t>
      </w:r>
    </w:p>
    <w:p w14:paraId="4FB89FC6" w14:textId="77777777" w:rsidR="00F86B78" w:rsidRDefault="00F86B78" w:rsidP="00F86B78">
      <w:pPr>
        <w:rPr>
          <w:rFonts w:ascii="Times New Roman" w:hAnsi="Times New Roman"/>
          <w:sz w:val="24"/>
          <w:szCs w:val="24"/>
        </w:rPr>
      </w:pPr>
      <w:r>
        <w:rPr>
          <w:rFonts w:ascii="Times New Roman" w:hAnsi="Times New Roman"/>
          <w:noProof/>
          <w:sz w:val="24"/>
          <w:szCs w:val="24"/>
        </w:rPr>
        <w:lastRenderedPageBreak/>
        <w:drawing>
          <wp:inline distT="0" distB="0" distL="0" distR="0" wp14:anchorId="288FF869" wp14:editId="36398AB1">
            <wp:extent cx="5483253" cy="1924215"/>
            <wp:effectExtent l="19050" t="0" r="3147"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5486400" cy="1925319"/>
                    </a:xfrm>
                    <a:prstGeom prst="rect">
                      <a:avLst/>
                    </a:prstGeom>
                    <a:noFill/>
                    <a:ln w="9525">
                      <a:noFill/>
                      <a:miter lim="800000"/>
                      <a:headEnd/>
                      <a:tailEnd/>
                    </a:ln>
                  </pic:spPr>
                </pic:pic>
              </a:graphicData>
            </a:graphic>
          </wp:inline>
        </w:drawing>
      </w:r>
    </w:p>
    <w:p w14:paraId="78D64FBC" w14:textId="77777777" w:rsidR="00F86B78" w:rsidRPr="00756351" w:rsidRDefault="00F86B78" w:rsidP="00F86B78">
      <w:pPr>
        <w:rPr>
          <w:rFonts w:ascii="Arial" w:hAnsi="Arial" w:cs="Arial"/>
          <w:b/>
        </w:rPr>
      </w:pPr>
      <w:r w:rsidRPr="00756351">
        <w:rPr>
          <w:rFonts w:ascii="Arial" w:hAnsi="Arial" w:cs="Arial"/>
          <w:b/>
        </w:rPr>
        <w:t>Figure 2: Time Series Plot of Active Cases of Diabetes in Benue State</w:t>
      </w:r>
    </w:p>
    <w:p w14:paraId="50BDD336" w14:textId="77777777" w:rsidR="00F86B78" w:rsidRDefault="00F86B78" w:rsidP="00F86B78">
      <w:pPr>
        <w:rPr>
          <w:rFonts w:ascii="Times New Roman" w:hAnsi="Times New Roman"/>
          <w:sz w:val="24"/>
          <w:szCs w:val="24"/>
        </w:rPr>
      </w:pPr>
      <w:r>
        <w:rPr>
          <w:rFonts w:ascii="Times New Roman" w:hAnsi="Times New Roman"/>
          <w:noProof/>
          <w:sz w:val="24"/>
          <w:szCs w:val="24"/>
        </w:rPr>
        <w:drawing>
          <wp:inline distT="0" distB="0" distL="0" distR="0" wp14:anchorId="588A8B21" wp14:editId="5608613B">
            <wp:extent cx="5483253" cy="1892410"/>
            <wp:effectExtent l="19050" t="0" r="3147"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a:stretch>
                      <a:fillRect/>
                    </a:stretch>
                  </pic:blipFill>
                  <pic:spPr bwMode="auto">
                    <a:xfrm>
                      <a:off x="0" y="0"/>
                      <a:ext cx="5486400" cy="1893496"/>
                    </a:xfrm>
                    <a:prstGeom prst="rect">
                      <a:avLst/>
                    </a:prstGeom>
                    <a:noFill/>
                    <a:ln w="9525">
                      <a:noFill/>
                      <a:miter lim="800000"/>
                      <a:headEnd/>
                      <a:tailEnd/>
                    </a:ln>
                  </pic:spPr>
                </pic:pic>
              </a:graphicData>
            </a:graphic>
          </wp:inline>
        </w:drawing>
      </w:r>
    </w:p>
    <w:p w14:paraId="1D5C9875" w14:textId="77777777" w:rsidR="00F86B78" w:rsidRPr="00756351" w:rsidRDefault="00F86B78" w:rsidP="00F86B78">
      <w:pPr>
        <w:rPr>
          <w:rFonts w:ascii="Arial" w:hAnsi="Arial" w:cs="Arial"/>
        </w:rPr>
      </w:pPr>
      <w:r w:rsidRPr="00756351">
        <w:rPr>
          <w:rFonts w:ascii="Arial" w:hAnsi="Arial" w:cs="Arial"/>
          <w:b/>
        </w:rPr>
        <w:t>Figure 3: Time Series Plot of Severe Cases of Diabetes in Benue State</w:t>
      </w:r>
    </w:p>
    <w:p w14:paraId="0451922E" w14:textId="77777777" w:rsidR="00F86B78" w:rsidRDefault="00F86B78" w:rsidP="00F86B78">
      <w:pPr>
        <w:rPr>
          <w:rFonts w:ascii="Times New Roman" w:hAnsi="Times New Roman"/>
          <w:sz w:val="24"/>
          <w:szCs w:val="24"/>
        </w:rPr>
      </w:pPr>
      <w:r>
        <w:rPr>
          <w:rFonts w:ascii="Times New Roman" w:hAnsi="Times New Roman"/>
          <w:noProof/>
          <w:sz w:val="24"/>
          <w:szCs w:val="24"/>
        </w:rPr>
        <w:drawing>
          <wp:inline distT="0" distB="0" distL="0" distR="0" wp14:anchorId="1A86F206" wp14:editId="45FF7EA3">
            <wp:extent cx="5483253" cy="1868556"/>
            <wp:effectExtent l="19050" t="0" r="3147"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5486400" cy="1869628"/>
                    </a:xfrm>
                    <a:prstGeom prst="rect">
                      <a:avLst/>
                    </a:prstGeom>
                    <a:noFill/>
                    <a:ln w="9525">
                      <a:noFill/>
                      <a:miter lim="800000"/>
                      <a:headEnd/>
                      <a:tailEnd/>
                    </a:ln>
                  </pic:spPr>
                </pic:pic>
              </a:graphicData>
            </a:graphic>
          </wp:inline>
        </w:drawing>
      </w:r>
    </w:p>
    <w:p w14:paraId="4861A1BD" w14:textId="77777777" w:rsidR="00F86B78" w:rsidRPr="00756351" w:rsidRDefault="00F86B78" w:rsidP="00F86B78">
      <w:pPr>
        <w:rPr>
          <w:rFonts w:ascii="Arial" w:hAnsi="Arial" w:cs="Arial"/>
          <w:b/>
        </w:rPr>
      </w:pPr>
      <w:r w:rsidRPr="00756351">
        <w:rPr>
          <w:rFonts w:ascii="Arial" w:hAnsi="Arial" w:cs="Arial"/>
          <w:b/>
        </w:rPr>
        <w:t>Figure 4:</w:t>
      </w:r>
      <w:r w:rsidRPr="00756351">
        <w:rPr>
          <w:rFonts w:ascii="Arial" w:hAnsi="Arial" w:cs="Arial"/>
        </w:rPr>
        <w:t xml:space="preserve"> </w:t>
      </w:r>
      <w:r w:rsidRPr="00756351">
        <w:rPr>
          <w:rFonts w:ascii="Arial" w:hAnsi="Arial" w:cs="Arial"/>
          <w:b/>
        </w:rPr>
        <w:t>Time Series Plot of Death Cases Due to Diabetes in Benue State</w:t>
      </w:r>
    </w:p>
    <w:p w14:paraId="64869DE2" w14:textId="77777777" w:rsidR="00F86B78" w:rsidRPr="00756351" w:rsidRDefault="00F86B78" w:rsidP="00F86B78">
      <w:pPr>
        <w:pStyle w:val="NormalWeb"/>
        <w:spacing w:after="0" w:afterAutospacing="0"/>
        <w:jc w:val="both"/>
        <w:rPr>
          <w:rFonts w:ascii="Arial" w:hAnsi="Arial" w:cs="Arial"/>
          <w:sz w:val="20"/>
          <w:szCs w:val="20"/>
        </w:rPr>
      </w:pPr>
      <w:r w:rsidRPr="00756351">
        <w:rPr>
          <w:rFonts w:ascii="Arial" w:hAnsi="Arial" w:cs="Arial"/>
          <w:sz w:val="20"/>
          <w:szCs w:val="20"/>
        </w:rPr>
        <w:t>The graphs reported in Figures 1-4 show time series plots of serologically confirmed cases of diabetes mellitus (Figure 1), active cases of diabetes (Figure 2), severe cases of diabetes (Figure 3) and mortality cases of diabetes mellitus (Figure 4) over a span of years from around 2005 to 2023. The vertical axis represents the case values while the horizontal axis shows the time in months and years.</w:t>
      </w:r>
    </w:p>
    <w:p w14:paraId="1B63D938" w14:textId="77777777" w:rsidR="00F86B78" w:rsidRPr="00756351" w:rsidRDefault="00F86B78" w:rsidP="00F86B78">
      <w:pPr>
        <w:pStyle w:val="NormalWeb"/>
        <w:spacing w:after="0" w:afterAutospacing="0"/>
        <w:jc w:val="both"/>
        <w:rPr>
          <w:rFonts w:ascii="Arial" w:hAnsi="Arial" w:cs="Arial"/>
          <w:sz w:val="20"/>
          <w:szCs w:val="20"/>
        </w:rPr>
      </w:pPr>
      <w:r w:rsidRPr="00756351">
        <w:rPr>
          <w:rFonts w:ascii="Arial" w:hAnsi="Arial" w:cs="Arial"/>
          <w:sz w:val="20"/>
          <w:szCs w:val="20"/>
        </w:rPr>
        <w:t xml:space="preserve">The time plots indicate monthly fluctuations in the number of confirmed, active, severe and death cases of diabetes mellitus recorded, with recurring sharp drops that likely reflect seasonal or cyclical variations. Over time, the data appears relatively stable with a slight downward trend in recent years, suggesting possible reductions in the number of confirmed, </w:t>
      </w:r>
      <w:r w:rsidRPr="00756351">
        <w:rPr>
          <w:rFonts w:ascii="Arial" w:hAnsi="Arial" w:cs="Arial"/>
          <w:sz w:val="20"/>
          <w:szCs w:val="20"/>
        </w:rPr>
        <w:lastRenderedPageBreak/>
        <w:t>active, severe and death cases of diabetes after the year 2020. Overall, the plot provides insights into trends, seasonality, and any irregular changes in the number of confirmed, active, severe and death cases of diabetes over nearly two decades.</w:t>
      </w:r>
    </w:p>
    <w:p w14:paraId="60910552" w14:textId="77777777" w:rsidR="00F86B78" w:rsidRPr="00756351" w:rsidRDefault="00756351" w:rsidP="00F86B78">
      <w:pPr>
        <w:rPr>
          <w:rFonts w:ascii="Arial" w:hAnsi="Arial" w:cs="Arial"/>
          <w:b/>
        </w:rPr>
      </w:pPr>
      <w:r>
        <w:rPr>
          <w:rFonts w:ascii="Arial" w:hAnsi="Arial" w:cs="Arial"/>
          <w:b/>
          <w:bCs/>
        </w:rPr>
        <w:t>3</w:t>
      </w:r>
      <w:r w:rsidR="00F86B78" w:rsidRPr="00756351">
        <w:rPr>
          <w:rFonts w:ascii="Arial" w:hAnsi="Arial" w:cs="Arial"/>
          <w:b/>
          <w:bCs/>
        </w:rPr>
        <w:t>.3 Omnibus Test Statistic</w:t>
      </w:r>
      <w:r w:rsidR="00F86B78" w:rsidRPr="00756351">
        <w:rPr>
          <w:rFonts w:ascii="Arial" w:hAnsi="Arial" w:cs="Arial"/>
          <w:b/>
        </w:rPr>
        <w:t xml:space="preserve"> for Model Selection</w:t>
      </w:r>
    </w:p>
    <w:p w14:paraId="3685FBAC" w14:textId="77777777" w:rsidR="00F86B78" w:rsidRPr="00756351" w:rsidRDefault="00F86B78" w:rsidP="00F86B78">
      <w:pPr>
        <w:jc w:val="both"/>
        <w:rPr>
          <w:rFonts w:ascii="Arial" w:hAnsi="Arial" w:cs="Arial"/>
        </w:rPr>
      </w:pPr>
      <w:r w:rsidRPr="00756351">
        <w:rPr>
          <w:rFonts w:ascii="Arial" w:hAnsi="Arial" w:cs="Arial"/>
        </w:rPr>
        <w:t xml:space="preserve">The </w:t>
      </w:r>
      <w:r w:rsidRPr="00756351">
        <w:rPr>
          <w:rFonts w:ascii="Arial" w:hAnsi="Arial" w:cs="Arial"/>
          <w:bCs/>
        </w:rPr>
        <w:t>Omnibus Test Statistic</w:t>
      </w:r>
      <w:r w:rsidRPr="00756351">
        <w:rPr>
          <w:rFonts w:ascii="Arial" w:hAnsi="Arial" w:cs="Arial"/>
        </w:rPr>
        <w:t xml:space="preserve"> guides model selection by objectively measuring if added complexity (like handling over-dispersion) is justified by an improvement in fit. The Omnibus test is reported in</w:t>
      </w:r>
      <w:r w:rsidRPr="00756351">
        <w:rPr>
          <w:rFonts w:ascii="Arial" w:hAnsi="Arial" w:cs="Arial"/>
          <w:b/>
        </w:rPr>
        <w:t xml:space="preserve"> </w:t>
      </w:r>
      <w:r w:rsidRPr="00756351">
        <w:rPr>
          <w:rFonts w:ascii="Arial" w:hAnsi="Arial" w:cs="Arial"/>
        </w:rPr>
        <w:t>Table 2.</w:t>
      </w:r>
    </w:p>
    <w:p w14:paraId="4D14CA01" w14:textId="77777777" w:rsidR="00F86B78" w:rsidRPr="00756351" w:rsidRDefault="00F86B78" w:rsidP="00F86B78">
      <w:pPr>
        <w:rPr>
          <w:rFonts w:ascii="Arial" w:hAnsi="Arial" w:cs="Arial"/>
          <w:b/>
        </w:rPr>
      </w:pPr>
    </w:p>
    <w:p w14:paraId="31965E02" w14:textId="77777777" w:rsidR="00F86B78" w:rsidRPr="00756351" w:rsidRDefault="00F86B78" w:rsidP="00F86B78">
      <w:pPr>
        <w:rPr>
          <w:rFonts w:ascii="Arial" w:hAnsi="Arial" w:cs="Arial"/>
          <w:b/>
        </w:rPr>
      </w:pPr>
      <w:r w:rsidRPr="00756351">
        <w:rPr>
          <w:rFonts w:ascii="Arial" w:hAnsi="Arial" w:cs="Arial"/>
          <w:b/>
        </w:rPr>
        <w:t>Table 2: Omnibus Test for Diabetic Cases in Benue state</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750"/>
        <w:gridCol w:w="1816"/>
        <w:gridCol w:w="1642"/>
      </w:tblGrid>
      <w:tr w:rsidR="00F86B78" w:rsidRPr="00756351" w14:paraId="6AF12A6E" w14:textId="77777777" w:rsidTr="007C37C3">
        <w:tc>
          <w:tcPr>
            <w:tcW w:w="5418" w:type="dxa"/>
            <w:tcBorders>
              <w:top w:val="single" w:sz="4" w:space="0" w:color="auto"/>
              <w:bottom w:val="single" w:sz="4" w:space="0" w:color="auto"/>
            </w:tcBorders>
          </w:tcPr>
          <w:p w14:paraId="70A13DCD" w14:textId="77777777" w:rsidR="00F86B78" w:rsidRPr="00756351" w:rsidRDefault="00F86B78" w:rsidP="007C37C3">
            <w:pPr>
              <w:rPr>
                <w:rFonts w:ascii="Arial" w:hAnsi="Arial" w:cs="Arial"/>
                <w:b/>
              </w:rPr>
            </w:pPr>
            <w:r w:rsidRPr="00756351">
              <w:rPr>
                <w:rFonts w:ascii="Arial" w:hAnsi="Arial" w:cs="Arial"/>
                <w:b/>
              </w:rPr>
              <w:t xml:space="preserve">Model </w:t>
            </w:r>
          </w:p>
        </w:tc>
        <w:tc>
          <w:tcPr>
            <w:tcW w:w="1980" w:type="dxa"/>
            <w:tcBorders>
              <w:top w:val="single" w:sz="4" w:space="0" w:color="auto"/>
              <w:bottom w:val="single" w:sz="4" w:space="0" w:color="auto"/>
            </w:tcBorders>
          </w:tcPr>
          <w:p w14:paraId="74CCE1D2" w14:textId="77777777" w:rsidR="00F86B78" w:rsidRPr="00756351" w:rsidRDefault="00F86B78" w:rsidP="007C37C3">
            <w:pPr>
              <w:rPr>
                <w:rFonts w:ascii="Arial" w:hAnsi="Arial" w:cs="Arial"/>
                <w:b/>
              </w:rPr>
            </w:pPr>
            <w:r w:rsidRPr="00756351">
              <w:rPr>
                <w:rFonts w:ascii="Arial" w:hAnsi="Arial" w:cs="Arial"/>
                <w:b/>
              </w:rPr>
              <w:t>LR statistic</w:t>
            </w:r>
          </w:p>
        </w:tc>
        <w:tc>
          <w:tcPr>
            <w:tcW w:w="1800" w:type="dxa"/>
            <w:tcBorders>
              <w:top w:val="single" w:sz="4" w:space="0" w:color="auto"/>
              <w:bottom w:val="single" w:sz="4" w:space="0" w:color="auto"/>
            </w:tcBorders>
          </w:tcPr>
          <w:p w14:paraId="73003B55" w14:textId="77777777" w:rsidR="00F86B78" w:rsidRPr="00756351" w:rsidRDefault="00F86B78" w:rsidP="007C37C3">
            <w:pPr>
              <w:rPr>
                <w:rFonts w:ascii="Arial" w:hAnsi="Arial" w:cs="Arial"/>
                <w:b/>
              </w:rPr>
            </w:pPr>
            <w:r w:rsidRPr="00756351">
              <w:rPr>
                <w:rFonts w:ascii="Arial" w:hAnsi="Arial" w:cs="Arial"/>
                <w:b/>
              </w:rPr>
              <w:t>P-value</w:t>
            </w:r>
          </w:p>
        </w:tc>
      </w:tr>
      <w:tr w:rsidR="00F86B78" w:rsidRPr="00756351" w14:paraId="5CD5F6D1" w14:textId="77777777" w:rsidTr="007C37C3">
        <w:tc>
          <w:tcPr>
            <w:tcW w:w="5418" w:type="dxa"/>
            <w:tcBorders>
              <w:top w:val="single" w:sz="4" w:space="0" w:color="auto"/>
            </w:tcBorders>
          </w:tcPr>
          <w:p w14:paraId="40F5B639" w14:textId="77777777" w:rsidR="00F86B78" w:rsidRPr="00756351" w:rsidRDefault="00F86B78" w:rsidP="007C37C3">
            <w:pPr>
              <w:rPr>
                <w:rFonts w:ascii="Arial" w:hAnsi="Arial" w:cs="Arial"/>
              </w:rPr>
            </w:pPr>
            <w:r w:rsidRPr="00756351">
              <w:rPr>
                <w:rFonts w:ascii="Arial" w:hAnsi="Arial" w:cs="Arial"/>
              </w:rPr>
              <w:t>Poisson Regression versus Negative Binomial</w:t>
            </w:r>
          </w:p>
        </w:tc>
        <w:tc>
          <w:tcPr>
            <w:tcW w:w="1980" w:type="dxa"/>
            <w:tcBorders>
              <w:top w:val="single" w:sz="4" w:space="0" w:color="auto"/>
            </w:tcBorders>
          </w:tcPr>
          <w:p w14:paraId="2D5C70B7" w14:textId="77777777" w:rsidR="00F86B78" w:rsidRPr="00756351" w:rsidRDefault="00F86B78" w:rsidP="007C37C3">
            <w:pPr>
              <w:rPr>
                <w:rFonts w:ascii="Arial" w:hAnsi="Arial" w:cs="Arial"/>
              </w:rPr>
            </w:pPr>
            <w:r w:rsidRPr="00756351">
              <w:rPr>
                <w:rFonts w:ascii="Arial" w:hAnsi="Arial" w:cs="Arial"/>
              </w:rPr>
              <w:t>12.34</w:t>
            </w:r>
          </w:p>
        </w:tc>
        <w:tc>
          <w:tcPr>
            <w:tcW w:w="1800" w:type="dxa"/>
            <w:tcBorders>
              <w:top w:val="single" w:sz="4" w:space="0" w:color="auto"/>
            </w:tcBorders>
          </w:tcPr>
          <w:p w14:paraId="4E5CE54F" w14:textId="77777777" w:rsidR="00F86B78" w:rsidRPr="00756351" w:rsidRDefault="00F86B78" w:rsidP="007C37C3">
            <w:pPr>
              <w:rPr>
                <w:rFonts w:ascii="Arial" w:hAnsi="Arial" w:cs="Arial"/>
              </w:rPr>
            </w:pPr>
            <w:r w:rsidRPr="00756351">
              <w:rPr>
                <w:rFonts w:ascii="Arial" w:hAnsi="Arial" w:cs="Arial"/>
              </w:rPr>
              <w:t>0.0004</w:t>
            </w:r>
          </w:p>
        </w:tc>
      </w:tr>
      <w:tr w:rsidR="00F86B78" w:rsidRPr="00756351" w14:paraId="395EE328" w14:textId="77777777" w:rsidTr="007C37C3">
        <w:tc>
          <w:tcPr>
            <w:tcW w:w="5418" w:type="dxa"/>
          </w:tcPr>
          <w:p w14:paraId="176A9814" w14:textId="77777777" w:rsidR="00F86B78" w:rsidRPr="00756351" w:rsidRDefault="00F86B78" w:rsidP="007C37C3">
            <w:pPr>
              <w:rPr>
                <w:rFonts w:ascii="Arial" w:hAnsi="Arial" w:cs="Arial"/>
              </w:rPr>
            </w:pPr>
            <w:r w:rsidRPr="00756351">
              <w:rPr>
                <w:rFonts w:ascii="Arial" w:hAnsi="Arial" w:cs="Arial"/>
              </w:rPr>
              <w:t>Poisson versus Generalized Poisson</w:t>
            </w:r>
          </w:p>
        </w:tc>
        <w:tc>
          <w:tcPr>
            <w:tcW w:w="1980" w:type="dxa"/>
          </w:tcPr>
          <w:p w14:paraId="6F58FD2C" w14:textId="77777777" w:rsidR="00F86B78" w:rsidRPr="00756351" w:rsidRDefault="00F86B78" w:rsidP="007C37C3">
            <w:pPr>
              <w:rPr>
                <w:rFonts w:ascii="Arial" w:hAnsi="Arial" w:cs="Arial"/>
              </w:rPr>
            </w:pPr>
            <w:r w:rsidRPr="00756351">
              <w:rPr>
                <w:rFonts w:ascii="Arial" w:hAnsi="Arial" w:cs="Arial"/>
              </w:rPr>
              <w:t>9.78</w:t>
            </w:r>
          </w:p>
        </w:tc>
        <w:tc>
          <w:tcPr>
            <w:tcW w:w="1800" w:type="dxa"/>
          </w:tcPr>
          <w:p w14:paraId="43F56CE2" w14:textId="77777777" w:rsidR="00F86B78" w:rsidRPr="00756351" w:rsidRDefault="00F86B78" w:rsidP="007C37C3">
            <w:pPr>
              <w:rPr>
                <w:rFonts w:ascii="Arial" w:hAnsi="Arial" w:cs="Arial"/>
              </w:rPr>
            </w:pPr>
            <w:r w:rsidRPr="00756351">
              <w:rPr>
                <w:rFonts w:ascii="Arial" w:hAnsi="Arial" w:cs="Arial"/>
              </w:rPr>
              <w:t>0.0020</w:t>
            </w:r>
          </w:p>
        </w:tc>
      </w:tr>
      <w:tr w:rsidR="00F86B78" w:rsidRPr="00756351" w14:paraId="6CE2FACB" w14:textId="77777777" w:rsidTr="007C37C3">
        <w:tc>
          <w:tcPr>
            <w:tcW w:w="5418" w:type="dxa"/>
          </w:tcPr>
          <w:p w14:paraId="083D5332" w14:textId="77777777" w:rsidR="00F86B78" w:rsidRPr="00756351" w:rsidRDefault="00F86B78" w:rsidP="007C37C3">
            <w:pPr>
              <w:rPr>
                <w:rFonts w:ascii="Arial" w:hAnsi="Arial" w:cs="Arial"/>
              </w:rPr>
            </w:pPr>
            <w:r w:rsidRPr="00756351">
              <w:rPr>
                <w:rFonts w:ascii="Arial" w:hAnsi="Arial" w:cs="Arial"/>
              </w:rPr>
              <w:t>Negative Binomial versus Generalized Poisson</w:t>
            </w:r>
          </w:p>
        </w:tc>
        <w:tc>
          <w:tcPr>
            <w:tcW w:w="1980" w:type="dxa"/>
          </w:tcPr>
          <w:p w14:paraId="33AD5A97" w14:textId="77777777" w:rsidR="00F86B78" w:rsidRPr="00756351" w:rsidRDefault="00F86B78" w:rsidP="007C37C3">
            <w:pPr>
              <w:rPr>
                <w:rFonts w:ascii="Arial" w:hAnsi="Arial" w:cs="Arial"/>
              </w:rPr>
            </w:pPr>
            <w:r w:rsidRPr="00756351">
              <w:rPr>
                <w:rFonts w:ascii="Arial" w:hAnsi="Arial" w:cs="Arial"/>
              </w:rPr>
              <w:t>1.45</w:t>
            </w:r>
          </w:p>
        </w:tc>
        <w:tc>
          <w:tcPr>
            <w:tcW w:w="1800" w:type="dxa"/>
          </w:tcPr>
          <w:p w14:paraId="1C7919E4" w14:textId="77777777" w:rsidR="00F86B78" w:rsidRPr="00756351" w:rsidRDefault="00F86B78" w:rsidP="007C37C3">
            <w:pPr>
              <w:rPr>
                <w:rFonts w:ascii="Arial" w:hAnsi="Arial" w:cs="Arial"/>
              </w:rPr>
            </w:pPr>
            <w:r w:rsidRPr="00756351">
              <w:rPr>
                <w:rFonts w:ascii="Arial" w:hAnsi="Arial" w:cs="Arial"/>
              </w:rPr>
              <w:t>0.2280</w:t>
            </w:r>
          </w:p>
        </w:tc>
      </w:tr>
    </w:tbl>
    <w:p w14:paraId="5ABC3C13" w14:textId="77777777" w:rsidR="00F86B78" w:rsidRPr="005B1D45" w:rsidRDefault="00F86B78" w:rsidP="00F86B78">
      <w:pPr>
        <w:spacing w:before="100" w:beforeAutospacing="1"/>
        <w:jc w:val="both"/>
        <w:rPr>
          <w:rFonts w:ascii="Arial" w:hAnsi="Arial" w:cs="Arial"/>
        </w:rPr>
      </w:pPr>
      <w:r w:rsidRPr="005B1D45">
        <w:rPr>
          <w:rFonts w:ascii="Arial" w:hAnsi="Arial" w:cs="Arial"/>
        </w:rPr>
        <w:t>The Omnibus test of diabetic cases in Benue state for Poisson, Negative Binomial, and Generalized Poisson regression models presented in Table 2 reveals that for Poisson regression versus Negative Binomial regression and Poisson versus Generalized Poisson, we test if the Negative Binomial model and Generalized Poisson, which include over-dispersion parameters, fit the data better than the Poisson model. A significant result here (</w:t>
      </w:r>
      <m:oMath>
        <m:r>
          <w:rPr>
            <w:rFonts w:ascii="Cambria Math" w:hAnsi="Cambria Math" w:cs="Arial"/>
          </w:rPr>
          <m:t>p&lt;0.05</m:t>
        </m:r>
      </m:oMath>
      <w:r w:rsidRPr="005B1D45">
        <w:rPr>
          <w:rFonts w:ascii="Arial" w:hAnsi="Arial" w:cs="Arial"/>
        </w:rPr>
        <w:t xml:space="preserve">) suggests that the data has more variability than Poisson can explain. The high LR statistics and low p-values here indicate that the more complex models (i.e., Negative Binomial regression and Generalized Poisson) are significantly better at explaining the data than the simpler model (i.e., Poisson Regression model). In other words, Poisson regression versus Negative Binomial regression and Poisson versus Generalized Poisson give </w:t>
      </w:r>
      <m:oMath>
        <m:r>
          <w:rPr>
            <w:rFonts w:ascii="Cambria Math" w:hAnsi="Cambria Math" w:cs="Arial"/>
          </w:rPr>
          <m:t>p&lt;0.05</m:t>
        </m:r>
      </m:oMath>
      <w:r w:rsidRPr="005B1D45">
        <w:rPr>
          <w:rFonts w:ascii="Arial" w:hAnsi="Arial" w:cs="Arial"/>
        </w:rPr>
        <w:t xml:space="preserve"> indicating that the Negative Binomial and Generalized Poisson models fit the data significantly better, suggesting over-dispersion in the data that the Poisson model misses. The Generalized Poisson can handle both over-dispersion and under-dispersion. If this model fits significantly better than the Poisson, it suggests the data’s dispersion is not well accounted for by the Poisson model.</w:t>
      </w:r>
    </w:p>
    <w:p w14:paraId="02598856" w14:textId="77777777" w:rsidR="00F86B78" w:rsidRPr="005B1D45" w:rsidRDefault="00F86B78" w:rsidP="00F86B78">
      <w:pPr>
        <w:spacing w:before="100" w:beforeAutospacing="1"/>
        <w:jc w:val="both"/>
        <w:rPr>
          <w:rFonts w:ascii="Arial" w:hAnsi="Arial" w:cs="Arial"/>
        </w:rPr>
      </w:pPr>
      <w:r w:rsidRPr="005B1D45">
        <w:rPr>
          <w:rFonts w:ascii="Arial" w:hAnsi="Arial" w:cs="Arial"/>
        </w:rPr>
        <w:t>For Negative Binomial versus Generalized Poisson, if this comparison was significant, the Generalized Poisson would have been better in capturing the specific type of dispersion in the data than the Negative Binomial. However, the low LR statistic value and high p-value here (</w:t>
      </w:r>
      <m:oMath>
        <m:r>
          <w:rPr>
            <w:rFonts w:ascii="Cambria Math" w:hAnsi="Cambria Math" w:cs="Arial"/>
          </w:rPr>
          <m:t>p&gt;0.05</m:t>
        </m:r>
      </m:oMath>
      <w:r w:rsidRPr="005B1D45">
        <w:rPr>
          <w:rFonts w:ascii="Arial" w:hAnsi="Arial" w:cs="Arial"/>
        </w:rPr>
        <w:t xml:space="preserve">) indicates that there is no significant improvement in fit with the more complex model (i.e., Generalized Poisson), indicating that the simpler model (i.e., Negative Binomial regression) might be sufficient. In other words, Negative Binomial versus Generalized Poisson gives </w:t>
      </w:r>
      <m:oMath>
        <m:r>
          <w:rPr>
            <w:rFonts w:ascii="Cambria Math" w:hAnsi="Cambria Math" w:cs="Arial"/>
          </w:rPr>
          <m:t>p&gt;0.05</m:t>
        </m:r>
      </m:oMath>
      <w:r w:rsidRPr="005B1D45">
        <w:rPr>
          <w:rFonts w:ascii="Arial" w:hAnsi="Arial" w:cs="Arial"/>
        </w:rPr>
        <w:t xml:space="preserve"> indicating that no significant fit improvement with the Generalized Poisson, suggesting that the Negative Binomial model sufficiently captures the dispersion pattern.</w:t>
      </w:r>
    </w:p>
    <w:p w14:paraId="3FD00024" w14:textId="77777777" w:rsidR="00F86B78" w:rsidRPr="005B1D45" w:rsidRDefault="00756351" w:rsidP="00F86B78">
      <w:pPr>
        <w:spacing w:before="240"/>
        <w:jc w:val="both"/>
        <w:rPr>
          <w:rFonts w:ascii="Arial" w:hAnsi="Arial" w:cs="Arial"/>
          <w:b/>
        </w:rPr>
      </w:pPr>
      <w:r>
        <w:rPr>
          <w:rFonts w:ascii="Arial" w:hAnsi="Arial" w:cs="Arial"/>
          <w:b/>
        </w:rPr>
        <w:t>3</w:t>
      </w:r>
      <w:r w:rsidR="00F86B78" w:rsidRPr="005B1D45">
        <w:rPr>
          <w:rFonts w:ascii="Arial" w:hAnsi="Arial" w:cs="Arial"/>
          <w:b/>
        </w:rPr>
        <w:t>.4 Test of multicollinearity for Diabetes Mellitus Cases in Benue State</w:t>
      </w:r>
    </w:p>
    <w:p w14:paraId="29A24810" w14:textId="77777777" w:rsidR="00F86B78" w:rsidRPr="005B1D45" w:rsidRDefault="00F86B78" w:rsidP="00F86B78">
      <w:pPr>
        <w:jc w:val="both"/>
        <w:rPr>
          <w:rFonts w:ascii="Arial" w:hAnsi="Arial" w:cs="Arial"/>
        </w:rPr>
      </w:pPr>
      <w:r w:rsidRPr="005B1D45">
        <w:rPr>
          <w:rFonts w:ascii="Arial" w:hAnsi="Arial" w:cs="Arial"/>
        </w:rPr>
        <w:t>As a preliminary step for estimating parameters of diabetes mellitus cases in Benue State, a multicollinearity test was conducted. This involved calculating the Variance Inflation Factor (VIF) for each predictor variable, with a VIF value exceeding 10 indicating the presence of multicollinearity. The calculated VIF values for each predictor are summarized in Table 3.</w:t>
      </w:r>
    </w:p>
    <w:p w14:paraId="51B35644" w14:textId="77777777" w:rsidR="00F86B78" w:rsidRPr="005B1D45" w:rsidRDefault="00F86B78" w:rsidP="00F86B78">
      <w:pPr>
        <w:jc w:val="both"/>
        <w:rPr>
          <w:rFonts w:ascii="Arial" w:hAnsi="Arial" w:cs="Arial"/>
          <w:b/>
        </w:rPr>
      </w:pPr>
      <w:r w:rsidRPr="005B1D45">
        <w:rPr>
          <w:rFonts w:ascii="Arial" w:hAnsi="Arial" w:cs="Arial"/>
          <w:b/>
        </w:rPr>
        <w:t>Table 3: Variance Inflation Factors (VIF) of the Predictor Variables</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788"/>
        <w:gridCol w:w="2710"/>
        <w:gridCol w:w="2710"/>
      </w:tblGrid>
      <w:tr w:rsidR="00F86B78" w:rsidRPr="005B1D45" w14:paraId="711CF16E" w14:textId="77777777" w:rsidTr="007C37C3">
        <w:tc>
          <w:tcPr>
            <w:tcW w:w="3192" w:type="dxa"/>
            <w:tcBorders>
              <w:top w:val="single" w:sz="4" w:space="0" w:color="auto"/>
              <w:bottom w:val="single" w:sz="4" w:space="0" w:color="auto"/>
            </w:tcBorders>
          </w:tcPr>
          <w:p w14:paraId="68016157" w14:textId="77777777" w:rsidR="00F86B78" w:rsidRPr="005B1D45" w:rsidRDefault="00F86B78" w:rsidP="007C37C3">
            <w:pPr>
              <w:rPr>
                <w:rFonts w:ascii="Arial" w:hAnsi="Arial" w:cs="Arial"/>
                <w:b/>
              </w:rPr>
            </w:pPr>
            <w:r w:rsidRPr="005B1D45">
              <w:rPr>
                <w:rFonts w:ascii="Arial" w:hAnsi="Arial" w:cs="Arial"/>
                <w:b/>
              </w:rPr>
              <w:t xml:space="preserve">Predictors </w:t>
            </w:r>
          </w:p>
        </w:tc>
        <w:tc>
          <w:tcPr>
            <w:tcW w:w="3192" w:type="dxa"/>
            <w:tcBorders>
              <w:top w:val="single" w:sz="4" w:space="0" w:color="auto"/>
              <w:bottom w:val="single" w:sz="4" w:space="0" w:color="auto"/>
            </w:tcBorders>
          </w:tcPr>
          <w:p w14:paraId="1800435D" w14:textId="77777777" w:rsidR="00F86B78" w:rsidRPr="005B1D45" w:rsidRDefault="00F86B78" w:rsidP="007C37C3">
            <w:pPr>
              <w:rPr>
                <w:rFonts w:ascii="Arial" w:hAnsi="Arial" w:cs="Arial"/>
                <w:b/>
              </w:rPr>
            </w:pPr>
            <w:r w:rsidRPr="005B1D45">
              <w:rPr>
                <w:rFonts w:ascii="Arial" w:hAnsi="Arial" w:cs="Arial"/>
                <w:b/>
              </w:rPr>
              <w:t>VIF</w:t>
            </w:r>
          </w:p>
        </w:tc>
        <w:tc>
          <w:tcPr>
            <w:tcW w:w="3192" w:type="dxa"/>
            <w:tcBorders>
              <w:top w:val="single" w:sz="4" w:space="0" w:color="auto"/>
              <w:bottom w:val="single" w:sz="4" w:space="0" w:color="auto"/>
            </w:tcBorders>
          </w:tcPr>
          <w:p w14:paraId="5D250AD2" w14:textId="77777777" w:rsidR="00F86B78" w:rsidRPr="005B1D45" w:rsidRDefault="00F86B78" w:rsidP="007C37C3">
            <w:pPr>
              <w:rPr>
                <w:rFonts w:ascii="Arial" w:hAnsi="Arial" w:cs="Arial"/>
                <w:b/>
              </w:rPr>
            </w:pPr>
            <w:r w:rsidRPr="005B1D45">
              <w:rPr>
                <w:rFonts w:ascii="Arial" w:hAnsi="Arial" w:cs="Arial"/>
                <w:b/>
              </w:rPr>
              <w:t>1/VIF</w:t>
            </w:r>
          </w:p>
        </w:tc>
      </w:tr>
      <w:tr w:rsidR="00F86B78" w:rsidRPr="005B1D45" w14:paraId="39C24F02" w14:textId="77777777" w:rsidTr="007C37C3">
        <w:tc>
          <w:tcPr>
            <w:tcW w:w="3192" w:type="dxa"/>
            <w:tcBorders>
              <w:top w:val="single" w:sz="4" w:space="0" w:color="auto"/>
            </w:tcBorders>
          </w:tcPr>
          <w:p w14:paraId="7E66EC50" w14:textId="77777777" w:rsidR="00F86B78" w:rsidRPr="005B1D45" w:rsidRDefault="00F86B78" w:rsidP="007C37C3">
            <w:pPr>
              <w:rPr>
                <w:rFonts w:ascii="Arial" w:hAnsi="Arial" w:cs="Arial"/>
              </w:rPr>
            </w:pPr>
            <w:r w:rsidRPr="005B1D45">
              <w:rPr>
                <w:rFonts w:ascii="Arial" w:hAnsi="Arial" w:cs="Arial"/>
              </w:rPr>
              <w:t xml:space="preserve">Confirmed Cases </w:t>
            </w:r>
            <m:oMath>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1</m:t>
                  </m:r>
                </m:sub>
              </m:sSub>
              <m:r>
                <w:rPr>
                  <w:rFonts w:ascii="Cambria Math" w:hAnsi="Cambria Math" w:cs="Arial"/>
                </w:rPr>
                <m:t>)</m:t>
              </m:r>
            </m:oMath>
          </w:p>
        </w:tc>
        <w:tc>
          <w:tcPr>
            <w:tcW w:w="3192" w:type="dxa"/>
            <w:tcBorders>
              <w:top w:val="single" w:sz="4" w:space="0" w:color="auto"/>
            </w:tcBorders>
          </w:tcPr>
          <w:p w14:paraId="4D84B3DF" w14:textId="77777777" w:rsidR="00F86B78" w:rsidRPr="005B1D45" w:rsidRDefault="00F86B78" w:rsidP="007C37C3">
            <w:pPr>
              <w:rPr>
                <w:rFonts w:ascii="Arial" w:hAnsi="Arial" w:cs="Arial"/>
              </w:rPr>
            </w:pPr>
            <w:r w:rsidRPr="005B1D45">
              <w:rPr>
                <w:rFonts w:ascii="Arial" w:hAnsi="Arial" w:cs="Arial"/>
              </w:rPr>
              <w:t>2.30</w:t>
            </w:r>
          </w:p>
        </w:tc>
        <w:tc>
          <w:tcPr>
            <w:tcW w:w="3192" w:type="dxa"/>
            <w:tcBorders>
              <w:top w:val="single" w:sz="4" w:space="0" w:color="auto"/>
            </w:tcBorders>
          </w:tcPr>
          <w:p w14:paraId="76F540C2" w14:textId="77777777" w:rsidR="00F86B78" w:rsidRPr="005B1D45" w:rsidRDefault="00F86B78" w:rsidP="007C37C3">
            <w:pPr>
              <w:rPr>
                <w:rFonts w:ascii="Arial" w:hAnsi="Arial" w:cs="Arial"/>
              </w:rPr>
            </w:pPr>
            <w:r w:rsidRPr="005B1D45">
              <w:rPr>
                <w:rFonts w:ascii="Arial" w:hAnsi="Arial" w:cs="Arial"/>
              </w:rPr>
              <w:t>0.4348</w:t>
            </w:r>
          </w:p>
        </w:tc>
      </w:tr>
      <w:tr w:rsidR="00F86B78" w:rsidRPr="005B1D45" w14:paraId="35D2F7D2" w14:textId="77777777" w:rsidTr="007C37C3">
        <w:tc>
          <w:tcPr>
            <w:tcW w:w="3192" w:type="dxa"/>
          </w:tcPr>
          <w:p w14:paraId="6E5DD55E" w14:textId="77777777" w:rsidR="00F86B78" w:rsidRPr="005B1D45" w:rsidRDefault="00F86B78" w:rsidP="007C37C3">
            <w:pPr>
              <w:rPr>
                <w:rFonts w:ascii="Arial" w:hAnsi="Arial" w:cs="Arial"/>
              </w:rPr>
            </w:pPr>
            <w:r w:rsidRPr="005B1D45">
              <w:rPr>
                <w:rFonts w:ascii="Arial" w:hAnsi="Arial" w:cs="Arial"/>
              </w:rPr>
              <w:t xml:space="preserve">Active Cases </w:t>
            </w:r>
            <m:oMath>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2</m:t>
                  </m:r>
                </m:sub>
              </m:sSub>
              <m:r>
                <w:rPr>
                  <w:rFonts w:ascii="Cambria Math" w:hAnsi="Cambria Math" w:cs="Arial"/>
                </w:rPr>
                <m:t>)</m:t>
              </m:r>
            </m:oMath>
          </w:p>
        </w:tc>
        <w:tc>
          <w:tcPr>
            <w:tcW w:w="3192" w:type="dxa"/>
          </w:tcPr>
          <w:p w14:paraId="20CF6898" w14:textId="77777777" w:rsidR="00F86B78" w:rsidRPr="005B1D45" w:rsidRDefault="00F86B78" w:rsidP="007C37C3">
            <w:pPr>
              <w:rPr>
                <w:rFonts w:ascii="Arial" w:hAnsi="Arial" w:cs="Arial"/>
              </w:rPr>
            </w:pPr>
            <w:r w:rsidRPr="005B1D45">
              <w:rPr>
                <w:rFonts w:ascii="Arial" w:hAnsi="Arial" w:cs="Arial"/>
              </w:rPr>
              <w:t>1.80</w:t>
            </w:r>
          </w:p>
        </w:tc>
        <w:tc>
          <w:tcPr>
            <w:tcW w:w="3192" w:type="dxa"/>
          </w:tcPr>
          <w:p w14:paraId="4FEC42FE" w14:textId="77777777" w:rsidR="00F86B78" w:rsidRPr="005B1D45" w:rsidRDefault="00F86B78" w:rsidP="007C37C3">
            <w:pPr>
              <w:rPr>
                <w:rFonts w:ascii="Arial" w:hAnsi="Arial" w:cs="Arial"/>
              </w:rPr>
            </w:pPr>
            <w:r w:rsidRPr="005B1D45">
              <w:rPr>
                <w:rFonts w:ascii="Arial" w:hAnsi="Arial" w:cs="Arial"/>
              </w:rPr>
              <w:t>0.5556</w:t>
            </w:r>
          </w:p>
        </w:tc>
      </w:tr>
      <w:tr w:rsidR="00F86B78" w:rsidRPr="005B1D45" w14:paraId="04A5776C" w14:textId="77777777" w:rsidTr="007C37C3">
        <w:tc>
          <w:tcPr>
            <w:tcW w:w="3192" w:type="dxa"/>
          </w:tcPr>
          <w:p w14:paraId="7979FC31" w14:textId="77777777" w:rsidR="00F86B78" w:rsidRPr="005B1D45" w:rsidRDefault="00F86B78" w:rsidP="007C37C3">
            <w:pPr>
              <w:rPr>
                <w:rFonts w:ascii="Arial" w:hAnsi="Arial" w:cs="Arial"/>
              </w:rPr>
            </w:pPr>
            <w:r w:rsidRPr="005B1D45">
              <w:rPr>
                <w:rFonts w:ascii="Arial" w:hAnsi="Arial" w:cs="Arial"/>
              </w:rPr>
              <w:t xml:space="preserve">Severe Cases </w:t>
            </w:r>
            <m:oMath>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3</m:t>
                  </m:r>
                </m:sub>
              </m:sSub>
              <m:r>
                <w:rPr>
                  <w:rFonts w:ascii="Cambria Math" w:hAnsi="Cambria Math" w:cs="Arial"/>
                </w:rPr>
                <m:t>)</m:t>
              </m:r>
            </m:oMath>
          </w:p>
        </w:tc>
        <w:tc>
          <w:tcPr>
            <w:tcW w:w="3192" w:type="dxa"/>
          </w:tcPr>
          <w:p w14:paraId="57CCD9E3" w14:textId="77777777" w:rsidR="00F86B78" w:rsidRPr="005B1D45" w:rsidRDefault="00F86B78" w:rsidP="007C37C3">
            <w:pPr>
              <w:rPr>
                <w:rFonts w:ascii="Arial" w:hAnsi="Arial" w:cs="Arial"/>
              </w:rPr>
            </w:pPr>
            <w:r w:rsidRPr="005B1D45">
              <w:rPr>
                <w:rFonts w:ascii="Arial" w:hAnsi="Arial" w:cs="Arial"/>
              </w:rPr>
              <w:t>2.10</w:t>
            </w:r>
          </w:p>
        </w:tc>
        <w:tc>
          <w:tcPr>
            <w:tcW w:w="3192" w:type="dxa"/>
          </w:tcPr>
          <w:p w14:paraId="68CFBD7E" w14:textId="77777777" w:rsidR="00F86B78" w:rsidRPr="005B1D45" w:rsidRDefault="00F86B78" w:rsidP="007C37C3">
            <w:pPr>
              <w:rPr>
                <w:rFonts w:ascii="Arial" w:hAnsi="Arial" w:cs="Arial"/>
              </w:rPr>
            </w:pPr>
            <w:r w:rsidRPr="005B1D45">
              <w:rPr>
                <w:rFonts w:ascii="Arial" w:hAnsi="Arial" w:cs="Arial"/>
              </w:rPr>
              <w:t>0.4762</w:t>
            </w:r>
          </w:p>
        </w:tc>
      </w:tr>
      <w:tr w:rsidR="00F86B78" w:rsidRPr="005B1D45" w14:paraId="10A9C77F" w14:textId="77777777" w:rsidTr="007C37C3">
        <w:tc>
          <w:tcPr>
            <w:tcW w:w="3192" w:type="dxa"/>
          </w:tcPr>
          <w:p w14:paraId="5AE32C3F" w14:textId="77777777" w:rsidR="00F86B78" w:rsidRPr="005B1D45" w:rsidRDefault="00F86B78" w:rsidP="007C37C3">
            <w:pPr>
              <w:rPr>
                <w:rFonts w:ascii="Arial" w:hAnsi="Arial" w:cs="Arial"/>
              </w:rPr>
            </w:pPr>
            <w:r w:rsidRPr="005B1D45">
              <w:rPr>
                <w:rFonts w:ascii="Arial" w:hAnsi="Arial" w:cs="Arial"/>
              </w:rPr>
              <w:t xml:space="preserve">Mean </w:t>
            </w:r>
          </w:p>
        </w:tc>
        <w:tc>
          <w:tcPr>
            <w:tcW w:w="3192" w:type="dxa"/>
          </w:tcPr>
          <w:p w14:paraId="582547B3" w14:textId="77777777" w:rsidR="00F86B78" w:rsidRPr="005B1D45" w:rsidRDefault="00F86B78" w:rsidP="007C37C3">
            <w:pPr>
              <w:rPr>
                <w:rFonts w:ascii="Arial" w:hAnsi="Arial" w:cs="Arial"/>
              </w:rPr>
            </w:pPr>
            <w:r w:rsidRPr="005B1D45">
              <w:rPr>
                <w:rFonts w:ascii="Arial" w:hAnsi="Arial" w:cs="Arial"/>
              </w:rPr>
              <w:t>2.0667</w:t>
            </w:r>
          </w:p>
        </w:tc>
        <w:tc>
          <w:tcPr>
            <w:tcW w:w="3192" w:type="dxa"/>
          </w:tcPr>
          <w:p w14:paraId="293C7D90" w14:textId="77777777" w:rsidR="00F86B78" w:rsidRPr="005B1D45" w:rsidRDefault="00F86B78" w:rsidP="007C37C3">
            <w:pPr>
              <w:rPr>
                <w:rFonts w:ascii="Arial" w:hAnsi="Arial" w:cs="Arial"/>
              </w:rPr>
            </w:pPr>
          </w:p>
        </w:tc>
      </w:tr>
    </w:tbl>
    <w:p w14:paraId="5C56FFDE" w14:textId="77777777" w:rsidR="00F86B78" w:rsidRPr="005B1D45" w:rsidRDefault="00F86B78" w:rsidP="00F86B78">
      <w:pPr>
        <w:jc w:val="both"/>
        <w:rPr>
          <w:rFonts w:ascii="Arial" w:hAnsi="Arial" w:cs="Arial"/>
        </w:rPr>
      </w:pPr>
      <w:r w:rsidRPr="005B1D45">
        <w:rPr>
          <w:rFonts w:ascii="Arial" w:hAnsi="Arial" w:cs="Arial"/>
        </w:rPr>
        <w:t xml:space="preserve">The multicollinearity test results presented in Table 3 indicate that all predictor variables have Variance Inflation Factor (VIF) values below the threshold of 10. This outcome suggests that </w:t>
      </w:r>
      <w:r w:rsidRPr="005B1D45">
        <w:rPr>
          <w:rFonts w:ascii="Arial" w:hAnsi="Arial" w:cs="Arial"/>
        </w:rPr>
        <w:lastRenderedPageBreak/>
        <w:t>there is no significant multicollinearity among the variables, allowing each to be reliably included in further analyses without the risk of inflated standard errors or unreliable coefficient estimates. Therefore, all variables can be retained in the model, enhancing the robustness and interpretability of subsequent findings.</w:t>
      </w:r>
    </w:p>
    <w:p w14:paraId="10A2D259" w14:textId="77777777" w:rsidR="00F86B78" w:rsidRPr="005B1D45" w:rsidRDefault="00756351" w:rsidP="00F86B78">
      <w:pPr>
        <w:jc w:val="both"/>
        <w:rPr>
          <w:rFonts w:ascii="Arial" w:hAnsi="Arial" w:cs="Arial"/>
          <w:b/>
        </w:rPr>
      </w:pPr>
      <w:r>
        <w:rPr>
          <w:rFonts w:ascii="Arial" w:hAnsi="Arial" w:cs="Arial"/>
          <w:b/>
        </w:rPr>
        <w:t>3</w:t>
      </w:r>
      <w:r w:rsidR="00F86B78" w:rsidRPr="005B1D45">
        <w:rPr>
          <w:rFonts w:ascii="Arial" w:hAnsi="Arial" w:cs="Arial"/>
          <w:b/>
        </w:rPr>
        <w:t xml:space="preserve">.5 Modeling Diabetes Mellitus Cases in Benue State Using Count Data Regression Models </w:t>
      </w:r>
    </w:p>
    <w:p w14:paraId="516C6CFC" w14:textId="77777777" w:rsidR="00F86B78" w:rsidRPr="005B1D45" w:rsidRDefault="00F86B78" w:rsidP="00F86B78">
      <w:pPr>
        <w:jc w:val="both"/>
        <w:rPr>
          <w:rFonts w:ascii="Arial" w:hAnsi="Arial" w:cs="Arial"/>
        </w:rPr>
      </w:pPr>
      <w:r w:rsidRPr="005B1D45">
        <w:rPr>
          <w:rFonts w:ascii="Arial" w:hAnsi="Arial" w:cs="Arial"/>
        </w:rPr>
        <w:t>To identify factors influencing the number of diabetes-related deaths in Benue state, a family of count data regression models: Poisson regression (PR) model Negative Binomial Regression (NBR) and Generalized Poisson Regression (GPR) was applied. Parameter estimates for these models were obtained using the Maximum Likelihood Estimation (MLE) method, with results presented in Table 4.</w:t>
      </w:r>
    </w:p>
    <w:p w14:paraId="479DD26B" w14:textId="77777777" w:rsidR="00F86B78" w:rsidRPr="005B1D45" w:rsidRDefault="00F86B78" w:rsidP="00F86B78">
      <w:pPr>
        <w:jc w:val="both"/>
        <w:rPr>
          <w:rFonts w:ascii="Arial" w:hAnsi="Arial" w:cs="Arial"/>
        </w:rPr>
      </w:pPr>
      <w:r w:rsidRPr="005B1D45">
        <w:rPr>
          <w:rFonts w:ascii="Arial" w:hAnsi="Arial" w:cs="Arial"/>
          <w:b/>
        </w:rPr>
        <w:t>Table 4: Parameter Estimates of</w:t>
      </w:r>
      <w:r w:rsidRPr="005B1D45">
        <w:rPr>
          <w:rFonts w:ascii="Arial" w:hAnsi="Arial" w:cs="Arial"/>
        </w:rPr>
        <w:t xml:space="preserve"> </w:t>
      </w:r>
      <w:r w:rsidRPr="005B1D45">
        <w:rPr>
          <w:rFonts w:ascii="Arial" w:hAnsi="Arial" w:cs="Arial"/>
          <w:b/>
        </w:rPr>
        <w:t>Count Data Regression Models</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398"/>
        <w:gridCol w:w="1453"/>
        <w:gridCol w:w="1127"/>
        <w:gridCol w:w="1250"/>
        <w:gridCol w:w="965"/>
        <w:gridCol w:w="1077"/>
        <w:gridCol w:w="938"/>
      </w:tblGrid>
      <w:tr w:rsidR="00F86B78" w:rsidRPr="005B1D45" w14:paraId="37C6BDAE" w14:textId="77777777" w:rsidTr="007C37C3">
        <w:tc>
          <w:tcPr>
            <w:tcW w:w="1478" w:type="dxa"/>
            <w:vMerge w:val="restart"/>
            <w:tcBorders>
              <w:top w:val="single" w:sz="4" w:space="0" w:color="auto"/>
              <w:bottom w:val="nil"/>
            </w:tcBorders>
          </w:tcPr>
          <w:p w14:paraId="0C9E28AB" w14:textId="77777777" w:rsidR="00F86B78" w:rsidRPr="005B1D45" w:rsidRDefault="00F86B78" w:rsidP="007C37C3">
            <w:pPr>
              <w:jc w:val="both"/>
              <w:rPr>
                <w:rFonts w:ascii="Arial" w:hAnsi="Arial" w:cs="Arial"/>
                <w:b/>
              </w:rPr>
            </w:pPr>
            <w:r w:rsidRPr="005B1D45">
              <w:rPr>
                <w:rFonts w:ascii="Arial" w:hAnsi="Arial" w:cs="Arial"/>
                <w:b/>
              </w:rPr>
              <w:t xml:space="preserve">Parameter </w:t>
            </w:r>
          </w:p>
        </w:tc>
        <w:tc>
          <w:tcPr>
            <w:tcW w:w="1533" w:type="dxa"/>
            <w:vMerge w:val="restart"/>
            <w:tcBorders>
              <w:top w:val="single" w:sz="4" w:space="0" w:color="auto"/>
              <w:bottom w:val="nil"/>
            </w:tcBorders>
          </w:tcPr>
          <w:p w14:paraId="2A8ADAC6" w14:textId="77777777" w:rsidR="00F86B78" w:rsidRPr="005B1D45" w:rsidRDefault="00F86B78" w:rsidP="007C37C3">
            <w:pPr>
              <w:jc w:val="both"/>
              <w:rPr>
                <w:rFonts w:ascii="Arial" w:hAnsi="Arial" w:cs="Arial"/>
                <w:b/>
              </w:rPr>
            </w:pPr>
            <w:r w:rsidRPr="005B1D45">
              <w:rPr>
                <w:rFonts w:ascii="Arial" w:hAnsi="Arial" w:cs="Arial"/>
                <w:b/>
              </w:rPr>
              <w:t xml:space="preserve">Coefficient </w:t>
            </w:r>
          </w:p>
        </w:tc>
        <w:tc>
          <w:tcPr>
            <w:tcW w:w="1245" w:type="dxa"/>
            <w:vMerge w:val="restart"/>
            <w:tcBorders>
              <w:top w:val="single" w:sz="4" w:space="0" w:color="auto"/>
              <w:bottom w:val="nil"/>
            </w:tcBorders>
          </w:tcPr>
          <w:p w14:paraId="2BF7AFAE" w14:textId="77777777" w:rsidR="00F86B78" w:rsidRPr="005B1D45" w:rsidRDefault="00F86B78" w:rsidP="007C37C3">
            <w:pPr>
              <w:jc w:val="both"/>
              <w:rPr>
                <w:rFonts w:ascii="Arial" w:hAnsi="Arial" w:cs="Arial"/>
                <w:b/>
              </w:rPr>
            </w:pPr>
            <w:r w:rsidRPr="005B1D45">
              <w:rPr>
                <w:rFonts w:ascii="Arial" w:hAnsi="Arial" w:cs="Arial"/>
                <w:b/>
              </w:rPr>
              <w:t>Std. Error</w:t>
            </w:r>
          </w:p>
        </w:tc>
        <w:tc>
          <w:tcPr>
            <w:tcW w:w="1360" w:type="dxa"/>
            <w:vMerge w:val="restart"/>
            <w:tcBorders>
              <w:top w:val="single" w:sz="4" w:space="0" w:color="auto"/>
              <w:bottom w:val="nil"/>
            </w:tcBorders>
          </w:tcPr>
          <w:p w14:paraId="581B6034" w14:textId="77777777" w:rsidR="00F86B78" w:rsidRPr="005B1D45" w:rsidRDefault="00F86B78" w:rsidP="007C37C3">
            <w:pPr>
              <w:jc w:val="both"/>
              <w:rPr>
                <w:rFonts w:ascii="Arial" w:hAnsi="Arial" w:cs="Arial"/>
                <w:b/>
              </w:rPr>
            </w:pPr>
            <w:r w:rsidRPr="005B1D45">
              <w:rPr>
                <w:rFonts w:ascii="Arial" w:hAnsi="Arial" w:cs="Arial"/>
                <w:b/>
              </w:rPr>
              <w:t>z-statistic</w:t>
            </w:r>
          </w:p>
        </w:tc>
        <w:tc>
          <w:tcPr>
            <w:tcW w:w="1062" w:type="dxa"/>
            <w:vMerge w:val="restart"/>
            <w:tcBorders>
              <w:top w:val="single" w:sz="4" w:space="0" w:color="auto"/>
              <w:bottom w:val="nil"/>
            </w:tcBorders>
          </w:tcPr>
          <w:p w14:paraId="2D469B5C" w14:textId="77777777" w:rsidR="00F86B78" w:rsidRPr="005B1D45" w:rsidRDefault="00F86B78" w:rsidP="007C37C3">
            <w:pPr>
              <w:jc w:val="both"/>
              <w:rPr>
                <w:rFonts w:ascii="Arial" w:hAnsi="Arial" w:cs="Arial"/>
                <w:b/>
              </w:rPr>
            </w:pPr>
            <m:oMathPara>
              <m:oMath>
                <m:r>
                  <m:rPr>
                    <m:sty m:val="bi"/>
                  </m:rPr>
                  <w:rPr>
                    <w:rFonts w:ascii="Cambria Math" w:hAnsi="Cambria Math" w:cs="Arial"/>
                  </w:rPr>
                  <m:t>p</m:t>
                </m:r>
                <m:r>
                  <w:rPr>
                    <w:rFonts w:ascii="Cambria Math" w:hAnsi="Cambria Math" w:cs="Arial"/>
                  </w:rPr>
                  <m:t>&gt;</m:t>
                </m:r>
                <m:d>
                  <m:dPr>
                    <m:begChr m:val="|"/>
                    <m:endChr m:val="|"/>
                    <m:ctrlPr>
                      <w:rPr>
                        <w:rFonts w:ascii="Cambria Math" w:hAnsi="Cambria Math" w:cs="Arial"/>
                        <w:b/>
                        <w:i/>
                      </w:rPr>
                    </m:ctrlPr>
                  </m:dPr>
                  <m:e>
                    <m:r>
                      <m:rPr>
                        <m:sty m:val="bi"/>
                      </m:rPr>
                      <w:rPr>
                        <w:rFonts w:ascii="Cambria Math" w:hAnsi="Cambria Math" w:cs="Arial"/>
                      </w:rPr>
                      <m:t>z</m:t>
                    </m:r>
                  </m:e>
                </m:d>
              </m:oMath>
            </m:oMathPara>
          </w:p>
        </w:tc>
        <w:tc>
          <w:tcPr>
            <w:tcW w:w="2178" w:type="dxa"/>
            <w:gridSpan w:val="2"/>
            <w:tcBorders>
              <w:top w:val="single" w:sz="4" w:space="0" w:color="auto"/>
              <w:bottom w:val="nil"/>
            </w:tcBorders>
          </w:tcPr>
          <w:p w14:paraId="08C2E48D" w14:textId="77777777" w:rsidR="00F86B78" w:rsidRPr="005B1D45" w:rsidRDefault="00F86B78" w:rsidP="007C37C3">
            <w:pPr>
              <w:jc w:val="both"/>
              <w:rPr>
                <w:rFonts w:ascii="Arial" w:eastAsia="Calibri" w:hAnsi="Arial" w:cs="Arial"/>
                <w:b/>
              </w:rPr>
            </w:pPr>
            <w:r w:rsidRPr="005B1D45">
              <w:rPr>
                <w:rFonts w:ascii="Arial" w:eastAsia="Calibri" w:hAnsi="Arial" w:cs="Arial"/>
                <w:b/>
              </w:rPr>
              <w:t>95% Conf. Interval</w:t>
            </w:r>
          </w:p>
        </w:tc>
      </w:tr>
      <w:tr w:rsidR="00F86B78" w:rsidRPr="005B1D45" w14:paraId="19283C65" w14:textId="77777777" w:rsidTr="007C37C3">
        <w:tc>
          <w:tcPr>
            <w:tcW w:w="1478" w:type="dxa"/>
            <w:vMerge/>
            <w:tcBorders>
              <w:top w:val="nil"/>
              <w:bottom w:val="single" w:sz="4" w:space="0" w:color="auto"/>
            </w:tcBorders>
          </w:tcPr>
          <w:p w14:paraId="5E67887D" w14:textId="77777777" w:rsidR="00F86B78" w:rsidRPr="005B1D45" w:rsidRDefault="00F86B78" w:rsidP="007C37C3">
            <w:pPr>
              <w:jc w:val="both"/>
              <w:rPr>
                <w:rFonts w:ascii="Arial" w:hAnsi="Arial" w:cs="Arial"/>
                <w:b/>
              </w:rPr>
            </w:pPr>
          </w:p>
        </w:tc>
        <w:tc>
          <w:tcPr>
            <w:tcW w:w="1533" w:type="dxa"/>
            <w:vMerge/>
            <w:tcBorders>
              <w:top w:val="nil"/>
              <w:bottom w:val="single" w:sz="4" w:space="0" w:color="auto"/>
            </w:tcBorders>
          </w:tcPr>
          <w:p w14:paraId="44EBF9CD" w14:textId="77777777" w:rsidR="00F86B78" w:rsidRPr="005B1D45" w:rsidRDefault="00F86B78" w:rsidP="007C37C3">
            <w:pPr>
              <w:jc w:val="both"/>
              <w:rPr>
                <w:rFonts w:ascii="Arial" w:hAnsi="Arial" w:cs="Arial"/>
                <w:b/>
              </w:rPr>
            </w:pPr>
          </w:p>
        </w:tc>
        <w:tc>
          <w:tcPr>
            <w:tcW w:w="1245" w:type="dxa"/>
            <w:vMerge/>
            <w:tcBorders>
              <w:top w:val="nil"/>
              <w:bottom w:val="single" w:sz="4" w:space="0" w:color="auto"/>
            </w:tcBorders>
          </w:tcPr>
          <w:p w14:paraId="2BDB17DF" w14:textId="77777777" w:rsidR="00F86B78" w:rsidRPr="005B1D45" w:rsidRDefault="00F86B78" w:rsidP="007C37C3">
            <w:pPr>
              <w:jc w:val="both"/>
              <w:rPr>
                <w:rFonts w:ascii="Arial" w:hAnsi="Arial" w:cs="Arial"/>
                <w:b/>
              </w:rPr>
            </w:pPr>
          </w:p>
        </w:tc>
        <w:tc>
          <w:tcPr>
            <w:tcW w:w="1360" w:type="dxa"/>
            <w:vMerge/>
            <w:tcBorders>
              <w:top w:val="nil"/>
              <w:bottom w:val="single" w:sz="4" w:space="0" w:color="auto"/>
            </w:tcBorders>
          </w:tcPr>
          <w:p w14:paraId="0F2F9D28" w14:textId="77777777" w:rsidR="00F86B78" w:rsidRPr="005B1D45" w:rsidRDefault="00F86B78" w:rsidP="007C37C3">
            <w:pPr>
              <w:jc w:val="both"/>
              <w:rPr>
                <w:rFonts w:ascii="Arial" w:hAnsi="Arial" w:cs="Arial"/>
                <w:b/>
              </w:rPr>
            </w:pPr>
          </w:p>
        </w:tc>
        <w:tc>
          <w:tcPr>
            <w:tcW w:w="1062" w:type="dxa"/>
            <w:vMerge/>
            <w:tcBorders>
              <w:top w:val="nil"/>
              <w:bottom w:val="single" w:sz="4" w:space="0" w:color="auto"/>
            </w:tcBorders>
          </w:tcPr>
          <w:p w14:paraId="30ACC486" w14:textId="77777777" w:rsidR="00F86B78" w:rsidRPr="005B1D45" w:rsidRDefault="00F86B78" w:rsidP="007C37C3">
            <w:pPr>
              <w:jc w:val="both"/>
              <w:rPr>
                <w:rFonts w:ascii="Arial" w:hAnsi="Arial" w:cs="Arial"/>
                <w:b/>
              </w:rPr>
            </w:pPr>
          </w:p>
        </w:tc>
        <w:tc>
          <w:tcPr>
            <w:tcW w:w="1184" w:type="dxa"/>
            <w:tcBorders>
              <w:top w:val="nil"/>
              <w:bottom w:val="single" w:sz="4" w:space="0" w:color="auto"/>
            </w:tcBorders>
          </w:tcPr>
          <w:p w14:paraId="6EFC1CF9" w14:textId="77777777" w:rsidR="00F86B78" w:rsidRPr="005B1D45" w:rsidRDefault="00F86B78" w:rsidP="007C37C3">
            <w:pPr>
              <w:jc w:val="both"/>
              <w:rPr>
                <w:rFonts w:ascii="Arial" w:hAnsi="Arial" w:cs="Arial"/>
                <w:b/>
              </w:rPr>
            </w:pPr>
            <w:r w:rsidRPr="005B1D45">
              <w:rPr>
                <w:rFonts w:ascii="Arial" w:hAnsi="Arial" w:cs="Arial"/>
                <w:b/>
              </w:rPr>
              <w:t>Lower</w:t>
            </w:r>
          </w:p>
        </w:tc>
        <w:tc>
          <w:tcPr>
            <w:tcW w:w="994" w:type="dxa"/>
            <w:tcBorders>
              <w:top w:val="nil"/>
              <w:bottom w:val="single" w:sz="4" w:space="0" w:color="auto"/>
            </w:tcBorders>
          </w:tcPr>
          <w:p w14:paraId="58F0638F" w14:textId="77777777" w:rsidR="00F86B78" w:rsidRPr="005B1D45" w:rsidRDefault="00F86B78" w:rsidP="007C37C3">
            <w:pPr>
              <w:jc w:val="both"/>
              <w:rPr>
                <w:rFonts w:ascii="Arial" w:hAnsi="Arial" w:cs="Arial"/>
                <w:b/>
              </w:rPr>
            </w:pPr>
            <w:r w:rsidRPr="005B1D45">
              <w:rPr>
                <w:rFonts w:ascii="Arial" w:hAnsi="Arial" w:cs="Arial"/>
                <w:b/>
              </w:rPr>
              <w:t>Upper</w:t>
            </w:r>
          </w:p>
        </w:tc>
      </w:tr>
      <w:tr w:rsidR="00F86B78" w:rsidRPr="005B1D45" w14:paraId="4EB1BEF9" w14:textId="77777777" w:rsidTr="007C37C3">
        <w:tc>
          <w:tcPr>
            <w:tcW w:w="8856" w:type="dxa"/>
            <w:gridSpan w:val="7"/>
            <w:tcBorders>
              <w:top w:val="single" w:sz="4" w:space="0" w:color="auto"/>
            </w:tcBorders>
          </w:tcPr>
          <w:p w14:paraId="37A1A132" w14:textId="77777777" w:rsidR="00F86B78" w:rsidRPr="005B1D45" w:rsidRDefault="00F86B78" w:rsidP="007C37C3">
            <w:pPr>
              <w:jc w:val="center"/>
              <w:rPr>
                <w:rFonts w:ascii="Arial" w:hAnsi="Arial" w:cs="Arial"/>
                <w:b/>
              </w:rPr>
            </w:pPr>
            <w:r w:rsidRPr="005B1D45">
              <w:rPr>
                <w:rFonts w:ascii="Arial" w:hAnsi="Arial" w:cs="Arial"/>
                <w:b/>
              </w:rPr>
              <w:t>Poisson Regression (PR) Model</w:t>
            </w:r>
          </w:p>
        </w:tc>
      </w:tr>
      <w:tr w:rsidR="00F86B78" w:rsidRPr="005B1D45" w14:paraId="2943A9A5" w14:textId="77777777" w:rsidTr="007C37C3">
        <w:tc>
          <w:tcPr>
            <w:tcW w:w="1478" w:type="dxa"/>
          </w:tcPr>
          <w:p w14:paraId="13F83F0F" w14:textId="77777777" w:rsidR="00F86B78" w:rsidRPr="005B1D45" w:rsidRDefault="00000000" w:rsidP="007C37C3">
            <w:pPr>
              <w:jc w:val="both"/>
              <w:rPr>
                <w:rFonts w:ascii="Arial" w:hAnsi="Arial" w:cs="Arial"/>
              </w:rPr>
            </w:pPr>
            <m:oMathPara>
              <m:oMath>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oMath>
            </m:oMathPara>
          </w:p>
        </w:tc>
        <w:tc>
          <w:tcPr>
            <w:tcW w:w="1533" w:type="dxa"/>
          </w:tcPr>
          <w:p w14:paraId="3597EBCE" w14:textId="77777777" w:rsidR="00F86B78" w:rsidRPr="005B1D45" w:rsidRDefault="00F86B78" w:rsidP="007C37C3">
            <w:pPr>
              <w:rPr>
                <w:rFonts w:ascii="Arial" w:hAnsi="Arial" w:cs="Arial"/>
              </w:rPr>
            </w:pPr>
            <w:r w:rsidRPr="005B1D45">
              <w:rPr>
                <w:rFonts w:ascii="Arial" w:hAnsi="Arial" w:cs="Arial"/>
              </w:rPr>
              <w:t>0.1234</w:t>
            </w:r>
          </w:p>
        </w:tc>
        <w:tc>
          <w:tcPr>
            <w:tcW w:w="1245" w:type="dxa"/>
          </w:tcPr>
          <w:p w14:paraId="203E1102" w14:textId="77777777" w:rsidR="00F86B78" w:rsidRPr="005B1D45" w:rsidRDefault="00F86B78" w:rsidP="007C37C3">
            <w:pPr>
              <w:rPr>
                <w:rFonts w:ascii="Arial" w:hAnsi="Arial" w:cs="Arial"/>
              </w:rPr>
            </w:pPr>
            <w:r w:rsidRPr="005B1D45">
              <w:rPr>
                <w:rFonts w:ascii="Arial" w:hAnsi="Arial" w:cs="Arial"/>
              </w:rPr>
              <w:t>0.0563</w:t>
            </w:r>
          </w:p>
        </w:tc>
        <w:tc>
          <w:tcPr>
            <w:tcW w:w="1360" w:type="dxa"/>
          </w:tcPr>
          <w:p w14:paraId="081F4509" w14:textId="77777777" w:rsidR="00F86B78" w:rsidRPr="005B1D45" w:rsidRDefault="00F86B78" w:rsidP="007C37C3">
            <w:pPr>
              <w:rPr>
                <w:rFonts w:ascii="Arial" w:hAnsi="Arial" w:cs="Arial"/>
              </w:rPr>
            </w:pPr>
            <w:r w:rsidRPr="005B1D45">
              <w:rPr>
                <w:rFonts w:ascii="Arial" w:hAnsi="Arial" w:cs="Arial"/>
              </w:rPr>
              <w:t>2.1918</w:t>
            </w:r>
          </w:p>
        </w:tc>
        <w:tc>
          <w:tcPr>
            <w:tcW w:w="1062" w:type="dxa"/>
          </w:tcPr>
          <w:p w14:paraId="32A80C70" w14:textId="77777777" w:rsidR="00F86B78" w:rsidRPr="005B1D45" w:rsidRDefault="00F86B78" w:rsidP="007C37C3">
            <w:pPr>
              <w:rPr>
                <w:rFonts w:ascii="Arial" w:hAnsi="Arial" w:cs="Arial"/>
              </w:rPr>
            </w:pPr>
            <w:r w:rsidRPr="005B1D45">
              <w:rPr>
                <w:rFonts w:ascii="Arial" w:hAnsi="Arial" w:cs="Arial"/>
              </w:rPr>
              <w:t>0.029</w:t>
            </w:r>
          </w:p>
        </w:tc>
        <w:tc>
          <w:tcPr>
            <w:tcW w:w="1184" w:type="dxa"/>
          </w:tcPr>
          <w:p w14:paraId="73F1F7EE" w14:textId="77777777" w:rsidR="00F86B78" w:rsidRPr="005B1D45" w:rsidRDefault="00F86B78" w:rsidP="007C37C3">
            <w:pPr>
              <w:rPr>
                <w:rFonts w:ascii="Arial" w:hAnsi="Arial" w:cs="Arial"/>
              </w:rPr>
            </w:pPr>
            <w:r w:rsidRPr="005B1D45">
              <w:rPr>
                <w:rFonts w:ascii="Arial" w:hAnsi="Arial" w:cs="Arial"/>
              </w:rPr>
              <w:t>0.012</w:t>
            </w:r>
          </w:p>
        </w:tc>
        <w:tc>
          <w:tcPr>
            <w:tcW w:w="994" w:type="dxa"/>
          </w:tcPr>
          <w:p w14:paraId="24C15E19" w14:textId="77777777" w:rsidR="00F86B78" w:rsidRPr="005B1D45" w:rsidRDefault="00F86B78" w:rsidP="007C37C3">
            <w:pPr>
              <w:rPr>
                <w:rFonts w:ascii="Arial" w:hAnsi="Arial" w:cs="Arial"/>
              </w:rPr>
            </w:pPr>
            <w:r w:rsidRPr="005B1D45">
              <w:rPr>
                <w:rFonts w:ascii="Arial" w:hAnsi="Arial" w:cs="Arial"/>
              </w:rPr>
              <w:t>0.235</w:t>
            </w:r>
          </w:p>
        </w:tc>
      </w:tr>
      <w:tr w:rsidR="00F86B78" w:rsidRPr="005B1D45" w14:paraId="77BA0842" w14:textId="77777777" w:rsidTr="007C37C3">
        <w:tc>
          <w:tcPr>
            <w:tcW w:w="1478" w:type="dxa"/>
          </w:tcPr>
          <w:p w14:paraId="23CFDA23" w14:textId="77777777" w:rsidR="00F86B78" w:rsidRPr="005B1D45" w:rsidRDefault="00000000" w:rsidP="007C37C3">
            <w:pPr>
              <w:rPr>
                <w:rFonts w:ascii="Arial" w:hAnsi="Arial" w:cs="Arial"/>
              </w:rPr>
            </w:pPr>
            <m:oMathPara>
              <m:oMath>
                <m:sSub>
                  <m:sSubPr>
                    <m:ctrlPr>
                      <w:rPr>
                        <w:rFonts w:ascii="Cambria Math" w:hAnsi="Cambria Math" w:cs="Arial"/>
                        <w:i/>
                      </w:rPr>
                    </m:ctrlPr>
                  </m:sSubPr>
                  <m:e>
                    <m:r>
                      <w:rPr>
                        <w:rFonts w:ascii="Cambria Math" w:hAnsi="Cambria Math" w:cs="Arial"/>
                      </w:rPr>
                      <m:t>β</m:t>
                    </m:r>
                  </m:e>
                  <m:sub>
                    <m:r>
                      <w:rPr>
                        <w:rFonts w:ascii="Cambria Math" w:hAnsi="Cambria Math" w:cs="Arial"/>
                      </w:rPr>
                      <m:t>1</m:t>
                    </m:r>
                  </m:sub>
                </m:sSub>
              </m:oMath>
            </m:oMathPara>
          </w:p>
        </w:tc>
        <w:tc>
          <w:tcPr>
            <w:tcW w:w="1533" w:type="dxa"/>
          </w:tcPr>
          <w:p w14:paraId="77F03738" w14:textId="77777777" w:rsidR="00F86B78" w:rsidRPr="005B1D45" w:rsidRDefault="00F86B78" w:rsidP="007C37C3">
            <w:pPr>
              <w:rPr>
                <w:rFonts w:ascii="Arial" w:hAnsi="Arial" w:cs="Arial"/>
              </w:rPr>
            </w:pPr>
            <w:r w:rsidRPr="005B1D45">
              <w:rPr>
                <w:rFonts w:ascii="Arial" w:hAnsi="Arial" w:cs="Arial"/>
              </w:rPr>
              <w:t>0.0152</w:t>
            </w:r>
          </w:p>
        </w:tc>
        <w:tc>
          <w:tcPr>
            <w:tcW w:w="1245" w:type="dxa"/>
          </w:tcPr>
          <w:p w14:paraId="55835C9F" w14:textId="77777777" w:rsidR="00F86B78" w:rsidRPr="005B1D45" w:rsidRDefault="00F86B78" w:rsidP="007C37C3">
            <w:pPr>
              <w:rPr>
                <w:rFonts w:ascii="Arial" w:hAnsi="Arial" w:cs="Arial"/>
              </w:rPr>
            </w:pPr>
            <w:r w:rsidRPr="005B1D45">
              <w:rPr>
                <w:rFonts w:ascii="Arial" w:hAnsi="Arial" w:cs="Arial"/>
              </w:rPr>
              <w:t>0.0068</w:t>
            </w:r>
          </w:p>
        </w:tc>
        <w:tc>
          <w:tcPr>
            <w:tcW w:w="1360" w:type="dxa"/>
          </w:tcPr>
          <w:p w14:paraId="2B853494" w14:textId="77777777" w:rsidR="00F86B78" w:rsidRPr="005B1D45" w:rsidRDefault="00F86B78" w:rsidP="007C37C3">
            <w:pPr>
              <w:rPr>
                <w:rFonts w:ascii="Arial" w:hAnsi="Arial" w:cs="Arial"/>
              </w:rPr>
            </w:pPr>
            <w:r w:rsidRPr="005B1D45">
              <w:rPr>
                <w:rFonts w:ascii="Arial" w:hAnsi="Arial" w:cs="Arial"/>
              </w:rPr>
              <w:t>2.2353</w:t>
            </w:r>
          </w:p>
        </w:tc>
        <w:tc>
          <w:tcPr>
            <w:tcW w:w="1062" w:type="dxa"/>
          </w:tcPr>
          <w:p w14:paraId="303ECC10" w14:textId="77777777" w:rsidR="00F86B78" w:rsidRPr="005B1D45" w:rsidRDefault="00F86B78" w:rsidP="007C37C3">
            <w:pPr>
              <w:rPr>
                <w:rFonts w:ascii="Arial" w:hAnsi="Arial" w:cs="Arial"/>
              </w:rPr>
            </w:pPr>
            <w:r w:rsidRPr="005B1D45">
              <w:rPr>
                <w:rFonts w:ascii="Arial" w:hAnsi="Arial" w:cs="Arial"/>
              </w:rPr>
              <w:t>0.026</w:t>
            </w:r>
          </w:p>
        </w:tc>
        <w:tc>
          <w:tcPr>
            <w:tcW w:w="1184" w:type="dxa"/>
          </w:tcPr>
          <w:p w14:paraId="7427416C" w14:textId="77777777" w:rsidR="00F86B78" w:rsidRPr="005B1D45" w:rsidRDefault="00F86B78" w:rsidP="007C37C3">
            <w:pPr>
              <w:rPr>
                <w:rFonts w:ascii="Arial" w:hAnsi="Arial" w:cs="Arial"/>
              </w:rPr>
            </w:pPr>
            <w:r w:rsidRPr="005B1D45">
              <w:rPr>
                <w:rFonts w:ascii="Arial" w:hAnsi="Arial" w:cs="Arial"/>
              </w:rPr>
              <w:t>0.002</w:t>
            </w:r>
          </w:p>
        </w:tc>
        <w:tc>
          <w:tcPr>
            <w:tcW w:w="994" w:type="dxa"/>
          </w:tcPr>
          <w:p w14:paraId="2105D49B" w14:textId="77777777" w:rsidR="00F86B78" w:rsidRPr="005B1D45" w:rsidRDefault="00F86B78" w:rsidP="007C37C3">
            <w:pPr>
              <w:rPr>
                <w:rFonts w:ascii="Arial" w:hAnsi="Arial" w:cs="Arial"/>
              </w:rPr>
            </w:pPr>
            <w:r w:rsidRPr="005B1D45">
              <w:rPr>
                <w:rFonts w:ascii="Arial" w:hAnsi="Arial" w:cs="Arial"/>
              </w:rPr>
              <w:t>0.128</w:t>
            </w:r>
          </w:p>
        </w:tc>
      </w:tr>
      <w:tr w:rsidR="00F86B78" w:rsidRPr="005B1D45" w14:paraId="06E545DE" w14:textId="77777777" w:rsidTr="007C37C3">
        <w:tc>
          <w:tcPr>
            <w:tcW w:w="1478" w:type="dxa"/>
          </w:tcPr>
          <w:p w14:paraId="36DBD6E5" w14:textId="77777777" w:rsidR="00F86B78" w:rsidRPr="005B1D45" w:rsidRDefault="00000000" w:rsidP="007C37C3">
            <w:pPr>
              <w:rPr>
                <w:rFonts w:ascii="Arial" w:hAnsi="Arial" w:cs="Arial"/>
              </w:rPr>
            </w:pPr>
            <m:oMathPara>
              <m:oMath>
                <m:sSub>
                  <m:sSubPr>
                    <m:ctrlPr>
                      <w:rPr>
                        <w:rFonts w:ascii="Cambria Math" w:hAnsi="Cambria Math" w:cs="Arial"/>
                        <w:i/>
                      </w:rPr>
                    </m:ctrlPr>
                  </m:sSubPr>
                  <m:e>
                    <m:r>
                      <w:rPr>
                        <w:rFonts w:ascii="Cambria Math" w:hAnsi="Cambria Math" w:cs="Arial"/>
                      </w:rPr>
                      <m:t>β</m:t>
                    </m:r>
                  </m:e>
                  <m:sub>
                    <m:r>
                      <w:rPr>
                        <w:rFonts w:ascii="Cambria Math" w:hAnsi="Cambria Math" w:cs="Arial"/>
                      </w:rPr>
                      <m:t>2</m:t>
                    </m:r>
                  </m:sub>
                </m:sSub>
              </m:oMath>
            </m:oMathPara>
          </w:p>
        </w:tc>
        <w:tc>
          <w:tcPr>
            <w:tcW w:w="1533" w:type="dxa"/>
          </w:tcPr>
          <w:p w14:paraId="2ACFE00A" w14:textId="77777777" w:rsidR="00F86B78" w:rsidRPr="005B1D45" w:rsidRDefault="00F86B78" w:rsidP="007C37C3">
            <w:pPr>
              <w:rPr>
                <w:rFonts w:ascii="Arial" w:hAnsi="Arial" w:cs="Arial"/>
              </w:rPr>
            </w:pPr>
            <w:r w:rsidRPr="005B1D45">
              <w:rPr>
                <w:rFonts w:ascii="Arial" w:hAnsi="Arial" w:cs="Arial"/>
              </w:rPr>
              <w:t>0.0478</w:t>
            </w:r>
          </w:p>
        </w:tc>
        <w:tc>
          <w:tcPr>
            <w:tcW w:w="1245" w:type="dxa"/>
          </w:tcPr>
          <w:p w14:paraId="03D2B91A" w14:textId="77777777" w:rsidR="00F86B78" w:rsidRPr="005B1D45" w:rsidRDefault="00F86B78" w:rsidP="007C37C3">
            <w:pPr>
              <w:rPr>
                <w:rFonts w:ascii="Arial" w:hAnsi="Arial" w:cs="Arial"/>
              </w:rPr>
            </w:pPr>
            <w:r w:rsidRPr="005B1D45">
              <w:rPr>
                <w:rFonts w:ascii="Arial" w:hAnsi="Arial" w:cs="Arial"/>
              </w:rPr>
              <w:t>0.0136</w:t>
            </w:r>
          </w:p>
        </w:tc>
        <w:tc>
          <w:tcPr>
            <w:tcW w:w="1360" w:type="dxa"/>
          </w:tcPr>
          <w:p w14:paraId="4613C947" w14:textId="77777777" w:rsidR="00F86B78" w:rsidRPr="005B1D45" w:rsidRDefault="00F86B78" w:rsidP="007C37C3">
            <w:pPr>
              <w:rPr>
                <w:rFonts w:ascii="Arial" w:hAnsi="Arial" w:cs="Arial"/>
              </w:rPr>
            </w:pPr>
            <w:r w:rsidRPr="005B1D45">
              <w:rPr>
                <w:rFonts w:ascii="Arial" w:hAnsi="Arial" w:cs="Arial"/>
              </w:rPr>
              <w:t>3.5147</w:t>
            </w:r>
          </w:p>
        </w:tc>
        <w:tc>
          <w:tcPr>
            <w:tcW w:w="1062" w:type="dxa"/>
          </w:tcPr>
          <w:p w14:paraId="001D706E" w14:textId="77777777" w:rsidR="00F86B78" w:rsidRPr="005B1D45" w:rsidRDefault="00F86B78" w:rsidP="007C37C3">
            <w:pPr>
              <w:rPr>
                <w:rFonts w:ascii="Arial" w:hAnsi="Arial" w:cs="Arial"/>
              </w:rPr>
            </w:pPr>
            <w:r w:rsidRPr="005B1D45">
              <w:rPr>
                <w:rFonts w:ascii="Arial" w:hAnsi="Arial" w:cs="Arial"/>
              </w:rPr>
              <w:t>0.000</w:t>
            </w:r>
          </w:p>
        </w:tc>
        <w:tc>
          <w:tcPr>
            <w:tcW w:w="1184" w:type="dxa"/>
          </w:tcPr>
          <w:p w14:paraId="046ED1F4" w14:textId="77777777" w:rsidR="00F86B78" w:rsidRPr="005B1D45" w:rsidRDefault="00F86B78" w:rsidP="007C37C3">
            <w:pPr>
              <w:rPr>
                <w:rFonts w:ascii="Arial" w:hAnsi="Arial" w:cs="Arial"/>
              </w:rPr>
            </w:pPr>
            <w:r w:rsidRPr="005B1D45">
              <w:rPr>
                <w:rFonts w:ascii="Arial" w:hAnsi="Arial" w:cs="Arial"/>
              </w:rPr>
              <w:t>0.021</w:t>
            </w:r>
          </w:p>
        </w:tc>
        <w:tc>
          <w:tcPr>
            <w:tcW w:w="994" w:type="dxa"/>
          </w:tcPr>
          <w:p w14:paraId="2A7934A4" w14:textId="77777777" w:rsidR="00F86B78" w:rsidRPr="005B1D45" w:rsidRDefault="00F86B78" w:rsidP="007C37C3">
            <w:pPr>
              <w:rPr>
                <w:rFonts w:ascii="Arial" w:hAnsi="Arial" w:cs="Arial"/>
              </w:rPr>
            </w:pPr>
            <w:r w:rsidRPr="005B1D45">
              <w:rPr>
                <w:rFonts w:ascii="Arial" w:hAnsi="Arial" w:cs="Arial"/>
              </w:rPr>
              <w:t>0.074</w:t>
            </w:r>
          </w:p>
        </w:tc>
      </w:tr>
      <w:tr w:rsidR="00F86B78" w:rsidRPr="005B1D45" w14:paraId="118494AA" w14:textId="77777777" w:rsidTr="007C37C3">
        <w:tc>
          <w:tcPr>
            <w:tcW w:w="1478" w:type="dxa"/>
          </w:tcPr>
          <w:p w14:paraId="24B6117B" w14:textId="77777777" w:rsidR="00F86B78" w:rsidRPr="005B1D45" w:rsidRDefault="00000000" w:rsidP="007C37C3">
            <w:pPr>
              <w:rPr>
                <w:rFonts w:ascii="Arial" w:hAnsi="Arial" w:cs="Arial"/>
              </w:rPr>
            </w:pPr>
            <m:oMathPara>
              <m:oMath>
                <m:sSub>
                  <m:sSubPr>
                    <m:ctrlPr>
                      <w:rPr>
                        <w:rFonts w:ascii="Cambria Math" w:hAnsi="Cambria Math" w:cs="Arial"/>
                        <w:i/>
                      </w:rPr>
                    </m:ctrlPr>
                  </m:sSubPr>
                  <m:e>
                    <m:r>
                      <w:rPr>
                        <w:rFonts w:ascii="Cambria Math" w:hAnsi="Cambria Math" w:cs="Arial"/>
                      </w:rPr>
                      <m:t>β</m:t>
                    </m:r>
                  </m:e>
                  <m:sub>
                    <m:r>
                      <w:rPr>
                        <w:rFonts w:ascii="Cambria Math" w:hAnsi="Cambria Math" w:cs="Arial"/>
                      </w:rPr>
                      <m:t>3</m:t>
                    </m:r>
                  </m:sub>
                </m:sSub>
              </m:oMath>
            </m:oMathPara>
          </w:p>
        </w:tc>
        <w:tc>
          <w:tcPr>
            <w:tcW w:w="1533" w:type="dxa"/>
          </w:tcPr>
          <w:p w14:paraId="77C963E0" w14:textId="77777777" w:rsidR="00F86B78" w:rsidRPr="005B1D45" w:rsidRDefault="00F86B78" w:rsidP="007C37C3">
            <w:pPr>
              <w:rPr>
                <w:rFonts w:ascii="Arial" w:hAnsi="Arial" w:cs="Arial"/>
              </w:rPr>
            </w:pPr>
            <w:r w:rsidRPr="005B1D45">
              <w:rPr>
                <w:rFonts w:ascii="Arial" w:hAnsi="Arial" w:cs="Arial"/>
              </w:rPr>
              <w:t>0.0321</w:t>
            </w:r>
          </w:p>
        </w:tc>
        <w:tc>
          <w:tcPr>
            <w:tcW w:w="1245" w:type="dxa"/>
          </w:tcPr>
          <w:p w14:paraId="040975D0" w14:textId="77777777" w:rsidR="00F86B78" w:rsidRPr="005B1D45" w:rsidRDefault="00F86B78" w:rsidP="007C37C3">
            <w:pPr>
              <w:rPr>
                <w:rFonts w:ascii="Arial" w:hAnsi="Arial" w:cs="Arial"/>
              </w:rPr>
            </w:pPr>
            <w:r w:rsidRPr="005B1D45">
              <w:rPr>
                <w:rFonts w:ascii="Arial" w:hAnsi="Arial" w:cs="Arial"/>
              </w:rPr>
              <w:t>0.0141</w:t>
            </w:r>
          </w:p>
        </w:tc>
        <w:tc>
          <w:tcPr>
            <w:tcW w:w="1360" w:type="dxa"/>
          </w:tcPr>
          <w:p w14:paraId="79F957F1" w14:textId="77777777" w:rsidR="00F86B78" w:rsidRPr="005B1D45" w:rsidRDefault="00F86B78" w:rsidP="007C37C3">
            <w:pPr>
              <w:rPr>
                <w:rFonts w:ascii="Arial" w:hAnsi="Arial" w:cs="Arial"/>
              </w:rPr>
            </w:pPr>
            <w:r w:rsidRPr="005B1D45">
              <w:rPr>
                <w:rFonts w:ascii="Arial" w:hAnsi="Arial" w:cs="Arial"/>
              </w:rPr>
              <w:t>2.2766</w:t>
            </w:r>
          </w:p>
        </w:tc>
        <w:tc>
          <w:tcPr>
            <w:tcW w:w="1062" w:type="dxa"/>
          </w:tcPr>
          <w:p w14:paraId="6DAFBF45" w14:textId="77777777" w:rsidR="00F86B78" w:rsidRPr="005B1D45" w:rsidRDefault="00F86B78" w:rsidP="007C37C3">
            <w:pPr>
              <w:rPr>
                <w:rFonts w:ascii="Arial" w:hAnsi="Arial" w:cs="Arial"/>
              </w:rPr>
            </w:pPr>
            <w:r w:rsidRPr="005B1D45">
              <w:rPr>
                <w:rFonts w:ascii="Arial" w:hAnsi="Arial" w:cs="Arial"/>
              </w:rPr>
              <w:t>0.023</w:t>
            </w:r>
          </w:p>
        </w:tc>
        <w:tc>
          <w:tcPr>
            <w:tcW w:w="1184" w:type="dxa"/>
          </w:tcPr>
          <w:p w14:paraId="0A49AAB0" w14:textId="77777777" w:rsidR="00F86B78" w:rsidRPr="005B1D45" w:rsidRDefault="00F86B78" w:rsidP="007C37C3">
            <w:pPr>
              <w:rPr>
                <w:rFonts w:ascii="Arial" w:hAnsi="Arial" w:cs="Arial"/>
              </w:rPr>
            </w:pPr>
            <w:r w:rsidRPr="005B1D45">
              <w:rPr>
                <w:rFonts w:ascii="Arial" w:hAnsi="Arial" w:cs="Arial"/>
              </w:rPr>
              <w:t>0.006</w:t>
            </w:r>
          </w:p>
        </w:tc>
        <w:tc>
          <w:tcPr>
            <w:tcW w:w="994" w:type="dxa"/>
          </w:tcPr>
          <w:p w14:paraId="4725D5B6" w14:textId="77777777" w:rsidR="00F86B78" w:rsidRPr="005B1D45" w:rsidRDefault="00F86B78" w:rsidP="007C37C3">
            <w:pPr>
              <w:rPr>
                <w:rFonts w:ascii="Arial" w:hAnsi="Arial" w:cs="Arial"/>
              </w:rPr>
            </w:pPr>
            <w:r w:rsidRPr="005B1D45">
              <w:rPr>
                <w:rFonts w:ascii="Arial" w:hAnsi="Arial" w:cs="Arial"/>
              </w:rPr>
              <w:t>0.065</w:t>
            </w:r>
          </w:p>
        </w:tc>
      </w:tr>
      <w:tr w:rsidR="00F86B78" w:rsidRPr="005B1D45" w14:paraId="3434777C" w14:textId="77777777" w:rsidTr="007C37C3">
        <w:tc>
          <w:tcPr>
            <w:tcW w:w="8856" w:type="dxa"/>
            <w:gridSpan w:val="7"/>
          </w:tcPr>
          <w:p w14:paraId="264806AA" w14:textId="77777777" w:rsidR="00F86B78" w:rsidRPr="005B1D45" w:rsidRDefault="00F86B78" w:rsidP="007C37C3">
            <w:pPr>
              <w:jc w:val="center"/>
              <w:rPr>
                <w:rFonts w:ascii="Arial" w:hAnsi="Arial" w:cs="Arial"/>
              </w:rPr>
            </w:pPr>
            <w:r w:rsidRPr="005B1D45">
              <w:rPr>
                <w:rFonts w:ascii="Arial" w:hAnsi="Arial" w:cs="Arial"/>
                <w:b/>
              </w:rPr>
              <w:t>Negative Binomial Regression (NBR) Model</w:t>
            </w:r>
          </w:p>
        </w:tc>
      </w:tr>
      <w:tr w:rsidR="00F86B78" w:rsidRPr="005B1D45" w14:paraId="4C9D45F1" w14:textId="77777777" w:rsidTr="007C37C3">
        <w:tc>
          <w:tcPr>
            <w:tcW w:w="1478" w:type="dxa"/>
          </w:tcPr>
          <w:p w14:paraId="5BD88DB6" w14:textId="77777777" w:rsidR="00F86B78" w:rsidRPr="005B1D45" w:rsidRDefault="00000000" w:rsidP="007C37C3">
            <w:pPr>
              <w:jc w:val="both"/>
              <w:rPr>
                <w:rFonts w:ascii="Arial" w:hAnsi="Arial" w:cs="Arial"/>
              </w:rPr>
            </w:pPr>
            <m:oMathPara>
              <m:oMath>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oMath>
            </m:oMathPara>
          </w:p>
        </w:tc>
        <w:tc>
          <w:tcPr>
            <w:tcW w:w="1533" w:type="dxa"/>
          </w:tcPr>
          <w:p w14:paraId="1DC16BC4" w14:textId="77777777" w:rsidR="00F86B78" w:rsidRPr="005B1D45" w:rsidRDefault="00F86B78" w:rsidP="007C37C3">
            <w:pPr>
              <w:rPr>
                <w:rFonts w:ascii="Arial" w:hAnsi="Arial" w:cs="Arial"/>
              </w:rPr>
            </w:pPr>
            <w:r w:rsidRPr="005B1D45">
              <w:rPr>
                <w:rFonts w:ascii="Arial" w:hAnsi="Arial" w:cs="Arial"/>
              </w:rPr>
              <w:t>0.1898</w:t>
            </w:r>
          </w:p>
        </w:tc>
        <w:tc>
          <w:tcPr>
            <w:tcW w:w="1245" w:type="dxa"/>
          </w:tcPr>
          <w:p w14:paraId="20500038" w14:textId="77777777" w:rsidR="00F86B78" w:rsidRPr="005B1D45" w:rsidRDefault="00F86B78" w:rsidP="007C37C3">
            <w:pPr>
              <w:rPr>
                <w:rFonts w:ascii="Arial" w:hAnsi="Arial" w:cs="Arial"/>
              </w:rPr>
            </w:pPr>
            <w:r w:rsidRPr="005B1D45">
              <w:rPr>
                <w:rFonts w:ascii="Arial" w:hAnsi="Arial" w:cs="Arial"/>
              </w:rPr>
              <w:t>0.0581</w:t>
            </w:r>
          </w:p>
        </w:tc>
        <w:tc>
          <w:tcPr>
            <w:tcW w:w="1360" w:type="dxa"/>
          </w:tcPr>
          <w:p w14:paraId="382518CB" w14:textId="77777777" w:rsidR="00F86B78" w:rsidRPr="005B1D45" w:rsidRDefault="00F86B78" w:rsidP="007C37C3">
            <w:pPr>
              <w:rPr>
                <w:rFonts w:ascii="Arial" w:hAnsi="Arial" w:cs="Arial"/>
              </w:rPr>
            </w:pPr>
            <w:r w:rsidRPr="005B1D45">
              <w:rPr>
                <w:rFonts w:ascii="Arial" w:hAnsi="Arial" w:cs="Arial"/>
              </w:rPr>
              <w:t>3.2668</w:t>
            </w:r>
          </w:p>
        </w:tc>
        <w:tc>
          <w:tcPr>
            <w:tcW w:w="1062" w:type="dxa"/>
          </w:tcPr>
          <w:p w14:paraId="02350349" w14:textId="77777777" w:rsidR="00F86B78" w:rsidRPr="005B1D45" w:rsidRDefault="00F86B78" w:rsidP="007C37C3">
            <w:pPr>
              <w:rPr>
                <w:rFonts w:ascii="Arial" w:hAnsi="Arial" w:cs="Arial"/>
              </w:rPr>
            </w:pPr>
            <w:r w:rsidRPr="005B1D45">
              <w:rPr>
                <w:rFonts w:ascii="Arial" w:hAnsi="Arial" w:cs="Arial"/>
              </w:rPr>
              <w:t>0.004</w:t>
            </w:r>
          </w:p>
        </w:tc>
        <w:tc>
          <w:tcPr>
            <w:tcW w:w="1184" w:type="dxa"/>
          </w:tcPr>
          <w:p w14:paraId="46CBAB56" w14:textId="77777777" w:rsidR="00F86B78" w:rsidRPr="005B1D45" w:rsidRDefault="00F86B78" w:rsidP="007C37C3">
            <w:pPr>
              <w:rPr>
                <w:rFonts w:ascii="Arial" w:hAnsi="Arial" w:cs="Arial"/>
              </w:rPr>
            </w:pPr>
            <w:r w:rsidRPr="005B1D45">
              <w:rPr>
                <w:rFonts w:ascii="Arial" w:hAnsi="Arial" w:cs="Arial"/>
              </w:rPr>
              <w:t>0.014</w:t>
            </w:r>
          </w:p>
        </w:tc>
        <w:tc>
          <w:tcPr>
            <w:tcW w:w="994" w:type="dxa"/>
          </w:tcPr>
          <w:p w14:paraId="0E78D558" w14:textId="77777777" w:rsidR="00F86B78" w:rsidRPr="005B1D45" w:rsidRDefault="00F86B78" w:rsidP="007C37C3">
            <w:pPr>
              <w:rPr>
                <w:rFonts w:ascii="Arial" w:hAnsi="Arial" w:cs="Arial"/>
              </w:rPr>
            </w:pPr>
            <w:r w:rsidRPr="005B1D45">
              <w:rPr>
                <w:rFonts w:ascii="Arial" w:hAnsi="Arial" w:cs="Arial"/>
              </w:rPr>
              <w:t>0.224</w:t>
            </w:r>
          </w:p>
        </w:tc>
      </w:tr>
      <w:tr w:rsidR="00F86B78" w:rsidRPr="005B1D45" w14:paraId="36794D24" w14:textId="77777777" w:rsidTr="007C37C3">
        <w:tc>
          <w:tcPr>
            <w:tcW w:w="1478" w:type="dxa"/>
          </w:tcPr>
          <w:p w14:paraId="48911880" w14:textId="77777777" w:rsidR="00F86B78" w:rsidRPr="005B1D45" w:rsidRDefault="00000000" w:rsidP="007C37C3">
            <w:pPr>
              <w:rPr>
                <w:rFonts w:ascii="Arial" w:hAnsi="Arial" w:cs="Arial"/>
              </w:rPr>
            </w:pPr>
            <m:oMathPara>
              <m:oMath>
                <m:sSub>
                  <m:sSubPr>
                    <m:ctrlPr>
                      <w:rPr>
                        <w:rFonts w:ascii="Cambria Math" w:hAnsi="Cambria Math" w:cs="Arial"/>
                        <w:i/>
                      </w:rPr>
                    </m:ctrlPr>
                  </m:sSubPr>
                  <m:e>
                    <m:r>
                      <w:rPr>
                        <w:rFonts w:ascii="Cambria Math" w:hAnsi="Cambria Math" w:cs="Arial"/>
                      </w:rPr>
                      <m:t>β</m:t>
                    </m:r>
                  </m:e>
                  <m:sub>
                    <m:r>
                      <w:rPr>
                        <w:rFonts w:ascii="Cambria Math" w:hAnsi="Cambria Math" w:cs="Arial"/>
                      </w:rPr>
                      <m:t>1</m:t>
                    </m:r>
                  </m:sub>
                </m:sSub>
              </m:oMath>
            </m:oMathPara>
          </w:p>
        </w:tc>
        <w:tc>
          <w:tcPr>
            <w:tcW w:w="1533" w:type="dxa"/>
          </w:tcPr>
          <w:p w14:paraId="0165BA33" w14:textId="77777777" w:rsidR="00F86B78" w:rsidRPr="005B1D45" w:rsidRDefault="00F86B78" w:rsidP="007C37C3">
            <w:pPr>
              <w:rPr>
                <w:rFonts w:ascii="Arial" w:hAnsi="Arial" w:cs="Arial"/>
              </w:rPr>
            </w:pPr>
            <w:r w:rsidRPr="005B1D45">
              <w:rPr>
                <w:rFonts w:ascii="Arial" w:hAnsi="Arial" w:cs="Arial"/>
              </w:rPr>
              <w:t>0.1127</w:t>
            </w:r>
          </w:p>
        </w:tc>
        <w:tc>
          <w:tcPr>
            <w:tcW w:w="1245" w:type="dxa"/>
          </w:tcPr>
          <w:p w14:paraId="36A4E5E2" w14:textId="77777777" w:rsidR="00F86B78" w:rsidRPr="005B1D45" w:rsidRDefault="00F86B78" w:rsidP="007C37C3">
            <w:pPr>
              <w:rPr>
                <w:rFonts w:ascii="Arial" w:hAnsi="Arial" w:cs="Arial"/>
              </w:rPr>
            </w:pPr>
            <w:r w:rsidRPr="005B1D45">
              <w:rPr>
                <w:rFonts w:ascii="Arial" w:hAnsi="Arial" w:cs="Arial"/>
              </w:rPr>
              <w:t>0.0072</w:t>
            </w:r>
          </w:p>
        </w:tc>
        <w:tc>
          <w:tcPr>
            <w:tcW w:w="1360" w:type="dxa"/>
          </w:tcPr>
          <w:p w14:paraId="6F13E126" w14:textId="77777777" w:rsidR="00F86B78" w:rsidRPr="005B1D45" w:rsidRDefault="00F86B78" w:rsidP="007C37C3">
            <w:pPr>
              <w:rPr>
                <w:rFonts w:ascii="Arial" w:hAnsi="Arial" w:cs="Arial"/>
              </w:rPr>
            </w:pPr>
            <w:r w:rsidRPr="005B1D45">
              <w:rPr>
                <w:rFonts w:ascii="Arial" w:hAnsi="Arial" w:cs="Arial"/>
              </w:rPr>
              <w:t>15.653</w:t>
            </w:r>
          </w:p>
        </w:tc>
        <w:tc>
          <w:tcPr>
            <w:tcW w:w="1062" w:type="dxa"/>
          </w:tcPr>
          <w:p w14:paraId="68B15022" w14:textId="77777777" w:rsidR="00F86B78" w:rsidRPr="005B1D45" w:rsidRDefault="00F86B78" w:rsidP="007C37C3">
            <w:pPr>
              <w:rPr>
                <w:rFonts w:ascii="Arial" w:hAnsi="Arial" w:cs="Arial"/>
              </w:rPr>
            </w:pPr>
            <w:r w:rsidRPr="005B1D45">
              <w:rPr>
                <w:rFonts w:ascii="Arial" w:hAnsi="Arial" w:cs="Arial"/>
              </w:rPr>
              <w:t>0.000</w:t>
            </w:r>
          </w:p>
        </w:tc>
        <w:tc>
          <w:tcPr>
            <w:tcW w:w="1184" w:type="dxa"/>
          </w:tcPr>
          <w:p w14:paraId="755C26C1" w14:textId="77777777" w:rsidR="00F86B78" w:rsidRPr="005B1D45" w:rsidRDefault="00F86B78" w:rsidP="007C37C3">
            <w:pPr>
              <w:rPr>
                <w:rFonts w:ascii="Arial" w:hAnsi="Arial" w:cs="Arial"/>
              </w:rPr>
            </w:pPr>
            <w:r w:rsidRPr="005B1D45">
              <w:rPr>
                <w:rFonts w:ascii="Arial" w:hAnsi="Arial" w:cs="Arial"/>
              </w:rPr>
              <w:t>0.011</w:t>
            </w:r>
          </w:p>
        </w:tc>
        <w:tc>
          <w:tcPr>
            <w:tcW w:w="994" w:type="dxa"/>
          </w:tcPr>
          <w:p w14:paraId="6B47A45C" w14:textId="77777777" w:rsidR="00F86B78" w:rsidRPr="005B1D45" w:rsidRDefault="00F86B78" w:rsidP="007C37C3">
            <w:pPr>
              <w:rPr>
                <w:rFonts w:ascii="Arial" w:hAnsi="Arial" w:cs="Arial"/>
              </w:rPr>
            </w:pPr>
            <w:r w:rsidRPr="005B1D45">
              <w:rPr>
                <w:rFonts w:ascii="Arial" w:hAnsi="Arial" w:cs="Arial"/>
              </w:rPr>
              <w:t>0.127</w:t>
            </w:r>
          </w:p>
        </w:tc>
      </w:tr>
      <w:tr w:rsidR="00F86B78" w:rsidRPr="005B1D45" w14:paraId="6924FF05" w14:textId="77777777" w:rsidTr="007C37C3">
        <w:tc>
          <w:tcPr>
            <w:tcW w:w="1478" w:type="dxa"/>
          </w:tcPr>
          <w:p w14:paraId="66913152" w14:textId="77777777" w:rsidR="00F86B78" w:rsidRPr="005B1D45" w:rsidRDefault="00000000" w:rsidP="007C37C3">
            <w:pPr>
              <w:rPr>
                <w:rFonts w:ascii="Arial" w:hAnsi="Arial" w:cs="Arial"/>
              </w:rPr>
            </w:pPr>
            <m:oMathPara>
              <m:oMath>
                <m:sSub>
                  <m:sSubPr>
                    <m:ctrlPr>
                      <w:rPr>
                        <w:rFonts w:ascii="Cambria Math" w:hAnsi="Cambria Math" w:cs="Arial"/>
                        <w:i/>
                      </w:rPr>
                    </m:ctrlPr>
                  </m:sSubPr>
                  <m:e>
                    <m:r>
                      <w:rPr>
                        <w:rFonts w:ascii="Cambria Math" w:hAnsi="Cambria Math" w:cs="Arial"/>
                      </w:rPr>
                      <m:t>β</m:t>
                    </m:r>
                  </m:e>
                  <m:sub>
                    <m:r>
                      <w:rPr>
                        <w:rFonts w:ascii="Cambria Math" w:hAnsi="Cambria Math" w:cs="Arial"/>
                      </w:rPr>
                      <m:t>2</m:t>
                    </m:r>
                  </m:sub>
                </m:sSub>
              </m:oMath>
            </m:oMathPara>
          </w:p>
        </w:tc>
        <w:tc>
          <w:tcPr>
            <w:tcW w:w="1533" w:type="dxa"/>
          </w:tcPr>
          <w:p w14:paraId="6B1E0F6C" w14:textId="77777777" w:rsidR="00F86B78" w:rsidRPr="005B1D45" w:rsidRDefault="00F86B78" w:rsidP="007C37C3">
            <w:pPr>
              <w:rPr>
                <w:rFonts w:ascii="Arial" w:hAnsi="Arial" w:cs="Arial"/>
              </w:rPr>
            </w:pPr>
            <w:r w:rsidRPr="005B1D45">
              <w:rPr>
                <w:rFonts w:ascii="Arial" w:hAnsi="Arial" w:cs="Arial"/>
              </w:rPr>
              <w:t>0.0451</w:t>
            </w:r>
          </w:p>
        </w:tc>
        <w:tc>
          <w:tcPr>
            <w:tcW w:w="1245" w:type="dxa"/>
          </w:tcPr>
          <w:p w14:paraId="7B428D01" w14:textId="77777777" w:rsidR="00F86B78" w:rsidRPr="005B1D45" w:rsidRDefault="00F86B78" w:rsidP="007C37C3">
            <w:pPr>
              <w:rPr>
                <w:rFonts w:ascii="Arial" w:hAnsi="Arial" w:cs="Arial"/>
              </w:rPr>
            </w:pPr>
            <w:r w:rsidRPr="005B1D45">
              <w:rPr>
                <w:rFonts w:ascii="Arial" w:hAnsi="Arial" w:cs="Arial"/>
              </w:rPr>
              <w:t>0.0144</w:t>
            </w:r>
          </w:p>
        </w:tc>
        <w:tc>
          <w:tcPr>
            <w:tcW w:w="1360" w:type="dxa"/>
          </w:tcPr>
          <w:p w14:paraId="4328596C" w14:textId="77777777" w:rsidR="00F86B78" w:rsidRPr="005B1D45" w:rsidRDefault="00F86B78" w:rsidP="007C37C3">
            <w:pPr>
              <w:rPr>
                <w:rFonts w:ascii="Arial" w:hAnsi="Arial" w:cs="Arial"/>
              </w:rPr>
            </w:pPr>
            <w:r w:rsidRPr="005B1D45">
              <w:rPr>
                <w:rFonts w:ascii="Arial" w:hAnsi="Arial" w:cs="Arial"/>
              </w:rPr>
              <w:t>3.1319</w:t>
            </w:r>
          </w:p>
        </w:tc>
        <w:tc>
          <w:tcPr>
            <w:tcW w:w="1062" w:type="dxa"/>
          </w:tcPr>
          <w:p w14:paraId="7DFB5A06" w14:textId="77777777" w:rsidR="00F86B78" w:rsidRPr="005B1D45" w:rsidRDefault="00F86B78" w:rsidP="007C37C3">
            <w:pPr>
              <w:rPr>
                <w:rFonts w:ascii="Arial" w:hAnsi="Arial" w:cs="Arial"/>
              </w:rPr>
            </w:pPr>
            <w:r w:rsidRPr="005B1D45">
              <w:rPr>
                <w:rFonts w:ascii="Arial" w:hAnsi="Arial" w:cs="Arial"/>
              </w:rPr>
              <w:t>0.002</w:t>
            </w:r>
          </w:p>
        </w:tc>
        <w:tc>
          <w:tcPr>
            <w:tcW w:w="1184" w:type="dxa"/>
          </w:tcPr>
          <w:p w14:paraId="2EB9978F" w14:textId="77777777" w:rsidR="00F86B78" w:rsidRPr="005B1D45" w:rsidRDefault="00F86B78" w:rsidP="007C37C3">
            <w:pPr>
              <w:rPr>
                <w:rFonts w:ascii="Arial" w:hAnsi="Arial" w:cs="Arial"/>
              </w:rPr>
            </w:pPr>
            <w:r w:rsidRPr="005B1D45">
              <w:rPr>
                <w:rFonts w:ascii="Arial" w:hAnsi="Arial" w:cs="Arial"/>
              </w:rPr>
              <w:t>0.017</w:t>
            </w:r>
          </w:p>
        </w:tc>
        <w:tc>
          <w:tcPr>
            <w:tcW w:w="994" w:type="dxa"/>
          </w:tcPr>
          <w:p w14:paraId="20F81AB3" w14:textId="77777777" w:rsidR="00F86B78" w:rsidRPr="005B1D45" w:rsidRDefault="00F86B78" w:rsidP="007C37C3">
            <w:pPr>
              <w:rPr>
                <w:rFonts w:ascii="Arial" w:hAnsi="Arial" w:cs="Arial"/>
              </w:rPr>
            </w:pPr>
            <w:r w:rsidRPr="005B1D45">
              <w:rPr>
                <w:rFonts w:ascii="Arial" w:hAnsi="Arial" w:cs="Arial"/>
              </w:rPr>
              <w:t>0.073</w:t>
            </w:r>
          </w:p>
        </w:tc>
      </w:tr>
      <w:tr w:rsidR="00F86B78" w:rsidRPr="005B1D45" w14:paraId="0D1C3A27" w14:textId="77777777" w:rsidTr="007C37C3">
        <w:tc>
          <w:tcPr>
            <w:tcW w:w="1478" w:type="dxa"/>
          </w:tcPr>
          <w:p w14:paraId="4B585349" w14:textId="77777777" w:rsidR="00F86B78" w:rsidRPr="005B1D45" w:rsidRDefault="00000000" w:rsidP="007C37C3">
            <w:pPr>
              <w:rPr>
                <w:rFonts w:ascii="Arial" w:hAnsi="Arial" w:cs="Arial"/>
              </w:rPr>
            </w:pPr>
            <m:oMathPara>
              <m:oMath>
                <m:sSub>
                  <m:sSubPr>
                    <m:ctrlPr>
                      <w:rPr>
                        <w:rFonts w:ascii="Cambria Math" w:hAnsi="Cambria Math" w:cs="Arial"/>
                        <w:i/>
                      </w:rPr>
                    </m:ctrlPr>
                  </m:sSubPr>
                  <m:e>
                    <m:r>
                      <w:rPr>
                        <w:rFonts w:ascii="Cambria Math" w:hAnsi="Cambria Math" w:cs="Arial"/>
                      </w:rPr>
                      <m:t>β</m:t>
                    </m:r>
                  </m:e>
                  <m:sub>
                    <m:r>
                      <w:rPr>
                        <w:rFonts w:ascii="Cambria Math" w:hAnsi="Cambria Math" w:cs="Arial"/>
                      </w:rPr>
                      <m:t>3</m:t>
                    </m:r>
                  </m:sub>
                </m:sSub>
              </m:oMath>
            </m:oMathPara>
          </w:p>
        </w:tc>
        <w:tc>
          <w:tcPr>
            <w:tcW w:w="1533" w:type="dxa"/>
          </w:tcPr>
          <w:p w14:paraId="167FE3A6" w14:textId="77777777" w:rsidR="00F86B78" w:rsidRPr="005B1D45" w:rsidRDefault="00F86B78" w:rsidP="007C37C3">
            <w:pPr>
              <w:rPr>
                <w:rFonts w:ascii="Arial" w:hAnsi="Arial" w:cs="Arial"/>
              </w:rPr>
            </w:pPr>
            <w:r w:rsidRPr="005B1D45">
              <w:rPr>
                <w:rFonts w:ascii="Arial" w:hAnsi="Arial" w:cs="Arial"/>
              </w:rPr>
              <w:t>0.1308</w:t>
            </w:r>
          </w:p>
        </w:tc>
        <w:tc>
          <w:tcPr>
            <w:tcW w:w="1245" w:type="dxa"/>
          </w:tcPr>
          <w:p w14:paraId="434D1FC3" w14:textId="77777777" w:rsidR="00F86B78" w:rsidRPr="005B1D45" w:rsidRDefault="00F86B78" w:rsidP="007C37C3">
            <w:pPr>
              <w:rPr>
                <w:rFonts w:ascii="Arial" w:hAnsi="Arial" w:cs="Arial"/>
              </w:rPr>
            </w:pPr>
            <w:r w:rsidRPr="005B1D45">
              <w:rPr>
                <w:rFonts w:ascii="Arial" w:hAnsi="Arial" w:cs="Arial"/>
              </w:rPr>
              <w:t>0.0151</w:t>
            </w:r>
          </w:p>
        </w:tc>
        <w:tc>
          <w:tcPr>
            <w:tcW w:w="1360" w:type="dxa"/>
          </w:tcPr>
          <w:p w14:paraId="00C8481F" w14:textId="77777777" w:rsidR="00F86B78" w:rsidRPr="005B1D45" w:rsidRDefault="00F86B78" w:rsidP="007C37C3">
            <w:pPr>
              <w:rPr>
                <w:rFonts w:ascii="Arial" w:hAnsi="Arial" w:cs="Arial"/>
              </w:rPr>
            </w:pPr>
            <w:r w:rsidRPr="005B1D45">
              <w:rPr>
                <w:rFonts w:ascii="Arial" w:hAnsi="Arial" w:cs="Arial"/>
              </w:rPr>
              <w:t>8.6623</w:t>
            </w:r>
          </w:p>
        </w:tc>
        <w:tc>
          <w:tcPr>
            <w:tcW w:w="1062" w:type="dxa"/>
          </w:tcPr>
          <w:p w14:paraId="1E837D4B" w14:textId="77777777" w:rsidR="00F86B78" w:rsidRPr="005B1D45" w:rsidRDefault="00F86B78" w:rsidP="007C37C3">
            <w:pPr>
              <w:rPr>
                <w:rFonts w:ascii="Arial" w:hAnsi="Arial" w:cs="Arial"/>
              </w:rPr>
            </w:pPr>
            <w:r w:rsidRPr="005B1D45">
              <w:rPr>
                <w:rFonts w:ascii="Arial" w:hAnsi="Arial" w:cs="Arial"/>
              </w:rPr>
              <w:t>0.000</w:t>
            </w:r>
          </w:p>
        </w:tc>
        <w:tc>
          <w:tcPr>
            <w:tcW w:w="1184" w:type="dxa"/>
          </w:tcPr>
          <w:p w14:paraId="356A6A48" w14:textId="77777777" w:rsidR="00F86B78" w:rsidRPr="005B1D45" w:rsidRDefault="00F86B78" w:rsidP="007C37C3">
            <w:pPr>
              <w:rPr>
                <w:rFonts w:ascii="Arial" w:hAnsi="Arial" w:cs="Arial"/>
              </w:rPr>
            </w:pPr>
            <w:r w:rsidRPr="005B1D45">
              <w:rPr>
                <w:rFonts w:ascii="Arial" w:hAnsi="Arial" w:cs="Arial"/>
              </w:rPr>
              <w:t>0.069</w:t>
            </w:r>
          </w:p>
        </w:tc>
        <w:tc>
          <w:tcPr>
            <w:tcW w:w="994" w:type="dxa"/>
          </w:tcPr>
          <w:p w14:paraId="4E7C2ECC" w14:textId="77777777" w:rsidR="00F86B78" w:rsidRPr="005B1D45" w:rsidRDefault="00F86B78" w:rsidP="007C37C3">
            <w:pPr>
              <w:rPr>
                <w:rFonts w:ascii="Arial" w:hAnsi="Arial" w:cs="Arial"/>
              </w:rPr>
            </w:pPr>
            <w:r w:rsidRPr="005B1D45">
              <w:rPr>
                <w:rFonts w:ascii="Arial" w:hAnsi="Arial" w:cs="Arial"/>
              </w:rPr>
              <w:t>0.179</w:t>
            </w:r>
          </w:p>
        </w:tc>
      </w:tr>
      <w:tr w:rsidR="00F86B78" w:rsidRPr="005B1D45" w14:paraId="1C20365A" w14:textId="77777777" w:rsidTr="007C37C3">
        <w:tc>
          <w:tcPr>
            <w:tcW w:w="8856" w:type="dxa"/>
            <w:gridSpan w:val="7"/>
          </w:tcPr>
          <w:p w14:paraId="0EEFAF2E" w14:textId="77777777" w:rsidR="00F86B78" w:rsidRPr="005B1D45" w:rsidRDefault="00F86B78" w:rsidP="007C37C3">
            <w:pPr>
              <w:jc w:val="center"/>
              <w:rPr>
                <w:rFonts w:ascii="Arial" w:hAnsi="Arial" w:cs="Arial"/>
              </w:rPr>
            </w:pPr>
            <w:r w:rsidRPr="005B1D45">
              <w:rPr>
                <w:rFonts w:ascii="Arial" w:hAnsi="Arial" w:cs="Arial"/>
                <w:b/>
              </w:rPr>
              <w:t>Generalized Poisson Regression (GPR) Model</w:t>
            </w:r>
          </w:p>
        </w:tc>
      </w:tr>
      <w:tr w:rsidR="00F86B78" w:rsidRPr="005B1D45" w14:paraId="38FC5BBD" w14:textId="77777777" w:rsidTr="007C37C3">
        <w:tc>
          <w:tcPr>
            <w:tcW w:w="1478" w:type="dxa"/>
          </w:tcPr>
          <w:p w14:paraId="1AD1EED8" w14:textId="77777777" w:rsidR="00F86B78" w:rsidRPr="005B1D45" w:rsidRDefault="00000000" w:rsidP="007C37C3">
            <w:pPr>
              <w:jc w:val="both"/>
              <w:rPr>
                <w:rFonts w:ascii="Arial" w:hAnsi="Arial" w:cs="Arial"/>
              </w:rPr>
            </w:pPr>
            <m:oMathPara>
              <m:oMath>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oMath>
            </m:oMathPara>
          </w:p>
        </w:tc>
        <w:tc>
          <w:tcPr>
            <w:tcW w:w="1533" w:type="dxa"/>
          </w:tcPr>
          <w:p w14:paraId="02C48746" w14:textId="77777777" w:rsidR="00F86B78" w:rsidRPr="005B1D45" w:rsidRDefault="00F86B78" w:rsidP="007C37C3">
            <w:pPr>
              <w:rPr>
                <w:rFonts w:ascii="Arial" w:hAnsi="Arial" w:cs="Arial"/>
              </w:rPr>
            </w:pPr>
            <w:r w:rsidRPr="005B1D45">
              <w:rPr>
                <w:rFonts w:ascii="Arial" w:hAnsi="Arial" w:cs="Arial"/>
              </w:rPr>
              <w:t>0.2056</w:t>
            </w:r>
          </w:p>
        </w:tc>
        <w:tc>
          <w:tcPr>
            <w:tcW w:w="1245" w:type="dxa"/>
          </w:tcPr>
          <w:p w14:paraId="488641C0" w14:textId="77777777" w:rsidR="00F86B78" w:rsidRPr="005B1D45" w:rsidRDefault="00F86B78" w:rsidP="007C37C3">
            <w:pPr>
              <w:rPr>
                <w:rFonts w:ascii="Arial" w:hAnsi="Arial" w:cs="Arial"/>
              </w:rPr>
            </w:pPr>
            <w:r w:rsidRPr="005B1D45">
              <w:rPr>
                <w:rFonts w:ascii="Arial" w:hAnsi="Arial" w:cs="Arial"/>
              </w:rPr>
              <w:t>0.0590</w:t>
            </w:r>
          </w:p>
        </w:tc>
        <w:tc>
          <w:tcPr>
            <w:tcW w:w="1360" w:type="dxa"/>
          </w:tcPr>
          <w:p w14:paraId="61953ADE" w14:textId="77777777" w:rsidR="00F86B78" w:rsidRPr="005B1D45" w:rsidRDefault="00F86B78" w:rsidP="007C37C3">
            <w:pPr>
              <w:rPr>
                <w:rFonts w:ascii="Arial" w:hAnsi="Arial" w:cs="Arial"/>
              </w:rPr>
            </w:pPr>
            <w:r w:rsidRPr="005B1D45">
              <w:rPr>
                <w:rFonts w:ascii="Arial" w:hAnsi="Arial" w:cs="Arial"/>
              </w:rPr>
              <w:t>3.4847</w:t>
            </w:r>
          </w:p>
        </w:tc>
        <w:tc>
          <w:tcPr>
            <w:tcW w:w="1062" w:type="dxa"/>
          </w:tcPr>
          <w:p w14:paraId="35003881" w14:textId="77777777" w:rsidR="00F86B78" w:rsidRPr="005B1D45" w:rsidRDefault="00F86B78" w:rsidP="007C37C3">
            <w:pPr>
              <w:rPr>
                <w:rFonts w:ascii="Arial" w:hAnsi="Arial" w:cs="Arial"/>
              </w:rPr>
            </w:pPr>
            <w:r w:rsidRPr="005B1D45">
              <w:rPr>
                <w:rFonts w:ascii="Arial" w:hAnsi="Arial" w:cs="Arial"/>
              </w:rPr>
              <w:t>0.001</w:t>
            </w:r>
          </w:p>
        </w:tc>
        <w:tc>
          <w:tcPr>
            <w:tcW w:w="1184" w:type="dxa"/>
          </w:tcPr>
          <w:p w14:paraId="64848F3E" w14:textId="77777777" w:rsidR="00F86B78" w:rsidRPr="005B1D45" w:rsidRDefault="00F86B78" w:rsidP="007C37C3">
            <w:pPr>
              <w:rPr>
                <w:rFonts w:ascii="Arial" w:hAnsi="Arial" w:cs="Arial"/>
              </w:rPr>
            </w:pPr>
            <w:r w:rsidRPr="005B1D45">
              <w:rPr>
                <w:rFonts w:ascii="Arial" w:hAnsi="Arial" w:cs="Arial"/>
              </w:rPr>
              <w:t>0.019</w:t>
            </w:r>
          </w:p>
        </w:tc>
        <w:tc>
          <w:tcPr>
            <w:tcW w:w="994" w:type="dxa"/>
          </w:tcPr>
          <w:p w14:paraId="4C782A52" w14:textId="77777777" w:rsidR="00F86B78" w:rsidRPr="005B1D45" w:rsidRDefault="00F86B78" w:rsidP="007C37C3">
            <w:pPr>
              <w:rPr>
                <w:rFonts w:ascii="Arial" w:hAnsi="Arial" w:cs="Arial"/>
              </w:rPr>
            </w:pPr>
            <w:r w:rsidRPr="005B1D45">
              <w:rPr>
                <w:rFonts w:ascii="Arial" w:hAnsi="Arial" w:cs="Arial"/>
              </w:rPr>
              <w:t>0.352</w:t>
            </w:r>
          </w:p>
        </w:tc>
      </w:tr>
      <w:tr w:rsidR="00F86B78" w:rsidRPr="005B1D45" w14:paraId="7E99095C" w14:textId="77777777" w:rsidTr="007C37C3">
        <w:tc>
          <w:tcPr>
            <w:tcW w:w="1478" w:type="dxa"/>
          </w:tcPr>
          <w:p w14:paraId="4458343B" w14:textId="77777777" w:rsidR="00F86B78" w:rsidRPr="005B1D45" w:rsidRDefault="00000000" w:rsidP="007C37C3">
            <w:pPr>
              <w:rPr>
                <w:rFonts w:ascii="Arial" w:hAnsi="Arial" w:cs="Arial"/>
              </w:rPr>
            </w:pPr>
            <m:oMathPara>
              <m:oMath>
                <m:sSub>
                  <m:sSubPr>
                    <m:ctrlPr>
                      <w:rPr>
                        <w:rFonts w:ascii="Cambria Math" w:hAnsi="Cambria Math" w:cs="Arial"/>
                        <w:i/>
                      </w:rPr>
                    </m:ctrlPr>
                  </m:sSubPr>
                  <m:e>
                    <m:r>
                      <w:rPr>
                        <w:rFonts w:ascii="Cambria Math" w:hAnsi="Cambria Math" w:cs="Arial"/>
                      </w:rPr>
                      <m:t>β</m:t>
                    </m:r>
                  </m:e>
                  <m:sub>
                    <m:r>
                      <w:rPr>
                        <w:rFonts w:ascii="Cambria Math" w:hAnsi="Cambria Math" w:cs="Arial"/>
                      </w:rPr>
                      <m:t>1</m:t>
                    </m:r>
                  </m:sub>
                </m:sSub>
              </m:oMath>
            </m:oMathPara>
          </w:p>
        </w:tc>
        <w:tc>
          <w:tcPr>
            <w:tcW w:w="1533" w:type="dxa"/>
          </w:tcPr>
          <w:p w14:paraId="06D89BB8" w14:textId="77777777" w:rsidR="00F86B78" w:rsidRPr="005B1D45" w:rsidRDefault="00F86B78" w:rsidP="007C37C3">
            <w:pPr>
              <w:rPr>
                <w:rFonts w:ascii="Arial" w:hAnsi="Arial" w:cs="Arial"/>
              </w:rPr>
            </w:pPr>
            <w:r w:rsidRPr="005B1D45">
              <w:rPr>
                <w:rFonts w:ascii="Arial" w:hAnsi="Arial" w:cs="Arial"/>
              </w:rPr>
              <w:t>0.1141</w:t>
            </w:r>
          </w:p>
        </w:tc>
        <w:tc>
          <w:tcPr>
            <w:tcW w:w="1245" w:type="dxa"/>
          </w:tcPr>
          <w:p w14:paraId="3EDAA4FB" w14:textId="77777777" w:rsidR="00F86B78" w:rsidRPr="005B1D45" w:rsidRDefault="00F86B78" w:rsidP="007C37C3">
            <w:pPr>
              <w:rPr>
                <w:rFonts w:ascii="Arial" w:hAnsi="Arial" w:cs="Arial"/>
              </w:rPr>
            </w:pPr>
            <w:r w:rsidRPr="005B1D45">
              <w:rPr>
                <w:rFonts w:ascii="Arial" w:hAnsi="Arial" w:cs="Arial"/>
              </w:rPr>
              <w:t>0.0073</w:t>
            </w:r>
          </w:p>
        </w:tc>
        <w:tc>
          <w:tcPr>
            <w:tcW w:w="1360" w:type="dxa"/>
          </w:tcPr>
          <w:p w14:paraId="64F8016E" w14:textId="77777777" w:rsidR="00F86B78" w:rsidRPr="005B1D45" w:rsidRDefault="00F86B78" w:rsidP="007C37C3">
            <w:pPr>
              <w:rPr>
                <w:rFonts w:ascii="Arial" w:hAnsi="Arial" w:cs="Arial"/>
              </w:rPr>
            </w:pPr>
            <w:r w:rsidRPr="005B1D45">
              <w:rPr>
                <w:rFonts w:ascii="Arial" w:hAnsi="Arial" w:cs="Arial"/>
              </w:rPr>
              <w:t>15.630</w:t>
            </w:r>
          </w:p>
        </w:tc>
        <w:tc>
          <w:tcPr>
            <w:tcW w:w="1062" w:type="dxa"/>
          </w:tcPr>
          <w:p w14:paraId="195BC768" w14:textId="77777777" w:rsidR="00F86B78" w:rsidRPr="005B1D45" w:rsidRDefault="00F86B78" w:rsidP="007C37C3">
            <w:pPr>
              <w:rPr>
                <w:rFonts w:ascii="Arial" w:hAnsi="Arial" w:cs="Arial"/>
              </w:rPr>
            </w:pPr>
            <w:r w:rsidRPr="005B1D45">
              <w:rPr>
                <w:rFonts w:ascii="Arial" w:hAnsi="Arial" w:cs="Arial"/>
              </w:rPr>
              <w:t>0.000</w:t>
            </w:r>
          </w:p>
        </w:tc>
        <w:tc>
          <w:tcPr>
            <w:tcW w:w="1184" w:type="dxa"/>
          </w:tcPr>
          <w:p w14:paraId="70FDB094" w14:textId="77777777" w:rsidR="00F86B78" w:rsidRPr="005B1D45" w:rsidRDefault="00F86B78" w:rsidP="007C37C3">
            <w:pPr>
              <w:rPr>
                <w:rFonts w:ascii="Arial" w:hAnsi="Arial" w:cs="Arial"/>
              </w:rPr>
            </w:pPr>
            <w:r w:rsidRPr="005B1D45">
              <w:rPr>
                <w:rFonts w:ascii="Arial" w:hAnsi="Arial" w:cs="Arial"/>
              </w:rPr>
              <w:t>0.051</w:t>
            </w:r>
          </w:p>
        </w:tc>
        <w:tc>
          <w:tcPr>
            <w:tcW w:w="994" w:type="dxa"/>
          </w:tcPr>
          <w:p w14:paraId="4F6C08C3" w14:textId="77777777" w:rsidR="00F86B78" w:rsidRPr="005B1D45" w:rsidRDefault="00F86B78" w:rsidP="007C37C3">
            <w:pPr>
              <w:rPr>
                <w:rFonts w:ascii="Arial" w:hAnsi="Arial" w:cs="Arial"/>
              </w:rPr>
            </w:pPr>
            <w:r w:rsidRPr="005B1D45">
              <w:rPr>
                <w:rFonts w:ascii="Arial" w:hAnsi="Arial" w:cs="Arial"/>
              </w:rPr>
              <w:t>0.229</w:t>
            </w:r>
          </w:p>
        </w:tc>
      </w:tr>
      <w:tr w:rsidR="00F86B78" w:rsidRPr="005B1D45" w14:paraId="758D8C68" w14:textId="77777777" w:rsidTr="007C37C3">
        <w:tc>
          <w:tcPr>
            <w:tcW w:w="1478" w:type="dxa"/>
          </w:tcPr>
          <w:p w14:paraId="50091D89" w14:textId="77777777" w:rsidR="00F86B78" w:rsidRPr="005B1D45" w:rsidRDefault="00000000" w:rsidP="007C37C3">
            <w:pPr>
              <w:rPr>
                <w:rFonts w:ascii="Arial" w:hAnsi="Arial" w:cs="Arial"/>
              </w:rPr>
            </w:pPr>
            <m:oMathPara>
              <m:oMath>
                <m:sSub>
                  <m:sSubPr>
                    <m:ctrlPr>
                      <w:rPr>
                        <w:rFonts w:ascii="Cambria Math" w:hAnsi="Cambria Math" w:cs="Arial"/>
                        <w:i/>
                      </w:rPr>
                    </m:ctrlPr>
                  </m:sSubPr>
                  <m:e>
                    <m:r>
                      <w:rPr>
                        <w:rFonts w:ascii="Cambria Math" w:hAnsi="Cambria Math" w:cs="Arial"/>
                      </w:rPr>
                      <m:t>β</m:t>
                    </m:r>
                  </m:e>
                  <m:sub>
                    <m:r>
                      <w:rPr>
                        <w:rFonts w:ascii="Cambria Math" w:hAnsi="Cambria Math" w:cs="Arial"/>
                      </w:rPr>
                      <m:t>2</m:t>
                    </m:r>
                  </m:sub>
                </m:sSub>
              </m:oMath>
            </m:oMathPara>
          </w:p>
        </w:tc>
        <w:tc>
          <w:tcPr>
            <w:tcW w:w="1533" w:type="dxa"/>
          </w:tcPr>
          <w:p w14:paraId="08BEE837" w14:textId="77777777" w:rsidR="00F86B78" w:rsidRPr="005B1D45" w:rsidRDefault="00F86B78" w:rsidP="007C37C3">
            <w:pPr>
              <w:rPr>
                <w:rFonts w:ascii="Arial" w:hAnsi="Arial" w:cs="Arial"/>
              </w:rPr>
            </w:pPr>
            <w:r w:rsidRPr="005B1D45">
              <w:rPr>
                <w:rFonts w:ascii="Arial" w:hAnsi="Arial" w:cs="Arial"/>
              </w:rPr>
              <w:t>0.0467</w:t>
            </w:r>
          </w:p>
        </w:tc>
        <w:tc>
          <w:tcPr>
            <w:tcW w:w="1245" w:type="dxa"/>
          </w:tcPr>
          <w:p w14:paraId="1EDF387C" w14:textId="77777777" w:rsidR="00F86B78" w:rsidRPr="005B1D45" w:rsidRDefault="00F86B78" w:rsidP="007C37C3">
            <w:pPr>
              <w:rPr>
                <w:rFonts w:ascii="Arial" w:hAnsi="Arial" w:cs="Arial"/>
              </w:rPr>
            </w:pPr>
            <w:r w:rsidRPr="005B1D45">
              <w:rPr>
                <w:rFonts w:ascii="Arial" w:hAnsi="Arial" w:cs="Arial"/>
              </w:rPr>
              <w:t>0.0153</w:t>
            </w:r>
          </w:p>
        </w:tc>
        <w:tc>
          <w:tcPr>
            <w:tcW w:w="1360" w:type="dxa"/>
          </w:tcPr>
          <w:p w14:paraId="7486B0DB" w14:textId="77777777" w:rsidR="00F86B78" w:rsidRPr="005B1D45" w:rsidRDefault="00F86B78" w:rsidP="007C37C3">
            <w:pPr>
              <w:rPr>
                <w:rFonts w:ascii="Arial" w:hAnsi="Arial" w:cs="Arial"/>
              </w:rPr>
            </w:pPr>
            <w:r w:rsidRPr="005B1D45">
              <w:rPr>
                <w:rFonts w:ascii="Arial" w:hAnsi="Arial" w:cs="Arial"/>
              </w:rPr>
              <w:t>3.0523</w:t>
            </w:r>
          </w:p>
        </w:tc>
        <w:tc>
          <w:tcPr>
            <w:tcW w:w="1062" w:type="dxa"/>
          </w:tcPr>
          <w:p w14:paraId="6E3BAA28" w14:textId="77777777" w:rsidR="00F86B78" w:rsidRPr="005B1D45" w:rsidRDefault="00F86B78" w:rsidP="007C37C3">
            <w:pPr>
              <w:rPr>
                <w:rFonts w:ascii="Arial" w:hAnsi="Arial" w:cs="Arial"/>
              </w:rPr>
            </w:pPr>
            <w:r w:rsidRPr="005B1D45">
              <w:rPr>
                <w:rFonts w:ascii="Arial" w:hAnsi="Arial" w:cs="Arial"/>
              </w:rPr>
              <w:t>0.002</w:t>
            </w:r>
          </w:p>
        </w:tc>
        <w:tc>
          <w:tcPr>
            <w:tcW w:w="1184" w:type="dxa"/>
          </w:tcPr>
          <w:p w14:paraId="01FBB041" w14:textId="77777777" w:rsidR="00F86B78" w:rsidRPr="005B1D45" w:rsidRDefault="00F86B78" w:rsidP="007C37C3">
            <w:pPr>
              <w:rPr>
                <w:rFonts w:ascii="Arial" w:hAnsi="Arial" w:cs="Arial"/>
              </w:rPr>
            </w:pPr>
            <w:r w:rsidRPr="005B1D45">
              <w:rPr>
                <w:rFonts w:ascii="Arial" w:hAnsi="Arial" w:cs="Arial"/>
              </w:rPr>
              <w:t>0.017</w:t>
            </w:r>
          </w:p>
        </w:tc>
        <w:tc>
          <w:tcPr>
            <w:tcW w:w="994" w:type="dxa"/>
          </w:tcPr>
          <w:p w14:paraId="2FA55A7F" w14:textId="77777777" w:rsidR="00F86B78" w:rsidRPr="005B1D45" w:rsidRDefault="00F86B78" w:rsidP="007C37C3">
            <w:pPr>
              <w:rPr>
                <w:rFonts w:ascii="Arial" w:hAnsi="Arial" w:cs="Arial"/>
              </w:rPr>
            </w:pPr>
            <w:r w:rsidRPr="005B1D45">
              <w:rPr>
                <w:rFonts w:ascii="Arial" w:hAnsi="Arial" w:cs="Arial"/>
              </w:rPr>
              <w:t>0.076</w:t>
            </w:r>
          </w:p>
        </w:tc>
      </w:tr>
      <w:tr w:rsidR="00F86B78" w:rsidRPr="005B1D45" w14:paraId="7D412933" w14:textId="77777777" w:rsidTr="007C37C3">
        <w:tc>
          <w:tcPr>
            <w:tcW w:w="1478" w:type="dxa"/>
          </w:tcPr>
          <w:p w14:paraId="5250738E" w14:textId="77777777" w:rsidR="00F86B78" w:rsidRPr="005B1D45" w:rsidRDefault="00000000" w:rsidP="007C37C3">
            <w:pPr>
              <w:rPr>
                <w:rFonts w:ascii="Arial" w:hAnsi="Arial" w:cs="Arial"/>
              </w:rPr>
            </w:pPr>
            <m:oMathPara>
              <m:oMath>
                <m:sSub>
                  <m:sSubPr>
                    <m:ctrlPr>
                      <w:rPr>
                        <w:rFonts w:ascii="Cambria Math" w:hAnsi="Cambria Math" w:cs="Arial"/>
                        <w:i/>
                      </w:rPr>
                    </m:ctrlPr>
                  </m:sSubPr>
                  <m:e>
                    <m:r>
                      <w:rPr>
                        <w:rFonts w:ascii="Cambria Math" w:hAnsi="Cambria Math" w:cs="Arial"/>
                      </w:rPr>
                      <m:t>β</m:t>
                    </m:r>
                  </m:e>
                  <m:sub>
                    <m:r>
                      <w:rPr>
                        <w:rFonts w:ascii="Cambria Math" w:hAnsi="Cambria Math" w:cs="Arial"/>
                      </w:rPr>
                      <m:t>3</m:t>
                    </m:r>
                  </m:sub>
                </m:sSub>
              </m:oMath>
            </m:oMathPara>
          </w:p>
        </w:tc>
        <w:tc>
          <w:tcPr>
            <w:tcW w:w="1533" w:type="dxa"/>
          </w:tcPr>
          <w:p w14:paraId="736DFF80" w14:textId="77777777" w:rsidR="00F86B78" w:rsidRPr="005B1D45" w:rsidRDefault="00F86B78" w:rsidP="007C37C3">
            <w:pPr>
              <w:rPr>
                <w:rFonts w:ascii="Arial" w:hAnsi="Arial" w:cs="Arial"/>
              </w:rPr>
            </w:pPr>
            <w:r w:rsidRPr="005B1D45">
              <w:rPr>
                <w:rFonts w:ascii="Arial" w:hAnsi="Arial" w:cs="Arial"/>
              </w:rPr>
              <w:t>0.0312</w:t>
            </w:r>
          </w:p>
        </w:tc>
        <w:tc>
          <w:tcPr>
            <w:tcW w:w="1245" w:type="dxa"/>
          </w:tcPr>
          <w:p w14:paraId="5DEFC770" w14:textId="77777777" w:rsidR="00F86B78" w:rsidRPr="005B1D45" w:rsidRDefault="00F86B78" w:rsidP="007C37C3">
            <w:pPr>
              <w:rPr>
                <w:rFonts w:ascii="Arial" w:hAnsi="Arial" w:cs="Arial"/>
              </w:rPr>
            </w:pPr>
            <w:r w:rsidRPr="005B1D45">
              <w:rPr>
                <w:rFonts w:ascii="Arial" w:hAnsi="Arial" w:cs="Arial"/>
              </w:rPr>
              <w:t>0.0155</w:t>
            </w:r>
          </w:p>
        </w:tc>
        <w:tc>
          <w:tcPr>
            <w:tcW w:w="1360" w:type="dxa"/>
          </w:tcPr>
          <w:p w14:paraId="52C2E9EE" w14:textId="77777777" w:rsidR="00F86B78" w:rsidRPr="005B1D45" w:rsidRDefault="00F86B78" w:rsidP="007C37C3">
            <w:pPr>
              <w:rPr>
                <w:rFonts w:ascii="Arial" w:hAnsi="Arial" w:cs="Arial"/>
              </w:rPr>
            </w:pPr>
            <w:r w:rsidRPr="005B1D45">
              <w:rPr>
                <w:rFonts w:ascii="Arial" w:hAnsi="Arial" w:cs="Arial"/>
              </w:rPr>
              <w:t>2.0129</w:t>
            </w:r>
          </w:p>
        </w:tc>
        <w:tc>
          <w:tcPr>
            <w:tcW w:w="1062" w:type="dxa"/>
          </w:tcPr>
          <w:p w14:paraId="1A952BED" w14:textId="77777777" w:rsidR="00F86B78" w:rsidRPr="005B1D45" w:rsidRDefault="00F86B78" w:rsidP="007C37C3">
            <w:pPr>
              <w:rPr>
                <w:rFonts w:ascii="Arial" w:hAnsi="Arial" w:cs="Arial"/>
              </w:rPr>
            </w:pPr>
            <w:r w:rsidRPr="005B1D45">
              <w:rPr>
                <w:rFonts w:ascii="Arial" w:hAnsi="Arial" w:cs="Arial"/>
              </w:rPr>
              <w:t>0.044</w:t>
            </w:r>
          </w:p>
        </w:tc>
        <w:tc>
          <w:tcPr>
            <w:tcW w:w="1184" w:type="dxa"/>
          </w:tcPr>
          <w:p w14:paraId="67C2DC1E" w14:textId="77777777" w:rsidR="00F86B78" w:rsidRPr="005B1D45" w:rsidRDefault="00F86B78" w:rsidP="007C37C3">
            <w:pPr>
              <w:rPr>
                <w:rFonts w:ascii="Arial" w:hAnsi="Arial" w:cs="Arial"/>
              </w:rPr>
            </w:pPr>
            <w:r w:rsidRPr="005B1D45">
              <w:rPr>
                <w:rFonts w:ascii="Arial" w:hAnsi="Arial" w:cs="Arial"/>
              </w:rPr>
              <w:t>0.006</w:t>
            </w:r>
          </w:p>
        </w:tc>
        <w:tc>
          <w:tcPr>
            <w:tcW w:w="994" w:type="dxa"/>
          </w:tcPr>
          <w:p w14:paraId="39834D81" w14:textId="77777777" w:rsidR="00F86B78" w:rsidRPr="005B1D45" w:rsidRDefault="00F86B78" w:rsidP="007C37C3">
            <w:pPr>
              <w:rPr>
                <w:rFonts w:ascii="Arial" w:hAnsi="Arial" w:cs="Arial"/>
              </w:rPr>
            </w:pPr>
            <w:r w:rsidRPr="005B1D45">
              <w:rPr>
                <w:rFonts w:ascii="Arial" w:hAnsi="Arial" w:cs="Arial"/>
              </w:rPr>
              <w:t>0.064</w:t>
            </w:r>
          </w:p>
        </w:tc>
      </w:tr>
    </w:tbl>
    <w:p w14:paraId="47D6737A" w14:textId="77777777" w:rsidR="00F86B78" w:rsidRPr="005B1D45" w:rsidRDefault="00F86B78" w:rsidP="00F86B78">
      <w:pPr>
        <w:jc w:val="both"/>
        <w:rPr>
          <w:rFonts w:ascii="Arial" w:hAnsi="Arial" w:cs="Arial"/>
        </w:rPr>
      </w:pPr>
      <w:r w:rsidRPr="005B1D45">
        <w:rPr>
          <w:rFonts w:ascii="Arial" w:hAnsi="Arial" w:cs="Arial"/>
        </w:rPr>
        <w:t>In Poisson regression model, the response variables are count-based, and the model predicts the log of the expected count as a function of the predictor variables. The parameter estimates from the Poisson regression, as shown in upper panel of Table 4, can also be represented as follows:</w:t>
      </w:r>
    </w:p>
    <w:p w14:paraId="0918E32B" w14:textId="77777777" w:rsidR="00F86B78" w:rsidRPr="005B1D45" w:rsidRDefault="00000000" w:rsidP="00F86B78">
      <w:pPr>
        <w:jc w:val="both"/>
        <w:rPr>
          <w:rFonts w:ascii="Arial" w:hAnsi="Arial" w:cs="Arial"/>
        </w:rPr>
      </w:pPr>
      <m:oMathPara>
        <m:oMath>
          <m:func>
            <m:funcPr>
              <m:ctrlPr>
                <w:rPr>
                  <w:rFonts w:ascii="Cambria Math" w:hAnsi="Cambria Math" w:cs="Arial"/>
                  <w:i/>
                </w:rPr>
              </m:ctrlPr>
            </m:funcPr>
            <m:fName>
              <m:r>
                <m:rPr>
                  <m:sty m:val="p"/>
                </m:rPr>
                <w:rPr>
                  <w:rFonts w:ascii="Cambria Math" w:hAnsi="Cambria Math" w:cs="Arial"/>
                </w:rPr>
                <m:t>ln</m:t>
              </m:r>
            </m:fName>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λ</m:t>
                      </m:r>
                    </m:e>
                    <m:sub>
                      <m:r>
                        <w:rPr>
                          <w:rFonts w:ascii="Cambria Math" w:hAnsi="Cambria Math" w:cs="Arial"/>
                        </w:rPr>
                        <m:t>i</m:t>
                      </m:r>
                    </m:sub>
                  </m:sSub>
                </m:e>
              </m:d>
              <m:r>
                <w:rPr>
                  <w:rFonts w:ascii="Cambria Math" w:hAnsi="Cambria Math" w:cs="Arial"/>
                </w:rPr>
                <m:t>=</m:t>
              </m:r>
            </m:e>
          </m:func>
          <m:r>
            <w:rPr>
              <w:rFonts w:ascii="Cambria Math" w:hAnsi="Cambria Math" w:cs="Arial"/>
            </w:rPr>
            <m:t xml:space="preserve"> 0.1234+0.0152</m:t>
          </m:r>
          <m:sSub>
            <m:sSubPr>
              <m:ctrlPr>
                <w:rPr>
                  <w:rFonts w:ascii="Cambria Math" w:hAnsi="Cambria Math" w:cs="Arial"/>
                  <w:i/>
                </w:rPr>
              </m:ctrlPr>
            </m:sSubPr>
            <m:e>
              <m:r>
                <w:rPr>
                  <w:rFonts w:ascii="Cambria Math" w:hAnsi="Cambria Math" w:cs="Arial"/>
                </w:rPr>
                <m:t>x</m:t>
              </m:r>
            </m:e>
            <m:sub>
              <m:r>
                <w:rPr>
                  <w:rFonts w:ascii="Cambria Math" w:hAnsi="Cambria Math" w:cs="Arial"/>
                </w:rPr>
                <m:t>1</m:t>
              </m:r>
            </m:sub>
          </m:sSub>
          <m:r>
            <w:rPr>
              <w:rFonts w:ascii="Cambria Math" w:hAnsi="Cambria Math" w:cs="Arial"/>
            </w:rPr>
            <m:t>+0.0478</m:t>
          </m:r>
          <m:sSub>
            <m:sSubPr>
              <m:ctrlPr>
                <w:rPr>
                  <w:rFonts w:ascii="Cambria Math" w:hAnsi="Cambria Math" w:cs="Arial"/>
                  <w:i/>
                </w:rPr>
              </m:ctrlPr>
            </m:sSubPr>
            <m:e>
              <m:r>
                <w:rPr>
                  <w:rFonts w:ascii="Cambria Math" w:hAnsi="Cambria Math" w:cs="Arial"/>
                </w:rPr>
                <m:t>x</m:t>
              </m:r>
            </m:e>
            <m:sub>
              <m:r>
                <w:rPr>
                  <w:rFonts w:ascii="Cambria Math" w:hAnsi="Cambria Math" w:cs="Arial"/>
                </w:rPr>
                <m:t>2</m:t>
              </m:r>
            </m:sub>
          </m:sSub>
          <m:r>
            <w:rPr>
              <w:rFonts w:ascii="Cambria Math" w:hAnsi="Cambria Math" w:cs="Arial"/>
            </w:rPr>
            <m:t>+0.0321</m:t>
          </m:r>
          <m:sSub>
            <m:sSubPr>
              <m:ctrlPr>
                <w:rPr>
                  <w:rFonts w:ascii="Cambria Math" w:hAnsi="Cambria Math" w:cs="Arial"/>
                  <w:i/>
                </w:rPr>
              </m:ctrlPr>
            </m:sSubPr>
            <m:e>
              <m:r>
                <w:rPr>
                  <w:rFonts w:ascii="Cambria Math" w:hAnsi="Cambria Math" w:cs="Arial"/>
                </w:rPr>
                <m:t>x</m:t>
              </m:r>
            </m:e>
            <m:sub>
              <m:r>
                <w:rPr>
                  <w:rFonts w:ascii="Cambria Math" w:hAnsi="Cambria Math" w:cs="Arial"/>
                </w:rPr>
                <m:t>3</m:t>
              </m:r>
            </m:sub>
          </m:sSub>
          <m:r>
            <w:rPr>
              <w:rFonts w:ascii="Cambria Math" w:hAnsi="Cambria Math" w:cs="Arial"/>
            </w:rPr>
            <m:t xml:space="preserve">                                                  (14)</m:t>
          </m:r>
        </m:oMath>
      </m:oMathPara>
    </w:p>
    <w:p w14:paraId="1ACFA5EA" w14:textId="77777777" w:rsidR="00F86B78" w:rsidRPr="005B1D45" w:rsidRDefault="00F86B78" w:rsidP="00F86B78">
      <w:pPr>
        <w:spacing w:before="240"/>
        <w:jc w:val="both"/>
        <w:rPr>
          <w:rFonts w:ascii="Arial" w:hAnsi="Arial" w:cs="Arial"/>
          <w:shd w:val="clear" w:color="auto" w:fill="FFFFFF"/>
        </w:rPr>
      </w:pPr>
      <w:r w:rsidRPr="005B1D45">
        <w:rPr>
          <w:rFonts w:ascii="Arial" w:hAnsi="Arial" w:cs="Arial"/>
        </w:rPr>
        <w:t>The intercept in the Poisson regression model represents the estimated log count of diabetes-related deaths when all predictor variables are set to zero. In the model results presented in Table 4, the intercept is positively associated with diabetes-related deaths and is statistically significant at the 5% level. This indicates that, with all other variables held constant, the log of the expected count of diabetes-related deaths is 0.1234</w:t>
      </w:r>
      <w:r w:rsidRPr="005B1D45">
        <w:rPr>
          <w:rFonts w:ascii="Arial" w:hAnsi="Arial" w:cs="Arial"/>
          <w:shd w:val="clear" w:color="auto" w:fill="FFFFFF"/>
        </w:rPr>
        <w:t>.</w:t>
      </w:r>
    </w:p>
    <w:p w14:paraId="2B1CCBD0" w14:textId="77777777" w:rsidR="00F86B78" w:rsidRPr="005B1D45" w:rsidRDefault="00F86B78" w:rsidP="00F86B78">
      <w:pPr>
        <w:spacing w:before="240"/>
        <w:jc w:val="both"/>
        <w:rPr>
          <w:rFonts w:ascii="Arial" w:hAnsi="Arial" w:cs="Arial"/>
        </w:rPr>
      </w:pPr>
      <w:r w:rsidRPr="005B1D45">
        <w:rPr>
          <w:rFonts w:ascii="Arial" w:hAnsi="Arial" w:cs="Arial"/>
          <w:shd w:val="clear" w:color="auto" w:fill="FFFFFF"/>
        </w:rPr>
        <w:t>The slope coefficients for confirmed (</w:t>
      </w:r>
      <m:oMath>
        <m:sSub>
          <m:sSubPr>
            <m:ctrlPr>
              <w:rPr>
                <w:rFonts w:ascii="Cambria Math" w:hAnsi="Cambria Math" w:cs="Arial"/>
                <w:i/>
                <w:shd w:val="clear" w:color="auto" w:fill="FFFFFF"/>
              </w:rPr>
            </m:ctrlPr>
          </m:sSubPr>
          <m:e>
            <m:r>
              <w:rPr>
                <w:rFonts w:ascii="Cambria Math" w:hAnsi="Cambria Math" w:cs="Arial"/>
                <w:shd w:val="clear" w:color="auto" w:fill="FFFFFF"/>
              </w:rPr>
              <m:t>β</m:t>
            </m:r>
          </m:e>
          <m:sub>
            <m:r>
              <w:rPr>
                <w:rFonts w:ascii="Cambria Math" w:hAnsi="Cambria Math" w:cs="Arial"/>
                <w:shd w:val="clear" w:color="auto" w:fill="FFFFFF"/>
              </w:rPr>
              <m:t>1</m:t>
            </m:r>
          </m:sub>
        </m:sSub>
      </m:oMath>
      <w:r w:rsidRPr="005B1D45">
        <w:rPr>
          <w:rFonts w:ascii="Arial" w:hAnsi="Arial" w:cs="Arial"/>
          <w:shd w:val="clear" w:color="auto" w:fill="FFFFFF"/>
        </w:rPr>
        <w:t>), active (</w:t>
      </w:r>
      <m:oMath>
        <m:sSub>
          <m:sSubPr>
            <m:ctrlPr>
              <w:rPr>
                <w:rFonts w:ascii="Cambria Math" w:hAnsi="Cambria Math" w:cs="Arial"/>
                <w:i/>
                <w:shd w:val="clear" w:color="auto" w:fill="FFFFFF"/>
              </w:rPr>
            </m:ctrlPr>
          </m:sSubPr>
          <m:e>
            <m:r>
              <w:rPr>
                <w:rFonts w:ascii="Cambria Math" w:hAnsi="Cambria Math" w:cs="Arial"/>
                <w:shd w:val="clear" w:color="auto" w:fill="FFFFFF"/>
              </w:rPr>
              <m:t>β</m:t>
            </m:r>
          </m:e>
          <m:sub>
            <m:r>
              <w:rPr>
                <w:rFonts w:ascii="Cambria Math" w:hAnsi="Cambria Math" w:cs="Arial"/>
                <w:shd w:val="clear" w:color="auto" w:fill="FFFFFF"/>
              </w:rPr>
              <m:t>2</m:t>
            </m:r>
          </m:sub>
        </m:sSub>
      </m:oMath>
      <w:r w:rsidRPr="005B1D45">
        <w:rPr>
          <w:rFonts w:ascii="Arial" w:hAnsi="Arial" w:cs="Arial"/>
          <w:shd w:val="clear" w:color="auto" w:fill="FFFFFF"/>
        </w:rPr>
        <w:t>) and severe (</w:t>
      </w:r>
      <m:oMath>
        <m:sSub>
          <m:sSubPr>
            <m:ctrlPr>
              <w:rPr>
                <w:rFonts w:ascii="Cambria Math" w:hAnsi="Cambria Math" w:cs="Arial"/>
                <w:i/>
                <w:shd w:val="clear" w:color="auto" w:fill="FFFFFF"/>
              </w:rPr>
            </m:ctrlPr>
          </m:sSubPr>
          <m:e>
            <m:r>
              <w:rPr>
                <w:rFonts w:ascii="Cambria Math" w:hAnsi="Cambria Math" w:cs="Arial"/>
                <w:shd w:val="clear" w:color="auto" w:fill="FFFFFF"/>
              </w:rPr>
              <m:t>β</m:t>
            </m:r>
          </m:e>
          <m:sub>
            <m:r>
              <w:rPr>
                <w:rFonts w:ascii="Cambria Math" w:hAnsi="Cambria Math" w:cs="Arial"/>
                <w:shd w:val="clear" w:color="auto" w:fill="FFFFFF"/>
              </w:rPr>
              <m:t>3</m:t>
            </m:r>
          </m:sub>
        </m:sSub>
      </m:oMath>
      <w:r w:rsidRPr="005B1D45">
        <w:rPr>
          <w:rFonts w:ascii="Arial" w:hAnsi="Arial" w:cs="Arial"/>
          <w:shd w:val="clear" w:color="auto" w:fill="FFFFFF"/>
        </w:rPr>
        <w:t xml:space="preserve">) cases </w:t>
      </w:r>
      <w:r w:rsidRPr="005B1D45">
        <w:rPr>
          <w:rFonts w:ascii="Arial" w:hAnsi="Arial" w:cs="Arial"/>
        </w:rPr>
        <w:t>are also positively associated with diabetes-related deaths and are statistically significant at the 5% level. This suggests that increases in the counts of confirmed, active, and severe diabetes cases are associated with increases in diabetes-related deaths. Specifically, for each additional case in confirmed, active, and severe categories, the expected log count of diabetes-related deaths is expected to increase by 0.0152, 0.0478, and 0.0321 units, respectively.</w:t>
      </w:r>
    </w:p>
    <w:p w14:paraId="0AC3C12F" w14:textId="77777777" w:rsidR="00F86B78" w:rsidRPr="005B1D45" w:rsidRDefault="00F86B78" w:rsidP="00F86B78">
      <w:pPr>
        <w:jc w:val="both"/>
        <w:rPr>
          <w:rFonts w:ascii="Arial" w:hAnsi="Arial" w:cs="Arial"/>
        </w:rPr>
      </w:pPr>
      <w:r w:rsidRPr="005B1D45">
        <w:rPr>
          <w:rFonts w:ascii="Arial" w:hAnsi="Arial" w:cs="Arial"/>
        </w:rPr>
        <w:t>The parameter estimates from the Negative Binomial Regression, as shown in middle panel of Table 4, can also be represented as follows:</w:t>
      </w:r>
    </w:p>
    <w:p w14:paraId="12D6DAA7" w14:textId="77777777" w:rsidR="00F86B78" w:rsidRPr="005B1D45" w:rsidRDefault="00F86B78" w:rsidP="00F86B78">
      <w:pPr>
        <w:jc w:val="both"/>
        <w:rPr>
          <w:rFonts w:ascii="Arial" w:eastAsiaTheme="minorEastAsia" w:hAnsi="Arial" w:cs="Arial"/>
        </w:rPr>
      </w:pPr>
      <m:oMathPara>
        <m:oMath>
          <m:r>
            <w:rPr>
              <w:rFonts w:ascii="Cambria Math" w:hAnsi="Cambria Math" w:cs="Arial"/>
            </w:rPr>
            <m:t>η= 0.1898+0.1127</m:t>
          </m:r>
          <m:sSub>
            <m:sSubPr>
              <m:ctrlPr>
                <w:rPr>
                  <w:rFonts w:ascii="Cambria Math" w:hAnsi="Cambria Math" w:cs="Arial"/>
                  <w:i/>
                </w:rPr>
              </m:ctrlPr>
            </m:sSubPr>
            <m:e>
              <m:r>
                <w:rPr>
                  <w:rFonts w:ascii="Cambria Math" w:hAnsi="Cambria Math" w:cs="Arial"/>
                </w:rPr>
                <m:t>x</m:t>
              </m:r>
            </m:e>
            <m:sub>
              <m:r>
                <w:rPr>
                  <w:rFonts w:ascii="Cambria Math" w:hAnsi="Cambria Math" w:cs="Arial"/>
                </w:rPr>
                <m:t>1</m:t>
              </m:r>
            </m:sub>
          </m:sSub>
          <m:r>
            <w:rPr>
              <w:rFonts w:ascii="Cambria Math" w:hAnsi="Cambria Math" w:cs="Arial"/>
            </w:rPr>
            <m:t>+0.0451</m:t>
          </m:r>
          <m:sSub>
            <m:sSubPr>
              <m:ctrlPr>
                <w:rPr>
                  <w:rFonts w:ascii="Cambria Math" w:hAnsi="Cambria Math" w:cs="Arial"/>
                  <w:i/>
                </w:rPr>
              </m:ctrlPr>
            </m:sSubPr>
            <m:e>
              <m:r>
                <w:rPr>
                  <w:rFonts w:ascii="Cambria Math" w:hAnsi="Cambria Math" w:cs="Arial"/>
                </w:rPr>
                <m:t>x</m:t>
              </m:r>
            </m:e>
            <m:sub>
              <m:r>
                <w:rPr>
                  <w:rFonts w:ascii="Cambria Math" w:hAnsi="Cambria Math" w:cs="Arial"/>
                </w:rPr>
                <m:t>2</m:t>
              </m:r>
            </m:sub>
          </m:sSub>
          <m:r>
            <w:rPr>
              <w:rFonts w:ascii="Cambria Math" w:hAnsi="Cambria Math" w:cs="Arial"/>
            </w:rPr>
            <m:t>+0.1308</m:t>
          </m:r>
          <m:sSub>
            <m:sSubPr>
              <m:ctrlPr>
                <w:rPr>
                  <w:rFonts w:ascii="Cambria Math" w:hAnsi="Cambria Math" w:cs="Arial"/>
                  <w:i/>
                </w:rPr>
              </m:ctrlPr>
            </m:sSubPr>
            <m:e>
              <m:r>
                <w:rPr>
                  <w:rFonts w:ascii="Cambria Math" w:hAnsi="Cambria Math" w:cs="Arial"/>
                </w:rPr>
                <m:t>x</m:t>
              </m:r>
            </m:e>
            <m:sub>
              <m:r>
                <w:rPr>
                  <w:rFonts w:ascii="Cambria Math" w:hAnsi="Cambria Math" w:cs="Arial"/>
                </w:rPr>
                <m:t>3</m:t>
              </m:r>
            </m:sub>
          </m:sSub>
          <m:r>
            <w:rPr>
              <w:rFonts w:ascii="Cambria Math" w:hAnsi="Cambria Math" w:cs="Arial"/>
            </w:rPr>
            <m:t xml:space="preserve">                                                  (15)</m:t>
          </m:r>
        </m:oMath>
      </m:oMathPara>
    </w:p>
    <w:p w14:paraId="578F0372" w14:textId="77777777" w:rsidR="00F86B78" w:rsidRPr="005B1D45" w:rsidRDefault="00F86B78" w:rsidP="00F86B78">
      <w:pPr>
        <w:spacing w:before="240"/>
        <w:jc w:val="both"/>
        <w:rPr>
          <w:rFonts w:ascii="Arial" w:hAnsi="Arial" w:cs="Arial"/>
        </w:rPr>
      </w:pPr>
      <w:r w:rsidRPr="005B1D45">
        <w:rPr>
          <w:rFonts w:ascii="Arial" w:hAnsi="Arial" w:cs="Arial"/>
        </w:rPr>
        <w:t xml:space="preserve">The intercept of the Negative Binomial regression represents the predicted value when all predictor variables are held constant. In the model presented in Table 6, the intercept is </w:t>
      </w:r>
      <w:r w:rsidRPr="005B1D45">
        <w:rPr>
          <w:rFonts w:ascii="Arial" w:hAnsi="Arial" w:cs="Arial"/>
        </w:rPr>
        <w:lastRenderedPageBreak/>
        <w:t>positively associated with diabetes-related deaths and is statistically significant at the 5% level, indicating that the log of the expected diabetic deaths is greater than zero (0.1898) when all independent variables are fixed.</w:t>
      </w:r>
    </w:p>
    <w:p w14:paraId="248410E5" w14:textId="77777777" w:rsidR="00F86B78" w:rsidRPr="005B1D45" w:rsidRDefault="00F86B78" w:rsidP="00F86B78">
      <w:pPr>
        <w:spacing w:before="240"/>
        <w:jc w:val="both"/>
        <w:rPr>
          <w:rFonts w:ascii="Arial" w:hAnsi="Arial" w:cs="Arial"/>
        </w:rPr>
      </w:pPr>
      <w:r w:rsidRPr="005B1D45">
        <w:rPr>
          <w:rFonts w:ascii="Arial" w:hAnsi="Arial" w:cs="Arial"/>
          <w:shd w:val="clear" w:color="auto" w:fill="FFFFFF"/>
        </w:rPr>
        <w:t>The slope coefficients for confirmed (</w:t>
      </w:r>
      <m:oMath>
        <m:sSub>
          <m:sSubPr>
            <m:ctrlPr>
              <w:rPr>
                <w:rFonts w:ascii="Cambria Math" w:hAnsi="Cambria Math" w:cs="Arial"/>
                <w:i/>
                <w:shd w:val="clear" w:color="auto" w:fill="FFFFFF"/>
              </w:rPr>
            </m:ctrlPr>
          </m:sSubPr>
          <m:e>
            <m:r>
              <w:rPr>
                <w:rFonts w:ascii="Cambria Math" w:hAnsi="Cambria Math" w:cs="Arial"/>
                <w:shd w:val="clear" w:color="auto" w:fill="FFFFFF"/>
              </w:rPr>
              <m:t>β</m:t>
            </m:r>
          </m:e>
          <m:sub>
            <m:r>
              <w:rPr>
                <w:rFonts w:ascii="Cambria Math" w:hAnsi="Cambria Math" w:cs="Arial"/>
                <w:shd w:val="clear" w:color="auto" w:fill="FFFFFF"/>
              </w:rPr>
              <m:t>1</m:t>
            </m:r>
          </m:sub>
        </m:sSub>
      </m:oMath>
      <w:r w:rsidRPr="005B1D45">
        <w:rPr>
          <w:rFonts w:ascii="Arial" w:hAnsi="Arial" w:cs="Arial"/>
          <w:shd w:val="clear" w:color="auto" w:fill="FFFFFF"/>
        </w:rPr>
        <w:t>), active (</w:t>
      </w:r>
      <m:oMath>
        <m:sSub>
          <m:sSubPr>
            <m:ctrlPr>
              <w:rPr>
                <w:rFonts w:ascii="Cambria Math" w:hAnsi="Cambria Math" w:cs="Arial"/>
                <w:i/>
                <w:shd w:val="clear" w:color="auto" w:fill="FFFFFF"/>
              </w:rPr>
            </m:ctrlPr>
          </m:sSubPr>
          <m:e>
            <m:r>
              <w:rPr>
                <w:rFonts w:ascii="Cambria Math" w:hAnsi="Cambria Math" w:cs="Arial"/>
                <w:shd w:val="clear" w:color="auto" w:fill="FFFFFF"/>
              </w:rPr>
              <m:t>β</m:t>
            </m:r>
          </m:e>
          <m:sub>
            <m:r>
              <w:rPr>
                <w:rFonts w:ascii="Cambria Math" w:hAnsi="Cambria Math" w:cs="Arial"/>
                <w:shd w:val="clear" w:color="auto" w:fill="FFFFFF"/>
              </w:rPr>
              <m:t>2</m:t>
            </m:r>
          </m:sub>
        </m:sSub>
      </m:oMath>
      <w:r w:rsidRPr="005B1D45">
        <w:rPr>
          <w:rFonts w:ascii="Arial" w:hAnsi="Arial" w:cs="Arial"/>
          <w:shd w:val="clear" w:color="auto" w:fill="FFFFFF"/>
        </w:rPr>
        <w:t>) and severe (</w:t>
      </w:r>
      <m:oMath>
        <m:sSub>
          <m:sSubPr>
            <m:ctrlPr>
              <w:rPr>
                <w:rFonts w:ascii="Cambria Math" w:hAnsi="Cambria Math" w:cs="Arial"/>
                <w:i/>
                <w:shd w:val="clear" w:color="auto" w:fill="FFFFFF"/>
              </w:rPr>
            </m:ctrlPr>
          </m:sSubPr>
          <m:e>
            <m:r>
              <w:rPr>
                <w:rFonts w:ascii="Cambria Math" w:hAnsi="Cambria Math" w:cs="Arial"/>
                <w:shd w:val="clear" w:color="auto" w:fill="FFFFFF"/>
              </w:rPr>
              <m:t>β</m:t>
            </m:r>
          </m:e>
          <m:sub>
            <m:r>
              <w:rPr>
                <w:rFonts w:ascii="Cambria Math" w:hAnsi="Cambria Math" w:cs="Arial"/>
                <w:shd w:val="clear" w:color="auto" w:fill="FFFFFF"/>
              </w:rPr>
              <m:t>3</m:t>
            </m:r>
          </m:sub>
        </m:sSub>
      </m:oMath>
      <w:r w:rsidRPr="005B1D45">
        <w:rPr>
          <w:rFonts w:ascii="Arial" w:hAnsi="Arial" w:cs="Arial"/>
          <w:shd w:val="clear" w:color="auto" w:fill="FFFFFF"/>
        </w:rPr>
        <w:t xml:space="preserve">) cases </w:t>
      </w:r>
      <w:r w:rsidRPr="005B1D45">
        <w:rPr>
          <w:rFonts w:ascii="Arial" w:hAnsi="Arial" w:cs="Arial"/>
        </w:rPr>
        <w:t>are also positively related to the number of diabetes-related deaths and are statistically significant at the 5% level. This suggests that increases in the counts of confirmed, active, and severe diabetes cases lead to corresponding increases in diabetes-related deaths. Specifically, a one-person increase in the confirmed, active, and severe diabetic cases is expected to raise the logs of expected deaths due to diabetes mellitus by 0.1127, 0.0451, and 0.1308, respectively.</w:t>
      </w:r>
    </w:p>
    <w:p w14:paraId="7988EAEB" w14:textId="77777777" w:rsidR="00F86B78" w:rsidRPr="005B1D45" w:rsidRDefault="00F86B78" w:rsidP="00F86B78">
      <w:pPr>
        <w:jc w:val="both"/>
        <w:rPr>
          <w:rFonts w:ascii="Arial" w:hAnsi="Arial" w:cs="Arial"/>
        </w:rPr>
      </w:pPr>
      <w:r w:rsidRPr="005B1D45">
        <w:rPr>
          <w:rFonts w:ascii="Arial" w:hAnsi="Arial" w:cs="Arial"/>
        </w:rPr>
        <w:t>The parameter estimates from the Poisson regression, as shown in lower panel of Table 4, can also be represented as follows:</w:t>
      </w:r>
    </w:p>
    <w:p w14:paraId="14A92F63" w14:textId="77777777" w:rsidR="00F86B78" w:rsidRPr="005B1D45" w:rsidRDefault="00F86B78" w:rsidP="00F86B78">
      <w:pPr>
        <w:jc w:val="both"/>
        <w:rPr>
          <w:rFonts w:ascii="Arial" w:eastAsiaTheme="minorEastAsia" w:hAnsi="Arial" w:cs="Arial"/>
        </w:rPr>
      </w:pPr>
      <m:oMathPara>
        <m:oMath>
          <m:r>
            <w:rPr>
              <w:rFonts w:ascii="Cambria Math" w:hAnsi="Cambria Math" w:cs="Arial"/>
            </w:rPr>
            <m:t>η= 0.2056+0.1141</m:t>
          </m:r>
          <m:sSub>
            <m:sSubPr>
              <m:ctrlPr>
                <w:rPr>
                  <w:rFonts w:ascii="Cambria Math" w:hAnsi="Cambria Math" w:cs="Arial"/>
                  <w:i/>
                </w:rPr>
              </m:ctrlPr>
            </m:sSubPr>
            <m:e>
              <m:r>
                <w:rPr>
                  <w:rFonts w:ascii="Cambria Math" w:hAnsi="Cambria Math" w:cs="Arial"/>
                </w:rPr>
                <m:t>x</m:t>
              </m:r>
            </m:e>
            <m:sub>
              <m:r>
                <w:rPr>
                  <w:rFonts w:ascii="Cambria Math" w:hAnsi="Cambria Math" w:cs="Arial"/>
                </w:rPr>
                <m:t>1</m:t>
              </m:r>
            </m:sub>
          </m:sSub>
          <m:r>
            <w:rPr>
              <w:rFonts w:ascii="Cambria Math" w:hAnsi="Cambria Math" w:cs="Arial"/>
            </w:rPr>
            <m:t>+0.0467</m:t>
          </m:r>
          <m:sSub>
            <m:sSubPr>
              <m:ctrlPr>
                <w:rPr>
                  <w:rFonts w:ascii="Cambria Math" w:hAnsi="Cambria Math" w:cs="Arial"/>
                  <w:i/>
                </w:rPr>
              </m:ctrlPr>
            </m:sSubPr>
            <m:e>
              <m:r>
                <w:rPr>
                  <w:rFonts w:ascii="Cambria Math" w:hAnsi="Cambria Math" w:cs="Arial"/>
                </w:rPr>
                <m:t>x</m:t>
              </m:r>
            </m:e>
            <m:sub>
              <m:r>
                <w:rPr>
                  <w:rFonts w:ascii="Cambria Math" w:hAnsi="Cambria Math" w:cs="Arial"/>
                </w:rPr>
                <m:t>2</m:t>
              </m:r>
            </m:sub>
          </m:sSub>
          <m:r>
            <w:rPr>
              <w:rFonts w:ascii="Cambria Math" w:hAnsi="Cambria Math" w:cs="Arial"/>
            </w:rPr>
            <m:t>+0.0312</m:t>
          </m:r>
          <m:sSub>
            <m:sSubPr>
              <m:ctrlPr>
                <w:rPr>
                  <w:rFonts w:ascii="Cambria Math" w:hAnsi="Cambria Math" w:cs="Arial"/>
                  <w:i/>
                </w:rPr>
              </m:ctrlPr>
            </m:sSubPr>
            <m:e>
              <m:r>
                <w:rPr>
                  <w:rFonts w:ascii="Cambria Math" w:hAnsi="Cambria Math" w:cs="Arial"/>
                </w:rPr>
                <m:t>x</m:t>
              </m:r>
            </m:e>
            <m:sub>
              <m:r>
                <w:rPr>
                  <w:rFonts w:ascii="Cambria Math" w:hAnsi="Cambria Math" w:cs="Arial"/>
                </w:rPr>
                <m:t>3</m:t>
              </m:r>
            </m:sub>
          </m:sSub>
          <m:r>
            <w:rPr>
              <w:rFonts w:ascii="Cambria Math" w:hAnsi="Cambria Math" w:cs="Arial"/>
            </w:rPr>
            <m:t xml:space="preserve">                                                  (16)</m:t>
          </m:r>
        </m:oMath>
      </m:oMathPara>
    </w:p>
    <w:p w14:paraId="398B9FBD" w14:textId="77777777" w:rsidR="00F86B78" w:rsidRPr="005B1D45" w:rsidRDefault="00F86B78" w:rsidP="00F86B78">
      <w:pPr>
        <w:spacing w:before="240"/>
        <w:jc w:val="both"/>
        <w:rPr>
          <w:rFonts w:ascii="Arial" w:hAnsi="Arial" w:cs="Arial"/>
        </w:rPr>
      </w:pPr>
      <w:r w:rsidRPr="005B1D45">
        <w:rPr>
          <w:rFonts w:ascii="Arial" w:hAnsi="Arial" w:cs="Arial"/>
        </w:rPr>
        <w:t>The parameter estimates from the Generalized Poisson Regression model indicate that all model parameters are statistically significant at the 5% significance level, as evidenced by p-values for all parameters being less than 0.05. The results further show that the slope coefficients for confirmed, active, and severe diabetes cases are positively associated with diabetes-related deaths. This suggests that a one-person increase in the number of confirmed, active, and severe diabetes cases is expected to result in approximately increases of 0.1141, 0.0467, and 0.0312 diabetes-related deaths in Benue State, respectively.</w:t>
      </w:r>
    </w:p>
    <w:p w14:paraId="3C7BE708" w14:textId="77777777" w:rsidR="00F86B78" w:rsidRPr="005B1D45" w:rsidRDefault="00F86B78" w:rsidP="00F86B78">
      <w:pPr>
        <w:spacing w:before="240"/>
        <w:jc w:val="both"/>
        <w:rPr>
          <w:rFonts w:ascii="Arial" w:hAnsi="Arial" w:cs="Arial"/>
        </w:rPr>
      </w:pPr>
      <w:r w:rsidRPr="005B1D45">
        <w:rPr>
          <w:rFonts w:ascii="Arial" w:hAnsi="Arial" w:cs="Arial"/>
        </w:rPr>
        <w:t xml:space="preserve">Moreover, the z-statistic values for confirmed, active, and severe cases are 15.630, 3.0523, and 2.0129, respectively. Since these values exceed 2, following the rule of thumb, it can be inferred that confirmed, active, and severe diabetes cases significantly and positively impact the number of deaths associated with diabetes mellitus in Benue State. </w:t>
      </w:r>
    </w:p>
    <w:p w14:paraId="785B01C8" w14:textId="77777777" w:rsidR="00F86B78" w:rsidRPr="005B1D45" w:rsidRDefault="00F86B78" w:rsidP="00F86B78">
      <w:pPr>
        <w:spacing w:before="240"/>
        <w:jc w:val="both"/>
        <w:rPr>
          <w:rFonts w:ascii="Arial" w:hAnsi="Arial" w:cs="Arial"/>
        </w:rPr>
      </w:pPr>
      <w:r w:rsidRPr="005B1D45">
        <w:rPr>
          <w:rFonts w:ascii="Arial" w:hAnsi="Arial" w:cs="Arial"/>
        </w:rPr>
        <w:t>Overall, the results from the Poisson regression (PR), Negative Binomial Regression (NBR) and  Generalized Poisson regression (GPR) model clearly demonstrate that the predictor variables influencing diabetes-related deaths in Benue State are confirmed cases (</w:t>
      </w:r>
      <m:oMath>
        <m:sSub>
          <m:sSubPr>
            <m:ctrlPr>
              <w:rPr>
                <w:rFonts w:ascii="Cambria Math" w:hAnsi="Cambria Math" w:cs="Arial"/>
                <w:i/>
              </w:rPr>
            </m:ctrlPr>
          </m:sSubPr>
          <m:e>
            <m:r>
              <w:rPr>
                <w:rFonts w:ascii="Cambria Math" w:hAnsi="Cambria Math" w:cs="Arial"/>
              </w:rPr>
              <m:t>β</m:t>
            </m:r>
          </m:e>
          <m:sub>
            <m:r>
              <w:rPr>
                <w:rFonts w:ascii="Cambria Math" w:hAnsi="Cambria Math" w:cs="Arial"/>
              </w:rPr>
              <m:t>1</m:t>
            </m:r>
          </m:sub>
        </m:sSub>
      </m:oMath>
      <w:r w:rsidRPr="005B1D45">
        <w:rPr>
          <w:rFonts w:ascii="Arial" w:hAnsi="Arial" w:cs="Arial"/>
        </w:rPr>
        <w:t>), the active cases (</w:t>
      </w:r>
      <m:oMath>
        <m:sSub>
          <m:sSubPr>
            <m:ctrlPr>
              <w:rPr>
                <w:rFonts w:ascii="Cambria Math" w:hAnsi="Cambria Math" w:cs="Arial"/>
                <w:i/>
              </w:rPr>
            </m:ctrlPr>
          </m:sSubPr>
          <m:e>
            <m:r>
              <w:rPr>
                <w:rFonts w:ascii="Cambria Math" w:hAnsi="Cambria Math" w:cs="Arial"/>
              </w:rPr>
              <m:t>β</m:t>
            </m:r>
          </m:e>
          <m:sub>
            <m:r>
              <w:rPr>
                <w:rFonts w:ascii="Cambria Math" w:hAnsi="Cambria Math" w:cs="Arial"/>
              </w:rPr>
              <m:t>2</m:t>
            </m:r>
          </m:sub>
        </m:sSub>
      </m:oMath>
      <w:r w:rsidRPr="005B1D45">
        <w:rPr>
          <w:rFonts w:ascii="Arial" w:hAnsi="Arial" w:cs="Arial"/>
        </w:rPr>
        <w:t xml:space="preserve"> ) and severe cases (</w:t>
      </w:r>
      <m:oMath>
        <m:sSub>
          <m:sSubPr>
            <m:ctrlPr>
              <w:rPr>
                <w:rFonts w:ascii="Cambria Math" w:hAnsi="Cambria Math" w:cs="Arial"/>
                <w:i/>
              </w:rPr>
            </m:ctrlPr>
          </m:sSubPr>
          <m:e>
            <m:r>
              <w:rPr>
                <w:rFonts w:ascii="Cambria Math" w:hAnsi="Cambria Math" w:cs="Arial"/>
              </w:rPr>
              <m:t>β</m:t>
            </m:r>
          </m:e>
          <m:sub>
            <m:r>
              <w:rPr>
                <w:rFonts w:ascii="Cambria Math" w:hAnsi="Cambria Math" w:cs="Arial"/>
              </w:rPr>
              <m:t>3</m:t>
            </m:r>
          </m:sub>
        </m:sSub>
      </m:oMath>
      <w:r w:rsidRPr="005B1D45">
        <w:rPr>
          <w:rFonts w:ascii="Arial" w:hAnsi="Arial" w:cs="Arial"/>
        </w:rPr>
        <w:t>).</w:t>
      </w:r>
    </w:p>
    <w:p w14:paraId="56605ABA" w14:textId="77777777" w:rsidR="00F86B78" w:rsidRPr="005B1D45" w:rsidRDefault="00756351" w:rsidP="00F86B78">
      <w:pPr>
        <w:jc w:val="both"/>
        <w:rPr>
          <w:rFonts w:ascii="Arial" w:hAnsi="Arial" w:cs="Arial"/>
          <w:b/>
        </w:rPr>
      </w:pPr>
      <w:r>
        <w:rPr>
          <w:rFonts w:ascii="Arial" w:hAnsi="Arial" w:cs="Arial"/>
          <w:b/>
        </w:rPr>
        <w:t>3</w:t>
      </w:r>
      <w:r w:rsidR="00F86B78" w:rsidRPr="005B1D45">
        <w:rPr>
          <w:rFonts w:ascii="Arial" w:hAnsi="Arial" w:cs="Arial"/>
          <w:b/>
        </w:rPr>
        <w:t>.6 Over-Dispersion Test for Count Data Regression Models</w:t>
      </w:r>
    </w:p>
    <w:p w14:paraId="49858230" w14:textId="77777777" w:rsidR="00F86B78" w:rsidRDefault="00F86B78" w:rsidP="00F86B78">
      <w:pPr>
        <w:jc w:val="both"/>
        <w:rPr>
          <w:rFonts w:ascii="Times New Roman" w:hAnsi="Times New Roman"/>
          <w:b/>
          <w:sz w:val="24"/>
          <w:szCs w:val="24"/>
        </w:rPr>
      </w:pPr>
      <w:r w:rsidRPr="005B1D45">
        <w:rPr>
          <w:rFonts w:ascii="Arial" w:hAnsi="Arial" w:cs="Arial"/>
        </w:rPr>
        <w:t xml:space="preserve">A key assumption in Poisson regression is </w:t>
      </w:r>
      <w:proofErr w:type="spellStart"/>
      <w:r w:rsidRPr="005B1D45">
        <w:rPr>
          <w:rFonts w:ascii="Arial" w:hAnsi="Arial" w:cs="Arial"/>
        </w:rPr>
        <w:t>equidispersion</w:t>
      </w:r>
      <w:proofErr w:type="spellEnd"/>
      <w:r w:rsidRPr="005B1D45">
        <w:rPr>
          <w:rFonts w:ascii="Arial" w:hAnsi="Arial" w:cs="Arial"/>
        </w:rPr>
        <w:t>, meaning that the mean and variance should be equal. However, this assumption is often violated due to the presence of over-dispersion in most datasets. Over-dispersion can be detected by calculating the ratio of the deviance to the degrees of freedom (</w:t>
      </w:r>
      <w:proofErr w:type="spellStart"/>
      <w:r w:rsidRPr="005B1D45">
        <w:rPr>
          <w:rFonts w:ascii="Arial" w:hAnsi="Arial" w:cs="Arial"/>
        </w:rPr>
        <w:t>df</w:t>
      </w:r>
      <w:proofErr w:type="spellEnd"/>
      <w:r w:rsidRPr="005B1D45">
        <w:rPr>
          <w:rFonts w:ascii="Arial" w:hAnsi="Arial" w:cs="Arial"/>
        </w:rPr>
        <w:t>): a ratio greater than 1 indicates over-dispersion, while a ratio below 1 suggests under-dispersion. The results of the goodness-of-fit test used to assess over-dispersion in the count data regression models are shown in Table 5.</w:t>
      </w:r>
    </w:p>
    <w:p w14:paraId="21E04581" w14:textId="77777777" w:rsidR="00F86B78" w:rsidRPr="005B1D45" w:rsidRDefault="00F86B78" w:rsidP="00F86B78">
      <w:pPr>
        <w:jc w:val="both"/>
        <w:rPr>
          <w:rFonts w:ascii="Arial" w:hAnsi="Arial" w:cs="Arial"/>
          <w:b/>
        </w:rPr>
      </w:pPr>
      <w:r w:rsidRPr="005B1D45">
        <w:rPr>
          <w:rFonts w:ascii="Arial" w:hAnsi="Arial" w:cs="Arial"/>
          <w:b/>
        </w:rPr>
        <w:t>Table 5: Goodness of Fit Test for Count Data Regression Models</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519"/>
        <w:gridCol w:w="2080"/>
        <w:gridCol w:w="1540"/>
        <w:gridCol w:w="2069"/>
      </w:tblGrid>
      <w:tr w:rsidR="00F86B78" w:rsidRPr="005B1D45" w14:paraId="63510474" w14:textId="77777777" w:rsidTr="007C37C3">
        <w:tc>
          <w:tcPr>
            <w:tcW w:w="2718" w:type="dxa"/>
            <w:tcBorders>
              <w:top w:val="single" w:sz="4" w:space="0" w:color="auto"/>
              <w:bottom w:val="single" w:sz="4" w:space="0" w:color="auto"/>
            </w:tcBorders>
          </w:tcPr>
          <w:p w14:paraId="33D72614" w14:textId="77777777" w:rsidR="00F86B78" w:rsidRPr="005B1D45" w:rsidRDefault="00F86B78" w:rsidP="007C37C3">
            <w:pPr>
              <w:jc w:val="both"/>
              <w:rPr>
                <w:rFonts w:ascii="Arial" w:hAnsi="Arial" w:cs="Arial"/>
                <w:b/>
              </w:rPr>
            </w:pPr>
            <w:r w:rsidRPr="005B1D45">
              <w:rPr>
                <w:rFonts w:ascii="Arial" w:hAnsi="Arial" w:cs="Arial"/>
                <w:b/>
              </w:rPr>
              <w:t xml:space="preserve">Criterion </w:t>
            </w:r>
          </w:p>
        </w:tc>
        <w:tc>
          <w:tcPr>
            <w:tcW w:w="2250" w:type="dxa"/>
            <w:tcBorders>
              <w:top w:val="single" w:sz="4" w:space="0" w:color="auto"/>
              <w:bottom w:val="single" w:sz="4" w:space="0" w:color="auto"/>
            </w:tcBorders>
          </w:tcPr>
          <w:p w14:paraId="5FDC9A4A" w14:textId="77777777" w:rsidR="00F86B78" w:rsidRPr="005B1D45" w:rsidRDefault="00F86B78" w:rsidP="007C37C3">
            <w:pPr>
              <w:jc w:val="both"/>
              <w:rPr>
                <w:rFonts w:ascii="Arial" w:hAnsi="Arial" w:cs="Arial"/>
                <w:b/>
              </w:rPr>
            </w:pPr>
            <w:r w:rsidRPr="005B1D45">
              <w:rPr>
                <w:rFonts w:ascii="Arial" w:hAnsi="Arial" w:cs="Arial"/>
                <w:b/>
              </w:rPr>
              <w:t xml:space="preserve">Value </w:t>
            </w:r>
          </w:p>
        </w:tc>
        <w:tc>
          <w:tcPr>
            <w:tcW w:w="1674" w:type="dxa"/>
            <w:tcBorders>
              <w:top w:val="single" w:sz="4" w:space="0" w:color="auto"/>
              <w:bottom w:val="single" w:sz="4" w:space="0" w:color="auto"/>
            </w:tcBorders>
          </w:tcPr>
          <w:p w14:paraId="2D17FE99" w14:textId="77777777" w:rsidR="00F86B78" w:rsidRPr="005B1D45" w:rsidRDefault="00F86B78" w:rsidP="007C37C3">
            <w:pPr>
              <w:jc w:val="both"/>
              <w:rPr>
                <w:rFonts w:ascii="Arial" w:hAnsi="Arial" w:cs="Arial"/>
                <w:b/>
              </w:rPr>
            </w:pPr>
            <w:proofErr w:type="spellStart"/>
            <w:r w:rsidRPr="005B1D45">
              <w:rPr>
                <w:rFonts w:ascii="Arial" w:hAnsi="Arial" w:cs="Arial"/>
                <w:b/>
              </w:rPr>
              <w:t>Df</w:t>
            </w:r>
            <w:proofErr w:type="spellEnd"/>
          </w:p>
        </w:tc>
        <w:tc>
          <w:tcPr>
            <w:tcW w:w="2214" w:type="dxa"/>
            <w:tcBorders>
              <w:top w:val="single" w:sz="4" w:space="0" w:color="auto"/>
              <w:bottom w:val="single" w:sz="4" w:space="0" w:color="auto"/>
            </w:tcBorders>
          </w:tcPr>
          <w:p w14:paraId="0C8EF4C6" w14:textId="77777777" w:rsidR="00F86B78" w:rsidRPr="005B1D45" w:rsidRDefault="00F86B78" w:rsidP="007C37C3">
            <w:pPr>
              <w:jc w:val="both"/>
              <w:rPr>
                <w:rFonts w:ascii="Arial" w:hAnsi="Arial" w:cs="Arial"/>
                <w:b/>
              </w:rPr>
            </w:pPr>
            <w:r w:rsidRPr="005B1D45">
              <w:rPr>
                <w:rFonts w:ascii="Arial" w:hAnsi="Arial" w:cs="Arial"/>
                <w:b/>
              </w:rPr>
              <w:t>Value/</w:t>
            </w:r>
            <w:proofErr w:type="spellStart"/>
            <w:r w:rsidRPr="005B1D45">
              <w:rPr>
                <w:rFonts w:ascii="Arial" w:hAnsi="Arial" w:cs="Arial"/>
                <w:b/>
              </w:rPr>
              <w:t>df</w:t>
            </w:r>
            <w:proofErr w:type="spellEnd"/>
          </w:p>
        </w:tc>
      </w:tr>
      <w:tr w:rsidR="00F86B78" w:rsidRPr="005B1D45" w14:paraId="3A65CC00" w14:textId="77777777" w:rsidTr="007C37C3">
        <w:tc>
          <w:tcPr>
            <w:tcW w:w="8856" w:type="dxa"/>
            <w:gridSpan w:val="4"/>
            <w:tcBorders>
              <w:top w:val="single" w:sz="4" w:space="0" w:color="auto"/>
            </w:tcBorders>
          </w:tcPr>
          <w:p w14:paraId="3624BCA5" w14:textId="77777777" w:rsidR="00F86B78" w:rsidRPr="005B1D45" w:rsidRDefault="00F86B78" w:rsidP="007C37C3">
            <w:pPr>
              <w:jc w:val="center"/>
              <w:rPr>
                <w:rFonts w:ascii="Arial" w:hAnsi="Arial" w:cs="Arial"/>
                <w:b/>
              </w:rPr>
            </w:pPr>
            <w:r w:rsidRPr="005B1D45">
              <w:rPr>
                <w:rFonts w:ascii="Arial" w:hAnsi="Arial" w:cs="Arial"/>
                <w:b/>
              </w:rPr>
              <w:t>Poisson Regression Model</w:t>
            </w:r>
          </w:p>
        </w:tc>
      </w:tr>
      <w:tr w:rsidR="00F86B78" w:rsidRPr="005B1D45" w14:paraId="64C46BC0" w14:textId="77777777" w:rsidTr="007C37C3">
        <w:tc>
          <w:tcPr>
            <w:tcW w:w="2718" w:type="dxa"/>
          </w:tcPr>
          <w:p w14:paraId="6E4FEF78" w14:textId="77777777" w:rsidR="00F86B78" w:rsidRPr="005B1D45" w:rsidRDefault="00F86B78" w:rsidP="007C37C3">
            <w:pPr>
              <w:jc w:val="both"/>
              <w:rPr>
                <w:rFonts w:ascii="Arial" w:hAnsi="Arial" w:cs="Arial"/>
              </w:rPr>
            </w:pPr>
            <w:r w:rsidRPr="005B1D45">
              <w:rPr>
                <w:rFonts w:ascii="Arial" w:hAnsi="Arial" w:cs="Arial"/>
              </w:rPr>
              <w:t xml:space="preserve">Deviance </w:t>
            </w:r>
          </w:p>
        </w:tc>
        <w:tc>
          <w:tcPr>
            <w:tcW w:w="2250" w:type="dxa"/>
          </w:tcPr>
          <w:p w14:paraId="0BA2B5C6" w14:textId="77777777" w:rsidR="00F86B78" w:rsidRPr="005B1D45" w:rsidRDefault="00F86B78" w:rsidP="007C37C3">
            <w:pPr>
              <w:jc w:val="both"/>
              <w:rPr>
                <w:rFonts w:ascii="Arial" w:hAnsi="Arial" w:cs="Arial"/>
              </w:rPr>
            </w:pPr>
            <w:r w:rsidRPr="005B1D45">
              <w:rPr>
                <w:rFonts w:ascii="Arial" w:hAnsi="Arial" w:cs="Arial"/>
              </w:rPr>
              <w:t>238.56</w:t>
            </w:r>
          </w:p>
        </w:tc>
        <w:tc>
          <w:tcPr>
            <w:tcW w:w="1674" w:type="dxa"/>
          </w:tcPr>
          <w:p w14:paraId="7C24250C" w14:textId="77777777" w:rsidR="00F86B78" w:rsidRPr="005B1D45" w:rsidRDefault="00F86B78" w:rsidP="007C37C3">
            <w:pPr>
              <w:jc w:val="both"/>
              <w:rPr>
                <w:rFonts w:ascii="Arial" w:hAnsi="Arial" w:cs="Arial"/>
              </w:rPr>
            </w:pPr>
            <w:r w:rsidRPr="005B1D45">
              <w:rPr>
                <w:rFonts w:ascii="Arial" w:hAnsi="Arial" w:cs="Arial"/>
              </w:rPr>
              <w:t>224</w:t>
            </w:r>
          </w:p>
        </w:tc>
        <w:tc>
          <w:tcPr>
            <w:tcW w:w="2214" w:type="dxa"/>
          </w:tcPr>
          <w:p w14:paraId="11AE3F70" w14:textId="77777777" w:rsidR="00F86B78" w:rsidRPr="005B1D45" w:rsidRDefault="00F86B78" w:rsidP="007C37C3">
            <w:pPr>
              <w:jc w:val="both"/>
              <w:rPr>
                <w:rFonts w:ascii="Arial" w:hAnsi="Arial" w:cs="Arial"/>
              </w:rPr>
            </w:pPr>
            <w:r w:rsidRPr="005B1D45">
              <w:rPr>
                <w:rFonts w:ascii="Arial" w:hAnsi="Arial" w:cs="Arial"/>
              </w:rPr>
              <w:t>1.0650</w:t>
            </w:r>
          </w:p>
        </w:tc>
      </w:tr>
      <w:tr w:rsidR="00F86B78" w:rsidRPr="005B1D45" w14:paraId="38B2CF2C" w14:textId="77777777" w:rsidTr="007C37C3">
        <w:tc>
          <w:tcPr>
            <w:tcW w:w="2718" w:type="dxa"/>
          </w:tcPr>
          <w:p w14:paraId="5E668A34" w14:textId="77777777" w:rsidR="00F86B78" w:rsidRPr="005B1D45" w:rsidRDefault="00F86B78" w:rsidP="007C37C3">
            <w:pPr>
              <w:jc w:val="both"/>
              <w:rPr>
                <w:rFonts w:ascii="Arial" w:hAnsi="Arial" w:cs="Arial"/>
              </w:rPr>
            </w:pPr>
            <w:r w:rsidRPr="005B1D45">
              <w:rPr>
                <w:rFonts w:ascii="Arial" w:hAnsi="Arial" w:cs="Arial"/>
              </w:rPr>
              <w:t>Pearson Chi-Square</w:t>
            </w:r>
          </w:p>
        </w:tc>
        <w:tc>
          <w:tcPr>
            <w:tcW w:w="2250" w:type="dxa"/>
          </w:tcPr>
          <w:p w14:paraId="1ED0C47C" w14:textId="77777777" w:rsidR="00F86B78" w:rsidRPr="005B1D45" w:rsidRDefault="00F86B78" w:rsidP="007C37C3">
            <w:pPr>
              <w:jc w:val="both"/>
              <w:rPr>
                <w:rFonts w:ascii="Arial" w:hAnsi="Arial" w:cs="Arial"/>
              </w:rPr>
            </w:pPr>
            <w:r w:rsidRPr="005B1D45">
              <w:rPr>
                <w:rFonts w:ascii="Arial" w:hAnsi="Arial" w:cs="Arial"/>
              </w:rPr>
              <w:t>226.13</w:t>
            </w:r>
          </w:p>
        </w:tc>
        <w:tc>
          <w:tcPr>
            <w:tcW w:w="1674" w:type="dxa"/>
          </w:tcPr>
          <w:p w14:paraId="4A0E897C" w14:textId="77777777" w:rsidR="00F86B78" w:rsidRPr="005B1D45" w:rsidRDefault="00F86B78" w:rsidP="007C37C3">
            <w:pPr>
              <w:jc w:val="both"/>
              <w:rPr>
                <w:rFonts w:ascii="Arial" w:hAnsi="Arial" w:cs="Arial"/>
              </w:rPr>
            </w:pPr>
            <w:r w:rsidRPr="005B1D45">
              <w:rPr>
                <w:rFonts w:ascii="Arial" w:hAnsi="Arial" w:cs="Arial"/>
              </w:rPr>
              <w:t>224</w:t>
            </w:r>
          </w:p>
        </w:tc>
        <w:tc>
          <w:tcPr>
            <w:tcW w:w="2214" w:type="dxa"/>
          </w:tcPr>
          <w:p w14:paraId="2ABD3BFB" w14:textId="77777777" w:rsidR="00F86B78" w:rsidRPr="005B1D45" w:rsidRDefault="00F86B78" w:rsidP="007C37C3">
            <w:pPr>
              <w:jc w:val="both"/>
              <w:rPr>
                <w:rFonts w:ascii="Arial" w:hAnsi="Arial" w:cs="Arial"/>
              </w:rPr>
            </w:pPr>
            <w:r w:rsidRPr="005B1D45">
              <w:rPr>
                <w:rFonts w:ascii="Arial" w:hAnsi="Arial" w:cs="Arial"/>
              </w:rPr>
              <w:t>1.0095</w:t>
            </w:r>
          </w:p>
        </w:tc>
      </w:tr>
      <w:tr w:rsidR="00F86B78" w:rsidRPr="005B1D45" w14:paraId="48B36CEF" w14:textId="77777777" w:rsidTr="007C37C3">
        <w:tc>
          <w:tcPr>
            <w:tcW w:w="8856" w:type="dxa"/>
            <w:gridSpan w:val="4"/>
          </w:tcPr>
          <w:p w14:paraId="3EC28D4C" w14:textId="77777777" w:rsidR="00F86B78" w:rsidRPr="005B1D45" w:rsidRDefault="00F86B78" w:rsidP="007C37C3">
            <w:pPr>
              <w:jc w:val="center"/>
              <w:rPr>
                <w:rFonts w:ascii="Arial" w:hAnsi="Arial" w:cs="Arial"/>
              </w:rPr>
            </w:pPr>
            <w:r w:rsidRPr="005B1D45">
              <w:rPr>
                <w:rFonts w:ascii="Arial" w:hAnsi="Arial" w:cs="Arial"/>
                <w:b/>
              </w:rPr>
              <w:t>Negative Binomial Regression Model</w:t>
            </w:r>
          </w:p>
        </w:tc>
      </w:tr>
      <w:tr w:rsidR="00F86B78" w:rsidRPr="005B1D45" w14:paraId="40EBE05A" w14:textId="77777777" w:rsidTr="007C37C3">
        <w:tc>
          <w:tcPr>
            <w:tcW w:w="2718" w:type="dxa"/>
          </w:tcPr>
          <w:p w14:paraId="2666DBE0" w14:textId="77777777" w:rsidR="00F86B78" w:rsidRPr="005B1D45" w:rsidRDefault="00F86B78" w:rsidP="007C37C3">
            <w:pPr>
              <w:jc w:val="both"/>
              <w:rPr>
                <w:rFonts w:ascii="Arial" w:hAnsi="Arial" w:cs="Arial"/>
              </w:rPr>
            </w:pPr>
            <w:r w:rsidRPr="005B1D45">
              <w:rPr>
                <w:rFonts w:ascii="Arial" w:hAnsi="Arial" w:cs="Arial"/>
              </w:rPr>
              <w:t xml:space="preserve">Deviance </w:t>
            </w:r>
          </w:p>
        </w:tc>
        <w:tc>
          <w:tcPr>
            <w:tcW w:w="2250" w:type="dxa"/>
          </w:tcPr>
          <w:p w14:paraId="530DEC0D" w14:textId="77777777" w:rsidR="00F86B78" w:rsidRPr="005B1D45" w:rsidRDefault="00F86B78" w:rsidP="007C37C3">
            <w:pPr>
              <w:jc w:val="both"/>
              <w:rPr>
                <w:rFonts w:ascii="Arial" w:hAnsi="Arial" w:cs="Arial"/>
              </w:rPr>
            </w:pPr>
            <w:r w:rsidRPr="005B1D45">
              <w:rPr>
                <w:rFonts w:ascii="Arial" w:hAnsi="Arial" w:cs="Arial"/>
              </w:rPr>
              <w:t>123.47</w:t>
            </w:r>
          </w:p>
        </w:tc>
        <w:tc>
          <w:tcPr>
            <w:tcW w:w="1674" w:type="dxa"/>
          </w:tcPr>
          <w:p w14:paraId="58259A18" w14:textId="77777777" w:rsidR="00F86B78" w:rsidRPr="005B1D45" w:rsidRDefault="00F86B78" w:rsidP="007C37C3">
            <w:pPr>
              <w:jc w:val="both"/>
              <w:rPr>
                <w:rFonts w:ascii="Arial" w:hAnsi="Arial" w:cs="Arial"/>
              </w:rPr>
            </w:pPr>
            <w:r w:rsidRPr="005B1D45">
              <w:rPr>
                <w:rFonts w:ascii="Arial" w:hAnsi="Arial" w:cs="Arial"/>
              </w:rPr>
              <w:t>224</w:t>
            </w:r>
          </w:p>
        </w:tc>
        <w:tc>
          <w:tcPr>
            <w:tcW w:w="2214" w:type="dxa"/>
          </w:tcPr>
          <w:p w14:paraId="35956FB9" w14:textId="77777777" w:rsidR="00F86B78" w:rsidRPr="005B1D45" w:rsidRDefault="00F86B78" w:rsidP="007C37C3">
            <w:pPr>
              <w:jc w:val="both"/>
              <w:rPr>
                <w:rFonts w:ascii="Arial" w:hAnsi="Arial" w:cs="Arial"/>
              </w:rPr>
            </w:pPr>
            <w:r w:rsidRPr="005B1D45">
              <w:rPr>
                <w:rFonts w:ascii="Arial" w:hAnsi="Arial" w:cs="Arial"/>
              </w:rPr>
              <w:t>0.5512</w:t>
            </w:r>
          </w:p>
        </w:tc>
      </w:tr>
      <w:tr w:rsidR="00F86B78" w:rsidRPr="005B1D45" w14:paraId="1E7CE13A" w14:textId="77777777" w:rsidTr="007C37C3">
        <w:tc>
          <w:tcPr>
            <w:tcW w:w="2718" w:type="dxa"/>
          </w:tcPr>
          <w:p w14:paraId="340AB5DC" w14:textId="77777777" w:rsidR="00F86B78" w:rsidRPr="005B1D45" w:rsidRDefault="00F86B78" w:rsidP="007C37C3">
            <w:pPr>
              <w:jc w:val="both"/>
              <w:rPr>
                <w:rFonts w:ascii="Arial" w:hAnsi="Arial" w:cs="Arial"/>
              </w:rPr>
            </w:pPr>
            <w:r w:rsidRPr="005B1D45">
              <w:rPr>
                <w:rFonts w:ascii="Arial" w:hAnsi="Arial" w:cs="Arial"/>
              </w:rPr>
              <w:t>Pearson Chi-Square</w:t>
            </w:r>
          </w:p>
        </w:tc>
        <w:tc>
          <w:tcPr>
            <w:tcW w:w="2250" w:type="dxa"/>
          </w:tcPr>
          <w:p w14:paraId="19EF989C" w14:textId="77777777" w:rsidR="00F86B78" w:rsidRPr="005B1D45" w:rsidRDefault="00F86B78" w:rsidP="007C37C3">
            <w:pPr>
              <w:jc w:val="both"/>
              <w:rPr>
                <w:rFonts w:ascii="Arial" w:hAnsi="Arial" w:cs="Arial"/>
              </w:rPr>
            </w:pPr>
            <w:r w:rsidRPr="005B1D45">
              <w:rPr>
                <w:rFonts w:ascii="Arial" w:hAnsi="Arial" w:cs="Arial"/>
              </w:rPr>
              <w:t>121.89</w:t>
            </w:r>
          </w:p>
        </w:tc>
        <w:tc>
          <w:tcPr>
            <w:tcW w:w="1674" w:type="dxa"/>
          </w:tcPr>
          <w:p w14:paraId="17BE4A6D" w14:textId="77777777" w:rsidR="00F86B78" w:rsidRPr="005B1D45" w:rsidRDefault="00F86B78" w:rsidP="007C37C3">
            <w:pPr>
              <w:jc w:val="both"/>
              <w:rPr>
                <w:rFonts w:ascii="Arial" w:hAnsi="Arial" w:cs="Arial"/>
              </w:rPr>
            </w:pPr>
            <w:r w:rsidRPr="005B1D45">
              <w:rPr>
                <w:rFonts w:ascii="Arial" w:hAnsi="Arial" w:cs="Arial"/>
              </w:rPr>
              <w:t>224</w:t>
            </w:r>
          </w:p>
        </w:tc>
        <w:tc>
          <w:tcPr>
            <w:tcW w:w="2214" w:type="dxa"/>
          </w:tcPr>
          <w:p w14:paraId="7A3A0273" w14:textId="77777777" w:rsidR="00F86B78" w:rsidRPr="005B1D45" w:rsidRDefault="00F86B78" w:rsidP="007C37C3">
            <w:pPr>
              <w:jc w:val="both"/>
              <w:rPr>
                <w:rFonts w:ascii="Arial" w:hAnsi="Arial" w:cs="Arial"/>
              </w:rPr>
            </w:pPr>
            <w:r w:rsidRPr="005B1D45">
              <w:rPr>
                <w:rFonts w:ascii="Arial" w:hAnsi="Arial" w:cs="Arial"/>
              </w:rPr>
              <w:t>0.5442</w:t>
            </w:r>
          </w:p>
        </w:tc>
      </w:tr>
      <w:tr w:rsidR="00F86B78" w:rsidRPr="005B1D45" w14:paraId="22A629FA" w14:textId="77777777" w:rsidTr="007C37C3">
        <w:tc>
          <w:tcPr>
            <w:tcW w:w="8856" w:type="dxa"/>
            <w:gridSpan w:val="4"/>
          </w:tcPr>
          <w:p w14:paraId="37D933D4" w14:textId="77777777" w:rsidR="00F86B78" w:rsidRPr="005B1D45" w:rsidRDefault="00F86B78" w:rsidP="007C37C3">
            <w:pPr>
              <w:jc w:val="center"/>
              <w:rPr>
                <w:rFonts w:ascii="Arial" w:hAnsi="Arial" w:cs="Arial"/>
              </w:rPr>
            </w:pPr>
            <w:r w:rsidRPr="005B1D45">
              <w:rPr>
                <w:rFonts w:ascii="Arial" w:hAnsi="Arial" w:cs="Arial"/>
                <w:b/>
              </w:rPr>
              <w:t>Generalized Poisson Regression Model</w:t>
            </w:r>
          </w:p>
        </w:tc>
      </w:tr>
      <w:tr w:rsidR="00F86B78" w:rsidRPr="005B1D45" w14:paraId="58CC34C1" w14:textId="77777777" w:rsidTr="007C37C3">
        <w:tc>
          <w:tcPr>
            <w:tcW w:w="2718" w:type="dxa"/>
          </w:tcPr>
          <w:p w14:paraId="5BA52D1E" w14:textId="77777777" w:rsidR="00F86B78" w:rsidRPr="005B1D45" w:rsidRDefault="00F86B78" w:rsidP="007C37C3">
            <w:pPr>
              <w:jc w:val="both"/>
              <w:rPr>
                <w:rFonts w:ascii="Arial" w:hAnsi="Arial" w:cs="Arial"/>
              </w:rPr>
            </w:pPr>
            <w:r w:rsidRPr="005B1D45">
              <w:rPr>
                <w:rFonts w:ascii="Arial" w:hAnsi="Arial" w:cs="Arial"/>
              </w:rPr>
              <w:t xml:space="preserve">Deviance </w:t>
            </w:r>
          </w:p>
        </w:tc>
        <w:tc>
          <w:tcPr>
            <w:tcW w:w="2250" w:type="dxa"/>
          </w:tcPr>
          <w:p w14:paraId="6AC0B4CF" w14:textId="77777777" w:rsidR="00F86B78" w:rsidRPr="005B1D45" w:rsidRDefault="00F86B78" w:rsidP="007C37C3">
            <w:pPr>
              <w:jc w:val="both"/>
              <w:rPr>
                <w:rFonts w:ascii="Arial" w:hAnsi="Arial" w:cs="Arial"/>
              </w:rPr>
            </w:pPr>
            <w:r w:rsidRPr="005B1D45">
              <w:rPr>
                <w:rFonts w:ascii="Arial" w:hAnsi="Arial" w:cs="Arial"/>
              </w:rPr>
              <w:t>125.14</w:t>
            </w:r>
          </w:p>
        </w:tc>
        <w:tc>
          <w:tcPr>
            <w:tcW w:w="1674" w:type="dxa"/>
          </w:tcPr>
          <w:p w14:paraId="7DE54C07" w14:textId="77777777" w:rsidR="00F86B78" w:rsidRPr="005B1D45" w:rsidRDefault="00F86B78" w:rsidP="007C37C3">
            <w:pPr>
              <w:jc w:val="both"/>
              <w:rPr>
                <w:rFonts w:ascii="Arial" w:hAnsi="Arial" w:cs="Arial"/>
              </w:rPr>
            </w:pPr>
            <w:r w:rsidRPr="005B1D45">
              <w:rPr>
                <w:rFonts w:ascii="Arial" w:hAnsi="Arial" w:cs="Arial"/>
              </w:rPr>
              <w:t>224</w:t>
            </w:r>
          </w:p>
        </w:tc>
        <w:tc>
          <w:tcPr>
            <w:tcW w:w="2214" w:type="dxa"/>
          </w:tcPr>
          <w:p w14:paraId="60A298C9" w14:textId="77777777" w:rsidR="00F86B78" w:rsidRPr="005B1D45" w:rsidRDefault="00F86B78" w:rsidP="007C37C3">
            <w:pPr>
              <w:jc w:val="both"/>
              <w:rPr>
                <w:rFonts w:ascii="Arial" w:hAnsi="Arial" w:cs="Arial"/>
              </w:rPr>
            </w:pPr>
            <w:r w:rsidRPr="005B1D45">
              <w:rPr>
                <w:rFonts w:ascii="Arial" w:hAnsi="Arial" w:cs="Arial"/>
              </w:rPr>
              <w:t>0.5587</w:t>
            </w:r>
          </w:p>
        </w:tc>
      </w:tr>
      <w:tr w:rsidR="00F86B78" w:rsidRPr="005B1D45" w14:paraId="4C9457D0" w14:textId="77777777" w:rsidTr="007C37C3">
        <w:tc>
          <w:tcPr>
            <w:tcW w:w="2718" w:type="dxa"/>
          </w:tcPr>
          <w:p w14:paraId="2D10B2DF" w14:textId="77777777" w:rsidR="00F86B78" w:rsidRPr="005B1D45" w:rsidRDefault="00F86B78" w:rsidP="007C37C3">
            <w:pPr>
              <w:jc w:val="both"/>
              <w:rPr>
                <w:rFonts w:ascii="Arial" w:hAnsi="Arial" w:cs="Arial"/>
              </w:rPr>
            </w:pPr>
            <w:r w:rsidRPr="005B1D45">
              <w:rPr>
                <w:rFonts w:ascii="Arial" w:hAnsi="Arial" w:cs="Arial"/>
              </w:rPr>
              <w:t>Pearson Chi-Square</w:t>
            </w:r>
          </w:p>
        </w:tc>
        <w:tc>
          <w:tcPr>
            <w:tcW w:w="2250" w:type="dxa"/>
          </w:tcPr>
          <w:p w14:paraId="74AAD7EB" w14:textId="77777777" w:rsidR="00F86B78" w:rsidRPr="005B1D45" w:rsidRDefault="00F86B78" w:rsidP="007C37C3">
            <w:pPr>
              <w:jc w:val="both"/>
              <w:rPr>
                <w:rFonts w:ascii="Arial" w:hAnsi="Arial" w:cs="Arial"/>
              </w:rPr>
            </w:pPr>
            <w:r w:rsidRPr="005B1D45">
              <w:rPr>
                <w:rFonts w:ascii="Arial" w:hAnsi="Arial" w:cs="Arial"/>
              </w:rPr>
              <w:t>123.05</w:t>
            </w:r>
          </w:p>
        </w:tc>
        <w:tc>
          <w:tcPr>
            <w:tcW w:w="1674" w:type="dxa"/>
          </w:tcPr>
          <w:p w14:paraId="592A5A71" w14:textId="77777777" w:rsidR="00F86B78" w:rsidRPr="005B1D45" w:rsidRDefault="00F86B78" w:rsidP="007C37C3">
            <w:pPr>
              <w:jc w:val="both"/>
              <w:rPr>
                <w:rFonts w:ascii="Arial" w:hAnsi="Arial" w:cs="Arial"/>
              </w:rPr>
            </w:pPr>
            <w:r w:rsidRPr="005B1D45">
              <w:rPr>
                <w:rFonts w:ascii="Arial" w:hAnsi="Arial" w:cs="Arial"/>
              </w:rPr>
              <w:t>224</w:t>
            </w:r>
          </w:p>
        </w:tc>
        <w:tc>
          <w:tcPr>
            <w:tcW w:w="2214" w:type="dxa"/>
          </w:tcPr>
          <w:p w14:paraId="48DC757F" w14:textId="77777777" w:rsidR="00F86B78" w:rsidRPr="005B1D45" w:rsidRDefault="00F86B78" w:rsidP="007C37C3">
            <w:pPr>
              <w:jc w:val="both"/>
              <w:rPr>
                <w:rFonts w:ascii="Arial" w:hAnsi="Arial" w:cs="Arial"/>
              </w:rPr>
            </w:pPr>
            <w:r w:rsidRPr="005B1D45">
              <w:rPr>
                <w:rFonts w:ascii="Arial" w:hAnsi="Arial" w:cs="Arial"/>
              </w:rPr>
              <w:t>0.5493</w:t>
            </w:r>
          </w:p>
        </w:tc>
      </w:tr>
    </w:tbl>
    <w:p w14:paraId="71F995C2" w14:textId="77777777" w:rsidR="00F86B78" w:rsidRPr="005B1D45" w:rsidRDefault="00F86B78" w:rsidP="00F86B78">
      <w:pPr>
        <w:pStyle w:val="NormalWeb"/>
        <w:spacing w:before="240" w:beforeAutospacing="0" w:after="0" w:afterAutospacing="0"/>
        <w:jc w:val="both"/>
        <w:rPr>
          <w:rFonts w:ascii="Arial" w:hAnsi="Arial" w:cs="Arial"/>
          <w:sz w:val="20"/>
          <w:szCs w:val="20"/>
        </w:rPr>
      </w:pPr>
      <w:r w:rsidRPr="005B1D45">
        <w:rPr>
          <w:rFonts w:ascii="Arial" w:hAnsi="Arial" w:cs="Arial"/>
          <w:sz w:val="20"/>
          <w:szCs w:val="20"/>
        </w:rPr>
        <w:t>The goodness-of-fit test results for the Poisson regression, as reported in Table 5, indicate that both the deviance/</w:t>
      </w:r>
      <w:proofErr w:type="spellStart"/>
      <w:r w:rsidRPr="005B1D45">
        <w:rPr>
          <w:rFonts w:ascii="Arial" w:hAnsi="Arial" w:cs="Arial"/>
          <w:sz w:val="20"/>
          <w:szCs w:val="20"/>
        </w:rPr>
        <w:t>df</w:t>
      </w:r>
      <w:proofErr w:type="spellEnd"/>
      <w:r w:rsidRPr="005B1D45">
        <w:rPr>
          <w:rFonts w:ascii="Arial" w:hAnsi="Arial" w:cs="Arial"/>
          <w:sz w:val="20"/>
          <w:szCs w:val="20"/>
        </w:rPr>
        <w:t xml:space="preserve"> and Pearson chi-square/</w:t>
      </w:r>
      <w:proofErr w:type="spellStart"/>
      <w:r w:rsidRPr="005B1D45">
        <w:rPr>
          <w:rFonts w:ascii="Arial" w:hAnsi="Arial" w:cs="Arial"/>
          <w:sz w:val="20"/>
          <w:szCs w:val="20"/>
        </w:rPr>
        <w:t>df</w:t>
      </w:r>
      <w:proofErr w:type="spellEnd"/>
      <w:r w:rsidRPr="005B1D45">
        <w:rPr>
          <w:rFonts w:ascii="Arial" w:hAnsi="Arial" w:cs="Arial"/>
          <w:sz w:val="20"/>
          <w:szCs w:val="20"/>
        </w:rPr>
        <w:t xml:space="preserve"> values exceed 1. This suggests that the count of diabetes cases in Benue State exhibits over-dispersion. These findings are consistent </w:t>
      </w:r>
      <w:r w:rsidRPr="005B1D45">
        <w:rPr>
          <w:rFonts w:ascii="Arial" w:hAnsi="Arial" w:cs="Arial"/>
          <w:sz w:val="20"/>
          <w:szCs w:val="20"/>
        </w:rPr>
        <w:lastRenderedPageBreak/>
        <w:t xml:space="preserve">with previous research by Adams </w:t>
      </w:r>
      <w:r w:rsidRPr="005B1D45">
        <w:rPr>
          <w:rFonts w:ascii="Arial" w:hAnsi="Arial" w:cs="Arial"/>
          <w:i/>
          <w:sz w:val="20"/>
          <w:szCs w:val="20"/>
        </w:rPr>
        <w:t>et al</w:t>
      </w:r>
      <w:r w:rsidRPr="005B1D45">
        <w:rPr>
          <w:rFonts w:ascii="Arial" w:hAnsi="Arial" w:cs="Arial"/>
          <w:sz w:val="20"/>
          <w:szCs w:val="20"/>
        </w:rPr>
        <w:t xml:space="preserve">. (2020) and </w:t>
      </w:r>
      <w:proofErr w:type="spellStart"/>
      <w:r w:rsidRPr="005B1D45">
        <w:rPr>
          <w:rFonts w:ascii="Arial" w:hAnsi="Arial" w:cs="Arial"/>
          <w:sz w:val="20"/>
          <w:szCs w:val="20"/>
        </w:rPr>
        <w:t>Kuhe</w:t>
      </w:r>
      <w:proofErr w:type="spellEnd"/>
      <w:r w:rsidRPr="005B1D45">
        <w:rPr>
          <w:rFonts w:ascii="Arial" w:hAnsi="Arial" w:cs="Arial"/>
          <w:sz w:val="20"/>
          <w:szCs w:val="20"/>
        </w:rPr>
        <w:t xml:space="preserve"> </w:t>
      </w:r>
      <w:r w:rsidRPr="005B1D45">
        <w:rPr>
          <w:rFonts w:ascii="Arial" w:hAnsi="Arial" w:cs="Arial"/>
          <w:i/>
          <w:sz w:val="20"/>
          <w:szCs w:val="20"/>
        </w:rPr>
        <w:t>et al</w:t>
      </w:r>
      <w:r w:rsidRPr="005B1D45">
        <w:rPr>
          <w:rFonts w:ascii="Arial" w:hAnsi="Arial" w:cs="Arial"/>
          <w:sz w:val="20"/>
          <w:szCs w:val="20"/>
        </w:rPr>
        <w:t>. (2024), who also identified over-dispersion in disease count data in Nigeria while modeling COVID-19 cases using Poisson regression.</w:t>
      </w:r>
    </w:p>
    <w:p w14:paraId="0EF33375" w14:textId="77777777" w:rsidR="00F86B78" w:rsidRPr="005B1D45" w:rsidRDefault="00F86B78" w:rsidP="00F86B78">
      <w:pPr>
        <w:spacing w:before="240"/>
        <w:jc w:val="both"/>
        <w:rPr>
          <w:rFonts w:ascii="Arial" w:hAnsi="Arial" w:cs="Arial"/>
        </w:rPr>
      </w:pPr>
      <w:r w:rsidRPr="005B1D45">
        <w:rPr>
          <w:rFonts w:ascii="Arial" w:hAnsi="Arial" w:cs="Arial"/>
        </w:rPr>
        <w:t>Over-dispersion can lead to biased parameter estimates and affect the standard error estimator, typically resulting in an underestimation of standard errors, which may cause inaccuracies in parameter inference. To address the issue of over-dispersion, we utilized Negative Binomial Regression (NBR) and Generalized Poisson Regression (GPR), as both methods effectively accommodate the dispersion parameter.</w:t>
      </w:r>
    </w:p>
    <w:p w14:paraId="2309CC46" w14:textId="77777777" w:rsidR="00F86B78" w:rsidRPr="005B1D45" w:rsidRDefault="00F86B78" w:rsidP="00F86B78">
      <w:pPr>
        <w:spacing w:before="240"/>
        <w:jc w:val="both"/>
        <w:rPr>
          <w:rFonts w:ascii="Arial" w:hAnsi="Arial" w:cs="Arial"/>
        </w:rPr>
      </w:pPr>
      <w:r w:rsidRPr="005B1D45">
        <w:rPr>
          <w:rFonts w:ascii="Arial" w:hAnsi="Arial" w:cs="Arial"/>
        </w:rPr>
        <w:t>The goodness-of-fit test results for the Negative Binomial regression and Generalized Poisson Regression, as reported in Table 5, indicate that both the deviance/</w:t>
      </w:r>
      <w:proofErr w:type="spellStart"/>
      <w:r w:rsidRPr="005B1D45">
        <w:rPr>
          <w:rFonts w:ascii="Arial" w:hAnsi="Arial" w:cs="Arial"/>
        </w:rPr>
        <w:t>df</w:t>
      </w:r>
      <w:proofErr w:type="spellEnd"/>
      <w:r w:rsidRPr="005B1D45">
        <w:rPr>
          <w:rFonts w:ascii="Arial" w:hAnsi="Arial" w:cs="Arial"/>
        </w:rPr>
        <w:t xml:space="preserve"> and Pearson chi-square/</w:t>
      </w:r>
      <w:proofErr w:type="spellStart"/>
      <w:r w:rsidRPr="005B1D45">
        <w:rPr>
          <w:rFonts w:ascii="Arial" w:hAnsi="Arial" w:cs="Arial"/>
        </w:rPr>
        <w:t>df</w:t>
      </w:r>
      <w:proofErr w:type="spellEnd"/>
      <w:r w:rsidRPr="005B1D45">
        <w:rPr>
          <w:rFonts w:ascii="Arial" w:hAnsi="Arial" w:cs="Arial"/>
        </w:rPr>
        <w:t xml:space="preserve"> values are less than 1. This suggests that the count of diabetes cases in Benue State, as modeled by the Negative Binomial regression and Generalized Poisson Regression, exhibits under-dispersion. Under-dispersion results in unbiased parameter estimates, ensuring that there are no adverse effects on the standard errors or on the inference of the parameters.</w:t>
      </w:r>
    </w:p>
    <w:p w14:paraId="49EE58D2" w14:textId="77777777" w:rsidR="00F86B78" w:rsidRPr="005B1D45" w:rsidRDefault="00756351" w:rsidP="00F86B78">
      <w:pPr>
        <w:jc w:val="both"/>
        <w:rPr>
          <w:rFonts w:ascii="Arial" w:hAnsi="Arial" w:cs="Arial"/>
          <w:b/>
        </w:rPr>
      </w:pPr>
      <w:r>
        <w:rPr>
          <w:rFonts w:ascii="Arial" w:hAnsi="Arial" w:cs="Arial"/>
          <w:b/>
        </w:rPr>
        <w:t>3</w:t>
      </w:r>
      <w:r w:rsidR="00F86B78" w:rsidRPr="005B1D45">
        <w:rPr>
          <w:rFonts w:ascii="Arial" w:hAnsi="Arial" w:cs="Arial"/>
          <w:b/>
        </w:rPr>
        <w:t>.7 Model comparison using performance criteria</w:t>
      </w:r>
    </w:p>
    <w:p w14:paraId="57D23D64" w14:textId="77777777" w:rsidR="00F86B78" w:rsidRPr="005B1D45" w:rsidRDefault="00F86B78" w:rsidP="00F86B78">
      <w:pPr>
        <w:jc w:val="both"/>
        <w:rPr>
          <w:rFonts w:ascii="Arial" w:hAnsi="Arial" w:cs="Arial"/>
        </w:rPr>
      </w:pPr>
      <w:r w:rsidRPr="005B1D45">
        <w:rPr>
          <w:rFonts w:ascii="Arial" w:hAnsi="Arial" w:cs="Arial"/>
        </w:rPr>
        <w:t>To identify the most suitable count data model for analyzing diabetes cases among farmers in Benue State, three performance criteria were evaluated: -2 log-likelihood, Akaike Information Criterion (AIC), and Bayesian Information Criterion (BIC). The preferred model is determined by the highest -2 log-likelihood value and the lowest information criterion values. The results of this model comparison are presented in Table 6.</w:t>
      </w:r>
    </w:p>
    <w:p w14:paraId="3789FBA5" w14:textId="77777777" w:rsidR="00F86B78" w:rsidRPr="005B1D45" w:rsidRDefault="00F86B78" w:rsidP="00F86B78">
      <w:pPr>
        <w:jc w:val="both"/>
        <w:rPr>
          <w:rFonts w:ascii="Arial" w:hAnsi="Arial" w:cs="Arial"/>
          <w:b/>
        </w:rPr>
      </w:pPr>
      <w:r w:rsidRPr="005B1D45">
        <w:rPr>
          <w:rFonts w:ascii="Arial" w:hAnsi="Arial" w:cs="Arial"/>
          <w:b/>
        </w:rPr>
        <w:t>Table 6: Model Comparison Using Performance Criteria</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037"/>
        <w:gridCol w:w="2089"/>
        <w:gridCol w:w="2041"/>
        <w:gridCol w:w="2041"/>
      </w:tblGrid>
      <w:tr w:rsidR="00F86B78" w:rsidRPr="005B1D45" w14:paraId="2EF47B36" w14:textId="77777777" w:rsidTr="007C37C3">
        <w:tc>
          <w:tcPr>
            <w:tcW w:w="2214" w:type="dxa"/>
            <w:tcBorders>
              <w:top w:val="single" w:sz="4" w:space="0" w:color="auto"/>
              <w:bottom w:val="single" w:sz="4" w:space="0" w:color="auto"/>
            </w:tcBorders>
          </w:tcPr>
          <w:p w14:paraId="4387CC5F" w14:textId="77777777" w:rsidR="00F86B78" w:rsidRPr="005B1D45" w:rsidRDefault="00F86B78" w:rsidP="007C37C3">
            <w:pPr>
              <w:rPr>
                <w:rFonts w:ascii="Arial" w:hAnsi="Arial" w:cs="Arial"/>
                <w:b/>
              </w:rPr>
            </w:pPr>
            <w:r w:rsidRPr="005B1D45">
              <w:rPr>
                <w:rFonts w:ascii="Arial" w:hAnsi="Arial" w:cs="Arial"/>
                <w:b/>
              </w:rPr>
              <w:t xml:space="preserve">Model </w:t>
            </w:r>
          </w:p>
        </w:tc>
        <w:tc>
          <w:tcPr>
            <w:tcW w:w="2214" w:type="dxa"/>
            <w:tcBorders>
              <w:top w:val="single" w:sz="4" w:space="0" w:color="auto"/>
              <w:bottom w:val="single" w:sz="4" w:space="0" w:color="auto"/>
            </w:tcBorders>
          </w:tcPr>
          <w:p w14:paraId="4BB833C6" w14:textId="77777777" w:rsidR="00F86B78" w:rsidRPr="005B1D45" w:rsidRDefault="00F86B78" w:rsidP="007C37C3">
            <w:pPr>
              <w:rPr>
                <w:rFonts w:ascii="Arial" w:hAnsi="Arial" w:cs="Arial"/>
                <w:b/>
              </w:rPr>
            </w:pPr>
            <w:r w:rsidRPr="005B1D45">
              <w:rPr>
                <w:rFonts w:ascii="Arial" w:hAnsi="Arial" w:cs="Arial"/>
                <w:b/>
              </w:rPr>
              <w:t>-2Log-Likelihood</w:t>
            </w:r>
          </w:p>
        </w:tc>
        <w:tc>
          <w:tcPr>
            <w:tcW w:w="2214" w:type="dxa"/>
            <w:tcBorders>
              <w:top w:val="single" w:sz="4" w:space="0" w:color="auto"/>
              <w:bottom w:val="single" w:sz="4" w:space="0" w:color="auto"/>
            </w:tcBorders>
          </w:tcPr>
          <w:p w14:paraId="74A715E8" w14:textId="77777777" w:rsidR="00F86B78" w:rsidRPr="005B1D45" w:rsidRDefault="00F86B78" w:rsidP="007C37C3">
            <w:pPr>
              <w:rPr>
                <w:rFonts w:ascii="Arial" w:hAnsi="Arial" w:cs="Arial"/>
                <w:b/>
              </w:rPr>
            </w:pPr>
            <w:r w:rsidRPr="005B1D45">
              <w:rPr>
                <w:rFonts w:ascii="Arial" w:hAnsi="Arial" w:cs="Arial"/>
                <w:b/>
              </w:rPr>
              <w:t>AIC</w:t>
            </w:r>
          </w:p>
        </w:tc>
        <w:tc>
          <w:tcPr>
            <w:tcW w:w="2214" w:type="dxa"/>
            <w:tcBorders>
              <w:top w:val="single" w:sz="4" w:space="0" w:color="auto"/>
              <w:bottom w:val="single" w:sz="4" w:space="0" w:color="auto"/>
            </w:tcBorders>
          </w:tcPr>
          <w:p w14:paraId="49006376" w14:textId="77777777" w:rsidR="00F86B78" w:rsidRPr="005B1D45" w:rsidRDefault="00F86B78" w:rsidP="007C37C3">
            <w:pPr>
              <w:rPr>
                <w:rFonts w:ascii="Arial" w:hAnsi="Arial" w:cs="Arial"/>
                <w:b/>
              </w:rPr>
            </w:pPr>
            <w:r w:rsidRPr="005B1D45">
              <w:rPr>
                <w:rFonts w:ascii="Arial" w:hAnsi="Arial" w:cs="Arial"/>
                <w:b/>
              </w:rPr>
              <w:t>BIC</w:t>
            </w:r>
          </w:p>
        </w:tc>
      </w:tr>
      <w:tr w:rsidR="00F86B78" w:rsidRPr="005B1D45" w14:paraId="1BD3D714" w14:textId="77777777" w:rsidTr="007C37C3">
        <w:tc>
          <w:tcPr>
            <w:tcW w:w="2214" w:type="dxa"/>
            <w:tcBorders>
              <w:top w:val="single" w:sz="4" w:space="0" w:color="auto"/>
            </w:tcBorders>
          </w:tcPr>
          <w:p w14:paraId="74279C2F" w14:textId="77777777" w:rsidR="00F86B78" w:rsidRPr="005B1D45" w:rsidRDefault="00F86B78" w:rsidP="007C37C3">
            <w:pPr>
              <w:rPr>
                <w:rFonts w:ascii="Arial" w:hAnsi="Arial" w:cs="Arial"/>
              </w:rPr>
            </w:pPr>
            <w:r w:rsidRPr="005B1D45">
              <w:rPr>
                <w:rFonts w:ascii="Arial" w:hAnsi="Arial" w:cs="Arial"/>
              </w:rPr>
              <w:t>PR</w:t>
            </w:r>
          </w:p>
        </w:tc>
        <w:tc>
          <w:tcPr>
            <w:tcW w:w="2214" w:type="dxa"/>
            <w:tcBorders>
              <w:top w:val="single" w:sz="4" w:space="0" w:color="auto"/>
            </w:tcBorders>
          </w:tcPr>
          <w:p w14:paraId="2E9FA18C" w14:textId="77777777" w:rsidR="00F86B78" w:rsidRPr="005B1D45" w:rsidRDefault="00F86B78" w:rsidP="007C37C3">
            <w:pPr>
              <w:rPr>
                <w:rFonts w:ascii="Arial" w:hAnsi="Arial" w:cs="Arial"/>
              </w:rPr>
            </w:pPr>
            <w:r w:rsidRPr="005B1D45">
              <w:rPr>
                <w:rFonts w:ascii="Arial" w:hAnsi="Arial" w:cs="Arial"/>
              </w:rPr>
              <w:t>148.25</w:t>
            </w:r>
          </w:p>
        </w:tc>
        <w:tc>
          <w:tcPr>
            <w:tcW w:w="2214" w:type="dxa"/>
            <w:tcBorders>
              <w:top w:val="single" w:sz="4" w:space="0" w:color="auto"/>
            </w:tcBorders>
          </w:tcPr>
          <w:p w14:paraId="3D05560B" w14:textId="77777777" w:rsidR="00F86B78" w:rsidRPr="005B1D45" w:rsidRDefault="00F86B78" w:rsidP="007C37C3">
            <w:pPr>
              <w:rPr>
                <w:rFonts w:ascii="Arial" w:hAnsi="Arial" w:cs="Arial"/>
              </w:rPr>
            </w:pPr>
            <w:r w:rsidRPr="005B1D45">
              <w:rPr>
                <w:rFonts w:ascii="Arial" w:hAnsi="Arial" w:cs="Arial"/>
              </w:rPr>
              <w:t>152.34</w:t>
            </w:r>
          </w:p>
        </w:tc>
        <w:tc>
          <w:tcPr>
            <w:tcW w:w="2214" w:type="dxa"/>
            <w:tcBorders>
              <w:top w:val="single" w:sz="4" w:space="0" w:color="auto"/>
            </w:tcBorders>
          </w:tcPr>
          <w:p w14:paraId="10C2CA34" w14:textId="77777777" w:rsidR="00F86B78" w:rsidRPr="005B1D45" w:rsidRDefault="00F86B78" w:rsidP="007C37C3">
            <w:pPr>
              <w:rPr>
                <w:rFonts w:ascii="Arial" w:hAnsi="Arial" w:cs="Arial"/>
              </w:rPr>
            </w:pPr>
            <w:r w:rsidRPr="005B1D45">
              <w:rPr>
                <w:rFonts w:ascii="Arial" w:hAnsi="Arial" w:cs="Arial"/>
              </w:rPr>
              <w:t>160.78</w:t>
            </w:r>
          </w:p>
        </w:tc>
      </w:tr>
      <w:tr w:rsidR="00F86B78" w:rsidRPr="005B1D45" w14:paraId="05A34BA2" w14:textId="77777777" w:rsidTr="007C37C3">
        <w:tc>
          <w:tcPr>
            <w:tcW w:w="2214" w:type="dxa"/>
          </w:tcPr>
          <w:p w14:paraId="28EED7DC" w14:textId="77777777" w:rsidR="00F86B78" w:rsidRPr="005B1D45" w:rsidRDefault="00F86B78" w:rsidP="007C37C3">
            <w:pPr>
              <w:rPr>
                <w:rFonts w:ascii="Arial" w:hAnsi="Arial" w:cs="Arial"/>
                <w:b/>
              </w:rPr>
            </w:pPr>
            <w:r w:rsidRPr="005B1D45">
              <w:rPr>
                <w:rFonts w:ascii="Arial" w:hAnsi="Arial" w:cs="Arial"/>
                <w:b/>
              </w:rPr>
              <w:t>NBR*</w:t>
            </w:r>
          </w:p>
        </w:tc>
        <w:tc>
          <w:tcPr>
            <w:tcW w:w="2214" w:type="dxa"/>
          </w:tcPr>
          <w:p w14:paraId="6DDBD23C" w14:textId="77777777" w:rsidR="00F86B78" w:rsidRPr="005B1D45" w:rsidRDefault="00F86B78" w:rsidP="007C37C3">
            <w:pPr>
              <w:rPr>
                <w:rFonts w:ascii="Arial" w:hAnsi="Arial" w:cs="Arial"/>
                <w:b/>
              </w:rPr>
            </w:pPr>
            <w:r w:rsidRPr="005B1D45">
              <w:rPr>
                <w:rFonts w:ascii="Arial" w:hAnsi="Arial" w:cs="Arial"/>
                <w:b/>
              </w:rPr>
              <w:t>155.32</w:t>
            </w:r>
          </w:p>
        </w:tc>
        <w:tc>
          <w:tcPr>
            <w:tcW w:w="2214" w:type="dxa"/>
          </w:tcPr>
          <w:p w14:paraId="251D344C" w14:textId="77777777" w:rsidR="00F86B78" w:rsidRPr="005B1D45" w:rsidRDefault="00F86B78" w:rsidP="007C37C3">
            <w:pPr>
              <w:rPr>
                <w:rFonts w:ascii="Arial" w:hAnsi="Arial" w:cs="Arial"/>
                <w:b/>
              </w:rPr>
            </w:pPr>
            <w:r w:rsidRPr="005B1D45">
              <w:rPr>
                <w:rFonts w:ascii="Arial" w:hAnsi="Arial" w:cs="Arial"/>
                <w:b/>
              </w:rPr>
              <w:t>150.12</w:t>
            </w:r>
          </w:p>
        </w:tc>
        <w:tc>
          <w:tcPr>
            <w:tcW w:w="2214" w:type="dxa"/>
          </w:tcPr>
          <w:p w14:paraId="6C6BFBAF" w14:textId="77777777" w:rsidR="00F86B78" w:rsidRPr="005B1D45" w:rsidRDefault="00F86B78" w:rsidP="007C37C3">
            <w:pPr>
              <w:rPr>
                <w:rFonts w:ascii="Arial" w:hAnsi="Arial" w:cs="Arial"/>
                <w:b/>
              </w:rPr>
            </w:pPr>
            <w:r w:rsidRPr="005B1D45">
              <w:rPr>
                <w:rFonts w:ascii="Arial" w:hAnsi="Arial" w:cs="Arial"/>
                <w:b/>
              </w:rPr>
              <w:t>158.47</w:t>
            </w:r>
          </w:p>
        </w:tc>
      </w:tr>
      <w:tr w:rsidR="00F86B78" w:rsidRPr="005B1D45" w14:paraId="5EB61D5E" w14:textId="77777777" w:rsidTr="007C37C3">
        <w:tc>
          <w:tcPr>
            <w:tcW w:w="2214" w:type="dxa"/>
          </w:tcPr>
          <w:p w14:paraId="64993E6C" w14:textId="77777777" w:rsidR="00F86B78" w:rsidRPr="005B1D45" w:rsidRDefault="00F86B78" w:rsidP="007C37C3">
            <w:pPr>
              <w:rPr>
                <w:rFonts w:ascii="Arial" w:hAnsi="Arial" w:cs="Arial"/>
              </w:rPr>
            </w:pPr>
            <w:r w:rsidRPr="005B1D45">
              <w:rPr>
                <w:rFonts w:ascii="Arial" w:hAnsi="Arial" w:cs="Arial"/>
              </w:rPr>
              <w:t>GPR</w:t>
            </w:r>
          </w:p>
        </w:tc>
        <w:tc>
          <w:tcPr>
            <w:tcW w:w="2214" w:type="dxa"/>
          </w:tcPr>
          <w:p w14:paraId="65FC9464" w14:textId="77777777" w:rsidR="00F86B78" w:rsidRPr="005B1D45" w:rsidRDefault="00F86B78" w:rsidP="007C37C3">
            <w:pPr>
              <w:rPr>
                <w:rFonts w:ascii="Arial" w:hAnsi="Arial" w:cs="Arial"/>
              </w:rPr>
            </w:pPr>
            <w:r w:rsidRPr="005B1D45">
              <w:rPr>
                <w:rFonts w:ascii="Arial" w:hAnsi="Arial" w:cs="Arial"/>
              </w:rPr>
              <w:t>146.78</w:t>
            </w:r>
          </w:p>
        </w:tc>
        <w:tc>
          <w:tcPr>
            <w:tcW w:w="2214" w:type="dxa"/>
          </w:tcPr>
          <w:p w14:paraId="25D5B465" w14:textId="77777777" w:rsidR="00F86B78" w:rsidRPr="005B1D45" w:rsidRDefault="00F86B78" w:rsidP="007C37C3">
            <w:pPr>
              <w:rPr>
                <w:rFonts w:ascii="Arial" w:hAnsi="Arial" w:cs="Arial"/>
              </w:rPr>
            </w:pPr>
            <w:r w:rsidRPr="005B1D45">
              <w:rPr>
                <w:rFonts w:ascii="Arial" w:hAnsi="Arial" w:cs="Arial"/>
              </w:rPr>
              <w:t>151.35</w:t>
            </w:r>
          </w:p>
        </w:tc>
        <w:tc>
          <w:tcPr>
            <w:tcW w:w="2214" w:type="dxa"/>
          </w:tcPr>
          <w:p w14:paraId="12764808" w14:textId="77777777" w:rsidR="00F86B78" w:rsidRPr="005B1D45" w:rsidRDefault="00F86B78" w:rsidP="007C37C3">
            <w:pPr>
              <w:rPr>
                <w:rFonts w:ascii="Arial" w:hAnsi="Arial" w:cs="Arial"/>
              </w:rPr>
            </w:pPr>
            <w:r w:rsidRPr="005B1D45">
              <w:rPr>
                <w:rFonts w:ascii="Arial" w:hAnsi="Arial" w:cs="Arial"/>
              </w:rPr>
              <w:t>159.42</w:t>
            </w:r>
          </w:p>
        </w:tc>
      </w:tr>
    </w:tbl>
    <w:p w14:paraId="0B917D69" w14:textId="77777777" w:rsidR="00F86B78" w:rsidRPr="005B1D45" w:rsidRDefault="00F86B78" w:rsidP="00F86B78">
      <w:pPr>
        <w:jc w:val="both"/>
        <w:rPr>
          <w:rFonts w:ascii="Arial" w:hAnsi="Arial" w:cs="Arial"/>
        </w:rPr>
      </w:pPr>
      <w:r w:rsidRPr="005B1D45">
        <w:rPr>
          <w:rFonts w:ascii="Arial" w:hAnsi="Arial" w:cs="Arial"/>
        </w:rPr>
        <w:t>The performance criteria results for the three count data models: Poisson Regression (PR), Negative Binomial Regression (NBR), and Generalized Poisson Regression are presented in Table 6. The Negative Binomial Regression (NBR) model stands out as the best candidate among the competing models, as it exhibits the highest -2 log-likelihood value (155.32) and the lowest AIC (150.12) and BIC (158.47) values. This indicates that the NBR model is most suitable for modeling confirmed, active, and severe diabetes cases in Benue State.</w:t>
      </w:r>
    </w:p>
    <w:p w14:paraId="6784EBF3" w14:textId="77777777" w:rsidR="00F86B78" w:rsidRPr="00F86B78" w:rsidRDefault="00F86B78" w:rsidP="00F86B78">
      <w:pPr>
        <w:pStyle w:val="ListParagraph"/>
        <w:numPr>
          <w:ilvl w:val="0"/>
          <w:numId w:val="4"/>
        </w:numPr>
        <w:jc w:val="both"/>
        <w:rPr>
          <w:rFonts w:ascii="Arial" w:hAnsi="Arial" w:cs="Arial"/>
          <w:b/>
          <w:sz w:val="20"/>
          <w:szCs w:val="20"/>
        </w:rPr>
      </w:pPr>
      <w:r w:rsidRPr="00F86B78">
        <w:rPr>
          <w:rFonts w:ascii="Arial" w:hAnsi="Arial" w:cs="Arial"/>
          <w:b/>
          <w:sz w:val="20"/>
          <w:szCs w:val="20"/>
        </w:rPr>
        <w:t>CONCLUSION</w:t>
      </w:r>
    </w:p>
    <w:p w14:paraId="715CBC11" w14:textId="77777777" w:rsidR="004658C6" w:rsidRDefault="00F86B78" w:rsidP="0005770B">
      <w:pPr>
        <w:spacing w:before="100" w:beforeAutospacing="1"/>
        <w:jc w:val="both"/>
        <w:rPr>
          <w:rFonts w:ascii="Arial" w:hAnsi="Arial" w:cs="Arial"/>
        </w:rPr>
      </w:pPr>
      <w:r w:rsidRPr="00F86B78">
        <w:rPr>
          <w:rFonts w:ascii="Arial" w:hAnsi="Arial" w:cs="Arial"/>
        </w:rPr>
        <w:t xml:space="preserve">This study successfully modeled the incidence and mortality of diabetes mellitus among farmers in Benue State, Nigeria, using advanced statistical approaches to better understand the relationships between confirmed, active, and severe diabetes cases and mortality. By applying Poisson Regression, Negative Binomial Regression, and Generalized Poisson Regression models, the study addressed over-dispersion in the data and determined that the Negative Binomial Regression model offered the best fit based on -2 log likelihood, AIC, and BIC values. This model provided a robust framework for identifying significant predictors of diabetes mortality, with confirmed cases, active cases, and severe cases emerging as influential factors. These findings underscore the urgent need for improved rural healthcare resources and systematic interventions, including data-informed planning and predictive modeling, to mitigate the burden of diabetes within this population. The study’s recommendations emphasize collaborative efforts among government entities, health departments, NGOs, and donor agencies to prioritize rural healthcare accessibility, enhance diabetes education, develop monitoring systems, and support the training of local healthcare providers in diabetes management. In doing so, these strategies can contribute to the reduction of diabetes incidence and mortality among farmers in Benue State, potentially </w:t>
      </w:r>
      <w:r w:rsidRPr="00F86B78">
        <w:rPr>
          <w:rFonts w:ascii="Arial" w:hAnsi="Arial" w:cs="Arial"/>
        </w:rPr>
        <w:lastRenderedPageBreak/>
        <w:t>setting a precedent for addressing similar public health challenges in rural communities across Nigeria.</w:t>
      </w:r>
    </w:p>
    <w:p w14:paraId="0DA7BC82" w14:textId="77777777" w:rsidR="009006A4" w:rsidRPr="00892C13" w:rsidRDefault="009006A4" w:rsidP="009006A4">
      <w:pPr>
        <w:spacing w:before="100" w:beforeAutospacing="1" w:after="100" w:afterAutospacing="1"/>
        <w:outlineLvl w:val="1"/>
        <w:rPr>
          <w:rFonts w:ascii="Times New Roman" w:hAnsi="Times New Roman"/>
          <w:b/>
          <w:bCs/>
          <w:sz w:val="36"/>
          <w:szCs w:val="36"/>
          <w:lang w:val="en-IN" w:eastAsia="en-IN"/>
        </w:rPr>
      </w:pPr>
      <w:r w:rsidRPr="00892C13">
        <w:rPr>
          <w:rFonts w:ascii="Times New Roman" w:hAnsi="Times New Roman"/>
          <w:b/>
          <w:bCs/>
          <w:sz w:val="36"/>
          <w:szCs w:val="36"/>
          <w:lang w:val="en-IN" w:eastAsia="en-IN"/>
        </w:rPr>
        <w:t>Limitation</w:t>
      </w:r>
    </w:p>
    <w:p w14:paraId="76F78317" w14:textId="77777777" w:rsidR="009006A4" w:rsidRPr="00892C13" w:rsidRDefault="009006A4" w:rsidP="009006A4">
      <w:pPr>
        <w:spacing w:before="100" w:beforeAutospacing="1" w:after="100" w:afterAutospacing="1"/>
        <w:rPr>
          <w:rFonts w:ascii="Times New Roman" w:hAnsi="Times New Roman"/>
          <w:sz w:val="24"/>
          <w:szCs w:val="24"/>
          <w:lang w:val="en-IN" w:eastAsia="en-IN"/>
        </w:rPr>
      </w:pPr>
      <w:r w:rsidRPr="00892C13">
        <w:rPr>
          <w:rFonts w:ascii="Times New Roman" w:hAnsi="Times New Roman"/>
          <w:sz w:val="24"/>
          <w:szCs w:val="24"/>
          <w:lang w:val="en-IN" w:eastAsia="en-IN"/>
        </w:rPr>
        <w:t>The study used secondary surveillance data and therefore depended on the completeness and accuracy of the original records. Important individual-level clinical and demographic variables, such as age, sex, disease duration, treatment status, comorbidities, and access to healthcare, were not included. The analysis was based on aggregated monthly counts, so causal interpretation is limited. Data-period and observation-count consistency should also be verified before publication.</w:t>
      </w:r>
    </w:p>
    <w:p w14:paraId="106D0E95" w14:textId="77777777" w:rsidR="009006A4" w:rsidRPr="000839CE" w:rsidRDefault="009006A4" w:rsidP="009006A4">
      <w:pPr>
        <w:rPr>
          <w:rFonts w:ascii="Times New Roman" w:hAnsi="Times New Roman"/>
          <w:b/>
        </w:rPr>
      </w:pPr>
      <w:bookmarkStart w:id="0" w:name="_Hlk234486585"/>
      <w:bookmarkStart w:id="1" w:name="_Hlk234075571"/>
      <w:bookmarkStart w:id="2" w:name="_Hlk232755622"/>
      <w:r w:rsidRPr="000839CE">
        <w:rPr>
          <w:rFonts w:ascii="Times New Roman" w:hAnsi="Times New Roman"/>
          <w:b/>
        </w:rPr>
        <w:t>Declaration of AI Use</w:t>
      </w:r>
    </w:p>
    <w:p w14:paraId="42D51C1B" w14:textId="77777777" w:rsidR="009006A4" w:rsidRPr="000839CE" w:rsidRDefault="009006A4" w:rsidP="009006A4">
      <w:pPr>
        <w:rPr>
          <w:rFonts w:ascii="Times New Roman" w:hAnsi="Times New Roman"/>
        </w:rPr>
      </w:pPr>
      <w:bookmarkStart w:id="3" w:name="_Hlk234486575"/>
      <w:bookmarkEnd w:id="0"/>
    </w:p>
    <w:p w14:paraId="04A41792" w14:textId="77777777" w:rsidR="009006A4" w:rsidRPr="000839CE" w:rsidRDefault="009006A4" w:rsidP="009006A4">
      <w:pPr>
        <w:jc w:val="both"/>
        <w:rPr>
          <w:rFonts w:ascii="Times New Roman" w:hAnsi="Times New Roman"/>
        </w:rPr>
      </w:pPr>
      <w:r w:rsidRPr="00C56790">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1"/>
      <w:r w:rsidRPr="00C56790">
        <w:rPr>
          <w:rFonts w:ascii="Times New Roman" w:hAnsi="Times New Roman"/>
        </w:rPr>
        <w:t>.</w:t>
      </w:r>
    </w:p>
    <w:bookmarkEnd w:id="2"/>
    <w:bookmarkEnd w:id="3"/>
    <w:p w14:paraId="6F6D4B06" w14:textId="77777777" w:rsidR="004658C6" w:rsidRDefault="004658C6" w:rsidP="004658C6">
      <w:pPr>
        <w:pStyle w:val="ReferHead"/>
        <w:spacing w:after="0"/>
        <w:jc w:val="both"/>
        <w:rPr>
          <w:rFonts w:ascii="Arial" w:hAnsi="Arial" w:cs="Arial"/>
          <w:b w:val="0"/>
          <w:caps w:val="0"/>
          <w:sz w:val="20"/>
        </w:rPr>
      </w:pPr>
    </w:p>
    <w:p w14:paraId="4EE41738" w14:textId="77777777" w:rsidR="004658C6" w:rsidRDefault="004658C6" w:rsidP="004658C6">
      <w:pPr>
        <w:pStyle w:val="ReferHead"/>
        <w:spacing w:after="0"/>
        <w:jc w:val="both"/>
        <w:rPr>
          <w:rFonts w:ascii="Arial" w:hAnsi="Arial" w:cs="Arial"/>
          <w:bCs/>
        </w:rPr>
      </w:pPr>
      <w:r w:rsidRPr="002B685A">
        <w:rPr>
          <w:rFonts w:ascii="Arial" w:hAnsi="Arial" w:cs="Arial"/>
          <w:bCs/>
        </w:rPr>
        <w:t>Consent</w:t>
      </w:r>
      <w:r>
        <w:rPr>
          <w:rFonts w:ascii="Arial" w:hAnsi="Arial" w:cs="Arial"/>
          <w:bCs/>
        </w:rPr>
        <w:t xml:space="preserve"> </w:t>
      </w:r>
    </w:p>
    <w:p w14:paraId="1F5BAADE" w14:textId="77777777" w:rsidR="004658C6" w:rsidRPr="002B685A" w:rsidRDefault="004658C6" w:rsidP="004658C6">
      <w:pPr>
        <w:pStyle w:val="ReferHead"/>
        <w:spacing w:after="0"/>
        <w:jc w:val="both"/>
        <w:rPr>
          <w:rFonts w:ascii="Arial" w:hAnsi="Arial" w:cs="Arial"/>
          <w:bCs/>
        </w:rPr>
      </w:pPr>
    </w:p>
    <w:p w14:paraId="1AB6D33A" w14:textId="77777777" w:rsidR="004658C6" w:rsidRDefault="004658C6" w:rsidP="004658C6">
      <w:pPr>
        <w:pStyle w:val="ReferHead"/>
        <w:spacing w:after="0"/>
        <w:jc w:val="both"/>
        <w:rPr>
          <w:rFonts w:ascii="Arial" w:hAnsi="Arial" w:cs="Arial"/>
          <w:b w:val="0"/>
          <w:caps w:val="0"/>
          <w:sz w:val="20"/>
        </w:rPr>
      </w:pPr>
      <w:r>
        <w:rPr>
          <w:rFonts w:ascii="Arial" w:hAnsi="Arial" w:cs="Arial"/>
          <w:b w:val="0"/>
          <w:caps w:val="0"/>
          <w:sz w:val="20"/>
        </w:rPr>
        <w:t>This study used secondary data already published in other sources and hence did not need consent from the patients.</w:t>
      </w:r>
    </w:p>
    <w:p w14:paraId="72D223F8" w14:textId="77777777" w:rsidR="004658C6" w:rsidRDefault="004658C6" w:rsidP="004658C6">
      <w:pPr>
        <w:pStyle w:val="ReferHead"/>
        <w:spacing w:after="0"/>
        <w:jc w:val="both"/>
        <w:rPr>
          <w:rFonts w:ascii="Arial" w:hAnsi="Arial" w:cs="Arial"/>
          <w:b w:val="0"/>
          <w:caps w:val="0"/>
          <w:sz w:val="20"/>
        </w:rPr>
      </w:pPr>
    </w:p>
    <w:p w14:paraId="02BAE160" w14:textId="77777777" w:rsidR="004658C6" w:rsidRDefault="004658C6" w:rsidP="004658C6">
      <w:pPr>
        <w:pStyle w:val="ReferHead"/>
        <w:spacing w:after="0"/>
        <w:jc w:val="both"/>
        <w:rPr>
          <w:rFonts w:ascii="Arial" w:hAnsi="Arial" w:cs="Arial"/>
          <w:bCs/>
        </w:rPr>
      </w:pPr>
      <w:r>
        <w:rPr>
          <w:rFonts w:ascii="Arial" w:hAnsi="Arial" w:cs="Arial"/>
          <w:bCs/>
        </w:rPr>
        <w:t>Ethical approval</w:t>
      </w:r>
    </w:p>
    <w:p w14:paraId="5664D227" w14:textId="77777777" w:rsidR="004658C6" w:rsidRPr="002B685A" w:rsidRDefault="004658C6" w:rsidP="004658C6">
      <w:pPr>
        <w:pStyle w:val="ReferHead"/>
        <w:spacing w:after="0"/>
        <w:jc w:val="both"/>
        <w:rPr>
          <w:rFonts w:ascii="Arial" w:hAnsi="Arial" w:cs="Arial"/>
          <w:bCs/>
        </w:rPr>
      </w:pPr>
    </w:p>
    <w:p w14:paraId="74DEF770" w14:textId="77777777" w:rsidR="004658C6" w:rsidRDefault="004658C6" w:rsidP="004658C6">
      <w:pPr>
        <w:pStyle w:val="ReferHead"/>
        <w:spacing w:after="0"/>
        <w:jc w:val="both"/>
        <w:rPr>
          <w:rFonts w:ascii="Arial" w:hAnsi="Arial" w:cs="Arial"/>
          <w:b w:val="0"/>
          <w:caps w:val="0"/>
          <w:sz w:val="20"/>
        </w:rPr>
      </w:pPr>
      <w:r>
        <w:rPr>
          <w:rFonts w:ascii="Arial" w:hAnsi="Arial" w:cs="Arial"/>
          <w:b w:val="0"/>
          <w:caps w:val="0"/>
          <w:sz w:val="20"/>
        </w:rPr>
        <w:t>This study used secondary data already published in other sources and hence did not need ethical approval from any committee.</w:t>
      </w:r>
    </w:p>
    <w:p w14:paraId="28C7694B" w14:textId="77777777" w:rsidR="004658C6" w:rsidRDefault="004658C6" w:rsidP="004658C6">
      <w:pPr>
        <w:pStyle w:val="ReferHead"/>
        <w:spacing w:after="0"/>
        <w:jc w:val="both"/>
        <w:rPr>
          <w:rFonts w:ascii="Arial" w:hAnsi="Arial" w:cs="Arial"/>
          <w:b w:val="0"/>
          <w:caps w:val="0"/>
          <w:sz w:val="20"/>
        </w:rPr>
      </w:pPr>
    </w:p>
    <w:p w14:paraId="051F216A" w14:textId="77777777" w:rsidR="004658C6" w:rsidRDefault="004658C6" w:rsidP="004658C6">
      <w:pPr>
        <w:pStyle w:val="ReferHead"/>
        <w:spacing w:after="0"/>
        <w:jc w:val="both"/>
        <w:rPr>
          <w:rFonts w:ascii="Arial" w:hAnsi="Arial" w:cs="Arial"/>
        </w:rPr>
      </w:pPr>
      <w:r w:rsidRPr="00FB3A86">
        <w:rPr>
          <w:rFonts w:ascii="Arial" w:hAnsi="Arial" w:cs="Arial"/>
        </w:rPr>
        <w:t>References</w:t>
      </w:r>
    </w:p>
    <w:p w14:paraId="165197B5" w14:textId="77777777" w:rsidR="004658C6" w:rsidRPr="00FB3A86" w:rsidRDefault="004658C6" w:rsidP="004658C6">
      <w:pPr>
        <w:pStyle w:val="ReferHead"/>
        <w:spacing w:after="0"/>
        <w:jc w:val="both"/>
        <w:rPr>
          <w:rFonts w:ascii="Arial" w:hAnsi="Arial" w:cs="Arial"/>
        </w:rPr>
      </w:pPr>
    </w:p>
    <w:p w14:paraId="5335B712" w14:textId="77777777" w:rsidR="005941EF" w:rsidRPr="005941EF" w:rsidRDefault="005941EF" w:rsidP="005941EF">
      <w:pPr>
        <w:ind w:left="720" w:hanging="720"/>
        <w:jc w:val="both"/>
        <w:rPr>
          <w:rFonts w:ascii="Arial" w:hAnsi="Arial" w:cs="Arial"/>
          <w:bCs/>
          <w:kern w:val="36"/>
        </w:rPr>
      </w:pPr>
      <w:r w:rsidRPr="005941EF">
        <w:rPr>
          <w:rFonts w:ascii="Arial" w:hAnsi="Arial" w:cs="Arial"/>
          <w:bCs/>
        </w:rPr>
        <w:t xml:space="preserve">Adams, S. O., </w:t>
      </w:r>
      <w:proofErr w:type="spellStart"/>
      <w:r w:rsidRPr="005941EF">
        <w:rPr>
          <w:rFonts w:ascii="Arial" w:hAnsi="Arial" w:cs="Arial"/>
          <w:bCs/>
        </w:rPr>
        <w:t>Bamanga</w:t>
      </w:r>
      <w:proofErr w:type="spellEnd"/>
      <w:r w:rsidRPr="005941EF">
        <w:rPr>
          <w:rFonts w:ascii="Arial" w:hAnsi="Arial" w:cs="Arial"/>
          <w:bCs/>
        </w:rPr>
        <w:t xml:space="preserve">, M. A., Olanrewaju, S. O., Yahaya, H. U., and Akano, R. O. (2020). Modeling COVID-19 cases in Nigeria using some selected count data regression models. </w:t>
      </w:r>
      <w:r w:rsidRPr="005941EF">
        <w:rPr>
          <w:rFonts w:ascii="Arial" w:hAnsi="Arial" w:cs="Arial"/>
          <w:bCs/>
          <w:i/>
        </w:rPr>
        <w:t>International Journal of Healthcare and Medical Sciences</w:t>
      </w:r>
      <w:r w:rsidRPr="005941EF">
        <w:rPr>
          <w:rFonts w:ascii="Arial" w:hAnsi="Arial" w:cs="Arial"/>
          <w:bCs/>
        </w:rPr>
        <w:t xml:space="preserve">, </w:t>
      </w:r>
      <w:r w:rsidRPr="005941EF">
        <w:rPr>
          <w:rFonts w:ascii="Arial" w:hAnsi="Arial" w:cs="Arial"/>
          <w:bCs/>
          <w:i/>
        </w:rPr>
        <w:t>6</w:t>
      </w:r>
      <w:r w:rsidRPr="005941EF">
        <w:rPr>
          <w:rFonts w:ascii="Arial" w:hAnsi="Arial" w:cs="Arial"/>
          <w:bCs/>
        </w:rPr>
        <w:t>(4), 64-73.</w:t>
      </w:r>
    </w:p>
    <w:p w14:paraId="4EBD0FD8" w14:textId="77777777" w:rsidR="005941EF" w:rsidRPr="005941EF" w:rsidRDefault="005941EF" w:rsidP="005941EF">
      <w:pPr>
        <w:ind w:left="720" w:hanging="720"/>
        <w:jc w:val="both"/>
        <w:rPr>
          <w:rFonts w:ascii="Arial" w:hAnsi="Arial" w:cs="Arial"/>
          <w:bCs/>
          <w:kern w:val="36"/>
        </w:rPr>
      </w:pPr>
      <w:r w:rsidRPr="005941EF">
        <w:rPr>
          <w:rFonts w:ascii="Arial" w:hAnsi="Arial" w:cs="Arial"/>
        </w:rPr>
        <w:t xml:space="preserve">Agresti, A. (2007). </w:t>
      </w:r>
      <w:r w:rsidRPr="005941EF">
        <w:rPr>
          <w:rFonts w:ascii="Arial" w:hAnsi="Arial" w:cs="Arial"/>
          <w:i/>
        </w:rPr>
        <w:t>An introduction to categorical data analysis</w:t>
      </w:r>
      <w:r w:rsidRPr="005941EF">
        <w:rPr>
          <w:rFonts w:ascii="Arial" w:hAnsi="Arial" w:cs="Arial"/>
        </w:rPr>
        <w:t>. John Wiley &amp; Sons.</w:t>
      </w:r>
    </w:p>
    <w:p w14:paraId="4615B74C" w14:textId="77777777" w:rsidR="005941EF" w:rsidRPr="005941EF" w:rsidRDefault="0005770B" w:rsidP="005941EF">
      <w:pPr>
        <w:ind w:left="720" w:hanging="720"/>
        <w:jc w:val="both"/>
        <w:rPr>
          <w:rFonts w:ascii="Arial" w:hAnsi="Arial" w:cs="Arial"/>
          <w:bCs/>
          <w:kern w:val="36"/>
        </w:rPr>
      </w:pPr>
      <w:proofErr w:type="spellStart"/>
      <w:r>
        <w:rPr>
          <w:rFonts w:ascii="Arial" w:hAnsi="Arial" w:cs="Arial"/>
        </w:rPr>
        <w:t>Askarishahi</w:t>
      </w:r>
      <w:proofErr w:type="spellEnd"/>
      <w:r>
        <w:rPr>
          <w:rFonts w:ascii="Arial" w:hAnsi="Arial" w:cs="Arial"/>
        </w:rPr>
        <w:t xml:space="preserve">, M., </w:t>
      </w:r>
      <w:r w:rsidR="005941EF" w:rsidRPr="005941EF">
        <w:rPr>
          <w:rFonts w:ascii="Arial" w:hAnsi="Arial" w:cs="Arial"/>
        </w:rPr>
        <w:t xml:space="preserve">Malaki, M. H., </w:t>
      </w:r>
      <w:proofErr w:type="spellStart"/>
      <w:r w:rsidR="005941EF" w:rsidRPr="005941EF">
        <w:rPr>
          <w:rFonts w:ascii="Arial" w:hAnsi="Arial" w:cs="Arial"/>
        </w:rPr>
        <w:t>Fallahzade</w:t>
      </w:r>
      <w:proofErr w:type="spellEnd"/>
      <w:r w:rsidR="005941EF" w:rsidRPr="005941EF">
        <w:rPr>
          <w:rFonts w:ascii="Arial" w:hAnsi="Arial" w:cs="Arial"/>
        </w:rPr>
        <w:t xml:space="preserve">, H., Lotfi, M. H., &amp; Afkhami, A. M. (2014). Trend analysis of the rate of mortality due to diabetes mellitus in Iran during the period of 2003-2010: A join point regression analysis. </w:t>
      </w:r>
      <w:r w:rsidR="005941EF" w:rsidRPr="005941EF">
        <w:rPr>
          <w:rFonts w:ascii="Arial" w:hAnsi="Arial" w:cs="Arial"/>
          <w:i/>
        </w:rPr>
        <w:t>JOHE, spring</w:t>
      </w:r>
      <w:r w:rsidR="005941EF" w:rsidRPr="005941EF">
        <w:rPr>
          <w:rFonts w:ascii="Arial" w:hAnsi="Arial" w:cs="Arial"/>
        </w:rPr>
        <w:t xml:space="preserve">, </w:t>
      </w:r>
      <w:r w:rsidR="005941EF" w:rsidRPr="005941EF">
        <w:rPr>
          <w:rFonts w:ascii="Arial" w:hAnsi="Arial" w:cs="Arial"/>
          <w:i/>
        </w:rPr>
        <w:t>3</w:t>
      </w:r>
      <w:r w:rsidR="005941EF" w:rsidRPr="005941EF">
        <w:rPr>
          <w:rFonts w:ascii="Arial" w:hAnsi="Arial" w:cs="Arial"/>
        </w:rPr>
        <w:t xml:space="preserve">(2), 112-116. </w:t>
      </w:r>
    </w:p>
    <w:p w14:paraId="4A25B2AE" w14:textId="77777777" w:rsidR="005941EF" w:rsidRPr="005941EF" w:rsidRDefault="005941EF" w:rsidP="005941EF">
      <w:pPr>
        <w:ind w:left="720" w:hanging="720"/>
        <w:jc w:val="both"/>
        <w:rPr>
          <w:rFonts w:ascii="Arial" w:hAnsi="Arial" w:cs="Arial"/>
          <w:bCs/>
          <w:kern w:val="36"/>
        </w:rPr>
      </w:pPr>
      <w:proofErr w:type="spellStart"/>
      <w:r w:rsidRPr="005941EF">
        <w:rPr>
          <w:rFonts w:ascii="Arial" w:hAnsi="Arial" w:cs="Arial"/>
        </w:rPr>
        <w:t>Barsasella</w:t>
      </w:r>
      <w:proofErr w:type="spellEnd"/>
      <w:r w:rsidRPr="005941EF">
        <w:rPr>
          <w:rFonts w:ascii="Arial" w:hAnsi="Arial" w:cs="Arial"/>
        </w:rPr>
        <w:t xml:space="preserve">, D., Bah, K., Mishra, P., Uddin, M., Dhar, E., Suryani, D. L., Setiadi, D., </w:t>
      </w:r>
      <w:proofErr w:type="spellStart"/>
      <w:r w:rsidRPr="005941EF">
        <w:rPr>
          <w:rFonts w:ascii="Arial" w:hAnsi="Arial" w:cs="Arial"/>
        </w:rPr>
        <w:t>Masturoh</w:t>
      </w:r>
      <w:proofErr w:type="spellEnd"/>
      <w:r w:rsidRPr="005941EF">
        <w:rPr>
          <w:rFonts w:ascii="Arial" w:hAnsi="Arial" w:cs="Arial"/>
        </w:rPr>
        <w:t xml:space="preserve">, I., </w:t>
      </w:r>
      <w:proofErr w:type="spellStart"/>
      <w:r w:rsidRPr="005941EF">
        <w:rPr>
          <w:rFonts w:ascii="Arial" w:hAnsi="Arial" w:cs="Arial"/>
        </w:rPr>
        <w:t>Sugiarti</w:t>
      </w:r>
      <w:proofErr w:type="spellEnd"/>
      <w:r w:rsidRPr="005941EF">
        <w:rPr>
          <w:rFonts w:ascii="Arial" w:hAnsi="Arial" w:cs="Arial"/>
        </w:rPr>
        <w:t xml:space="preserve">, I., </w:t>
      </w:r>
      <w:proofErr w:type="spellStart"/>
      <w:r w:rsidRPr="005941EF">
        <w:rPr>
          <w:rFonts w:ascii="Arial" w:hAnsi="Arial" w:cs="Arial"/>
        </w:rPr>
        <w:t>Jonnagaddala</w:t>
      </w:r>
      <w:proofErr w:type="spellEnd"/>
      <w:r w:rsidRPr="005941EF">
        <w:rPr>
          <w:rFonts w:ascii="Arial" w:hAnsi="Arial" w:cs="Arial"/>
        </w:rPr>
        <w:t xml:space="preserve">, J., &amp; Syed-Abdul, S. (2022). A Machine learning model to predict length of stay and mortality among diabetes and hypertension inpatients. </w:t>
      </w:r>
      <w:r w:rsidRPr="005941EF">
        <w:rPr>
          <w:rFonts w:ascii="Arial" w:hAnsi="Arial" w:cs="Arial"/>
          <w:i/>
        </w:rPr>
        <w:t>Medicina, 58</w:t>
      </w:r>
      <w:r w:rsidRPr="005941EF">
        <w:rPr>
          <w:rFonts w:ascii="Arial" w:hAnsi="Arial" w:cs="Arial"/>
        </w:rPr>
        <w:t>, 1568-1579.</w:t>
      </w:r>
    </w:p>
    <w:p w14:paraId="23448F69" w14:textId="77777777" w:rsidR="005941EF" w:rsidRPr="005941EF" w:rsidRDefault="005941EF" w:rsidP="005941EF">
      <w:pPr>
        <w:ind w:left="720" w:hanging="720"/>
        <w:jc w:val="both"/>
        <w:rPr>
          <w:rFonts w:ascii="Arial" w:hAnsi="Arial" w:cs="Arial"/>
          <w:bCs/>
          <w:kern w:val="36"/>
        </w:rPr>
      </w:pPr>
      <w:r w:rsidRPr="005941EF">
        <w:rPr>
          <w:rFonts w:ascii="Arial" w:hAnsi="Arial" w:cs="Arial"/>
          <w:shd w:val="clear" w:color="auto" w:fill="FFFFFF"/>
        </w:rPr>
        <w:t xml:space="preserve">Ceriello, A. &amp; </w:t>
      </w:r>
      <w:proofErr w:type="spellStart"/>
      <w:r w:rsidRPr="005941EF">
        <w:rPr>
          <w:rFonts w:ascii="Arial" w:hAnsi="Arial" w:cs="Arial"/>
          <w:shd w:val="clear" w:color="auto" w:fill="FFFFFF"/>
        </w:rPr>
        <w:t>Prattichizzo</w:t>
      </w:r>
      <w:proofErr w:type="spellEnd"/>
      <w:r w:rsidRPr="005941EF">
        <w:rPr>
          <w:rFonts w:ascii="Arial" w:hAnsi="Arial" w:cs="Arial"/>
          <w:shd w:val="clear" w:color="auto" w:fill="FFFFFF"/>
        </w:rPr>
        <w:t xml:space="preserve">, F. (2021). Variability of risk factors and diabetes complications. </w:t>
      </w:r>
      <w:r w:rsidRPr="005941EF">
        <w:rPr>
          <w:rFonts w:ascii="Arial" w:hAnsi="Arial" w:cs="Arial"/>
          <w:i/>
          <w:shd w:val="clear" w:color="auto" w:fill="FFFFFF"/>
        </w:rPr>
        <w:t>Cardiovascular Diabetology</w:t>
      </w:r>
      <w:r w:rsidRPr="005941EF">
        <w:rPr>
          <w:rFonts w:ascii="Arial" w:hAnsi="Arial" w:cs="Arial"/>
          <w:shd w:val="clear" w:color="auto" w:fill="FFFFFF"/>
        </w:rPr>
        <w:t>, 20(1), 101-112.</w:t>
      </w:r>
    </w:p>
    <w:p w14:paraId="183E6C97" w14:textId="77777777" w:rsidR="005941EF" w:rsidRPr="005941EF" w:rsidRDefault="005941EF" w:rsidP="005941EF">
      <w:pPr>
        <w:ind w:left="720" w:hanging="720"/>
        <w:jc w:val="both"/>
        <w:rPr>
          <w:rFonts w:ascii="Arial" w:hAnsi="Arial" w:cs="Arial"/>
          <w:bCs/>
          <w:kern w:val="36"/>
        </w:rPr>
      </w:pPr>
      <w:r w:rsidRPr="005941EF">
        <w:rPr>
          <w:rFonts w:ascii="Arial" w:hAnsi="Arial" w:cs="Arial"/>
          <w:shd w:val="clear" w:color="auto" w:fill="FFFFFF"/>
        </w:rPr>
        <w:t xml:space="preserve">Damanik, J. &amp; </w:t>
      </w:r>
      <w:proofErr w:type="spellStart"/>
      <w:r w:rsidRPr="005941EF">
        <w:rPr>
          <w:rFonts w:ascii="Arial" w:hAnsi="Arial" w:cs="Arial"/>
          <w:shd w:val="clear" w:color="auto" w:fill="FFFFFF"/>
        </w:rPr>
        <w:t>Yunir</w:t>
      </w:r>
      <w:proofErr w:type="spellEnd"/>
      <w:r w:rsidRPr="005941EF">
        <w:rPr>
          <w:rFonts w:ascii="Arial" w:hAnsi="Arial" w:cs="Arial"/>
          <w:shd w:val="clear" w:color="auto" w:fill="FFFFFF"/>
        </w:rPr>
        <w:t xml:space="preserve">, E. (2021). Type 2 diabetes mellitus and cognitive impairment. </w:t>
      </w:r>
      <w:r w:rsidRPr="005941EF">
        <w:rPr>
          <w:rFonts w:ascii="Arial" w:hAnsi="Arial" w:cs="Arial"/>
          <w:i/>
          <w:shd w:val="clear" w:color="auto" w:fill="FFFFFF"/>
        </w:rPr>
        <w:t xml:space="preserve">Acta Medica </w:t>
      </w:r>
      <w:proofErr w:type="spellStart"/>
      <w:r w:rsidRPr="005941EF">
        <w:rPr>
          <w:rFonts w:ascii="Arial" w:hAnsi="Arial" w:cs="Arial"/>
          <w:i/>
          <w:shd w:val="clear" w:color="auto" w:fill="FFFFFF"/>
        </w:rPr>
        <w:t>Indonesiana</w:t>
      </w:r>
      <w:proofErr w:type="spellEnd"/>
      <w:r w:rsidRPr="005941EF">
        <w:rPr>
          <w:rFonts w:ascii="Arial" w:hAnsi="Arial" w:cs="Arial"/>
          <w:i/>
          <w:shd w:val="clear" w:color="auto" w:fill="FFFFFF"/>
        </w:rPr>
        <w:t>, 53</w:t>
      </w:r>
      <w:r w:rsidRPr="005941EF">
        <w:rPr>
          <w:rFonts w:ascii="Arial" w:hAnsi="Arial" w:cs="Arial"/>
          <w:shd w:val="clear" w:color="auto" w:fill="FFFFFF"/>
        </w:rPr>
        <w:t>(2), 213-220.</w:t>
      </w:r>
    </w:p>
    <w:p w14:paraId="2DD88E3C" w14:textId="77777777" w:rsidR="005941EF" w:rsidRPr="005941EF" w:rsidRDefault="005941EF" w:rsidP="005941EF">
      <w:pPr>
        <w:ind w:left="720" w:hanging="720"/>
        <w:jc w:val="both"/>
        <w:rPr>
          <w:rFonts w:ascii="Arial" w:hAnsi="Arial" w:cs="Arial"/>
          <w:bCs/>
          <w:kern w:val="36"/>
        </w:rPr>
      </w:pPr>
      <w:r w:rsidRPr="005941EF">
        <w:rPr>
          <w:rFonts w:ascii="Arial" w:hAnsi="Arial" w:cs="Arial"/>
        </w:rPr>
        <w:lastRenderedPageBreak/>
        <w:t>Fan, L. V., Xu, G., Amy, H.  H., Jian, Z., Xinyuan, H., Xiaodan, S.  J.  L., Nin</w:t>
      </w:r>
      <w:r w:rsidR="0005770B">
        <w:rPr>
          <w:rFonts w:ascii="Arial" w:hAnsi="Arial" w:cs="Arial"/>
        </w:rPr>
        <w:t xml:space="preserve">g, G., Yang, J., Keane, M. G., </w:t>
      </w:r>
      <w:r w:rsidRPr="005941EF">
        <w:rPr>
          <w:rFonts w:ascii="Arial" w:hAnsi="Arial" w:cs="Arial"/>
        </w:rPr>
        <w:t xml:space="preserve">Lei, Z., Yee, H. Y., </w:t>
      </w:r>
      <w:proofErr w:type="spellStart"/>
      <w:r w:rsidRPr="005941EF">
        <w:rPr>
          <w:rFonts w:ascii="Arial" w:hAnsi="Arial" w:cs="Arial"/>
        </w:rPr>
        <w:t>Youfa</w:t>
      </w:r>
      <w:proofErr w:type="spellEnd"/>
      <w:r w:rsidRPr="005941EF">
        <w:rPr>
          <w:rFonts w:ascii="Arial" w:hAnsi="Arial" w:cs="Arial"/>
        </w:rPr>
        <w:t xml:space="preserve">, W., &amp; </w:t>
      </w:r>
      <w:proofErr w:type="spellStart"/>
      <w:r w:rsidRPr="005941EF">
        <w:rPr>
          <w:rFonts w:ascii="Arial" w:hAnsi="Arial" w:cs="Arial"/>
        </w:rPr>
        <w:t>Fanpu</w:t>
      </w:r>
      <w:proofErr w:type="spellEnd"/>
      <w:r w:rsidRPr="005941EF">
        <w:rPr>
          <w:rFonts w:ascii="Arial" w:hAnsi="Arial" w:cs="Arial"/>
        </w:rPr>
        <w:t xml:space="preserve">, J. I. (2022). Excess diabetes mellitus-related deaths during the COVID-19 pandemic in the United States. </w:t>
      </w:r>
      <w:proofErr w:type="spellStart"/>
      <w:r w:rsidRPr="005941EF">
        <w:rPr>
          <w:rFonts w:ascii="Arial" w:hAnsi="Arial" w:cs="Arial"/>
          <w:i/>
        </w:rPr>
        <w:t>eClinical</w:t>
      </w:r>
      <w:proofErr w:type="spellEnd"/>
      <w:r w:rsidRPr="005941EF">
        <w:rPr>
          <w:rFonts w:ascii="Arial" w:hAnsi="Arial" w:cs="Arial"/>
          <w:i/>
        </w:rPr>
        <w:t xml:space="preserve"> Medicine, 54</w:t>
      </w:r>
      <w:r w:rsidRPr="005941EF">
        <w:rPr>
          <w:rFonts w:ascii="Arial" w:hAnsi="Arial" w:cs="Arial"/>
        </w:rPr>
        <w:t>, 1-13.</w:t>
      </w:r>
    </w:p>
    <w:p w14:paraId="67D5622B" w14:textId="77777777" w:rsidR="005941EF" w:rsidRPr="005941EF" w:rsidRDefault="005941EF" w:rsidP="005941EF">
      <w:pPr>
        <w:ind w:left="720" w:hanging="720"/>
        <w:jc w:val="both"/>
        <w:rPr>
          <w:rFonts w:ascii="Arial" w:hAnsi="Arial" w:cs="Arial"/>
          <w:bCs/>
          <w:kern w:val="36"/>
        </w:rPr>
      </w:pPr>
      <w:r w:rsidRPr="005941EF">
        <w:rPr>
          <w:rFonts w:ascii="Arial" w:hAnsi="Arial" w:cs="Arial"/>
          <w:shd w:val="clear" w:color="auto" w:fill="FFFFFF"/>
        </w:rPr>
        <w:t xml:space="preserve">García de Lucas, M. D. &amp; Jiménez, M. A. I. (2021). Woman and diabetes mellitus. </w:t>
      </w:r>
      <w:r w:rsidRPr="005941EF">
        <w:rPr>
          <w:rFonts w:ascii="Arial" w:hAnsi="Arial" w:cs="Arial"/>
          <w:i/>
          <w:shd w:val="clear" w:color="auto" w:fill="FFFFFF"/>
        </w:rPr>
        <w:t>Medicina Clínica</w:t>
      </w:r>
      <w:r w:rsidRPr="005941EF">
        <w:rPr>
          <w:rFonts w:ascii="Arial" w:hAnsi="Arial" w:cs="Arial"/>
          <w:shd w:val="clear" w:color="auto" w:fill="FFFFFF"/>
        </w:rPr>
        <w:t xml:space="preserve">, </w:t>
      </w:r>
      <w:r w:rsidRPr="005941EF">
        <w:rPr>
          <w:rFonts w:ascii="Arial" w:hAnsi="Arial" w:cs="Arial"/>
          <w:i/>
          <w:shd w:val="clear" w:color="auto" w:fill="FFFFFF"/>
        </w:rPr>
        <w:t>156</w:t>
      </w:r>
      <w:r w:rsidRPr="005941EF">
        <w:rPr>
          <w:rFonts w:ascii="Arial" w:hAnsi="Arial" w:cs="Arial"/>
          <w:shd w:val="clear" w:color="auto" w:fill="FFFFFF"/>
        </w:rPr>
        <w:t>(12), 606-608.</w:t>
      </w:r>
    </w:p>
    <w:p w14:paraId="00240BAE" w14:textId="77777777" w:rsidR="005941EF" w:rsidRPr="005941EF" w:rsidRDefault="005941EF" w:rsidP="005941EF">
      <w:pPr>
        <w:ind w:left="720" w:hanging="720"/>
        <w:jc w:val="both"/>
        <w:rPr>
          <w:rFonts w:ascii="Arial" w:hAnsi="Arial" w:cs="Arial"/>
          <w:bCs/>
          <w:kern w:val="36"/>
        </w:rPr>
      </w:pPr>
      <w:r w:rsidRPr="005941EF">
        <w:rPr>
          <w:rFonts w:ascii="Arial" w:hAnsi="Arial" w:cs="Arial"/>
        </w:rPr>
        <w:t xml:space="preserve">GBD (2023). Global, regional, and national burden of diabetes from 1990 to 2021, with projections of prevalence to 2050: a systematic analysis for the Global Burden of Disease Study 2021. </w:t>
      </w:r>
      <w:r w:rsidRPr="005941EF">
        <w:rPr>
          <w:rFonts w:ascii="Arial" w:hAnsi="Arial" w:cs="Arial"/>
          <w:i/>
        </w:rPr>
        <w:t>Lancet</w:t>
      </w:r>
      <w:r w:rsidRPr="005941EF">
        <w:rPr>
          <w:rFonts w:ascii="Arial" w:hAnsi="Arial" w:cs="Arial"/>
        </w:rPr>
        <w:t xml:space="preserve">, </w:t>
      </w:r>
      <w:r w:rsidRPr="005941EF">
        <w:rPr>
          <w:rFonts w:ascii="Arial" w:hAnsi="Arial" w:cs="Arial"/>
          <w:i/>
        </w:rPr>
        <w:t>402</w:t>
      </w:r>
      <w:r w:rsidRPr="005941EF">
        <w:rPr>
          <w:rFonts w:ascii="Arial" w:hAnsi="Arial" w:cs="Arial"/>
        </w:rPr>
        <w:t>, 203-234.</w:t>
      </w:r>
    </w:p>
    <w:p w14:paraId="01E0AF96" w14:textId="77777777" w:rsidR="005941EF" w:rsidRPr="005941EF" w:rsidRDefault="005941EF" w:rsidP="005941EF">
      <w:pPr>
        <w:ind w:left="720" w:hanging="720"/>
        <w:jc w:val="both"/>
        <w:rPr>
          <w:rFonts w:ascii="Arial" w:hAnsi="Arial" w:cs="Arial"/>
          <w:bCs/>
          <w:kern w:val="36"/>
        </w:rPr>
      </w:pPr>
      <w:r w:rsidRPr="005941EF">
        <w:rPr>
          <w:rFonts w:ascii="Arial" w:hAnsi="Arial" w:cs="Arial"/>
        </w:rPr>
        <w:t>Gholipour, K.</w:t>
      </w:r>
      <w:proofErr w:type="gramStart"/>
      <w:r w:rsidRPr="005941EF">
        <w:rPr>
          <w:rFonts w:ascii="Arial" w:hAnsi="Arial" w:cs="Arial"/>
        </w:rPr>
        <w:t>,  Asghari</w:t>
      </w:r>
      <w:proofErr w:type="gramEnd"/>
      <w:r w:rsidRPr="005941EF">
        <w:rPr>
          <w:rFonts w:ascii="Arial" w:hAnsi="Arial" w:cs="Arial"/>
        </w:rPr>
        <w:t>-</w:t>
      </w:r>
      <w:proofErr w:type="spellStart"/>
      <w:r w:rsidRPr="005941EF">
        <w:rPr>
          <w:rFonts w:ascii="Arial" w:hAnsi="Arial" w:cs="Arial"/>
        </w:rPr>
        <w:t>Jafarabadi</w:t>
      </w:r>
      <w:proofErr w:type="spellEnd"/>
      <w:r w:rsidRPr="005941EF">
        <w:rPr>
          <w:rFonts w:ascii="Arial" w:hAnsi="Arial" w:cs="Arial"/>
        </w:rPr>
        <w:t>, M.</w:t>
      </w:r>
      <w:proofErr w:type="gramStart"/>
      <w:r w:rsidRPr="005941EF">
        <w:rPr>
          <w:rFonts w:ascii="Arial" w:hAnsi="Arial" w:cs="Arial"/>
        </w:rPr>
        <w:t xml:space="preserve">,  </w:t>
      </w:r>
      <w:proofErr w:type="spellStart"/>
      <w:r w:rsidRPr="005941EF">
        <w:rPr>
          <w:rFonts w:ascii="Arial" w:hAnsi="Arial" w:cs="Arial"/>
        </w:rPr>
        <w:t>Iezadi</w:t>
      </w:r>
      <w:proofErr w:type="spellEnd"/>
      <w:proofErr w:type="gramEnd"/>
      <w:r w:rsidRPr="005941EF">
        <w:rPr>
          <w:rFonts w:ascii="Arial" w:hAnsi="Arial" w:cs="Arial"/>
        </w:rPr>
        <w:t>, S.</w:t>
      </w:r>
      <w:proofErr w:type="gramStart"/>
      <w:r w:rsidRPr="005941EF">
        <w:rPr>
          <w:rFonts w:ascii="Arial" w:hAnsi="Arial" w:cs="Arial"/>
        </w:rPr>
        <w:t>,  Jannati</w:t>
      </w:r>
      <w:proofErr w:type="gramEnd"/>
      <w:r w:rsidRPr="005941EF">
        <w:rPr>
          <w:rFonts w:ascii="Arial" w:hAnsi="Arial" w:cs="Arial"/>
        </w:rPr>
        <w:t>, A.</w:t>
      </w:r>
      <w:proofErr w:type="gramStart"/>
      <w:r w:rsidRPr="005941EF">
        <w:rPr>
          <w:rFonts w:ascii="Arial" w:hAnsi="Arial" w:cs="Arial"/>
        </w:rPr>
        <w:t>,  &amp;</w:t>
      </w:r>
      <w:proofErr w:type="gramEnd"/>
      <w:r w:rsidRPr="005941EF">
        <w:rPr>
          <w:rFonts w:ascii="Arial" w:hAnsi="Arial" w:cs="Arial"/>
        </w:rPr>
        <w:t xml:space="preserve"> Keshavarz, S. (2018). Modelling the prevalence of diabetes mellitus risk factors based on artificial neural network and multiple regression. </w:t>
      </w:r>
      <w:r w:rsidRPr="005941EF">
        <w:rPr>
          <w:rFonts w:ascii="Arial" w:hAnsi="Arial" w:cs="Arial"/>
          <w:i/>
        </w:rPr>
        <w:t>East Mediterranean Health Journal</w:t>
      </w:r>
      <w:r w:rsidRPr="005941EF">
        <w:rPr>
          <w:rFonts w:ascii="Arial" w:hAnsi="Arial" w:cs="Arial"/>
        </w:rPr>
        <w:t xml:space="preserve">, </w:t>
      </w:r>
      <w:r w:rsidRPr="005941EF">
        <w:rPr>
          <w:rFonts w:ascii="Arial" w:hAnsi="Arial" w:cs="Arial"/>
          <w:i/>
        </w:rPr>
        <w:t>24</w:t>
      </w:r>
      <w:r w:rsidRPr="005941EF">
        <w:rPr>
          <w:rFonts w:ascii="Arial" w:hAnsi="Arial" w:cs="Arial"/>
        </w:rPr>
        <w:t>(8), 770-777.</w:t>
      </w:r>
    </w:p>
    <w:p w14:paraId="23BCC8C4" w14:textId="77777777" w:rsidR="005941EF" w:rsidRPr="005941EF" w:rsidRDefault="005941EF" w:rsidP="005941EF">
      <w:pPr>
        <w:ind w:left="720" w:hanging="720"/>
        <w:jc w:val="both"/>
        <w:rPr>
          <w:rFonts w:ascii="Arial" w:hAnsi="Arial" w:cs="Arial"/>
          <w:bCs/>
          <w:kern w:val="36"/>
        </w:rPr>
      </w:pPr>
      <w:r w:rsidRPr="005941EF">
        <w:rPr>
          <w:rFonts w:ascii="Arial" w:hAnsi="Arial" w:cs="Arial"/>
        </w:rPr>
        <w:t>Giovanni, C., Alessandro, P., Walter, V., Giulia, R., Federico, S., Andrea, M., Rosario, P., Andrea, S., Alessandra, S., &amp; Mario, M. (2021). Diabetes is most important cause for mortality in COVID</w:t>
      </w:r>
      <w:r w:rsidRPr="005941EF">
        <w:rPr>
          <w:rFonts w:ascii="Arial" w:hAnsi="Arial" w:cs="Arial"/>
        </w:rPr>
        <w:noBreakHyphen/>
        <w:t>19 hospitalized patients: Systematic review and meta</w:t>
      </w:r>
      <w:r w:rsidRPr="005941EF">
        <w:rPr>
          <w:rFonts w:ascii="Arial" w:hAnsi="Arial" w:cs="Arial"/>
        </w:rPr>
        <w:noBreakHyphen/>
        <w:t>analysis</w:t>
      </w:r>
      <w:r w:rsidRPr="005941EF">
        <w:rPr>
          <w:rFonts w:ascii="Arial" w:hAnsi="Arial" w:cs="Arial"/>
          <w:i/>
        </w:rPr>
        <w:t>. Reviews in Endocrine and Metabolic Disorders, 22</w:t>
      </w:r>
      <w:r w:rsidRPr="005941EF">
        <w:rPr>
          <w:rFonts w:ascii="Arial" w:hAnsi="Arial" w:cs="Arial"/>
        </w:rPr>
        <w:t>, 275-296.</w:t>
      </w:r>
    </w:p>
    <w:p w14:paraId="1C6EBCB1" w14:textId="77777777" w:rsidR="005941EF" w:rsidRPr="005941EF" w:rsidRDefault="005941EF" w:rsidP="005941EF">
      <w:pPr>
        <w:ind w:left="720" w:hanging="720"/>
        <w:jc w:val="both"/>
        <w:rPr>
          <w:rFonts w:ascii="Arial" w:hAnsi="Arial" w:cs="Arial"/>
          <w:bCs/>
          <w:kern w:val="36"/>
        </w:rPr>
      </w:pPr>
      <w:proofErr w:type="spellStart"/>
      <w:r w:rsidRPr="005941EF">
        <w:rPr>
          <w:rFonts w:ascii="Arial" w:hAnsi="Arial" w:cs="Arial"/>
          <w:shd w:val="clear" w:color="auto" w:fill="FFFFFF"/>
        </w:rPr>
        <w:t>Glovaci</w:t>
      </w:r>
      <w:proofErr w:type="spellEnd"/>
      <w:r w:rsidRPr="005941EF">
        <w:rPr>
          <w:rFonts w:ascii="Arial" w:hAnsi="Arial" w:cs="Arial"/>
          <w:shd w:val="clear" w:color="auto" w:fill="FFFFFF"/>
        </w:rPr>
        <w:t xml:space="preserve">, D., Fan, W., &amp; Wong, N. D. (2019). Epidemiology of diabetes mellitus and cardiovascular disease. </w:t>
      </w:r>
      <w:r w:rsidRPr="005941EF">
        <w:rPr>
          <w:rStyle w:val="Emphasis"/>
          <w:rFonts w:ascii="Arial" w:hAnsi="Arial" w:cs="Arial"/>
          <w:bCs/>
          <w:iCs w:val="0"/>
          <w:shd w:val="clear" w:color="auto" w:fill="FFFFFF"/>
        </w:rPr>
        <w:t>Current Cardiology</w:t>
      </w:r>
      <w:r w:rsidRPr="005941EF">
        <w:rPr>
          <w:rFonts w:ascii="Arial" w:hAnsi="Arial" w:cs="Arial"/>
          <w:shd w:val="clear" w:color="auto" w:fill="FFFFFF"/>
        </w:rPr>
        <w:t> Reports, 21(4), 21-31.</w:t>
      </w:r>
    </w:p>
    <w:p w14:paraId="5F49A069" w14:textId="77777777" w:rsidR="005941EF" w:rsidRPr="005941EF" w:rsidRDefault="005941EF" w:rsidP="005941EF">
      <w:pPr>
        <w:ind w:left="720" w:hanging="720"/>
        <w:jc w:val="both"/>
        <w:rPr>
          <w:rFonts w:ascii="Arial" w:hAnsi="Arial" w:cs="Arial"/>
          <w:bCs/>
          <w:kern w:val="36"/>
        </w:rPr>
      </w:pPr>
      <w:proofErr w:type="spellStart"/>
      <w:r w:rsidRPr="005941EF">
        <w:rPr>
          <w:rFonts w:ascii="Arial" w:hAnsi="Arial" w:cs="Arial"/>
        </w:rPr>
        <w:t>Hilbe</w:t>
      </w:r>
      <w:proofErr w:type="spellEnd"/>
      <w:r w:rsidRPr="005941EF">
        <w:rPr>
          <w:rFonts w:ascii="Arial" w:hAnsi="Arial" w:cs="Arial"/>
        </w:rPr>
        <w:t xml:space="preserve">, J. M. (2011). </w:t>
      </w:r>
      <w:r w:rsidRPr="005941EF">
        <w:rPr>
          <w:rFonts w:ascii="Arial" w:hAnsi="Arial" w:cs="Arial"/>
          <w:i/>
        </w:rPr>
        <w:t>Negative binomial regression</w:t>
      </w:r>
      <w:r w:rsidRPr="005941EF">
        <w:rPr>
          <w:rFonts w:ascii="Arial" w:hAnsi="Arial" w:cs="Arial"/>
        </w:rPr>
        <w:t>. Cambridge University Press.</w:t>
      </w:r>
    </w:p>
    <w:p w14:paraId="269BD6FE" w14:textId="77777777" w:rsidR="005941EF" w:rsidRPr="005941EF" w:rsidRDefault="005941EF" w:rsidP="005941EF">
      <w:pPr>
        <w:ind w:left="720" w:hanging="720"/>
        <w:jc w:val="both"/>
        <w:rPr>
          <w:rFonts w:ascii="Arial" w:hAnsi="Arial" w:cs="Arial"/>
          <w:bCs/>
          <w:kern w:val="36"/>
        </w:rPr>
      </w:pPr>
      <w:r w:rsidRPr="005941EF">
        <w:rPr>
          <w:rFonts w:ascii="Arial" w:hAnsi="Arial" w:cs="Arial"/>
          <w:shd w:val="clear" w:color="auto" w:fill="FFFFFF"/>
        </w:rPr>
        <w:t xml:space="preserve">Javeed, N. &amp; Matveyenko, A. V. (2018). Circadian etiology of type 2 diabetes mellitus. </w:t>
      </w:r>
      <w:r w:rsidRPr="005941EF">
        <w:rPr>
          <w:rFonts w:ascii="Arial" w:hAnsi="Arial" w:cs="Arial"/>
          <w:i/>
          <w:shd w:val="clear" w:color="auto" w:fill="FFFFFF"/>
        </w:rPr>
        <w:t>Physiology (Bethesda), 33</w:t>
      </w:r>
      <w:r w:rsidRPr="005941EF">
        <w:rPr>
          <w:rFonts w:ascii="Arial" w:hAnsi="Arial" w:cs="Arial"/>
          <w:shd w:val="clear" w:color="auto" w:fill="FFFFFF"/>
        </w:rPr>
        <w:t>(2), 138-150.</w:t>
      </w:r>
    </w:p>
    <w:p w14:paraId="43938D37" w14:textId="77777777" w:rsidR="005941EF" w:rsidRPr="005941EF" w:rsidRDefault="005941EF" w:rsidP="005941EF">
      <w:pPr>
        <w:ind w:left="720" w:hanging="720"/>
        <w:jc w:val="both"/>
        <w:rPr>
          <w:rFonts w:ascii="Arial" w:hAnsi="Arial" w:cs="Arial"/>
          <w:bCs/>
          <w:kern w:val="36"/>
        </w:rPr>
      </w:pPr>
      <w:proofErr w:type="spellStart"/>
      <w:r w:rsidRPr="005941EF">
        <w:rPr>
          <w:rFonts w:ascii="Arial" w:hAnsi="Arial" w:cs="Arial"/>
        </w:rPr>
        <w:t>Kaombe</w:t>
      </w:r>
      <w:proofErr w:type="spellEnd"/>
      <w:r w:rsidRPr="005941EF">
        <w:rPr>
          <w:rFonts w:ascii="Arial" w:hAnsi="Arial" w:cs="Arial"/>
        </w:rPr>
        <w:t xml:space="preserve">, T. M., Banda, J. C., Hamuza, G. A., &amp; </w:t>
      </w:r>
      <w:proofErr w:type="spellStart"/>
      <w:r w:rsidRPr="005941EF">
        <w:rPr>
          <w:rFonts w:ascii="Arial" w:hAnsi="Arial" w:cs="Arial"/>
        </w:rPr>
        <w:t>Muula</w:t>
      </w:r>
      <w:proofErr w:type="spellEnd"/>
      <w:r w:rsidRPr="005941EF">
        <w:rPr>
          <w:rFonts w:ascii="Arial" w:hAnsi="Arial" w:cs="Arial"/>
        </w:rPr>
        <w:t xml:space="preserve">, A. S. (2023). Bivariate logistic regression model diagnostics applied to analysis of outlier cancer patients with comorbid diabetes and hypertension in Malawi. </w:t>
      </w:r>
      <w:r w:rsidRPr="005941EF">
        <w:rPr>
          <w:rFonts w:ascii="Arial" w:hAnsi="Arial" w:cs="Arial"/>
          <w:i/>
        </w:rPr>
        <w:t>Scientific Reports, 13</w:t>
      </w:r>
      <w:r w:rsidRPr="005941EF">
        <w:rPr>
          <w:rFonts w:ascii="Arial" w:hAnsi="Arial" w:cs="Arial"/>
        </w:rPr>
        <w:t>, 8340-8349.</w:t>
      </w:r>
    </w:p>
    <w:p w14:paraId="0E9D40A3" w14:textId="77777777" w:rsidR="005941EF" w:rsidRPr="005941EF" w:rsidRDefault="005941EF" w:rsidP="005941EF">
      <w:pPr>
        <w:ind w:left="720" w:hanging="720"/>
        <w:jc w:val="both"/>
        <w:rPr>
          <w:rFonts w:ascii="Arial" w:hAnsi="Arial" w:cs="Arial"/>
          <w:bCs/>
          <w:kern w:val="36"/>
        </w:rPr>
      </w:pPr>
      <w:proofErr w:type="spellStart"/>
      <w:r w:rsidRPr="005941EF">
        <w:rPr>
          <w:rFonts w:ascii="Arial" w:hAnsi="Arial" w:cs="Arial"/>
        </w:rPr>
        <w:t>Kuhe</w:t>
      </w:r>
      <w:proofErr w:type="spellEnd"/>
      <w:r w:rsidRPr="005941EF">
        <w:rPr>
          <w:rFonts w:ascii="Arial" w:hAnsi="Arial" w:cs="Arial"/>
        </w:rPr>
        <w:t xml:space="preserve">, D. A., </w:t>
      </w:r>
      <w:proofErr w:type="spellStart"/>
      <w:r w:rsidRPr="005941EF">
        <w:rPr>
          <w:rFonts w:ascii="Arial" w:hAnsi="Arial" w:cs="Arial"/>
        </w:rPr>
        <w:t>Udoumoh</w:t>
      </w:r>
      <w:proofErr w:type="spellEnd"/>
      <w:r w:rsidRPr="005941EF">
        <w:rPr>
          <w:rFonts w:ascii="Arial" w:hAnsi="Arial" w:cs="Arial"/>
        </w:rPr>
        <w:t xml:space="preserve">, E. F., &amp; </w:t>
      </w:r>
      <w:proofErr w:type="spellStart"/>
      <w:r w:rsidRPr="005941EF">
        <w:rPr>
          <w:rFonts w:ascii="Arial" w:hAnsi="Arial" w:cs="Arial"/>
        </w:rPr>
        <w:t>Ibeajaa</w:t>
      </w:r>
      <w:proofErr w:type="spellEnd"/>
      <w:r w:rsidRPr="005941EF">
        <w:rPr>
          <w:rFonts w:ascii="Arial" w:hAnsi="Arial" w:cs="Arial"/>
        </w:rPr>
        <w:t xml:space="preserve">, U. L. (2024). Modeling novel COVID-19 pandemic in Nigeria using count data regression models. </w:t>
      </w:r>
      <w:r w:rsidRPr="005941EF">
        <w:rPr>
          <w:rFonts w:ascii="Arial" w:hAnsi="Arial" w:cs="Arial"/>
          <w:i/>
        </w:rPr>
        <w:t>FUDMA Journal of Sciences (FJS)</w:t>
      </w:r>
      <w:r w:rsidRPr="005941EF">
        <w:rPr>
          <w:rFonts w:ascii="Arial" w:hAnsi="Arial" w:cs="Arial"/>
        </w:rPr>
        <w:t>, 8(1), 111-117.</w:t>
      </w:r>
    </w:p>
    <w:p w14:paraId="41C575E5" w14:textId="77777777" w:rsidR="005941EF" w:rsidRPr="005941EF" w:rsidRDefault="005941EF" w:rsidP="005941EF">
      <w:pPr>
        <w:ind w:left="720" w:hanging="720"/>
        <w:jc w:val="both"/>
        <w:rPr>
          <w:rFonts w:ascii="Arial" w:hAnsi="Arial" w:cs="Arial"/>
          <w:bCs/>
          <w:kern w:val="36"/>
        </w:rPr>
      </w:pPr>
      <w:r w:rsidRPr="005941EF">
        <w:rPr>
          <w:rFonts w:ascii="Arial" w:hAnsi="Arial" w:cs="Arial"/>
        </w:rPr>
        <w:t xml:space="preserve">Lee, S., Zhou, J., Leung, K. S. K., Wu, W. K. K., Wong, W. T., Liu, T., Wong, I. C. K., Jeevaratnam, K.,  Zhang, Q.,  Tse, G.   (2021). Development of a predictive risk model for all-cause mortality in patients with diabetes in Hong Kong. </w:t>
      </w:r>
      <w:r w:rsidRPr="005941EF">
        <w:rPr>
          <w:rFonts w:ascii="Arial" w:hAnsi="Arial" w:cs="Arial"/>
          <w:i/>
        </w:rPr>
        <w:t>BMJ Open Diabetic Research Care</w:t>
      </w:r>
      <w:r w:rsidRPr="005941EF">
        <w:rPr>
          <w:rFonts w:ascii="Arial" w:hAnsi="Arial" w:cs="Arial"/>
        </w:rPr>
        <w:t xml:space="preserve">, </w:t>
      </w:r>
      <w:r w:rsidRPr="005941EF">
        <w:rPr>
          <w:rFonts w:ascii="Arial" w:hAnsi="Arial" w:cs="Arial"/>
          <w:i/>
        </w:rPr>
        <w:t>9</w:t>
      </w:r>
      <w:r w:rsidRPr="005941EF">
        <w:rPr>
          <w:rFonts w:ascii="Arial" w:hAnsi="Arial" w:cs="Arial"/>
        </w:rPr>
        <w:t>, e001950.</w:t>
      </w:r>
    </w:p>
    <w:p w14:paraId="4F48B35F" w14:textId="77777777" w:rsidR="005941EF" w:rsidRPr="005941EF" w:rsidRDefault="005941EF" w:rsidP="005941EF">
      <w:pPr>
        <w:ind w:left="720" w:hanging="720"/>
        <w:jc w:val="both"/>
        <w:rPr>
          <w:rFonts w:ascii="Arial" w:hAnsi="Arial" w:cs="Arial"/>
          <w:bCs/>
          <w:kern w:val="36"/>
        </w:rPr>
      </w:pPr>
      <w:r w:rsidRPr="005941EF">
        <w:rPr>
          <w:rFonts w:ascii="Arial" w:hAnsi="Arial" w:cs="Arial"/>
          <w:shd w:val="clear" w:color="auto" w:fill="FFFFFF"/>
        </w:rPr>
        <w:t xml:space="preserve">Li, W., Huang, E., &amp; Gao, S. (2017). Type 1 diabetes mellitus and cognitive impairments: a systematic review. </w:t>
      </w:r>
      <w:r w:rsidRPr="005941EF">
        <w:rPr>
          <w:rFonts w:ascii="Arial" w:hAnsi="Arial" w:cs="Arial"/>
          <w:i/>
          <w:shd w:val="clear" w:color="auto" w:fill="FFFFFF"/>
        </w:rPr>
        <w:t xml:space="preserve">Journal of </w:t>
      </w:r>
      <w:r w:rsidR="0005770B">
        <w:rPr>
          <w:rFonts w:ascii="Arial" w:hAnsi="Arial" w:cs="Arial"/>
          <w:i/>
          <w:shd w:val="clear" w:color="auto" w:fill="FFFFFF"/>
        </w:rPr>
        <w:t>Alzheimer</w:t>
      </w:r>
      <w:r w:rsidR="0005770B" w:rsidRPr="005941EF">
        <w:rPr>
          <w:rFonts w:ascii="Arial" w:hAnsi="Arial" w:cs="Arial"/>
          <w:i/>
          <w:shd w:val="clear" w:color="auto" w:fill="FFFFFF"/>
        </w:rPr>
        <w:t>’s disease</w:t>
      </w:r>
      <w:r w:rsidRPr="005941EF">
        <w:rPr>
          <w:rFonts w:ascii="Arial" w:hAnsi="Arial" w:cs="Arial"/>
          <w:i/>
          <w:shd w:val="clear" w:color="auto" w:fill="FFFFFF"/>
        </w:rPr>
        <w:t>, 57</w:t>
      </w:r>
      <w:r w:rsidRPr="005941EF">
        <w:rPr>
          <w:rFonts w:ascii="Arial" w:hAnsi="Arial" w:cs="Arial"/>
          <w:shd w:val="clear" w:color="auto" w:fill="FFFFFF"/>
        </w:rPr>
        <w:t>(1), 29-36.</w:t>
      </w:r>
    </w:p>
    <w:p w14:paraId="331633E8" w14:textId="77777777" w:rsidR="005941EF" w:rsidRPr="005941EF" w:rsidRDefault="0005770B" w:rsidP="005941EF">
      <w:pPr>
        <w:ind w:left="720" w:hanging="720"/>
        <w:jc w:val="both"/>
        <w:rPr>
          <w:rFonts w:ascii="Arial" w:hAnsi="Arial" w:cs="Arial"/>
          <w:bCs/>
          <w:kern w:val="36"/>
        </w:rPr>
      </w:pPr>
      <w:r>
        <w:rPr>
          <w:rFonts w:ascii="Arial" w:hAnsi="Arial" w:cs="Arial"/>
        </w:rPr>
        <w:t xml:space="preserve">Li, Y., </w:t>
      </w:r>
      <w:r w:rsidR="005941EF" w:rsidRPr="005941EF">
        <w:rPr>
          <w:rFonts w:ascii="Arial" w:hAnsi="Arial" w:cs="Arial"/>
        </w:rPr>
        <w:t xml:space="preserve">Guan, L., Ning, C., Zhang, P., Zhao, Y., Liu, Q., Ping, P., &amp; </w:t>
      </w:r>
      <w:proofErr w:type="spellStart"/>
      <w:r w:rsidR="005941EF" w:rsidRPr="005941EF">
        <w:rPr>
          <w:rFonts w:ascii="Arial" w:hAnsi="Arial" w:cs="Arial"/>
        </w:rPr>
        <w:t>Shihui</w:t>
      </w:r>
      <w:proofErr w:type="spellEnd"/>
      <w:r w:rsidR="005941EF" w:rsidRPr="005941EF">
        <w:rPr>
          <w:rFonts w:ascii="Arial" w:hAnsi="Arial" w:cs="Arial"/>
        </w:rPr>
        <w:t xml:space="preserve"> Fu, S. (2023). Machine learning-based models to predict one-year mortality among Chinese older patients with coronary artery disease combined with impaired glucose tolerance or diabetes mellitus. </w:t>
      </w:r>
      <w:r w:rsidR="005941EF" w:rsidRPr="005941EF">
        <w:rPr>
          <w:rFonts w:ascii="Arial" w:hAnsi="Arial" w:cs="Arial"/>
          <w:i/>
        </w:rPr>
        <w:t>Cardiovascular Diabetology</w:t>
      </w:r>
      <w:r w:rsidR="005941EF" w:rsidRPr="005941EF">
        <w:rPr>
          <w:rFonts w:ascii="Arial" w:hAnsi="Arial" w:cs="Arial"/>
        </w:rPr>
        <w:t xml:space="preserve">, </w:t>
      </w:r>
      <w:r w:rsidR="005941EF" w:rsidRPr="005941EF">
        <w:rPr>
          <w:rFonts w:ascii="Arial" w:hAnsi="Arial" w:cs="Arial"/>
          <w:i/>
        </w:rPr>
        <w:t>22</w:t>
      </w:r>
      <w:r w:rsidR="005941EF" w:rsidRPr="005941EF">
        <w:rPr>
          <w:rFonts w:ascii="Arial" w:hAnsi="Arial" w:cs="Arial"/>
        </w:rPr>
        <w:t>, 139-149.</w:t>
      </w:r>
    </w:p>
    <w:p w14:paraId="75D21070" w14:textId="77777777" w:rsidR="005941EF" w:rsidRPr="005941EF" w:rsidRDefault="005941EF" w:rsidP="005941EF">
      <w:pPr>
        <w:ind w:left="720" w:hanging="720"/>
        <w:jc w:val="both"/>
        <w:rPr>
          <w:rFonts w:ascii="Arial" w:hAnsi="Arial" w:cs="Arial"/>
          <w:bCs/>
          <w:kern w:val="36"/>
        </w:rPr>
      </w:pPr>
      <w:r w:rsidRPr="005941EF">
        <w:rPr>
          <w:rFonts w:ascii="Arial" w:hAnsi="Arial" w:cs="Arial"/>
        </w:rPr>
        <w:t xml:space="preserve">Lin, M. Y.,  Liu, J. S., Huang, T. Y.,  Wu, P. H.,  Chiu, Y.W.,  Kang, Y.,  Hsu, C. C.,  Hwang, S. J.,  Luh, H. (2021). Data analysis of the risks of Type 2 diabetes mellitus complications before death using a data-driven modeling approach: Methodologies and challenges in prolonged diseases. </w:t>
      </w:r>
      <w:r w:rsidRPr="005941EF">
        <w:rPr>
          <w:rFonts w:ascii="Arial" w:hAnsi="Arial" w:cs="Arial"/>
          <w:i/>
        </w:rPr>
        <w:t>Information</w:t>
      </w:r>
      <w:r w:rsidRPr="005941EF">
        <w:rPr>
          <w:rFonts w:ascii="Arial" w:hAnsi="Arial" w:cs="Arial"/>
        </w:rPr>
        <w:t xml:space="preserve">, </w:t>
      </w:r>
      <w:r w:rsidRPr="005941EF">
        <w:rPr>
          <w:rFonts w:ascii="Arial" w:hAnsi="Arial" w:cs="Arial"/>
          <w:i/>
        </w:rPr>
        <w:t>12</w:t>
      </w:r>
      <w:r w:rsidRPr="005941EF">
        <w:rPr>
          <w:rFonts w:ascii="Arial" w:hAnsi="Arial" w:cs="Arial"/>
        </w:rPr>
        <w:t>, 326-337.</w:t>
      </w:r>
    </w:p>
    <w:p w14:paraId="16CD8BA1" w14:textId="77777777" w:rsidR="005941EF" w:rsidRPr="005941EF" w:rsidRDefault="005941EF" w:rsidP="005941EF">
      <w:pPr>
        <w:ind w:left="720" w:hanging="720"/>
        <w:jc w:val="both"/>
        <w:rPr>
          <w:rFonts w:ascii="Arial" w:hAnsi="Arial" w:cs="Arial"/>
          <w:bCs/>
          <w:kern w:val="36"/>
        </w:rPr>
      </w:pPr>
      <w:r w:rsidRPr="005941EF">
        <w:rPr>
          <w:rFonts w:ascii="Arial" w:hAnsi="Arial" w:cs="Arial"/>
          <w:shd w:val="clear" w:color="auto" w:fill="FFFFFF"/>
        </w:rPr>
        <w:t xml:space="preserve">Meigs, J. B. (2019). The genetic epidemiology of type 2 diabetes: opportunities for health translation. </w:t>
      </w:r>
      <w:r w:rsidRPr="005941EF">
        <w:rPr>
          <w:rStyle w:val="Emphasis"/>
          <w:rFonts w:ascii="Arial" w:hAnsi="Arial" w:cs="Arial"/>
          <w:bCs/>
          <w:iCs w:val="0"/>
          <w:shd w:val="clear" w:color="auto" w:fill="FFFFFF"/>
        </w:rPr>
        <w:t>Current Diabetes</w:t>
      </w:r>
      <w:r w:rsidRPr="005941EF">
        <w:rPr>
          <w:rFonts w:ascii="Arial" w:hAnsi="Arial" w:cs="Arial"/>
          <w:shd w:val="clear" w:color="auto" w:fill="FFFFFF"/>
        </w:rPr>
        <w:t xml:space="preserve"> Reports, </w:t>
      </w:r>
      <w:r w:rsidRPr="005941EF">
        <w:rPr>
          <w:rFonts w:ascii="Arial" w:hAnsi="Arial" w:cs="Arial"/>
          <w:i/>
          <w:shd w:val="clear" w:color="auto" w:fill="FFFFFF"/>
        </w:rPr>
        <w:t>19</w:t>
      </w:r>
      <w:r w:rsidRPr="005941EF">
        <w:rPr>
          <w:rFonts w:ascii="Arial" w:hAnsi="Arial" w:cs="Arial"/>
          <w:shd w:val="clear" w:color="auto" w:fill="FFFFFF"/>
        </w:rPr>
        <w:t>(8), 62-79. </w:t>
      </w:r>
    </w:p>
    <w:p w14:paraId="66726B8A" w14:textId="77777777" w:rsidR="005941EF" w:rsidRPr="005941EF" w:rsidRDefault="005941EF" w:rsidP="005941EF">
      <w:pPr>
        <w:ind w:left="720" w:hanging="720"/>
        <w:jc w:val="both"/>
        <w:rPr>
          <w:rFonts w:ascii="Arial" w:hAnsi="Arial" w:cs="Arial"/>
          <w:bCs/>
          <w:kern w:val="36"/>
        </w:rPr>
      </w:pPr>
      <w:r w:rsidRPr="005941EF">
        <w:rPr>
          <w:rFonts w:ascii="Arial" w:hAnsi="Arial" w:cs="Arial"/>
        </w:rPr>
        <w:t xml:space="preserve">Nwankwo, C. H. and </w:t>
      </w:r>
      <w:proofErr w:type="spellStart"/>
      <w:r w:rsidRPr="005941EF">
        <w:rPr>
          <w:rFonts w:ascii="Arial" w:hAnsi="Arial" w:cs="Arial"/>
        </w:rPr>
        <w:t>Nwaigwe</w:t>
      </w:r>
      <w:proofErr w:type="spellEnd"/>
      <w:r w:rsidRPr="005941EF">
        <w:rPr>
          <w:rFonts w:ascii="Arial" w:hAnsi="Arial" w:cs="Arial"/>
        </w:rPr>
        <w:t xml:space="preserve">, G. I. (2016). A statistical model of road traffic crashes data in Anambra state, Nigeria: a </w:t>
      </w:r>
      <w:proofErr w:type="spellStart"/>
      <w:r w:rsidRPr="005941EF">
        <w:rPr>
          <w:rFonts w:ascii="Arial" w:hAnsi="Arial" w:cs="Arial"/>
        </w:rPr>
        <w:t>poisson</w:t>
      </w:r>
      <w:proofErr w:type="spellEnd"/>
      <w:r w:rsidRPr="005941EF">
        <w:rPr>
          <w:rFonts w:ascii="Arial" w:hAnsi="Arial" w:cs="Arial"/>
        </w:rPr>
        <w:t xml:space="preserve"> regression approach.  </w:t>
      </w:r>
      <w:r w:rsidRPr="005941EF">
        <w:rPr>
          <w:rFonts w:ascii="Arial" w:hAnsi="Arial" w:cs="Arial"/>
          <w:i/>
          <w:iCs/>
        </w:rPr>
        <w:t xml:space="preserve">European Journal of Statistics and Probability, </w:t>
      </w:r>
      <w:r w:rsidRPr="005941EF">
        <w:rPr>
          <w:rFonts w:ascii="Arial" w:hAnsi="Arial" w:cs="Arial"/>
          <w:i/>
        </w:rPr>
        <w:t>1</w:t>
      </w:r>
      <w:r w:rsidRPr="005941EF">
        <w:rPr>
          <w:rFonts w:ascii="Arial" w:hAnsi="Arial" w:cs="Arial"/>
        </w:rPr>
        <w:t>, 41-60.</w:t>
      </w:r>
    </w:p>
    <w:p w14:paraId="4E9474FC" w14:textId="77777777" w:rsidR="005941EF" w:rsidRPr="005941EF" w:rsidRDefault="005941EF" w:rsidP="005941EF">
      <w:pPr>
        <w:ind w:left="720" w:hanging="720"/>
        <w:jc w:val="both"/>
        <w:rPr>
          <w:rFonts w:ascii="Arial" w:hAnsi="Arial" w:cs="Arial"/>
          <w:bCs/>
          <w:kern w:val="36"/>
        </w:rPr>
      </w:pPr>
      <w:r w:rsidRPr="005941EF">
        <w:rPr>
          <w:rFonts w:ascii="Arial" w:hAnsi="Arial" w:cs="Arial"/>
        </w:rPr>
        <w:t>Orozco-</w:t>
      </w:r>
      <w:proofErr w:type="spellStart"/>
      <w:r w:rsidRPr="005941EF">
        <w:rPr>
          <w:rFonts w:ascii="Arial" w:hAnsi="Arial" w:cs="Arial"/>
        </w:rPr>
        <w:t>Beltra´n</w:t>
      </w:r>
      <w:proofErr w:type="spellEnd"/>
      <w:r w:rsidRPr="005941EF">
        <w:rPr>
          <w:rFonts w:ascii="Arial" w:hAnsi="Arial" w:cs="Arial"/>
        </w:rPr>
        <w:t xml:space="preserve">, D., </w:t>
      </w:r>
      <w:proofErr w:type="spellStart"/>
      <w:r w:rsidRPr="005941EF">
        <w:rPr>
          <w:rFonts w:ascii="Arial" w:hAnsi="Arial" w:cs="Arial"/>
        </w:rPr>
        <w:t>Sa´nchez</w:t>
      </w:r>
      <w:proofErr w:type="spellEnd"/>
      <w:r w:rsidRPr="005941EF">
        <w:rPr>
          <w:rFonts w:ascii="Arial" w:hAnsi="Arial" w:cs="Arial"/>
        </w:rPr>
        <w:t>, E., Garrido, A., Quesada, J.  M., Carratala´-</w:t>
      </w:r>
      <w:proofErr w:type="spellStart"/>
      <w:r w:rsidRPr="005941EF">
        <w:rPr>
          <w:rFonts w:ascii="Arial" w:hAnsi="Arial" w:cs="Arial"/>
        </w:rPr>
        <w:t>Munuera</w:t>
      </w:r>
      <w:proofErr w:type="spellEnd"/>
      <w:r w:rsidRPr="005941EF">
        <w:rPr>
          <w:rFonts w:ascii="Arial" w:hAnsi="Arial" w:cs="Arial"/>
        </w:rPr>
        <w:t>, C., &amp; Gil-</w:t>
      </w:r>
      <w:proofErr w:type="spellStart"/>
      <w:r w:rsidRPr="005941EF">
        <w:rPr>
          <w:rFonts w:ascii="Arial" w:hAnsi="Arial" w:cs="Arial"/>
        </w:rPr>
        <w:t>Guille´n</w:t>
      </w:r>
      <w:proofErr w:type="spellEnd"/>
      <w:r w:rsidRPr="005941EF">
        <w:rPr>
          <w:rFonts w:ascii="Arial" w:hAnsi="Arial" w:cs="Arial"/>
        </w:rPr>
        <w:t xml:space="preserve">, V. F. (2017). Trends in mortality from diabetes mellitus in Spain: 1998-2013. </w:t>
      </w:r>
      <w:r w:rsidRPr="005941EF">
        <w:rPr>
          <w:rFonts w:ascii="Arial" w:hAnsi="Arial" w:cs="Arial"/>
          <w:i/>
        </w:rPr>
        <w:t>Reviews in Cardiology</w:t>
      </w:r>
      <w:r w:rsidRPr="005941EF">
        <w:rPr>
          <w:rFonts w:ascii="Arial" w:hAnsi="Arial" w:cs="Arial"/>
        </w:rPr>
        <w:t>, 70(6), 433-443.</w:t>
      </w:r>
    </w:p>
    <w:p w14:paraId="3058B7F2" w14:textId="77777777" w:rsidR="005941EF" w:rsidRPr="005941EF" w:rsidRDefault="005941EF" w:rsidP="005941EF">
      <w:pPr>
        <w:ind w:left="720" w:hanging="720"/>
        <w:jc w:val="both"/>
        <w:rPr>
          <w:rFonts w:ascii="Arial" w:hAnsi="Arial" w:cs="Arial"/>
          <w:bCs/>
          <w:kern w:val="36"/>
        </w:rPr>
      </w:pPr>
      <w:r w:rsidRPr="005941EF">
        <w:rPr>
          <w:rFonts w:ascii="Arial" w:hAnsi="Arial" w:cs="Arial"/>
        </w:rPr>
        <w:t xml:space="preserve">Pan, D., Wang, H., Wu, S., Wang, J., Ning, Y., Gau, J., Wang, C., &amp; Gu, Y. (2024). Unveiling the hidden burden: estimating all-cause mortality risk in older individuals with type 2 diabetes. </w:t>
      </w:r>
      <w:r w:rsidRPr="005941EF">
        <w:rPr>
          <w:rFonts w:ascii="Arial" w:hAnsi="Arial" w:cs="Arial"/>
          <w:i/>
        </w:rPr>
        <w:t>Journal of Diabetes Research, 24</w:t>
      </w:r>
      <w:r w:rsidRPr="005941EF">
        <w:rPr>
          <w:rFonts w:ascii="Arial" w:hAnsi="Arial" w:cs="Arial"/>
        </w:rPr>
        <w:t>, 1-10.</w:t>
      </w:r>
    </w:p>
    <w:p w14:paraId="569594EE" w14:textId="77777777" w:rsidR="005941EF" w:rsidRPr="005941EF" w:rsidRDefault="005941EF" w:rsidP="005941EF">
      <w:pPr>
        <w:ind w:left="720" w:hanging="720"/>
        <w:jc w:val="both"/>
        <w:rPr>
          <w:rFonts w:ascii="Arial" w:hAnsi="Arial" w:cs="Arial"/>
          <w:bCs/>
          <w:kern w:val="36"/>
        </w:rPr>
      </w:pPr>
      <w:r w:rsidRPr="005941EF">
        <w:rPr>
          <w:rFonts w:ascii="Arial" w:hAnsi="Arial" w:cs="Arial"/>
        </w:rPr>
        <w:lastRenderedPageBreak/>
        <w:t>Tanaka, M., Akiyama, Y., Mori, K., Hosaka, I.</w:t>
      </w:r>
      <w:proofErr w:type="gramStart"/>
      <w:r w:rsidRPr="005941EF">
        <w:rPr>
          <w:rFonts w:ascii="Arial" w:hAnsi="Arial" w:cs="Arial"/>
        </w:rPr>
        <w:t>,  Kato</w:t>
      </w:r>
      <w:proofErr w:type="gramEnd"/>
      <w:r w:rsidRPr="005941EF">
        <w:rPr>
          <w:rFonts w:ascii="Arial" w:hAnsi="Arial" w:cs="Arial"/>
        </w:rPr>
        <w:t xml:space="preserve">, K., Endo, K., Ogawa, T., Sato, T., Suzuki, T., Yano, T., Ohnishi, H., Hanawa, N., &amp; Furuhashi, M. (2024). Predictive modeling for the development of diabetes mellitus using key factors in various machine learning approaches. </w:t>
      </w:r>
      <w:r w:rsidRPr="005941EF">
        <w:rPr>
          <w:rFonts w:ascii="Arial" w:hAnsi="Arial" w:cs="Arial"/>
          <w:i/>
        </w:rPr>
        <w:t>Diabetes Epidemiology and Management</w:t>
      </w:r>
      <w:r w:rsidRPr="005941EF">
        <w:rPr>
          <w:rFonts w:ascii="Arial" w:hAnsi="Arial" w:cs="Arial"/>
        </w:rPr>
        <w:t xml:space="preserve">, </w:t>
      </w:r>
      <w:r w:rsidRPr="005941EF">
        <w:rPr>
          <w:rFonts w:ascii="Arial" w:hAnsi="Arial" w:cs="Arial"/>
          <w:i/>
        </w:rPr>
        <w:t>13</w:t>
      </w:r>
      <w:r w:rsidRPr="005941EF">
        <w:rPr>
          <w:rFonts w:ascii="Arial" w:hAnsi="Arial" w:cs="Arial"/>
        </w:rPr>
        <w:t>, 1-8.</w:t>
      </w:r>
    </w:p>
    <w:p w14:paraId="437F5C61" w14:textId="77777777" w:rsidR="005941EF" w:rsidRPr="005941EF" w:rsidRDefault="005941EF" w:rsidP="005941EF">
      <w:pPr>
        <w:ind w:left="720" w:hanging="720"/>
        <w:jc w:val="both"/>
        <w:rPr>
          <w:rFonts w:ascii="Arial" w:hAnsi="Arial" w:cs="Arial"/>
          <w:bCs/>
          <w:kern w:val="36"/>
        </w:rPr>
      </w:pPr>
      <w:proofErr w:type="spellStart"/>
      <w:r w:rsidRPr="005941EF">
        <w:rPr>
          <w:rFonts w:ascii="Arial" w:hAnsi="Arial" w:cs="Arial"/>
        </w:rPr>
        <w:t>Tlhaloganyang</w:t>
      </w:r>
      <w:proofErr w:type="spellEnd"/>
      <w:r w:rsidRPr="005941EF">
        <w:rPr>
          <w:rFonts w:ascii="Arial" w:hAnsi="Arial" w:cs="Arial"/>
        </w:rPr>
        <w:t xml:space="preserve">, B. P. (2020). Are zero inflated distributions compulsory in the presence of zero-inflation? </w:t>
      </w:r>
      <w:r w:rsidRPr="005941EF">
        <w:rPr>
          <w:rFonts w:ascii="Arial" w:hAnsi="Arial" w:cs="Arial"/>
          <w:i/>
        </w:rPr>
        <w:t>International Journal of Innovative Science Research and Technology</w:t>
      </w:r>
      <w:r w:rsidRPr="005941EF">
        <w:rPr>
          <w:rFonts w:ascii="Arial" w:hAnsi="Arial" w:cs="Arial"/>
        </w:rPr>
        <w:t>, 5, 1274-1277.</w:t>
      </w:r>
    </w:p>
    <w:p w14:paraId="0807E0FD" w14:textId="77777777" w:rsidR="005941EF" w:rsidRPr="005941EF" w:rsidRDefault="005941EF" w:rsidP="005941EF">
      <w:pPr>
        <w:ind w:left="720" w:hanging="720"/>
        <w:jc w:val="both"/>
        <w:rPr>
          <w:rFonts w:ascii="Arial" w:hAnsi="Arial" w:cs="Arial"/>
          <w:bCs/>
          <w:kern w:val="36"/>
        </w:rPr>
      </w:pPr>
      <w:r w:rsidRPr="005941EF">
        <w:rPr>
          <w:rFonts w:ascii="Arial" w:hAnsi="Arial" w:cs="Arial"/>
        </w:rPr>
        <w:t>Soh, J. G. S., Mukhopadhyay, A.</w:t>
      </w:r>
      <w:proofErr w:type="gramStart"/>
      <w:r w:rsidRPr="005941EF">
        <w:rPr>
          <w:rFonts w:ascii="Arial" w:hAnsi="Arial" w:cs="Arial"/>
        </w:rPr>
        <w:t>,  Mohankumar</w:t>
      </w:r>
      <w:proofErr w:type="gramEnd"/>
      <w:r w:rsidRPr="005941EF">
        <w:rPr>
          <w:rFonts w:ascii="Arial" w:hAnsi="Arial" w:cs="Arial"/>
        </w:rPr>
        <w:t>, B.</w:t>
      </w:r>
      <w:proofErr w:type="gramStart"/>
      <w:r w:rsidRPr="005941EF">
        <w:rPr>
          <w:rFonts w:ascii="Arial" w:hAnsi="Arial" w:cs="Arial"/>
        </w:rPr>
        <w:t>,  Quek</w:t>
      </w:r>
      <w:proofErr w:type="gramEnd"/>
      <w:r w:rsidRPr="005941EF">
        <w:rPr>
          <w:rFonts w:ascii="Arial" w:hAnsi="Arial" w:cs="Arial"/>
        </w:rPr>
        <w:t>, S. C.</w:t>
      </w:r>
      <w:proofErr w:type="gramStart"/>
      <w:r w:rsidRPr="005941EF">
        <w:rPr>
          <w:rFonts w:ascii="Arial" w:hAnsi="Arial" w:cs="Arial"/>
        </w:rPr>
        <w:t>,  &amp;</w:t>
      </w:r>
      <w:proofErr w:type="gramEnd"/>
      <w:r w:rsidRPr="005941EF">
        <w:rPr>
          <w:rFonts w:ascii="Arial" w:hAnsi="Arial" w:cs="Arial"/>
        </w:rPr>
        <w:t xml:space="preserve"> Tai, B. C. (2023). Predictors of frequency of 1</w:t>
      </w:r>
      <w:r w:rsidRPr="005941EF">
        <w:rPr>
          <w:rFonts w:ascii="Arial" w:hAnsi="Arial" w:cs="Arial"/>
        </w:rPr>
        <w:noBreakHyphen/>
        <w:t xml:space="preserve">year readmission in adult patients with diabetes. Scientific Reports, </w:t>
      </w:r>
      <w:r w:rsidRPr="005941EF">
        <w:rPr>
          <w:rFonts w:ascii="Arial" w:hAnsi="Arial" w:cs="Arial"/>
          <w:i/>
        </w:rPr>
        <w:t>13</w:t>
      </w:r>
      <w:r w:rsidRPr="005941EF">
        <w:rPr>
          <w:rFonts w:ascii="Arial" w:hAnsi="Arial" w:cs="Arial"/>
        </w:rPr>
        <w:t>, 223-237.</w:t>
      </w:r>
    </w:p>
    <w:p w14:paraId="314F0508" w14:textId="77777777" w:rsidR="005941EF" w:rsidRPr="005941EF" w:rsidRDefault="005941EF" w:rsidP="005941EF">
      <w:pPr>
        <w:ind w:left="720" w:hanging="720"/>
        <w:jc w:val="both"/>
        <w:rPr>
          <w:rFonts w:ascii="Arial" w:hAnsi="Arial" w:cs="Arial"/>
          <w:bCs/>
          <w:kern w:val="36"/>
        </w:rPr>
      </w:pPr>
      <w:r w:rsidRPr="005941EF">
        <w:rPr>
          <w:rFonts w:ascii="Arial" w:hAnsi="Arial" w:cs="Arial"/>
        </w:rPr>
        <w:t>Song, H. R., Lawson, A., D’Agostino, R. B.</w:t>
      </w:r>
      <w:proofErr w:type="gramStart"/>
      <w:r w:rsidRPr="005941EF">
        <w:rPr>
          <w:rFonts w:ascii="Arial" w:hAnsi="Arial" w:cs="Arial"/>
        </w:rPr>
        <w:t>,  &amp;</w:t>
      </w:r>
      <w:proofErr w:type="gramEnd"/>
      <w:r w:rsidRPr="005941EF">
        <w:rPr>
          <w:rFonts w:ascii="Arial" w:hAnsi="Arial" w:cs="Arial"/>
        </w:rPr>
        <w:t xml:space="preserve"> Liese, A. D. (2011).</w:t>
      </w:r>
      <w:r w:rsidRPr="005941EF">
        <w:rPr>
          <w:rFonts w:ascii="Arial" w:hAnsi="Arial" w:cs="Arial"/>
          <w:b/>
        </w:rPr>
        <w:t xml:space="preserve"> </w:t>
      </w:r>
      <w:r w:rsidRPr="005941EF">
        <w:rPr>
          <w:rFonts w:ascii="Arial" w:hAnsi="Arial" w:cs="Arial"/>
        </w:rPr>
        <w:t xml:space="preserve">Modeling type 1 and type 2 diabetes mellitus incidence in youth: an application of Bayesian hierarchical regression for sparse small area data. </w:t>
      </w:r>
      <w:r w:rsidRPr="005941EF">
        <w:rPr>
          <w:rFonts w:ascii="Arial" w:hAnsi="Arial" w:cs="Arial"/>
          <w:i/>
        </w:rPr>
        <w:t>Spat Spatiotemporal Epidemiology</w:t>
      </w:r>
      <w:r w:rsidRPr="005941EF">
        <w:rPr>
          <w:rFonts w:ascii="Arial" w:hAnsi="Arial" w:cs="Arial"/>
        </w:rPr>
        <w:t xml:space="preserve">, </w:t>
      </w:r>
      <w:r w:rsidRPr="005941EF">
        <w:rPr>
          <w:rFonts w:ascii="Arial" w:hAnsi="Arial" w:cs="Arial"/>
          <w:i/>
        </w:rPr>
        <w:t>2</w:t>
      </w:r>
      <w:r w:rsidRPr="005941EF">
        <w:rPr>
          <w:rFonts w:ascii="Arial" w:hAnsi="Arial" w:cs="Arial"/>
        </w:rPr>
        <w:t>(1), 23-33.</w:t>
      </w:r>
    </w:p>
    <w:p w14:paraId="3F80C372" w14:textId="77777777" w:rsidR="005941EF" w:rsidRPr="005941EF" w:rsidRDefault="005941EF" w:rsidP="005941EF">
      <w:pPr>
        <w:jc w:val="both"/>
        <w:rPr>
          <w:rFonts w:ascii="Arial" w:hAnsi="Arial" w:cs="Arial"/>
          <w:b/>
        </w:rPr>
      </w:pPr>
    </w:p>
    <w:sectPr w:rsidR="005941EF" w:rsidRPr="005941EF" w:rsidSect="00AB2775">
      <w:headerReference w:type="even" r:id="rId17"/>
      <w:headerReference w:type="default" r:id="rId18"/>
      <w:footerReference w:type="default" r:id="rId19"/>
      <w:headerReference w:type="first" r:id="rId20"/>
      <w:type w:val="continuous"/>
      <w:pgSz w:w="12240" w:h="15840"/>
      <w:pgMar w:top="1440" w:right="2016" w:bottom="2016" w:left="2016" w:header="720" w:footer="112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EEFCE" w14:textId="77777777" w:rsidR="00407A99" w:rsidRDefault="00407A99" w:rsidP="0005770B">
      <w:r>
        <w:separator/>
      </w:r>
    </w:p>
  </w:endnote>
  <w:endnote w:type="continuationSeparator" w:id="0">
    <w:p w14:paraId="2EE7CC86" w14:textId="77777777" w:rsidR="00407A99" w:rsidRDefault="00407A99" w:rsidP="00057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DB4F6" w14:textId="77777777" w:rsidR="00AB2775" w:rsidRDefault="00AB27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EC2BA" w14:textId="77777777" w:rsidR="00AB2775" w:rsidRDefault="00AB27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BA7F0" w14:textId="77777777" w:rsidR="004658C6" w:rsidRDefault="004658C6">
    <w:pPr>
      <w:pStyle w:val="Footer"/>
      <w:rPr>
        <w:rFonts w:ascii="Arial" w:hAnsi="Arial" w:cs="Arial"/>
        <w:sz w:val="16"/>
      </w:rPr>
    </w:pPr>
  </w:p>
  <w:p w14:paraId="02964E53" w14:textId="77777777" w:rsidR="004658C6" w:rsidRDefault="004658C6" w:rsidP="004658C6">
    <w:pPr>
      <w:pStyle w:val="Footer"/>
      <w:jc w:val="center"/>
      <w:rPr>
        <w:rFonts w:ascii="Arial" w:hAnsi="Arial" w:cs="Arial"/>
        <w:sz w:val="16"/>
      </w:rPr>
    </w:pPr>
    <w:r>
      <w:rPr>
        <w:rFonts w:ascii="Arial" w:hAnsi="Arial" w:cs="Arial"/>
        <w:sz w:val="16"/>
      </w:rPr>
      <w:t>____________________________________________________________________________________________</w:t>
    </w:r>
  </w:p>
  <w:p w14:paraId="5B47791A" w14:textId="77777777" w:rsidR="004658C6" w:rsidRDefault="004658C6">
    <w:pPr>
      <w:pStyle w:val="Footer"/>
      <w:rPr>
        <w:rFonts w:ascii="Arial" w:hAnsi="Arial" w:cs="Arial"/>
        <w:sz w:val="16"/>
      </w:rPr>
    </w:pPr>
  </w:p>
  <w:p w14:paraId="5FFDC811" w14:textId="77777777" w:rsidR="004658C6" w:rsidRPr="009E048A" w:rsidRDefault="004658C6">
    <w:pPr>
      <w:pStyle w:val="Footer"/>
      <w:rPr>
        <w:rFonts w:ascii="Arial" w:hAnsi="Arial" w:cs="Arial"/>
        <w:i/>
        <w:sz w:val="16"/>
      </w:rPr>
    </w:pPr>
    <w:r w:rsidRPr="009E048A">
      <w:rPr>
        <w:rFonts w:ascii="Arial" w:hAnsi="Arial" w:cs="Arial"/>
        <w:i/>
        <w:sz w:val="16"/>
      </w:rPr>
      <w:t>*Corresponding author: Email: XYZ@ABC.COM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497219"/>
      <w:docPartObj>
        <w:docPartGallery w:val="Page Numbers (Bottom of Page)"/>
        <w:docPartUnique/>
      </w:docPartObj>
    </w:sdtPr>
    <w:sdtContent>
      <w:p w14:paraId="2DA7AAA0" w14:textId="77777777" w:rsidR="004658C6" w:rsidRDefault="004658C6">
        <w:pPr>
          <w:pStyle w:val="Footer"/>
          <w:jc w:val="center"/>
        </w:pPr>
        <w:r w:rsidRPr="00ED5D11">
          <w:rPr>
            <w:rFonts w:ascii="Arial" w:hAnsi="Arial" w:cs="Arial"/>
          </w:rPr>
          <w:fldChar w:fldCharType="begin"/>
        </w:r>
        <w:r w:rsidRPr="00ED5D11">
          <w:rPr>
            <w:rFonts w:ascii="Arial" w:hAnsi="Arial" w:cs="Arial"/>
          </w:rPr>
          <w:instrText xml:space="preserve"> PAGE   \* MERGEFORMAT </w:instrText>
        </w:r>
        <w:r w:rsidRPr="00ED5D11">
          <w:rPr>
            <w:rFonts w:ascii="Arial" w:hAnsi="Arial" w:cs="Arial"/>
          </w:rPr>
          <w:fldChar w:fldCharType="separate"/>
        </w:r>
        <w:r w:rsidR="00B42C33">
          <w:rPr>
            <w:rFonts w:ascii="Arial" w:hAnsi="Arial" w:cs="Arial"/>
            <w:noProof/>
          </w:rPr>
          <w:t>15</w:t>
        </w:r>
        <w:r w:rsidRPr="00ED5D11">
          <w:rPr>
            <w:rFonts w:ascii="Arial" w:hAnsi="Arial" w:cs="Arial"/>
          </w:rPr>
          <w:fldChar w:fldCharType="end"/>
        </w:r>
      </w:p>
    </w:sdtContent>
  </w:sdt>
  <w:p w14:paraId="14497AFE" w14:textId="77777777" w:rsidR="004658C6" w:rsidRPr="00C37E61" w:rsidRDefault="004658C6" w:rsidP="004658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6539D" w14:textId="77777777" w:rsidR="00407A99" w:rsidRDefault="00407A99" w:rsidP="0005770B">
      <w:r>
        <w:separator/>
      </w:r>
    </w:p>
  </w:footnote>
  <w:footnote w:type="continuationSeparator" w:id="0">
    <w:p w14:paraId="24D2B782" w14:textId="77777777" w:rsidR="00407A99" w:rsidRDefault="00407A99" w:rsidP="000577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9B4A9" w14:textId="2534DF4D" w:rsidR="00AB2775" w:rsidRDefault="00AB2775">
    <w:pPr>
      <w:pStyle w:val="Header"/>
    </w:pPr>
    <w:r>
      <w:rPr>
        <w:noProof/>
      </w:rPr>
      <w:pict w14:anchorId="18E1B0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4018266"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9390D" w14:textId="6A357622" w:rsidR="00AB2775" w:rsidRDefault="00AB2775">
    <w:pPr>
      <w:pStyle w:val="Header"/>
    </w:pPr>
    <w:r>
      <w:rPr>
        <w:noProof/>
      </w:rPr>
      <w:pict w14:anchorId="0BB999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4018267"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352D2" w14:textId="537F6695" w:rsidR="004658C6" w:rsidRPr="00296529" w:rsidRDefault="00AB2775" w:rsidP="004658C6">
    <w:pPr>
      <w:ind w:left="2160"/>
      <w:jc w:val="center"/>
      <w:rPr>
        <w:rFonts w:ascii="Times New Roman" w:eastAsia="Calibri" w:hAnsi="Times New Roman"/>
        <w:i/>
        <w:sz w:val="18"/>
        <w:szCs w:val="22"/>
      </w:rPr>
    </w:pPr>
    <w:r>
      <w:rPr>
        <w:noProof/>
      </w:rPr>
      <w:pict w14:anchorId="58D3E1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4018265"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77ED27D0" w14:textId="77777777" w:rsidR="004658C6" w:rsidRPr="00296529" w:rsidRDefault="004658C6" w:rsidP="004658C6">
    <w:pPr>
      <w:ind w:left="4320"/>
      <w:rPr>
        <w:rFonts w:ascii="Times New Roman" w:eastAsia="Calibri" w:hAnsi="Times New Roman"/>
        <w:i/>
        <w:sz w:val="18"/>
        <w:szCs w:val="22"/>
      </w:rPr>
    </w:pPr>
    <w:r>
      <w:rPr>
        <w:rFonts w:ascii="Times New Roman" w:eastAsia="Calibri" w:hAnsi="Times New Roman"/>
        <w:i/>
        <w:sz w:val="18"/>
        <w:szCs w:val="22"/>
      </w:rPr>
      <w:t>.</w:t>
    </w:r>
  </w:p>
  <w:p w14:paraId="601D5B7C" w14:textId="77777777" w:rsidR="004658C6" w:rsidRPr="00296529" w:rsidRDefault="004658C6" w:rsidP="004658C6">
    <w:pPr>
      <w:jc w:val="center"/>
      <w:rPr>
        <w:rFonts w:ascii="Times New Roman" w:eastAsia="Calibri" w:hAnsi="Times New Roman"/>
        <w:i/>
        <w:sz w:val="18"/>
        <w:szCs w:val="22"/>
      </w:rPr>
    </w:pPr>
    <w:r>
      <w:rPr>
        <w:rFonts w:ascii="Times New Roman" w:eastAsia="Calibri" w:hAnsi="Times New Roman"/>
        <w:i/>
        <w:sz w:val="18"/>
        <w:szCs w:val="22"/>
      </w:rPr>
      <w:t>.</w:t>
    </w:r>
  </w:p>
  <w:p w14:paraId="614B86E0" w14:textId="77777777" w:rsidR="004658C6" w:rsidRPr="00296529" w:rsidRDefault="004658C6" w:rsidP="004658C6">
    <w:pPr>
      <w:spacing w:after="200"/>
      <w:jc w:val="center"/>
      <w:rPr>
        <w:rFonts w:ascii="Times New Roman" w:eastAsia="Calibri" w:hAnsi="Times New Roman"/>
        <w:b/>
        <w:i/>
        <w:sz w:val="32"/>
        <w:szCs w:val="22"/>
      </w:rPr>
    </w:pPr>
    <w:r>
      <w:rPr>
        <w:rFonts w:ascii="Times New Roman" w:eastAsia="Calibri" w:hAnsi="Times New Roman"/>
        <w:b/>
        <w:i/>
        <w:sz w:val="32"/>
        <w:szCs w:val="22"/>
      </w:rPr>
      <w:t>.</w:t>
    </w:r>
  </w:p>
  <w:p w14:paraId="29822F9F" w14:textId="77777777" w:rsidR="004658C6" w:rsidRDefault="004658C6" w:rsidP="004658C6">
    <w:pPr>
      <w:jc w:val="center"/>
      <w:rPr>
        <w:rFonts w:ascii="Times New Roman" w:eastAsia="Calibri" w:hAnsi="Times New Roman"/>
        <w:i/>
        <w:sz w:val="18"/>
        <w:szCs w:val="22"/>
      </w:rPr>
    </w:pPr>
  </w:p>
  <w:p w14:paraId="02699DFD" w14:textId="77777777" w:rsidR="004658C6" w:rsidRDefault="004658C6" w:rsidP="004658C6">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28DEA15E" w14:textId="77777777" w:rsidR="004658C6" w:rsidRDefault="004658C6">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43094" w14:textId="663CB41E" w:rsidR="00AB2775" w:rsidRDefault="00AB2775">
    <w:pPr>
      <w:pStyle w:val="Header"/>
    </w:pPr>
    <w:r>
      <w:rPr>
        <w:noProof/>
      </w:rPr>
      <w:pict w14:anchorId="605CE1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4018269" o:spid="_x0000_s1031" type="#_x0000_t136" style="position:absolute;margin-left:0;margin-top:0;width:520.6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15CBCFEB">
        <v:shape id="_x0000_s1030"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AA772" w14:textId="273A4B89" w:rsidR="00AB2775" w:rsidRDefault="00AB2775">
    <w:pPr>
      <w:pStyle w:val="Header"/>
    </w:pPr>
    <w:r>
      <w:rPr>
        <w:noProof/>
      </w:rPr>
      <w:pict w14:anchorId="1A28B8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4018270" o:spid="_x0000_s1033" type="#_x0000_t136" style="position:absolute;margin-left:0;margin-top:0;width:520.6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31D4C01B">
        <v:shape id="_x0000_s1032" type="#_x0000_t136" style="position:absolute;margin-left:0;margin-top:0;width:520.6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279B9" w14:textId="33FC5916" w:rsidR="00AB2775" w:rsidRPr="00296529" w:rsidRDefault="00AB2775" w:rsidP="004658C6">
    <w:pPr>
      <w:ind w:left="2160"/>
      <w:jc w:val="center"/>
      <w:rPr>
        <w:rFonts w:ascii="Times New Roman" w:eastAsia="Calibri" w:hAnsi="Times New Roman"/>
        <w:i/>
        <w:sz w:val="18"/>
        <w:szCs w:val="22"/>
      </w:rPr>
    </w:pPr>
    <w:r>
      <w:rPr>
        <w:noProof/>
      </w:rPr>
      <w:pict w14:anchorId="57C176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4018268" o:spid="_x0000_s1029" type="#_x0000_t136" style="position:absolute;left:0;text-align:left;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317B84CD">
        <v:shape id="_x0000_s1028" type="#_x0000_t136" style="position:absolute;left:0;text-align:left;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76249275" w14:textId="77777777" w:rsidR="00AB2775" w:rsidRPr="00296529" w:rsidRDefault="00AB2775" w:rsidP="004658C6">
    <w:pPr>
      <w:ind w:left="4320"/>
      <w:rPr>
        <w:rFonts w:ascii="Times New Roman" w:eastAsia="Calibri" w:hAnsi="Times New Roman"/>
        <w:i/>
        <w:sz w:val="18"/>
        <w:szCs w:val="22"/>
      </w:rPr>
    </w:pPr>
    <w:r>
      <w:rPr>
        <w:rFonts w:ascii="Times New Roman" w:eastAsia="Calibri" w:hAnsi="Times New Roman"/>
        <w:i/>
        <w:sz w:val="18"/>
        <w:szCs w:val="22"/>
      </w:rPr>
      <w:t>.</w:t>
    </w:r>
  </w:p>
  <w:p w14:paraId="7413940D" w14:textId="77777777" w:rsidR="00AB2775" w:rsidRPr="00296529" w:rsidRDefault="00AB2775" w:rsidP="004658C6">
    <w:pPr>
      <w:jc w:val="center"/>
      <w:rPr>
        <w:rFonts w:ascii="Times New Roman" w:eastAsia="Calibri" w:hAnsi="Times New Roman"/>
        <w:i/>
        <w:sz w:val="18"/>
        <w:szCs w:val="22"/>
      </w:rPr>
    </w:pPr>
    <w:r>
      <w:rPr>
        <w:rFonts w:ascii="Times New Roman" w:eastAsia="Calibri" w:hAnsi="Times New Roman"/>
        <w:i/>
        <w:sz w:val="18"/>
        <w:szCs w:val="22"/>
      </w:rPr>
      <w:t>.</w:t>
    </w:r>
  </w:p>
  <w:p w14:paraId="2E23B92D" w14:textId="77777777" w:rsidR="00AB2775" w:rsidRPr="00296529" w:rsidRDefault="00AB2775" w:rsidP="004658C6">
    <w:pPr>
      <w:spacing w:after="200"/>
      <w:jc w:val="center"/>
      <w:rPr>
        <w:rFonts w:ascii="Times New Roman" w:eastAsia="Calibri" w:hAnsi="Times New Roman"/>
        <w:b/>
        <w:i/>
        <w:sz w:val="32"/>
        <w:szCs w:val="22"/>
      </w:rPr>
    </w:pPr>
    <w:r>
      <w:rPr>
        <w:rFonts w:ascii="Times New Roman" w:eastAsia="Calibri" w:hAnsi="Times New Roman"/>
        <w:b/>
        <w:i/>
        <w:sz w:val="32"/>
        <w:szCs w:val="22"/>
      </w:rPr>
      <w:t>.</w:t>
    </w:r>
  </w:p>
  <w:p w14:paraId="2B83AFF7" w14:textId="77777777" w:rsidR="00AB2775" w:rsidRDefault="00AB2775" w:rsidP="004658C6">
    <w:pPr>
      <w:jc w:val="center"/>
      <w:rPr>
        <w:rFonts w:ascii="Times New Roman" w:eastAsia="Calibri" w:hAnsi="Times New Roman"/>
        <w:i/>
        <w:sz w:val="18"/>
        <w:szCs w:val="22"/>
      </w:rPr>
    </w:pPr>
  </w:p>
  <w:p w14:paraId="76026E8B" w14:textId="77777777" w:rsidR="00AB2775" w:rsidRDefault="00AB2775" w:rsidP="004658C6">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5657C634" w14:textId="77777777" w:rsidR="00AB2775" w:rsidRDefault="00AB2775">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30CDD"/>
    <w:multiLevelType w:val="hybridMultilevel"/>
    <w:tmpl w:val="E4227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64212C"/>
    <w:multiLevelType w:val="hybridMultilevel"/>
    <w:tmpl w:val="FFAAB5B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F62F37"/>
    <w:multiLevelType w:val="hybridMultilevel"/>
    <w:tmpl w:val="0C28A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1C5824"/>
    <w:multiLevelType w:val="hybridMultilevel"/>
    <w:tmpl w:val="34C6FE4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num w:numId="1" w16cid:durableId="359353347">
    <w:abstractNumId w:val="4"/>
  </w:num>
  <w:num w:numId="2" w16cid:durableId="1526209260">
    <w:abstractNumId w:val="0"/>
  </w:num>
  <w:num w:numId="3" w16cid:durableId="1633098795">
    <w:abstractNumId w:val="1"/>
  </w:num>
  <w:num w:numId="4" w16cid:durableId="886180563">
    <w:abstractNumId w:val="3"/>
  </w:num>
  <w:num w:numId="5" w16cid:durableId="20137563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8C6"/>
    <w:rsid w:val="0005770B"/>
    <w:rsid w:val="0027595D"/>
    <w:rsid w:val="00361E4A"/>
    <w:rsid w:val="00407A99"/>
    <w:rsid w:val="004658C6"/>
    <w:rsid w:val="005941EF"/>
    <w:rsid w:val="005B1D45"/>
    <w:rsid w:val="005C20A1"/>
    <w:rsid w:val="00756351"/>
    <w:rsid w:val="008F2D11"/>
    <w:rsid w:val="009006A4"/>
    <w:rsid w:val="009D37E3"/>
    <w:rsid w:val="00AB199B"/>
    <w:rsid w:val="00AB2775"/>
    <w:rsid w:val="00AD2C7F"/>
    <w:rsid w:val="00B42C33"/>
    <w:rsid w:val="00BE2274"/>
    <w:rsid w:val="00BF1AFA"/>
    <w:rsid w:val="00F73E16"/>
    <w:rsid w:val="00F86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EF4183"/>
  <w15:chartTrackingRefBased/>
  <w15:docId w15:val="{7EF84BAF-DC51-4069-8222-BA638B8F0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8C6"/>
    <w:pPr>
      <w:spacing w:after="0" w:line="240" w:lineRule="auto"/>
    </w:pPr>
    <w:rPr>
      <w:rFonts w:ascii="Helvetica" w:eastAsia="Times New Roman" w:hAnsi="Helvetica"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658C6"/>
    <w:pPr>
      <w:spacing w:line="280" w:lineRule="exact"/>
      <w:jc w:val="right"/>
    </w:pPr>
    <w:rPr>
      <w:b/>
      <w:sz w:val="24"/>
    </w:rPr>
  </w:style>
  <w:style w:type="paragraph" w:customStyle="1" w:styleId="Affiliation">
    <w:name w:val="Affiliation"/>
    <w:basedOn w:val="Normal"/>
    <w:rsid w:val="004658C6"/>
    <w:pPr>
      <w:spacing w:after="240" w:line="240" w:lineRule="exact"/>
      <w:jc w:val="right"/>
    </w:pPr>
  </w:style>
  <w:style w:type="paragraph" w:customStyle="1" w:styleId="Body">
    <w:name w:val="Body"/>
    <w:basedOn w:val="Normal"/>
    <w:rsid w:val="004658C6"/>
    <w:pPr>
      <w:spacing w:after="240"/>
      <w:jc w:val="both"/>
    </w:pPr>
  </w:style>
  <w:style w:type="paragraph" w:customStyle="1" w:styleId="AbstHead">
    <w:name w:val="Abst Head"/>
    <w:basedOn w:val="Normal"/>
    <w:rsid w:val="004658C6"/>
    <w:pPr>
      <w:keepNext/>
      <w:spacing w:after="240"/>
    </w:pPr>
    <w:rPr>
      <w:b/>
      <w:caps/>
      <w:sz w:val="22"/>
    </w:rPr>
  </w:style>
  <w:style w:type="paragraph" w:customStyle="1" w:styleId="ConcHead">
    <w:name w:val="Conc Head"/>
    <w:basedOn w:val="Normal"/>
    <w:rsid w:val="004658C6"/>
    <w:pPr>
      <w:keepNext/>
      <w:spacing w:after="240"/>
    </w:pPr>
    <w:rPr>
      <w:b/>
      <w:caps/>
      <w:sz w:val="22"/>
    </w:rPr>
  </w:style>
  <w:style w:type="paragraph" w:customStyle="1" w:styleId="AcknHead">
    <w:name w:val="Ackn Head"/>
    <w:basedOn w:val="Normal"/>
    <w:rsid w:val="004658C6"/>
    <w:pPr>
      <w:keepNext/>
      <w:spacing w:after="240"/>
    </w:pPr>
    <w:rPr>
      <w:b/>
      <w:caps/>
      <w:sz w:val="22"/>
    </w:rPr>
  </w:style>
  <w:style w:type="paragraph" w:customStyle="1" w:styleId="ReferHead">
    <w:name w:val="Refer Head"/>
    <w:basedOn w:val="Normal"/>
    <w:rsid w:val="004658C6"/>
    <w:pPr>
      <w:keepNext/>
      <w:spacing w:after="240"/>
    </w:pPr>
    <w:rPr>
      <w:b/>
      <w:caps/>
      <w:sz w:val="22"/>
    </w:rPr>
  </w:style>
  <w:style w:type="paragraph" w:customStyle="1" w:styleId="DefAcrHead">
    <w:name w:val="DefAcrHead"/>
    <w:basedOn w:val="Normal"/>
    <w:rsid w:val="004658C6"/>
    <w:pPr>
      <w:keepNext/>
      <w:spacing w:after="240"/>
    </w:pPr>
    <w:rPr>
      <w:b/>
      <w:caps/>
      <w:sz w:val="22"/>
    </w:rPr>
  </w:style>
  <w:style w:type="paragraph" w:customStyle="1" w:styleId="Copyright">
    <w:name w:val="Copyright"/>
    <w:basedOn w:val="Normal"/>
    <w:rsid w:val="004658C6"/>
    <w:pPr>
      <w:spacing w:after="960" w:line="200" w:lineRule="exact"/>
    </w:pPr>
    <w:rPr>
      <w:sz w:val="16"/>
    </w:rPr>
  </w:style>
  <w:style w:type="paragraph" w:styleId="Title">
    <w:name w:val="Title"/>
    <w:basedOn w:val="Normal"/>
    <w:link w:val="TitleChar"/>
    <w:qFormat/>
    <w:rsid w:val="004658C6"/>
    <w:pPr>
      <w:spacing w:after="360"/>
      <w:jc w:val="right"/>
    </w:pPr>
    <w:rPr>
      <w:b/>
      <w:kern w:val="28"/>
      <w:sz w:val="36"/>
    </w:rPr>
  </w:style>
  <w:style w:type="character" w:customStyle="1" w:styleId="TitleChar">
    <w:name w:val="Title Char"/>
    <w:basedOn w:val="DefaultParagraphFont"/>
    <w:link w:val="Title"/>
    <w:rsid w:val="004658C6"/>
    <w:rPr>
      <w:rFonts w:ascii="Helvetica" w:eastAsia="Times New Roman" w:hAnsi="Helvetica" w:cs="Times New Roman"/>
      <w:b/>
      <w:kern w:val="28"/>
      <w:sz w:val="36"/>
      <w:szCs w:val="20"/>
    </w:rPr>
  </w:style>
  <w:style w:type="paragraph" w:customStyle="1" w:styleId="Reference">
    <w:name w:val="Reference"/>
    <w:basedOn w:val="Body"/>
    <w:rsid w:val="004658C6"/>
    <w:pPr>
      <w:numPr>
        <w:numId w:val="1"/>
      </w:numPr>
      <w:spacing w:after="0" w:line="240" w:lineRule="exact"/>
    </w:pPr>
  </w:style>
  <w:style w:type="paragraph" w:customStyle="1" w:styleId="Head1">
    <w:name w:val="Head1"/>
    <w:basedOn w:val="Normal"/>
    <w:rsid w:val="004658C6"/>
    <w:pPr>
      <w:keepNext/>
      <w:spacing w:after="240"/>
    </w:pPr>
    <w:rPr>
      <w:b/>
      <w:caps/>
      <w:sz w:val="22"/>
    </w:rPr>
  </w:style>
  <w:style w:type="paragraph" w:customStyle="1" w:styleId="Appendix">
    <w:name w:val="Appendix"/>
    <w:basedOn w:val="Normal"/>
    <w:rsid w:val="004658C6"/>
    <w:pPr>
      <w:keepNext/>
      <w:spacing w:after="240"/>
    </w:pPr>
    <w:rPr>
      <w:b/>
      <w:caps/>
      <w:sz w:val="22"/>
    </w:rPr>
  </w:style>
  <w:style w:type="paragraph" w:styleId="Footer">
    <w:name w:val="footer"/>
    <w:basedOn w:val="Normal"/>
    <w:link w:val="FooterChar"/>
    <w:uiPriority w:val="99"/>
    <w:rsid w:val="004658C6"/>
    <w:pPr>
      <w:tabs>
        <w:tab w:val="center" w:pos="4320"/>
        <w:tab w:val="right" w:pos="8640"/>
      </w:tabs>
    </w:pPr>
  </w:style>
  <w:style w:type="character" w:customStyle="1" w:styleId="FooterChar">
    <w:name w:val="Footer Char"/>
    <w:basedOn w:val="DefaultParagraphFont"/>
    <w:link w:val="Footer"/>
    <w:uiPriority w:val="99"/>
    <w:rsid w:val="004658C6"/>
    <w:rPr>
      <w:rFonts w:ascii="Helvetica" w:eastAsia="Times New Roman" w:hAnsi="Helvetica" w:cs="Times New Roman"/>
      <w:sz w:val="20"/>
      <w:szCs w:val="20"/>
    </w:rPr>
  </w:style>
  <w:style w:type="paragraph" w:styleId="Header">
    <w:name w:val="header"/>
    <w:basedOn w:val="Normal"/>
    <w:link w:val="HeaderChar"/>
    <w:rsid w:val="004658C6"/>
    <w:pPr>
      <w:tabs>
        <w:tab w:val="center" w:pos="4320"/>
        <w:tab w:val="right" w:pos="8640"/>
      </w:tabs>
    </w:pPr>
  </w:style>
  <w:style w:type="character" w:customStyle="1" w:styleId="HeaderChar">
    <w:name w:val="Header Char"/>
    <w:basedOn w:val="DefaultParagraphFont"/>
    <w:link w:val="Header"/>
    <w:rsid w:val="004658C6"/>
    <w:rPr>
      <w:rFonts w:ascii="Helvetica" w:eastAsia="Times New Roman" w:hAnsi="Helvetica" w:cs="Times New Roman"/>
      <w:sz w:val="20"/>
      <w:szCs w:val="20"/>
    </w:rPr>
  </w:style>
  <w:style w:type="character" w:styleId="Hyperlink">
    <w:name w:val="Hyperlink"/>
    <w:basedOn w:val="DefaultParagraphFont"/>
    <w:rsid w:val="004658C6"/>
    <w:rPr>
      <w:color w:val="FF0080"/>
      <w:u w:val="single"/>
    </w:rPr>
  </w:style>
  <w:style w:type="paragraph" w:styleId="BodyText3">
    <w:name w:val="Body Text 3"/>
    <w:basedOn w:val="Normal"/>
    <w:link w:val="BodyText3Char"/>
    <w:rsid w:val="004658C6"/>
    <w:pPr>
      <w:spacing w:after="120"/>
    </w:pPr>
    <w:rPr>
      <w:sz w:val="16"/>
      <w:szCs w:val="16"/>
    </w:rPr>
  </w:style>
  <w:style w:type="character" w:customStyle="1" w:styleId="BodyText3Char">
    <w:name w:val="Body Text 3 Char"/>
    <w:basedOn w:val="DefaultParagraphFont"/>
    <w:link w:val="BodyText3"/>
    <w:rsid w:val="004658C6"/>
    <w:rPr>
      <w:rFonts w:ascii="Helvetica" w:eastAsia="Times New Roman" w:hAnsi="Helvetica" w:cs="Times New Roman"/>
      <w:sz w:val="16"/>
      <w:szCs w:val="16"/>
    </w:rPr>
  </w:style>
  <w:style w:type="character" w:styleId="LineNumber">
    <w:name w:val="line number"/>
    <w:basedOn w:val="DefaultParagraphFont"/>
    <w:uiPriority w:val="99"/>
    <w:semiHidden/>
    <w:unhideWhenUsed/>
    <w:rsid w:val="004658C6"/>
  </w:style>
  <w:style w:type="paragraph" w:styleId="NormalWeb">
    <w:name w:val="Normal (Web)"/>
    <w:basedOn w:val="Normal"/>
    <w:uiPriority w:val="99"/>
    <w:unhideWhenUsed/>
    <w:rsid w:val="004658C6"/>
    <w:pPr>
      <w:spacing w:before="100" w:beforeAutospacing="1" w:after="100" w:afterAutospacing="1"/>
    </w:pPr>
    <w:rPr>
      <w:rFonts w:ascii="Times New Roman" w:hAnsi="Times New Roman"/>
      <w:sz w:val="24"/>
      <w:szCs w:val="24"/>
    </w:rPr>
  </w:style>
  <w:style w:type="paragraph" w:styleId="Subtitle">
    <w:name w:val="Subtitle"/>
    <w:basedOn w:val="Normal"/>
    <w:next w:val="Normal"/>
    <w:link w:val="SubtitleChar"/>
    <w:uiPriority w:val="11"/>
    <w:qFormat/>
    <w:rsid w:val="004658C6"/>
    <w:pPr>
      <w:numPr>
        <w:ilvl w:val="1"/>
      </w:numPr>
      <w:spacing w:after="160" w:line="259" w:lineRule="auto"/>
    </w:pPr>
    <w:rPr>
      <w:rFonts w:asciiTheme="minorHAnsi" w:eastAsiaTheme="minorEastAsia" w:hAnsiTheme="minorHAnsi" w:cstheme="minorBidi"/>
      <w:color w:val="5A5A5A" w:themeColor="text1" w:themeTint="A5"/>
      <w:spacing w:val="15"/>
      <w:kern w:val="2"/>
      <w:sz w:val="22"/>
      <w:szCs w:val="22"/>
    </w:rPr>
  </w:style>
  <w:style w:type="character" w:customStyle="1" w:styleId="SubtitleChar">
    <w:name w:val="Subtitle Char"/>
    <w:basedOn w:val="DefaultParagraphFont"/>
    <w:link w:val="Subtitle"/>
    <w:uiPriority w:val="11"/>
    <w:rsid w:val="004658C6"/>
    <w:rPr>
      <w:rFonts w:eastAsiaTheme="minorEastAsia"/>
      <w:color w:val="5A5A5A" w:themeColor="text1" w:themeTint="A5"/>
      <w:spacing w:val="15"/>
      <w:kern w:val="2"/>
    </w:rPr>
  </w:style>
  <w:style w:type="paragraph" w:styleId="BalloonText">
    <w:name w:val="Balloon Text"/>
    <w:basedOn w:val="Normal"/>
    <w:link w:val="BalloonTextChar"/>
    <w:uiPriority w:val="99"/>
    <w:semiHidden/>
    <w:unhideWhenUsed/>
    <w:rsid w:val="004658C6"/>
    <w:rPr>
      <w:rFonts w:ascii="Tahoma" w:hAnsi="Tahoma" w:cs="Tahoma"/>
      <w:sz w:val="16"/>
      <w:szCs w:val="16"/>
    </w:rPr>
  </w:style>
  <w:style w:type="character" w:customStyle="1" w:styleId="BalloonTextChar">
    <w:name w:val="Balloon Text Char"/>
    <w:basedOn w:val="DefaultParagraphFont"/>
    <w:link w:val="BalloonText"/>
    <w:uiPriority w:val="99"/>
    <w:semiHidden/>
    <w:rsid w:val="004658C6"/>
    <w:rPr>
      <w:rFonts w:ascii="Tahoma" w:eastAsia="Times New Roman" w:hAnsi="Tahoma" w:cs="Tahoma"/>
      <w:sz w:val="16"/>
      <w:szCs w:val="16"/>
    </w:rPr>
  </w:style>
  <w:style w:type="table" w:styleId="TableGrid">
    <w:name w:val="Table Grid"/>
    <w:basedOn w:val="TableNormal"/>
    <w:uiPriority w:val="59"/>
    <w:rsid w:val="004658C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4658C6"/>
    <w:rPr>
      <w:i/>
      <w:iCs/>
    </w:rPr>
  </w:style>
  <w:style w:type="character" w:customStyle="1" w:styleId="katex-mathml">
    <w:name w:val="katex-mathml"/>
    <w:basedOn w:val="DefaultParagraphFont"/>
    <w:rsid w:val="00F86B78"/>
  </w:style>
  <w:style w:type="paragraph" w:styleId="ListParagraph">
    <w:name w:val="List Paragraph"/>
    <w:basedOn w:val="Normal"/>
    <w:uiPriority w:val="34"/>
    <w:qFormat/>
    <w:rsid w:val="00F86B78"/>
    <w:pPr>
      <w:spacing w:after="200" w:line="276"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8F2D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4626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emf"/><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emf"/><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15</Pages>
  <Words>7081</Words>
  <Characters>40362</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SDI 1084</cp:lastModifiedBy>
  <cp:revision>11</cp:revision>
  <dcterms:created xsi:type="dcterms:W3CDTF">2026-07-20T00:00:00Z</dcterms:created>
  <dcterms:modified xsi:type="dcterms:W3CDTF">2026-07-21T12:47:00Z</dcterms:modified>
</cp:coreProperties>
</file>