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1BE58" w14:textId="77777777" w:rsidR="00754C9A" w:rsidRDefault="00754C9A" w:rsidP="00441B6F">
      <w:pPr>
        <w:pStyle w:val="Title"/>
        <w:spacing w:after="0"/>
        <w:jc w:val="both"/>
        <w:rPr>
          <w:rFonts w:ascii="Arial" w:hAnsi="Arial" w:cs="Arial"/>
        </w:rPr>
      </w:pPr>
    </w:p>
    <w:p w14:paraId="6DAC9847" w14:textId="019C1A25" w:rsidR="00955CFA" w:rsidRPr="00955CFA" w:rsidRDefault="00955CFA" w:rsidP="00955CFA">
      <w:pPr>
        <w:pStyle w:val="Author"/>
        <w:spacing w:line="240" w:lineRule="auto"/>
        <w:jc w:val="both"/>
        <w:rPr>
          <w:rFonts w:ascii="Arial" w:hAnsi="Arial" w:cs="Arial"/>
          <w:bCs/>
          <w:iCs/>
          <w:kern w:val="28"/>
          <w:sz w:val="36"/>
        </w:rPr>
      </w:pPr>
      <w:r w:rsidRPr="00955CFA">
        <w:rPr>
          <w:rFonts w:ascii="Arial" w:hAnsi="Arial" w:cs="Arial"/>
          <w:bCs/>
          <w:iCs/>
          <w:kern w:val="28"/>
          <w:sz w:val="36"/>
        </w:rPr>
        <w:t>Prevalence</w:t>
      </w:r>
      <w:r w:rsidR="0065152A">
        <w:rPr>
          <w:rFonts w:ascii="Arial" w:hAnsi="Arial" w:cs="Arial"/>
          <w:bCs/>
          <w:iCs/>
          <w:kern w:val="28"/>
          <w:sz w:val="36"/>
        </w:rPr>
        <w:t xml:space="preserve"> </w:t>
      </w:r>
      <w:r w:rsidRPr="00955CFA">
        <w:rPr>
          <w:rFonts w:ascii="Arial" w:hAnsi="Arial" w:cs="Arial"/>
          <w:bCs/>
          <w:iCs/>
          <w:kern w:val="28"/>
          <w:sz w:val="36"/>
        </w:rPr>
        <w:t xml:space="preserve">and Biochemical Predictors of Iron Deficiency </w:t>
      </w:r>
      <w:proofErr w:type="spellStart"/>
      <w:r w:rsidRPr="00955CFA">
        <w:rPr>
          <w:rFonts w:ascii="Arial" w:hAnsi="Arial" w:cs="Arial"/>
          <w:bCs/>
          <w:iCs/>
          <w:kern w:val="28"/>
          <w:sz w:val="36"/>
        </w:rPr>
        <w:t>Anaemia</w:t>
      </w:r>
      <w:proofErr w:type="spellEnd"/>
      <w:r w:rsidRPr="00955CFA">
        <w:rPr>
          <w:rFonts w:ascii="Arial" w:hAnsi="Arial" w:cs="Arial"/>
          <w:bCs/>
          <w:iCs/>
          <w:kern w:val="28"/>
          <w:sz w:val="36"/>
        </w:rPr>
        <w:t xml:space="preserve"> Among School-Aged Adolescent Girls in Rivers State, Nigeria: A Public Health Concern</w:t>
      </w:r>
    </w:p>
    <w:p w14:paraId="392EAA86" w14:textId="77777777" w:rsidR="00A258C3" w:rsidRPr="00790ADA" w:rsidRDefault="00A258C3" w:rsidP="00441B6F">
      <w:pPr>
        <w:pStyle w:val="Author"/>
        <w:spacing w:line="240" w:lineRule="auto"/>
        <w:jc w:val="both"/>
        <w:rPr>
          <w:rFonts w:ascii="Arial" w:hAnsi="Arial" w:cs="Arial"/>
          <w:sz w:val="36"/>
        </w:rPr>
      </w:pPr>
    </w:p>
    <w:p w14:paraId="5177C166" w14:textId="58F99D88" w:rsidR="00955CFA" w:rsidRPr="00955CFA" w:rsidRDefault="00955CFA" w:rsidP="00955CFA">
      <w:pPr>
        <w:pStyle w:val="Affiliation"/>
        <w:spacing w:after="0" w:line="240" w:lineRule="auto"/>
        <w:rPr>
          <w:rFonts w:ascii="Arial" w:hAnsi="Arial" w:cs="Arial"/>
          <w:i/>
        </w:rPr>
      </w:pPr>
      <w:r w:rsidRPr="00955CFA">
        <w:rPr>
          <w:rFonts w:ascii="Arial" w:hAnsi="Arial" w:cs="Arial"/>
          <w:i/>
        </w:rPr>
        <w:t>.</w:t>
      </w:r>
    </w:p>
    <w:p w14:paraId="6EEE762F" w14:textId="77777777" w:rsidR="002C57D2" w:rsidRPr="00FB3A86" w:rsidRDefault="002C57D2" w:rsidP="00441B6F">
      <w:pPr>
        <w:pStyle w:val="Affiliation"/>
        <w:spacing w:after="0" w:line="240" w:lineRule="auto"/>
        <w:jc w:val="both"/>
        <w:rPr>
          <w:rFonts w:ascii="Arial" w:hAnsi="Arial" w:cs="Arial"/>
        </w:rPr>
      </w:pPr>
    </w:p>
    <w:p w14:paraId="4D38EDC6" w14:textId="567BC0D2" w:rsidR="00B01FCD" w:rsidRPr="00FB3A86" w:rsidRDefault="0015130E" w:rsidP="00441B6F">
      <w:pPr>
        <w:pStyle w:val="Copyright"/>
        <w:spacing w:after="0" w:line="240" w:lineRule="auto"/>
        <w:jc w:val="both"/>
        <w:rPr>
          <w:rFonts w:ascii="Arial" w:hAnsi="Arial" w:cs="Arial"/>
        </w:rPr>
        <w:sectPr w:rsidR="00B01FCD" w:rsidRPr="00FB3A86" w:rsidSect="005266B5">
          <w:headerReference w:type="even" r:id="rId8"/>
          <w:headerReference w:type="default" r:id="rId9"/>
          <w:footerReference w:type="even" r:id="rId10"/>
          <w:footerReference w:type="default" r:id="rId11"/>
          <w:headerReference w:type="first" r:id="rId12"/>
          <w:footerReference w:type="first" r:id="rId13"/>
          <w:pgSz w:w="12240" w:h="15840" w:code="1"/>
          <w:pgMar w:top="1440" w:right="1041" w:bottom="2016" w:left="2016" w:header="720" w:footer="1296" w:gutter="0"/>
          <w:cols w:space="720"/>
          <w:docGrid w:linePitch="272"/>
        </w:sectPr>
      </w:pPr>
      <w:r>
        <w:rPr>
          <w:rFonts w:ascii="Arial" w:hAnsi="Arial" w:cs="Arial"/>
          <w:noProof/>
        </w:rPr>
        <mc:AlternateContent>
          <mc:Choice Requires="wps">
            <w:drawing>
              <wp:inline distT="0" distB="0" distL="0" distR="0" wp14:anchorId="1E6C8452" wp14:editId="4AD13219">
                <wp:extent cx="5303520" cy="635"/>
                <wp:effectExtent l="15240" t="12700" r="15240" b="1587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C2336E"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1C0692C8" w14:textId="5130EABF"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4339D1EE"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173"/>
      </w:tblGrid>
      <w:tr w:rsidR="00296529" w:rsidRPr="001E44FE" w14:paraId="4E4780C8" w14:textId="77777777" w:rsidTr="001E44FE">
        <w:tc>
          <w:tcPr>
            <w:tcW w:w="9576" w:type="dxa"/>
            <w:shd w:val="clear" w:color="auto" w:fill="F2F2F2"/>
          </w:tcPr>
          <w:p w14:paraId="7D10E71B" w14:textId="77777777" w:rsidR="00955CFA" w:rsidRPr="00955CFA" w:rsidRDefault="00955CFA" w:rsidP="00955CFA">
            <w:pPr>
              <w:pStyle w:val="Body"/>
              <w:spacing w:after="0"/>
              <w:rPr>
                <w:rFonts w:ascii="Arial" w:eastAsia="Calibri" w:hAnsi="Arial" w:cs="Arial"/>
                <w:szCs w:val="22"/>
              </w:rPr>
            </w:pPr>
            <w:r w:rsidRPr="00955CFA">
              <w:rPr>
                <w:rFonts w:ascii="Arial" w:eastAsia="Calibri" w:hAnsi="Arial" w:cs="Arial"/>
                <w:b/>
                <w:bCs/>
                <w:szCs w:val="22"/>
              </w:rPr>
              <w:t>Aims:</w:t>
            </w:r>
            <w:r w:rsidRPr="00955CFA">
              <w:rPr>
                <w:rFonts w:ascii="Arial" w:eastAsia="Calibri" w:hAnsi="Arial" w:cs="Arial"/>
                <w:szCs w:val="22"/>
              </w:rPr>
              <w:t xml:space="preserve"> To determine the prevalence of iron deficiency </w:t>
            </w:r>
            <w:proofErr w:type="spellStart"/>
            <w:r w:rsidRPr="00955CFA">
              <w:rPr>
                <w:rFonts w:ascii="Arial" w:eastAsia="Calibri" w:hAnsi="Arial" w:cs="Arial"/>
                <w:szCs w:val="22"/>
              </w:rPr>
              <w:t>anaemia</w:t>
            </w:r>
            <w:proofErr w:type="spellEnd"/>
            <w:r w:rsidRPr="00955CFA">
              <w:rPr>
                <w:rFonts w:ascii="Arial" w:eastAsia="Calibri" w:hAnsi="Arial" w:cs="Arial"/>
                <w:szCs w:val="22"/>
              </w:rPr>
              <w:t xml:space="preserve"> and evaluate biochemical predictors among secondary school girls in Rivers State, Nigeria.</w:t>
            </w:r>
          </w:p>
          <w:p w14:paraId="0C7EE123" w14:textId="77777777" w:rsidR="00955CFA" w:rsidRPr="00955CFA" w:rsidRDefault="00955CFA" w:rsidP="00955CFA">
            <w:pPr>
              <w:pStyle w:val="Body"/>
              <w:spacing w:after="0"/>
              <w:rPr>
                <w:rFonts w:ascii="Arial" w:eastAsia="Calibri" w:hAnsi="Arial" w:cs="Arial"/>
                <w:szCs w:val="22"/>
              </w:rPr>
            </w:pPr>
            <w:r w:rsidRPr="00955CFA">
              <w:rPr>
                <w:rFonts w:ascii="Arial" w:eastAsia="Calibri" w:hAnsi="Arial" w:cs="Arial"/>
                <w:b/>
                <w:bCs/>
                <w:szCs w:val="22"/>
              </w:rPr>
              <w:t>Study Design:</w:t>
            </w:r>
            <w:r w:rsidRPr="00955CFA">
              <w:rPr>
                <w:rFonts w:ascii="Arial" w:eastAsia="Calibri" w:hAnsi="Arial" w:cs="Arial"/>
                <w:szCs w:val="22"/>
              </w:rPr>
              <w:t xml:space="preserve"> A school-based cross-sectional analytical study.</w:t>
            </w:r>
          </w:p>
          <w:p w14:paraId="7A8FA599" w14:textId="77777777" w:rsidR="00955CFA" w:rsidRPr="00955CFA" w:rsidRDefault="00955CFA" w:rsidP="00955CFA">
            <w:pPr>
              <w:pStyle w:val="Body"/>
              <w:spacing w:after="0"/>
              <w:rPr>
                <w:rFonts w:ascii="Arial" w:eastAsia="Calibri" w:hAnsi="Arial" w:cs="Arial"/>
                <w:szCs w:val="22"/>
              </w:rPr>
            </w:pPr>
            <w:r w:rsidRPr="00955CFA">
              <w:rPr>
                <w:rFonts w:ascii="Arial" w:eastAsia="Calibri" w:hAnsi="Arial" w:cs="Arial"/>
                <w:b/>
                <w:bCs/>
                <w:szCs w:val="22"/>
              </w:rPr>
              <w:t>Place and Duration of Study:</w:t>
            </w:r>
            <w:r w:rsidRPr="00955CFA">
              <w:rPr>
                <w:rFonts w:ascii="Arial" w:eastAsia="Calibri" w:hAnsi="Arial" w:cs="Arial"/>
                <w:szCs w:val="22"/>
              </w:rPr>
              <w:t xml:space="preserve"> Selected secondary schools in Rivers State, Nigeria, during the study period.</w:t>
            </w:r>
          </w:p>
          <w:p w14:paraId="73D0CD06" w14:textId="77777777" w:rsidR="00955CFA" w:rsidRPr="00955CFA" w:rsidRDefault="00955CFA" w:rsidP="00955CFA">
            <w:pPr>
              <w:pStyle w:val="Body"/>
              <w:spacing w:after="0"/>
              <w:rPr>
                <w:rFonts w:ascii="Arial" w:eastAsia="Calibri" w:hAnsi="Arial" w:cs="Arial"/>
                <w:szCs w:val="22"/>
              </w:rPr>
            </w:pPr>
            <w:r w:rsidRPr="00955CFA">
              <w:rPr>
                <w:rFonts w:ascii="Arial" w:eastAsia="Calibri" w:hAnsi="Arial" w:cs="Arial"/>
                <w:b/>
                <w:bCs/>
                <w:szCs w:val="22"/>
              </w:rPr>
              <w:t>Methodology:</w:t>
            </w:r>
            <w:r w:rsidRPr="00955CFA">
              <w:rPr>
                <w:rFonts w:ascii="Arial" w:eastAsia="Calibri" w:hAnsi="Arial" w:cs="Arial"/>
                <w:szCs w:val="22"/>
              </w:rPr>
              <w:t xml:space="preserve"> A total of 250 secondary school girls aged 10–19 years were selected using a multistage sampling technique. Data were collected using a structured interviewer-administered questionnaire. Venous blood samples were </w:t>
            </w:r>
            <w:proofErr w:type="spellStart"/>
            <w:r w:rsidRPr="00955CFA">
              <w:rPr>
                <w:rFonts w:ascii="Arial" w:eastAsia="Calibri" w:hAnsi="Arial" w:cs="Arial"/>
                <w:szCs w:val="22"/>
              </w:rPr>
              <w:t>analysed</w:t>
            </w:r>
            <w:proofErr w:type="spellEnd"/>
            <w:r w:rsidRPr="00955CFA">
              <w:rPr>
                <w:rFonts w:ascii="Arial" w:eastAsia="Calibri" w:hAnsi="Arial" w:cs="Arial"/>
                <w:szCs w:val="22"/>
              </w:rPr>
              <w:t xml:space="preserve"> for </w:t>
            </w:r>
            <w:proofErr w:type="spellStart"/>
            <w:r w:rsidRPr="00955CFA">
              <w:rPr>
                <w:rFonts w:ascii="Arial" w:eastAsia="Calibri" w:hAnsi="Arial" w:cs="Arial"/>
                <w:szCs w:val="22"/>
              </w:rPr>
              <w:t>haemoglobin</w:t>
            </w:r>
            <w:proofErr w:type="spellEnd"/>
            <w:r w:rsidRPr="00955CFA">
              <w:rPr>
                <w:rFonts w:ascii="Arial" w:eastAsia="Calibri" w:hAnsi="Arial" w:cs="Arial"/>
                <w:szCs w:val="22"/>
              </w:rPr>
              <w:t xml:space="preserve">, serum ferritin, serum iron, and total iron-binding capacity. Data were </w:t>
            </w:r>
            <w:proofErr w:type="spellStart"/>
            <w:r w:rsidRPr="00955CFA">
              <w:rPr>
                <w:rFonts w:ascii="Arial" w:eastAsia="Calibri" w:hAnsi="Arial" w:cs="Arial"/>
                <w:szCs w:val="22"/>
              </w:rPr>
              <w:t>analysed</w:t>
            </w:r>
            <w:proofErr w:type="spellEnd"/>
            <w:r w:rsidRPr="00955CFA">
              <w:rPr>
                <w:rFonts w:ascii="Arial" w:eastAsia="Calibri" w:hAnsi="Arial" w:cs="Arial"/>
                <w:szCs w:val="22"/>
              </w:rPr>
              <w:t xml:space="preserve"> using descriptive statistics, independent-samples </w:t>
            </w:r>
            <w:r w:rsidRPr="00955CFA">
              <w:rPr>
                <w:rFonts w:ascii="Arial" w:eastAsia="Calibri" w:hAnsi="Arial" w:cs="Arial"/>
                <w:i/>
                <w:iCs/>
                <w:szCs w:val="22"/>
              </w:rPr>
              <w:t>t</w:t>
            </w:r>
            <w:r w:rsidRPr="00955CFA">
              <w:rPr>
                <w:rFonts w:ascii="Arial" w:eastAsia="Calibri" w:hAnsi="Arial" w:cs="Arial"/>
                <w:szCs w:val="22"/>
              </w:rPr>
              <w:t xml:space="preserve">-test, Pearson’s correlation, and binary logistic regression, with statistical significance set at </w:t>
            </w:r>
            <w:r w:rsidRPr="00955CFA">
              <w:rPr>
                <w:rFonts w:ascii="Arial" w:eastAsia="Calibri" w:hAnsi="Arial" w:cs="Arial"/>
                <w:i/>
                <w:iCs/>
                <w:szCs w:val="22"/>
              </w:rPr>
              <w:t>p</w:t>
            </w:r>
            <w:r w:rsidRPr="00955CFA">
              <w:rPr>
                <w:rFonts w:ascii="Arial" w:eastAsia="Calibri" w:hAnsi="Arial" w:cs="Arial"/>
                <w:szCs w:val="22"/>
              </w:rPr>
              <w:t xml:space="preserve"> &lt; 0.05.</w:t>
            </w:r>
          </w:p>
          <w:p w14:paraId="2C56557E" w14:textId="38DD8896" w:rsidR="00955CFA" w:rsidRPr="00955CFA" w:rsidRDefault="00955CFA" w:rsidP="00955CFA">
            <w:pPr>
              <w:pStyle w:val="Body"/>
              <w:spacing w:after="0"/>
              <w:rPr>
                <w:rFonts w:ascii="Arial" w:eastAsia="Calibri" w:hAnsi="Arial" w:cs="Arial"/>
                <w:szCs w:val="22"/>
              </w:rPr>
            </w:pPr>
            <w:r w:rsidRPr="00955CFA">
              <w:rPr>
                <w:rFonts w:ascii="Arial" w:eastAsia="Calibri" w:hAnsi="Arial" w:cs="Arial"/>
                <w:b/>
                <w:bCs/>
                <w:szCs w:val="22"/>
              </w:rPr>
              <w:t>Results:</w:t>
            </w:r>
            <w:r w:rsidRPr="00955CFA">
              <w:rPr>
                <w:rFonts w:ascii="Arial" w:eastAsia="Calibri" w:hAnsi="Arial" w:cs="Arial"/>
                <w:szCs w:val="22"/>
              </w:rPr>
              <w:t xml:space="preserve"> The prevalence of iron deficiency </w:t>
            </w:r>
            <w:proofErr w:type="spellStart"/>
            <w:r w:rsidRPr="00955CFA">
              <w:rPr>
                <w:rFonts w:ascii="Arial" w:eastAsia="Calibri" w:hAnsi="Arial" w:cs="Arial"/>
                <w:szCs w:val="22"/>
              </w:rPr>
              <w:t>anaemia</w:t>
            </w:r>
            <w:proofErr w:type="spellEnd"/>
            <w:r w:rsidRPr="00955CFA">
              <w:rPr>
                <w:rFonts w:ascii="Arial" w:eastAsia="Calibri" w:hAnsi="Arial" w:cs="Arial"/>
                <w:szCs w:val="22"/>
              </w:rPr>
              <w:t xml:space="preserve"> was 24.8% among the participants. Girls with </w:t>
            </w:r>
            <w:r w:rsidR="00866642">
              <w:rPr>
                <w:rFonts w:ascii="Arial" w:eastAsia="Calibri" w:hAnsi="Arial" w:cs="Arial"/>
                <w:szCs w:val="22"/>
              </w:rPr>
              <w:t xml:space="preserve">iron-deficiency </w:t>
            </w:r>
            <w:proofErr w:type="spellStart"/>
            <w:r w:rsidR="00866642">
              <w:rPr>
                <w:rFonts w:ascii="Arial" w:eastAsia="Calibri" w:hAnsi="Arial" w:cs="Arial"/>
                <w:szCs w:val="22"/>
              </w:rPr>
              <w:t>anaemia</w:t>
            </w:r>
            <w:proofErr w:type="spellEnd"/>
            <w:r w:rsidR="00866642">
              <w:rPr>
                <w:rFonts w:ascii="Arial" w:eastAsia="Calibri" w:hAnsi="Arial" w:cs="Arial"/>
                <w:szCs w:val="22"/>
              </w:rPr>
              <w:t xml:space="preserve"> had significantly lower </w:t>
            </w:r>
            <w:proofErr w:type="spellStart"/>
            <w:r w:rsidR="00866642">
              <w:rPr>
                <w:rFonts w:ascii="Arial" w:eastAsia="Calibri" w:hAnsi="Arial" w:cs="Arial"/>
                <w:szCs w:val="22"/>
              </w:rPr>
              <w:t>haemoglobin</w:t>
            </w:r>
            <w:proofErr w:type="spellEnd"/>
            <w:r w:rsidR="00866642">
              <w:rPr>
                <w:rFonts w:ascii="Arial" w:eastAsia="Calibri" w:hAnsi="Arial" w:cs="Arial"/>
                <w:szCs w:val="22"/>
              </w:rPr>
              <w:t>, serum ferritin, and serum iron levels, but higher total iron-binding capacity than</w:t>
            </w:r>
            <w:r w:rsidRPr="00955CFA">
              <w:rPr>
                <w:rFonts w:ascii="Arial" w:eastAsia="Calibri" w:hAnsi="Arial" w:cs="Arial"/>
                <w:szCs w:val="22"/>
              </w:rPr>
              <w:t xml:space="preserve"> those without </w:t>
            </w:r>
            <w:proofErr w:type="spellStart"/>
            <w:r w:rsidRPr="00955CFA">
              <w:rPr>
                <w:rFonts w:ascii="Arial" w:eastAsia="Calibri" w:hAnsi="Arial" w:cs="Arial"/>
                <w:szCs w:val="22"/>
              </w:rPr>
              <w:t>anaemia</w:t>
            </w:r>
            <w:proofErr w:type="spellEnd"/>
            <w:r w:rsidRPr="00955CFA">
              <w:rPr>
                <w:rFonts w:ascii="Arial" w:eastAsia="Calibri" w:hAnsi="Arial" w:cs="Arial"/>
                <w:szCs w:val="22"/>
              </w:rPr>
              <w:t xml:space="preserve"> (</w:t>
            </w:r>
            <w:r w:rsidRPr="00955CFA">
              <w:rPr>
                <w:rFonts w:ascii="Arial" w:eastAsia="Calibri" w:hAnsi="Arial" w:cs="Arial"/>
                <w:i/>
                <w:iCs/>
                <w:szCs w:val="22"/>
              </w:rPr>
              <w:t>p</w:t>
            </w:r>
            <w:r w:rsidRPr="00955CFA">
              <w:rPr>
                <w:rFonts w:ascii="Arial" w:eastAsia="Calibri" w:hAnsi="Arial" w:cs="Arial"/>
                <w:szCs w:val="22"/>
              </w:rPr>
              <w:t xml:space="preserve"> &lt; 0.001). Significant negative correlations were observed between iron deficiency </w:t>
            </w:r>
            <w:proofErr w:type="spellStart"/>
            <w:r w:rsidRPr="00955CFA">
              <w:rPr>
                <w:rFonts w:ascii="Arial" w:eastAsia="Calibri" w:hAnsi="Arial" w:cs="Arial"/>
                <w:szCs w:val="22"/>
              </w:rPr>
              <w:t>anaemia</w:t>
            </w:r>
            <w:proofErr w:type="spellEnd"/>
            <w:r w:rsidRPr="00955CFA">
              <w:rPr>
                <w:rFonts w:ascii="Arial" w:eastAsia="Calibri" w:hAnsi="Arial" w:cs="Arial"/>
                <w:szCs w:val="22"/>
              </w:rPr>
              <w:t xml:space="preserve"> and </w:t>
            </w:r>
            <w:proofErr w:type="spellStart"/>
            <w:r w:rsidRPr="00955CFA">
              <w:rPr>
                <w:rFonts w:ascii="Arial" w:eastAsia="Calibri" w:hAnsi="Arial" w:cs="Arial"/>
                <w:szCs w:val="22"/>
              </w:rPr>
              <w:t>haemoglobin</w:t>
            </w:r>
            <w:proofErr w:type="spellEnd"/>
            <w:r w:rsidRPr="00955CFA">
              <w:rPr>
                <w:rFonts w:ascii="Arial" w:eastAsia="Calibri" w:hAnsi="Arial" w:cs="Arial"/>
                <w:szCs w:val="22"/>
              </w:rPr>
              <w:t>, serum ferritin, and serum iron, whereas total iron-binding capacity showed a significant positive correlation (</w:t>
            </w:r>
            <w:r w:rsidRPr="00955CFA">
              <w:rPr>
                <w:rFonts w:ascii="Arial" w:eastAsia="Calibri" w:hAnsi="Arial" w:cs="Arial"/>
                <w:i/>
                <w:iCs/>
                <w:szCs w:val="22"/>
              </w:rPr>
              <w:t>p</w:t>
            </w:r>
            <w:r w:rsidRPr="00955CFA">
              <w:rPr>
                <w:rFonts w:ascii="Arial" w:eastAsia="Calibri" w:hAnsi="Arial" w:cs="Arial"/>
                <w:szCs w:val="22"/>
              </w:rPr>
              <w:t xml:space="preserve"> &lt; 0.001). Binary logistic regression identified serum ferritin as the strongest independent predictor of iron deficiency </w:t>
            </w:r>
            <w:proofErr w:type="spellStart"/>
            <w:r w:rsidRPr="00955CFA">
              <w:rPr>
                <w:rFonts w:ascii="Arial" w:eastAsia="Calibri" w:hAnsi="Arial" w:cs="Arial"/>
                <w:szCs w:val="22"/>
              </w:rPr>
              <w:t>anaemia</w:t>
            </w:r>
            <w:proofErr w:type="spellEnd"/>
            <w:r w:rsidRPr="00955CFA">
              <w:rPr>
                <w:rFonts w:ascii="Arial" w:eastAsia="Calibri" w:hAnsi="Arial" w:cs="Arial"/>
                <w:szCs w:val="22"/>
              </w:rPr>
              <w:t xml:space="preserve"> (Adjusted OR = 0.173; 95% CI: 0.079–0.361; </w:t>
            </w:r>
            <w:r w:rsidRPr="00955CFA">
              <w:rPr>
                <w:rFonts w:ascii="Arial" w:eastAsia="Calibri" w:hAnsi="Arial" w:cs="Arial"/>
                <w:i/>
                <w:iCs/>
                <w:szCs w:val="22"/>
              </w:rPr>
              <w:t>p</w:t>
            </w:r>
            <w:r w:rsidRPr="00955CFA">
              <w:rPr>
                <w:rFonts w:ascii="Arial" w:eastAsia="Calibri" w:hAnsi="Arial" w:cs="Arial"/>
                <w:szCs w:val="22"/>
              </w:rPr>
              <w:t xml:space="preserve"> &lt; 0.001).</w:t>
            </w:r>
          </w:p>
          <w:p w14:paraId="5BD9D183" w14:textId="127FAA32" w:rsidR="00505F06" w:rsidRPr="00A62F7F" w:rsidRDefault="00955CFA" w:rsidP="00A62F7F">
            <w:pPr>
              <w:pStyle w:val="Body"/>
              <w:rPr>
                <w:rFonts w:ascii="Arial" w:eastAsia="Calibri" w:hAnsi="Arial" w:cs="Arial"/>
                <w:bCs/>
                <w:szCs w:val="22"/>
              </w:rPr>
            </w:pPr>
            <w:r w:rsidRPr="00955CFA">
              <w:rPr>
                <w:rFonts w:ascii="Arial" w:eastAsia="Calibri" w:hAnsi="Arial" w:cs="Arial"/>
                <w:b/>
                <w:bCs/>
                <w:szCs w:val="22"/>
              </w:rPr>
              <w:t>Conclusion:</w:t>
            </w:r>
            <w:r w:rsidRPr="00955CFA">
              <w:rPr>
                <w:rFonts w:ascii="Arial" w:eastAsia="Calibri" w:hAnsi="Arial" w:cs="Arial"/>
                <w:szCs w:val="22"/>
              </w:rPr>
              <w:t xml:space="preserve"> </w:t>
            </w:r>
            <w:r w:rsidR="00A62F7F" w:rsidRPr="00A62F7F">
              <w:rPr>
                <w:rFonts w:ascii="Arial" w:eastAsia="Calibri" w:hAnsi="Arial" w:cs="Arial"/>
                <w:bCs/>
                <w:szCs w:val="22"/>
              </w:rPr>
              <w:t xml:space="preserve">The study demonstrates that serum ferritin, together with </w:t>
            </w:r>
            <w:proofErr w:type="spellStart"/>
            <w:r w:rsidR="00A62F7F" w:rsidRPr="00A62F7F">
              <w:rPr>
                <w:rFonts w:ascii="Arial" w:eastAsia="Calibri" w:hAnsi="Arial" w:cs="Arial"/>
                <w:bCs/>
                <w:szCs w:val="22"/>
              </w:rPr>
              <w:t>haemoglobin</w:t>
            </w:r>
            <w:proofErr w:type="spellEnd"/>
            <w:r w:rsidR="00A62F7F" w:rsidRPr="00A62F7F">
              <w:rPr>
                <w:rFonts w:ascii="Arial" w:eastAsia="Calibri" w:hAnsi="Arial" w:cs="Arial"/>
                <w:bCs/>
                <w:szCs w:val="22"/>
              </w:rPr>
              <w:t xml:space="preserve">, serum iron, and TIBC, provides a reliable approach for identifying iron deficiency </w:t>
            </w:r>
            <w:proofErr w:type="spellStart"/>
            <w:r w:rsidR="00A62F7F" w:rsidRPr="00A62F7F">
              <w:rPr>
                <w:rFonts w:ascii="Arial" w:eastAsia="Calibri" w:hAnsi="Arial" w:cs="Arial"/>
                <w:bCs/>
                <w:szCs w:val="22"/>
              </w:rPr>
              <w:t>anaemia</w:t>
            </w:r>
            <w:proofErr w:type="spellEnd"/>
            <w:r w:rsidR="00A62F7F" w:rsidRPr="00A62F7F">
              <w:rPr>
                <w:rFonts w:ascii="Arial" w:eastAsia="Calibri" w:hAnsi="Arial" w:cs="Arial"/>
                <w:bCs/>
                <w:szCs w:val="22"/>
              </w:rPr>
              <w:t xml:space="preserve"> among secondary school girls. Routine school-based screening incorporating these biomarkers, alongside nutrition education, iron supplementation, and malaria prevention, is recommended to improve early detection and reduce the burden of IDA.</w:t>
            </w:r>
          </w:p>
        </w:tc>
      </w:tr>
    </w:tbl>
    <w:p w14:paraId="28244B9B" w14:textId="77777777" w:rsidR="00636EB2" w:rsidRDefault="00636EB2" w:rsidP="00441B6F">
      <w:pPr>
        <w:pStyle w:val="Body"/>
        <w:spacing w:after="0"/>
        <w:rPr>
          <w:rFonts w:ascii="Arial" w:hAnsi="Arial" w:cs="Arial"/>
          <w:i/>
        </w:rPr>
      </w:pPr>
    </w:p>
    <w:p w14:paraId="2435AAFE" w14:textId="5E60CD2E" w:rsidR="00955CFA" w:rsidRDefault="00A24E7E" w:rsidP="00441B6F">
      <w:pPr>
        <w:pStyle w:val="Body"/>
        <w:spacing w:after="0"/>
        <w:rPr>
          <w:rFonts w:ascii="Arial" w:hAnsi="Arial" w:cs="Arial"/>
          <w:b/>
          <w:i/>
        </w:rPr>
      </w:pPr>
      <w:r w:rsidRPr="00866642">
        <w:rPr>
          <w:rFonts w:ascii="Arial" w:hAnsi="Arial" w:cs="Arial"/>
          <w:b/>
          <w:bCs/>
          <w:i/>
        </w:rPr>
        <w:t>Keywords:</w:t>
      </w:r>
      <w:r>
        <w:rPr>
          <w:rFonts w:ascii="Arial" w:hAnsi="Arial" w:cs="Arial"/>
          <w:i/>
        </w:rPr>
        <w:t xml:space="preserve"> </w:t>
      </w:r>
      <w:r w:rsidR="00955CFA" w:rsidRPr="00955CFA">
        <w:rPr>
          <w:rFonts w:ascii="Arial" w:hAnsi="Arial" w:cs="Arial"/>
          <w:i/>
        </w:rPr>
        <w:t xml:space="preserve">Iron deficiency </w:t>
      </w:r>
      <w:proofErr w:type="spellStart"/>
      <w:r w:rsidR="00955CFA" w:rsidRPr="00955CFA">
        <w:rPr>
          <w:rFonts w:ascii="Arial" w:hAnsi="Arial" w:cs="Arial"/>
          <w:i/>
        </w:rPr>
        <w:t>anaemia</w:t>
      </w:r>
      <w:proofErr w:type="spellEnd"/>
      <w:r w:rsidR="00955CFA" w:rsidRPr="00955CFA">
        <w:rPr>
          <w:rFonts w:ascii="Arial" w:hAnsi="Arial" w:cs="Arial"/>
          <w:i/>
        </w:rPr>
        <w:t xml:space="preserve">; secondary school girls; biochemical predictors; </w:t>
      </w:r>
      <w:proofErr w:type="spellStart"/>
      <w:r w:rsidR="00955CFA" w:rsidRPr="00955CFA">
        <w:rPr>
          <w:rFonts w:ascii="Arial" w:hAnsi="Arial" w:cs="Arial"/>
          <w:i/>
        </w:rPr>
        <w:t>haemoglobin</w:t>
      </w:r>
      <w:proofErr w:type="spellEnd"/>
      <w:r w:rsidR="00955CFA" w:rsidRPr="00955CFA">
        <w:rPr>
          <w:rFonts w:ascii="Arial" w:hAnsi="Arial" w:cs="Arial"/>
          <w:i/>
        </w:rPr>
        <w:t>; serum ferritin; serum iron; total iron-binding capacity; Rivers State.</w:t>
      </w:r>
      <w:r w:rsidR="00955CFA" w:rsidRPr="00955CFA">
        <w:rPr>
          <w:rFonts w:ascii="Arial" w:hAnsi="Arial" w:cs="Arial"/>
          <w:b/>
          <w:i/>
        </w:rPr>
        <w:t xml:space="preserve"> </w:t>
      </w:r>
    </w:p>
    <w:p w14:paraId="58E889EF" w14:textId="77777777" w:rsidR="00866642" w:rsidRDefault="00866642" w:rsidP="00441B6F">
      <w:pPr>
        <w:pStyle w:val="AbstHead"/>
        <w:spacing w:after="0"/>
        <w:jc w:val="both"/>
        <w:rPr>
          <w:rFonts w:ascii="Arial" w:hAnsi="Arial" w:cs="Arial"/>
        </w:rPr>
      </w:pPr>
    </w:p>
    <w:p w14:paraId="7A02D4A0" w14:textId="77777777" w:rsidR="00866642" w:rsidRDefault="00866642" w:rsidP="00441B6F">
      <w:pPr>
        <w:pStyle w:val="AbstHead"/>
        <w:spacing w:after="0"/>
        <w:jc w:val="both"/>
        <w:rPr>
          <w:rFonts w:ascii="Arial" w:hAnsi="Arial" w:cs="Arial"/>
        </w:rPr>
      </w:pPr>
    </w:p>
    <w:p w14:paraId="20424749" w14:textId="2FD7847F"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5930272C" w14:textId="77777777" w:rsidR="00B24C34" w:rsidRPr="008A2FBD" w:rsidRDefault="00B24C34" w:rsidP="00B24C34">
      <w:pPr>
        <w:spacing w:before="240" w:line="276" w:lineRule="auto"/>
        <w:jc w:val="both"/>
      </w:pPr>
      <w:bookmarkStart w:id="0" w:name="_Hlk235233577"/>
      <w:r w:rsidRPr="008A2FBD">
        <w:t xml:space="preserve">Iron-deficiency </w:t>
      </w:r>
      <w:proofErr w:type="spellStart"/>
      <w:r w:rsidRPr="008A2FBD">
        <w:t>anaemia</w:t>
      </w:r>
      <w:proofErr w:type="spellEnd"/>
      <w:r w:rsidRPr="008A2FBD">
        <w:t xml:space="preserve"> (IDA) continues to be a significant public health issue, impacting millions globally, especially adolescent girls who are among the most vulnerable groups (Wiafe et al., 2023). It occurs when there is insufficient iron to support normal erythropoiesis and </w:t>
      </w:r>
      <w:proofErr w:type="spellStart"/>
      <w:r w:rsidRPr="008A2FBD">
        <w:t>haemoglobin</w:t>
      </w:r>
      <w:proofErr w:type="spellEnd"/>
      <w:r w:rsidRPr="008A2FBD">
        <w:t xml:space="preserve"> synthesis (Kulik-</w:t>
      </w:r>
      <w:proofErr w:type="spellStart"/>
      <w:r w:rsidRPr="008A2FBD">
        <w:t>Rechberger</w:t>
      </w:r>
      <w:proofErr w:type="spellEnd"/>
      <w:r w:rsidRPr="008A2FBD">
        <w:t xml:space="preserve"> &amp; Dubel, 2024), leading to reduced </w:t>
      </w:r>
      <w:proofErr w:type="spellStart"/>
      <w:r w:rsidRPr="008A2FBD">
        <w:t>haemoglobin</w:t>
      </w:r>
      <w:proofErr w:type="spellEnd"/>
      <w:r w:rsidRPr="008A2FBD">
        <w:t xml:space="preserve"> levels and impaired oxygen delivery to tissues (Yang et al., 2023). The condition is particularly common during adolescence due to increased iron requirements associated with rapid growth, increased blood volume, and menstrual blood loss (Munro et al., 2023). Inadequate dietary iron intake, malaria and other parasitic infections, recurrent </w:t>
      </w:r>
      <w:r w:rsidRPr="008A2FBD">
        <w:lastRenderedPageBreak/>
        <w:t>illness, and limited access to preventive health services further increase the risk of IDA among adolescent girls (Wiafe et al., 2023).</w:t>
      </w:r>
    </w:p>
    <w:p w14:paraId="275BA345" w14:textId="77777777" w:rsidR="00B24C34" w:rsidRPr="008A2FBD" w:rsidRDefault="00B24C34" w:rsidP="00B24C34">
      <w:pPr>
        <w:spacing w:before="240" w:line="276" w:lineRule="auto"/>
        <w:jc w:val="both"/>
      </w:pPr>
      <w:r w:rsidRPr="008A2FBD">
        <w:t xml:space="preserve">The biochemical development of iron-deficiency </w:t>
      </w:r>
      <w:proofErr w:type="spellStart"/>
      <w:r w:rsidRPr="008A2FBD">
        <w:t>anaemia</w:t>
      </w:r>
      <w:proofErr w:type="spellEnd"/>
      <w:r w:rsidRPr="008A2FBD">
        <w:t xml:space="preserve"> occurs through progressive depletion of iron stores. Initially, body iron stores decline, lowering serum ferritin. As the deficiency progresses, serum iron falls, reducing the availability of iron for incorporation into </w:t>
      </w:r>
      <w:proofErr w:type="spellStart"/>
      <w:r w:rsidRPr="008A2FBD">
        <w:t>haem</w:t>
      </w:r>
      <w:proofErr w:type="spellEnd"/>
      <w:r w:rsidRPr="008A2FBD">
        <w:t xml:space="preserve"> during erythropoiesis (Tayal et al., 2025).  The body responds by increasing transferrin production, thereby elevating total iron-binding capacity (TIBC). Persistent iron deficiency eventually impairs </w:t>
      </w:r>
      <w:proofErr w:type="spellStart"/>
      <w:r w:rsidRPr="008A2FBD">
        <w:t>haemoglobin</w:t>
      </w:r>
      <w:proofErr w:type="spellEnd"/>
      <w:r w:rsidRPr="008A2FBD">
        <w:t xml:space="preserve"> synthesis, reduces </w:t>
      </w:r>
      <w:proofErr w:type="spellStart"/>
      <w:r w:rsidRPr="008A2FBD">
        <w:t>haemoglobin</w:t>
      </w:r>
      <w:proofErr w:type="spellEnd"/>
      <w:r w:rsidRPr="008A2FBD">
        <w:t xml:space="preserve"> concentration, and decreases the blood's oxygen-carrying capacity. Therefore, assessment of </w:t>
      </w:r>
      <w:proofErr w:type="spellStart"/>
      <w:r w:rsidRPr="008A2FBD">
        <w:t>haemoglobin</w:t>
      </w:r>
      <w:proofErr w:type="spellEnd"/>
      <w:r w:rsidRPr="008A2FBD">
        <w:t>, serum ferritin, serum iron, and TIBC provides a comprehensive evaluation of iron status (Tesfaye et al., 2024).</w:t>
      </w:r>
    </w:p>
    <w:p w14:paraId="01935135" w14:textId="77777777" w:rsidR="00B24C34" w:rsidRPr="008A2FBD" w:rsidRDefault="00B24C34" w:rsidP="00B24C34">
      <w:pPr>
        <w:spacing w:before="240" w:line="276" w:lineRule="auto"/>
        <w:jc w:val="both"/>
      </w:pPr>
      <w:r w:rsidRPr="008A2FBD">
        <w:t xml:space="preserve">Despite the availability of preventive and therapeutic measures, iron deficiency </w:t>
      </w:r>
      <w:proofErr w:type="spellStart"/>
      <w:r w:rsidRPr="008A2FBD">
        <w:t>anaemia</w:t>
      </w:r>
      <w:proofErr w:type="spellEnd"/>
      <w:r w:rsidRPr="008A2FBD">
        <w:t xml:space="preserve"> remains common among adolescent girls, continuing to affect health, academic performance, and future reproductive health (</w:t>
      </w:r>
      <w:proofErr w:type="spellStart"/>
      <w:r w:rsidRPr="008A2FBD">
        <w:t>Airovna</w:t>
      </w:r>
      <w:proofErr w:type="spellEnd"/>
      <w:r w:rsidRPr="008A2FBD">
        <w:t xml:space="preserve">, 2026; Yeboah et al., 2024; Samson et al., 2022). In many settings, including Nigeria, routine </w:t>
      </w:r>
      <w:proofErr w:type="spellStart"/>
      <w:r w:rsidRPr="008A2FBD">
        <w:t>anaemia</w:t>
      </w:r>
      <w:proofErr w:type="spellEnd"/>
      <w:r w:rsidRPr="008A2FBD">
        <w:t xml:space="preserve"> screening relies predominantly on </w:t>
      </w:r>
      <w:proofErr w:type="spellStart"/>
      <w:r w:rsidRPr="008A2FBD">
        <w:t>haemoglobin</w:t>
      </w:r>
      <w:proofErr w:type="spellEnd"/>
      <w:r w:rsidRPr="008A2FBD">
        <w:t xml:space="preserve"> measurement, which may fail to detect early iron depletion or underlying abnormalities in iron metabolism. Limited data are available on the prevalence of iron deficiency </w:t>
      </w:r>
      <w:proofErr w:type="spellStart"/>
      <w:r w:rsidRPr="008A2FBD">
        <w:t>anaemia</w:t>
      </w:r>
      <w:proofErr w:type="spellEnd"/>
      <w:r w:rsidRPr="008A2FBD">
        <w:t xml:space="preserve"> and the biochemical predictors of its occurrence among secondary school girls in Rivers State. This knowledge gap constrains the development of evidence-based public health strategies and targeted interventions.</w:t>
      </w:r>
    </w:p>
    <w:p w14:paraId="0B9F0824" w14:textId="77777777" w:rsidR="00B24C34" w:rsidRPr="008A2FBD" w:rsidRDefault="00B24C34" w:rsidP="00B24C34">
      <w:pPr>
        <w:spacing w:before="240" w:line="276" w:lineRule="auto"/>
        <w:jc w:val="both"/>
      </w:pPr>
      <w:r w:rsidRPr="008A2FBD">
        <w:t xml:space="preserve">Early identification of iron-deficiency </w:t>
      </w:r>
      <w:proofErr w:type="spellStart"/>
      <w:r w:rsidRPr="008A2FBD">
        <w:t>anaemia</w:t>
      </w:r>
      <w:proofErr w:type="spellEnd"/>
      <w:r w:rsidRPr="008A2FBD">
        <w:t xml:space="preserve"> through combined </w:t>
      </w:r>
      <w:proofErr w:type="spellStart"/>
      <w:r w:rsidRPr="008A2FBD">
        <w:t>haematological</w:t>
      </w:r>
      <w:proofErr w:type="spellEnd"/>
      <w:r w:rsidRPr="008A2FBD">
        <w:t xml:space="preserve"> and biochemical assessment may offer a more effective approach to prevention and management. Assessing </w:t>
      </w:r>
      <w:proofErr w:type="spellStart"/>
      <w:r w:rsidRPr="008A2FBD">
        <w:t>haemoglobin</w:t>
      </w:r>
      <w:proofErr w:type="spellEnd"/>
      <w:r w:rsidRPr="008A2FBD">
        <w:t xml:space="preserve">, serum ferritin, serum iron, and TIBC can improve diagnostic accuracy, identify individuals at risk, and support timely interventions, including iron supplementation, nutritional education, menstrual health management, and school-based screening </w:t>
      </w:r>
      <w:proofErr w:type="spellStart"/>
      <w:r w:rsidRPr="008A2FBD">
        <w:t>programmes</w:t>
      </w:r>
      <w:proofErr w:type="spellEnd"/>
      <w:r w:rsidRPr="008A2FBD">
        <w:t>.</w:t>
      </w:r>
    </w:p>
    <w:p w14:paraId="6F081528" w14:textId="77777777" w:rsidR="00B24C34" w:rsidRPr="008A2FBD" w:rsidRDefault="00B24C34" w:rsidP="00B24C34">
      <w:pPr>
        <w:spacing w:before="240" w:line="276" w:lineRule="auto"/>
        <w:jc w:val="both"/>
      </w:pPr>
      <w:r w:rsidRPr="008A2FBD">
        <w:t xml:space="preserve">Previous studies have demonstrated the importance of biochemical assessment in understanding iron-deficiency </w:t>
      </w:r>
      <w:proofErr w:type="spellStart"/>
      <w:r w:rsidRPr="008A2FBD">
        <w:t>anaemia</w:t>
      </w:r>
      <w:proofErr w:type="spellEnd"/>
      <w:r w:rsidRPr="008A2FBD">
        <w:t xml:space="preserve">. For instance, Khadeejah and </w:t>
      </w:r>
      <w:proofErr w:type="spellStart"/>
      <w:r w:rsidRPr="008A2FBD">
        <w:t>Abdulrraziq</w:t>
      </w:r>
      <w:proofErr w:type="spellEnd"/>
      <w:r w:rsidRPr="008A2FBD">
        <w:t xml:space="preserve"> (2026) reported that reduced serum ferritin levels were strongly linked with iron deficiency among adolescents, especially school-aged children in Tobruk, Libya, drawing attention to the need to assess iron storage status. Joshi et al. (2026), Nhial &amp; Alemu (2025), and Gebremichael et al. (2022) identified poor dietary iron intake, menstrual blood loss, and inadequate supplementation as key contributors to </w:t>
      </w:r>
      <w:proofErr w:type="spellStart"/>
      <w:r w:rsidRPr="008A2FBD">
        <w:t>anaemia</w:t>
      </w:r>
      <w:proofErr w:type="spellEnd"/>
      <w:r w:rsidRPr="008A2FBD">
        <w:t xml:space="preserve"> among adolescent girls. Similarly, Cançado (2023) stated that female children and women remain at increased risk of </w:t>
      </w:r>
      <w:proofErr w:type="spellStart"/>
      <w:r w:rsidRPr="008A2FBD">
        <w:t>anaemia</w:t>
      </w:r>
      <w:proofErr w:type="spellEnd"/>
      <w:r w:rsidRPr="008A2FBD">
        <w:t xml:space="preserve"> due to elevated physiological demands and insufficient iron replacement. </w:t>
      </w:r>
    </w:p>
    <w:p w14:paraId="2420A132" w14:textId="77777777" w:rsidR="00B24C34" w:rsidRPr="008A2FBD" w:rsidRDefault="00B24C34" w:rsidP="00B24C34">
      <w:pPr>
        <w:spacing w:before="240" w:line="276" w:lineRule="auto"/>
        <w:jc w:val="both"/>
      </w:pPr>
      <w:r w:rsidRPr="008A2FBD">
        <w:t xml:space="preserve">This study focused on secondary school girls in Rivers State, Nigeria. It evaluated iron deficiency </w:t>
      </w:r>
      <w:proofErr w:type="spellStart"/>
      <w:r w:rsidRPr="008A2FBD">
        <w:t>anaemia</w:t>
      </w:r>
      <w:proofErr w:type="spellEnd"/>
      <w:r w:rsidRPr="008A2FBD">
        <w:t xml:space="preserve"> using </w:t>
      </w:r>
      <w:proofErr w:type="spellStart"/>
      <w:r w:rsidRPr="008A2FBD">
        <w:t>haemoglobin</w:t>
      </w:r>
      <w:proofErr w:type="spellEnd"/>
      <w:r w:rsidRPr="008A2FBD">
        <w:t xml:space="preserve"> concentration, serum ferritin, serum iron, and total iron-binding capacity as key biochemical indicators. It also assessed the relationship between these parameters and iron-deficiency </w:t>
      </w:r>
      <w:proofErr w:type="spellStart"/>
      <w:r w:rsidRPr="008A2FBD">
        <w:t>anaemia</w:t>
      </w:r>
      <w:proofErr w:type="spellEnd"/>
      <w:r w:rsidRPr="008A2FBD">
        <w:t xml:space="preserve"> to identify potential biochemical predictors. The study is justified because adolescent girls are particularly vulnerable to iron depletion due to rapid growth and menstrual blood loss, and early detection is essential to prevent adverse health and developmental outcomes.</w:t>
      </w:r>
    </w:p>
    <w:p w14:paraId="12D4CE90" w14:textId="77777777" w:rsidR="00B24C34" w:rsidRPr="008A2FBD" w:rsidRDefault="00B24C34" w:rsidP="00B24C34">
      <w:pPr>
        <w:spacing w:before="240" w:line="276" w:lineRule="auto"/>
        <w:jc w:val="both"/>
      </w:pPr>
      <w:r w:rsidRPr="008A2FBD">
        <w:t xml:space="preserve">Based on these, this study aimed to determine the prevalence of iron-deficiency </w:t>
      </w:r>
      <w:proofErr w:type="spellStart"/>
      <w:r w:rsidRPr="008A2FBD">
        <w:t>anaemia</w:t>
      </w:r>
      <w:proofErr w:type="spellEnd"/>
      <w:r w:rsidRPr="008A2FBD">
        <w:t xml:space="preserve"> and to evaluate biochemical predictors among school-aged adolescent girls in Rivers State, Nigeria. The study’s objectives were to:</w:t>
      </w:r>
    </w:p>
    <w:p w14:paraId="09052429" w14:textId="77777777" w:rsidR="00B24C34" w:rsidRPr="008A2FBD" w:rsidRDefault="00B24C34" w:rsidP="00B24C34">
      <w:pPr>
        <w:numPr>
          <w:ilvl w:val="0"/>
          <w:numId w:val="31"/>
        </w:numPr>
        <w:spacing w:before="240" w:after="4" w:line="276" w:lineRule="auto"/>
        <w:jc w:val="both"/>
      </w:pPr>
      <w:r w:rsidRPr="008A2FBD">
        <w:lastRenderedPageBreak/>
        <w:t xml:space="preserve">Determine the prevalence of iron-deficiency </w:t>
      </w:r>
      <w:proofErr w:type="spellStart"/>
      <w:r w:rsidRPr="008A2FBD">
        <w:t>anaemia</w:t>
      </w:r>
      <w:proofErr w:type="spellEnd"/>
      <w:r w:rsidRPr="008A2FBD">
        <w:t xml:space="preserve"> among school-aged adolescent girls in Rivers State.</w:t>
      </w:r>
    </w:p>
    <w:p w14:paraId="2548F510" w14:textId="77777777" w:rsidR="00B24C34" w:rsidRPr="008A2FBD" w:rsidRDefault="00B24C34" w:rsidP="00B24C34">
      <w:pPr>
        <w:numPr>
          <w:ilvl w:val="0"/>
          <w:numId w:val="31"/>
        </w:numPr>
        <w:spacing w:before="240" w:after="4" w:line="276" w:lineRule="auto"/>
        <w:jc w:val="both"/>
      </w:pPr>
      <w:r w:rsidRPr="008A2FBD">
        <w:t xml:space="preserve">Evaluate </w:t>
      </w:r>
      <w:proofErr w:type="spellStart"/>
      <w:r w:rsidRPr="008A2FBD">
        <w:t>haemoglobin</w:t>
      </w:r>
      <w:proofErr w:type="spellEnd"/>
      <w:r w:rsidRPr="008A2FBD">
        <w:t xml:space="preserve"> concentration, serum ferritin, serum iron, and total iron-binding capacity (TIBC) in the study participants. </w:t>
      </w:r>
    </w:p>
    <w:p w14:paraId="7AEE3B2E" w14:textId="77777777" w:rsidR="00B24C34" w:rsidRPr="008A2FBD" w:rsidRDefault="00B24C34" w:rsidP="00B24C34">
      <w:pPr>
        <w:numPr>
          <w:ilvl w:val="0"/>
          <w:numId w:val="31"/>
        </w:numPr>
        <w:spacing w:before="240" w:after="4" w:line="276" w:lineRule="auto"/>
        <w:jc w:val="both"/>
      </w:pPr>
      <w:r w:rsidRPr="008A2FBD">
        <w:t xml:space="preserve">Compare biochemical parameters between participants with and without iron-deficiency </w:t>
      </w:r>
      <w:proofErr w:type="spellStart"/>
      <w:r w:rsidRPr="008A2FBD">
        <w:t>anaemia</w:t>
      </w:r>
      <w:proofErr w:type="spellEnd"/>
      <w:r w:rsidRPr="008A2FBD">
        <w:t>.</w:t>
      </w:r>
    </w:p>
    <w:p w14:paraId="206141C8" w14:textId="77777777" w:rsidR="00B24C34" w:rsidRPr="008A2FBD" w:rsidRDefault="00B24C34" w:rsidP="00B24C34">
      <w:pPr>
        <w:numPr>
          <w:ilvl w:val="0"/>
          <w:numId w:val="31"/>
        </w:numPr>
        <w:spacing w:before="240" w:after="4" w:line="276" w:lineRule="auto"/>
        <w:jc w:val="both"/>
      </w:pPr>
      <w:r w:rsidRPr="008A2FBD">
        <w:t xml:space="preserve">Determine the relationship between biochemical parameters and iron-deficiency </w:t>
      </w:r>
      <w:proofErr w:type="spellStart"/>
      <w:r w:rsidRPr="008A2FBD">
        <w:t>anaemia</w:t>
      </w:r>
      <w:proofErr w:type="spellEnd"/>
      <w:r w:rsidRPr="008A2FBD">
        <w:t>.</w:t>
      </w:r>
    </w:p>
    <w:p w14:paraId="4E25690D" w14:textId="77777777" w:rsidR="00B24C34" w:rsidRPr="008A2FBD" w:rsidRDefault="00B24C34" w:rsidP="00B24C34">
      <w:pPr>
        <w:numPr>
          <w:ilvl w:val="0"/>
          <w:numId w:val="31"/>
        </w:numPr>
        <w:spacing w:before="240" w:after="4" w:line="276" w:lineRule="auto"/>
        <w:jc w:val="both"/>
      </w:pPr>
      <w:r w:rsidRPr="008A2FBD">
        <w:t xml:space="preserve">Identify the independent biochemical predictors of iron-deficiency </w:t>
      </w:r>
      <w:proofErr w:type="spellStart"/>
      <w:r w:rsidRPr="008A2FBD">
        <w:t>anaemia</w:t>
      </w:r>
      <w:proofErr w:type="spellEnd"/>
      <w:r w:rsidRPr="008A2FBD">
        <w:t xml:space="preserve"> among school-aged adolescent girls.</w:t>
      </w:r>
    </w:p>
    <w:bookmarkEnd w:id="0"/>
    <w:p w14:paraId="575D3116" w14:textId="77777777" w:rsidR="00B24C34" w:rsidRPr="008A2FBD" w:rsidRDefault="00B24C34" w:rsidP="00B24C34">
      <w:pPr>
        <w:spacing w:before="240" w:line="276" w:lineRule="auto"/>
        <w:jc w:val="both"/>
        <w:rPr>
          <w:b/>
          <w:bCs/>
        </w:rPr>
      </w:pPr>
      <w:r w:rsidRPr="008A2FBD">
        <w:rPr>
          <w:b/>
          <w:bCs/>
        </w:rPr>
        <w:t>2. MATERIALS AND METHODS</w:t>
      </w:r>
    </w:p>
    <w:p w14:paraId="2D3103B1" w14:textId="77777777" w:rsidR="00B24C34" w:rsidRPr="00B24C34" w:rsidRDefault="00B24C34" w:rsidP="00B24C34">
      <w:pPr>
        <w:spacing w:before="240" w:line="276" w:lineRule="auto"/>
        <w:jc w:val="both"/>
        <w:rPr>
          <w:b/>
          <w:bCs/>
          <w:i/>
          <w:iCs/>
        </w:rPr>
      </w:pPr>
      <w:bookmarkStart w:id="1" w:name="_Hlk235233678"/>
      <w:r w:rsidRPr="00B24C34">
        <w:rPr>
          <w:b/>
          <w:bCs/>
          <w:i/>
          <w:iCs/>
        </w:rPr>
        <w:t>2.1 Study Design and Setting</w:t>
      </w:r>
    </w:p>
    <w:p w14:paraId="4C6769F4" w14:textId="77777777" w:rsidR="00B24C34" w:rsidRPr="008A2FBD" w:rsidRDefault="00B24C34" w:rsidP="00B24C34">
      <w:pPr>
        <w:spacing w:before="240" w:line="276" w:lineRule="auto"/>
        <w:jc w:val="both"/>
      </w:pPr>
      <w:r w:rsidRPr="008A2FBD">
        <w:t xml:space="preserve">A school-based cross-sectional analytical study was conducted among school-aged adolescent girls attending selected secondary schools in Rivers State, Nigeria. The study was designed to determine the prevalence of iron-deficiency </w:t>
      </w:r>
      <w:proofErr w:type="spellStart"/>
      <w:r w:rsidRPr="008A2FBD">
        <w:t>anaemia</w:t>
      </w:r>
      <w:proofErr w:type="spellEnd"/>
      <w:r w:rsidRPr="008A2FBD">
        <w:t xml:space="preserve"> and to evaluate biochemical predictors using </w:t>
      </w:r>
      <w:proofErr w:type="spellStart"/>
      <w:r w:rsidRPr="008A2FBD">
        <w:t>haemoglobin</w:t>
      </w:r>
      <w:proofErr w:type="spellEnd"/>
      <w:r w:rsidRPr="008A2FBD">
        <w:t xml:space="preserve"> (Hb), serum ferritin, serum iron, and total iron-binding capacity (TIBC).</w:t>
      </w:r>
    </w:p>
    <w:p w14:paraId="36588883" w14:textId="77777777" w:rsidR="00B24C34" w:rsidRPr="00B24C34" w:rsidRDefault="00B24C34" w:rsidP="00B24C34">
      <w:pPr>
        <w:spacing w:before="240" w:line="276" w:lineRule="auto"/>
        <w:jc w:val="both"/>
        <w:rPr>
          <w:b/>
          <w:bCs/>
          <w:i/>
          <w:iCs/>
        </w:rPr>
      </w:pPr>
      <w:r w:rsidRPr="00B24C34">
        <w:rPr>
          <w:b/>
          <w:bCs/>
          <w:i/>
          <w:iCs/>
        </w:rPr>
        <w:t>2.2 Study Population</w:t>
      </w:r>
    </w:p>
    <w:p w14:paraId="7D79DF61" w14:textId="77777777" w:rsidR="00B24C34" w:rsidRPr="008A2FBD" w:rsidRDefault="00B24C34" w:rsidP="00B24C34">
      <w:pPr>
        <w:spacing w:before="240" w:line="276" w:lineRule="auto"/>
        <w:jc w:val="both"/>
      </w:pPr>
      <w:r w:rsidRPr="008A2FBD">
        <w:t xml:space="preserve">The study population comprised secondary school girls aged 10–19 years enrolled in selected secondary schools in Rivers State, Nigeria. Participants who met the inclusion criteria and provided informed consent and assent were recruited. Adolescents with known chronic diseases or conditions that could affect </w:t>
      </w:r>
      <w:proofErr w:type="spellStart"/>
      <w:r w:rsidRPr="008A2FBD">
        <w:t>haematological</w:t>
      </w:r>
      <w:proofErr w:type="spellEnd"/>
      <w:r w:rsidRPr="008A2FBD">
        <w:t xml:space="preserve"> parameters were excluded.</w:t>
      </w:r>
    </w:p>
    <w:p w14:paraId="477B8B9E" w14:textId="77777777" w:rsidR="00B24C34" w:rsidRPr="00B24C34" w:rsidRDefault="00B24C34" w:rsidP="00B24C34">
      <w:pPr>
        <w:spacing w:before="240" w:line="276" w:lineRule="auto"/>
        <w:jc w:val="both"/>
        <w:rPr>
          <w:b/>
          <w:bCs/>
          <w:i/>
          <w:iCs/>
        </w:rPr>
      </w:pPr>
      <w:r w:rsidRPr="00B24C34">
        <w:rPr>
          <w:b/>
          <w:bCs/>
          <w:i/>
          <w:iCs/>
        </w:rPr>
        <w:t>2.3 Sample Size Determination</w:t>
      </w:r>
    </w:p>
    <w:p w14:paraId="69A7FE25" w14:textId="77777777" w:rsidR="00B24C34" w:rsidRPr="008A2FBD" w:rsidRDefault="00B24C34" w:rsidP="00B24C34">
      <w:pPr>
        <w:spacing w:before="240" w:line="276" w:lineRule="auto"/>
        <w:jc w:val="both"/>
      </w:pPr>
      <w:r w:rsidRPr="008A2FBD">
        <w:t xml:space="preserve">The sample size was calculated using the Cochran formula, with a prevalence of 51.8% for </w:t>
      </w:r>
      <w:proofErr w:type="spellStart"/>
      <w:r w:rsidRPr="008A2FBD">
        <w:t>anaemia</w:t>
      </w:r>
      <w:proofErr w:type="spellEnd"/>
      <w:r w:rsidRPr="008A2FBD">
        <w:t xml:space="preserve"> among adult Nigerians (</w:t>
      </w:r>
      <w:proofErr w:type="spellStart"/>
      <w:r w:rsidRPr="008A2FBD">
        <w:t>Azinge</w:t>
      </w:r>
      <w:proofErr w:type="spellEnd"/>
      <w:r w:rsidRPr="008A2FBD">
        <w:t xml:space="preserve"> et al., 2023) and a 95% significance level (α= 0.05). This gave a minimum sample size of 250. An attrition value of 10% was allowed for contingencies such as non-response or recording errors.</w:t>
      </w:r>
    </w:p>
    <w:p w14:paraId="6CCDB1CC" w14:textId="77777777" w:rsidR="00B24C34" w:rsidRPr="00B24C34" w:rsidRDefault="00B24C34" w:rsidP="00B24C34">
      <w:pPr>
        <w:spacing w:before="240" w:line="276" w:lineRule="auto"/>
        <w:jc w:val="both"/>
        <w:rPr>
          <w:b/>
          <w:bCs/>
          <w:i/>
          <w:iCs/>
        </w:rPr>
      </w:pPr>
      <w:r w:rsidRPr="00B24C34">
        <w:rPr>
          <w:b/>
          <w:bCs/>
          <w:i/>
          <w:iCs/>
        </w:rPr>
        <w:t>2.4 Sampling Technique</w:t>
      </w:r>
    </w:p>
    <w:p w14:paraId="2A2ACF94" w14:textId="77777777" w:rsidR="00B24C34" w:rsidRPr="008A2FBD" w:rsidRDefault="00B24C34" w:rsidP="00B24C34">
      <w:pPr>
        <w:spacing w:before="240" w:line="276" w:lineRule="auto"/>
        <w:jc w:val="both"/>
      </w:pPr>
      <w:r w:rsidRPr="008A2FBD">
        <w:t>A multistage sampling technique was employed for participant selection. Selected Local Government Areas in Rivers State were initially identified through random sampling, followed by random selection of secondary schools within the chosen areas. Eligible adolescent girls who met the inclusion criteria were subsequently selected from the participating schools using a systematic sampling approach. This procedure ensured adequate representation of participants from different school settings within the study area.</w:t>
      </w:r>
    </w:p>
    <w:p w14:paraId="476A2CF8" w14:textId="77777777" w:rsidR="00B24C34" w:rsidRPr="00B24C34" w:rsidRDefault="00B24C34" w:rsidP="00B24C34">
      <w:pPr>
        <w:spacing w:before="240" w:line="276" w:lineRule="auto"/>
        <w:jc w:val="both"/>
        <w:rPr>
          <w:b/>
          <w:bCs/>
          <w:i/>
          <w:iCs/>
        </w:rPr>
      </w:pPr>
      <w:r w:rsidRPr="00B24C34">
        <w:rPr>
          <w:b/>
          <w:bCs/>
          <w:i/>
          <w:iCs/>
        </w:rPr>
        <w:t>2.5</w:t>
      </w:r>
      <w:r w:rsidRPr="00B24C34">
        <w:rPr>
          <w:i/>
          <w:iCs/>
        </w:rPr>
        <w:t xml:space="preserve"> </w:t>
      </w:r>
      <w:r w:rsidRPr="00B24C34">
        <w:rPr>
          <w:b/>
          <w:bCs/>
          <w:i/>
          <w:iCs/>
        </w:rPr>
        <w:t>Blood Sample Collection</w:t>
      </w:r>
    </w:p>
    <w:p w14:paraId="4F4BF584" w14:textId="77777777" w:rsidR="00B24C34" w:rsidRPr="008A2FBD" w:rsidRDefault="00B24C34" w:rsidP="00B24C34">
      <w:pPr>
        <w:spacing w:before="240" w:line="276" w:lineRule="auto"/>
        <w:jc w:val="both"/>
      </w:pPr>
      <w:r w:rsidRPr="008A2FBD">
        <w:lastRenderedPageBreak/>
        <w:t xml:space="preserve">Five </w:t>
      </w:r>
      <w:proofErr w:type="spellStart"/>
      <w:r w:rsidRPr="008A2FBD">
        <w:t>millilitres</w:t>
      </w:r>
      <w:proofErr w:type="spellEnd"/>
      <w:r w:rsidRPr="008A2FBD">
        <w:t xml:space="preserve"> (5 mL) of venous blood was collected aseptically from each participant and placed into appropriate sterile sample containers. Samples were transported to the laboratory under controlled conditions for biochemical analysis.</w:t>
      </w:r>
    </w:p>
    <w:p w14:paraId="3016B779" w14:textId="77777777" w:rsidR="00B24C34" w:rsidRPr="00B24C34" w:rsidRDefault="00B24C34" w:rsidP="00B24C34">
      <w:pPr>
        <w:spacing w:before="240" w:line="276" w:lineRule="auto"/>
        <w:jc w:val="both"/>
        <w:rPr>
          <w:b/>
          <w:bCs/>
          <w:i/>
          <w:iCs/>
        </w:rPr>
      </w:pPr>
      <w:r w:rsidRPr="00B24C34">
        <w:rPr>
          <w:b/>
          <w:bCs/>
          <w:i/>
          <w:iCs/>
        </w:rPr>
        <w:t xml:space="preserve">2.6 Determination of </w:t>
      </w:r>
      <w:proofErr w:type="spellStart"/>
      <w:r w:rsidRPr="00B24C34">
        <w:rPr>
          <w:b/>
          <w:bCs/>
          <w:i/>
          <w:iCs/>
        </w:rPr>
        <w:t>Haematological</w:t>
      </w:r>
      <w:proofErr w:type="spellEnd"/>
      <w:r w:rsidRPr="00B24C34">
        <w:rPr>
          <w:b/>
          <w:bCs/>
          <w:i/>
          <w:iCs/>
        </w:rPr>
        <w:t xml:space="preserve"> and Iron Status Parameters</w:t>
      </w:r>
    </w:p>
    <w:p w14:paraId="728973B9" w14:textId="77777777" w:rsidR="00B24C34" w:rsidRPr="00B24C34" w:rsidRDefault="00B24C34" w:rsidP="00B24C34">
      <w:pPr>
        <w:spacing w:before="240" w:line="276" w:lineRule="auto"/>
        <w:jc w:val="both"/>
        <w:rPr>
          <w:b/>
          <w:bCs/>
          <w:i/>
          <w:iCs/>
        </w:rPr>
      </w:pPr>
      <w:r w:rsidRPr="00B24C34">
        <w:rPr>
          <w:b/>
          <w:bCs/>
          <w:i/>
          <w:iCs/>
        </w:rPr>
        <w:t xml:space="preserve">2.6.1 Determination of </w:t>
      </w:r>
      <w:proofErr w:type="spellStart"/>
      <w:r w:rsidRPr="00B24C34">
        <w:rPr>
          <w:b/>
          <w:bCs/>
          <w:i/>
          <w:iCs/>
        </w:rPr>
        <w:t>Haemoglobin</w:t>
      </w:r>
      <w:proofErr w:type="spellEnd"/>
      <w:r w:rsidRPr="00B24C34">
        <w:rPr>
          <w:b/>
          <w:bCs/>
          <w:i/>
          <w:iCs/>
        </w:rPr>
        <w:t xml:space="preserve"> Concentration</w:t>
      </w:r>
    </w:p>
    <w:p w14:paraId="1E296716" w14:textId="77777777" w:rsidR="00B24C34" w:rsidRPr="008A2FBD" w:rsidRDefault="00B24C34" w:rsidP="00B24C34">
      <w:pPr>
        <w:spacing w:before="240" w:line="276" w:lineRule="auto"/>
        <w:jc w:val="both"/>
      </w:pPr>
      <w:proofErr w:type="spellStart"/>
      <w:r w:rsidRPr="008A2FBD">
        <w:t>Haemoglobin</w:t>
      </w:r>
      <w:proofErr w:type="spellEnd"/>
      <w:r w:rsidRPr="008A2FBD">
        <w:t xml:space="preserve"> concentration was determined by the cyanmethemoglobin method on an automated </w:t>
      </w:r>
      <w:proofErr w:type="spellStart"/>
      <w:r w:rsidRPr="008A2FBD">
        <w:t>haematology</w:t>
      </w:r>
      <w:proofErr w:type="spellEnd"/>
      <w:r w:rsidRPr="008A2FBD">
        <w:t xml:space="preserve"> </w:t>
      </w:r>
      <w:proofErr w:type="spellStart"/>
      <w:r w:rsidRPr="008A2FBD">
        <w:t>analyser</w:t>
      </w:r>
      <w:proofErr w:type="spellEnd"/>
      <w:r w:rsidRPr="008A2FBD">
        <w:t xml:space="preserve"> (Sysmex XN-550, Sysmex Corporation, Kobe, Japan) in accordance with the manufacturer's instructions and standard laboratory procedures. Whole blood collected in ethylenediaminetetraacetic acid (EDTA) tubes was </w:t>
      </w:r>
      <w:proofErr w:type="spellStart"/>
      <w:r w:rsidRPr="008A2FBD">
        <w:t>analysed</w:t>
      </w:r>
      <w:proofErr w:type="spellEnd"/>
      <w:r w:rsidRPr="008A2FBD">
        <w:t xml:space="preserve"> within the recommended time after collection. </w:t>
      </w:r>
      <w:proofErr w:type="spellStart"/>
      <w:r w:rsidRPr="008A2FBD">
        <w:t>Anaemia</w:t>
      </w:r>
      <w:proofErr w:type="spellEnd"/>
      <w:r w:rsidRPr="008A2FBD">
        <w:t xml:space="preserve"> status was classified according to the World Health </w:t>
      </w:r>
      <w:proofErr w:type="spellStart"/>
      <w:r w:rsidRPr="008A2FBD">
        <w:t>Organisation</w:t>
      </w:r>
      <w:proofErr w:type="spellEnd"/>
      <w:r w:rsidRPr="008A2FBD">
        <w:t xml:space="preserve"> (WHO) diagnostic criteria for adolescent girls, with </w:t>
      </w:r>
      <w:proofErr w:type="spellStart"/>
      <w:r w:rsidRPr="008A2FBD">
        <w:t>haemoglobin</w:t>
      </w:r>
      <w:proofErr w:type="spellEnd"/>
      <w:r w:rsidRPr="008A2FBD">
        <w:t xml:space="preserve"> concentrations below 12.0 g/dL considered indicative of </w:t>
      </w:r>
      <w:proofErr w:type="spellStart"/>
      <w:r w:rsidRPr="008A2FBD">
        <w:t>anaemia</w:t>
      </w:r>
      <w:proofErr w:type="spellEnd"/>
      <w:r w:rsidRPr="008A2FBD">
        <w:t xml:space="preserve"> (WHO, 2024; Cappellini &amp; Motta, 2015).</w:t>
      </w:r>
    </w:p>
    <w:p w14:paraId="3564799B" w14:textId="77777777" w:rsidR="00B24C34" w:rsidRPr="00B24C34" w:rsidRDefault="00B24C34" w:rsidP="00B24C34">
      <w:pPr>
        <w:spacing w:before="240" w:line="276" w:lineRule="auto"/>
        <w:jc w:val="both"/>
        <w:rPr>
          <w:b/>
          <w:bCs/>
          <w:i/>
          <w:iCs/>
        </w:rPr>
      </w:pPr>
      <w:r w:rsidRPr="00B24C34">
        <w:rPr>
          <w:b/>
          <w:bCs/>
          <w:i/>
          <w:iCs/>
        </w:rPr>
        <w:t>2.6.2 Determination of Serum Ferritin</w:t>
      </w:r>
    </w:p>
    <w:p w14:paraId="6A99F524" w14:textId="77777777" w:rsidR="00B24C34" w:rsidRPr="008A2FBD" w:rsidRDefault="00B24C34" w:rsidP="00B24C34">
      <w:pPr>
        <w:spacing w:before="240" w:line="276" w:lineRule="auto"/>
        <w:jc w:val="both"/>
      </w:pPr>
      <w:r w:rsidRPr="008A2FBD">
        <w:t xml:space="preserve">Serum ferritin concentration was determined using a sandwich enzyme-linked immunosorbent assay (ELISA) kit (Human Ferritin ELISA Kit, </w:t>
      </w:r>
      <w:proofErr w:type="spellStart"/>
      <w:r w:rsidRPr="008A2FBD">
        <w:t>Elabscience</w:t>
      </w:r>
      <w:proofErr w:type="spellEnd"/>
      <w:r w:rsidRPr="008A2FBD">
        <w:t xml:space="preserve"> Biotechnology Inc., Wuhan, China) according to the manufacturer's instructions. Serum samples were added to microplate wells pre-coated with anti-human ferritin antibodies, then incubated with enzyme-conjugated detection antibodies. After the addition of the substrate solution, the </w:t>
      </w:r>
      <w:proofErr w:type="spellStart"/>
      <w:r w:rsidRPr="008A2FBD">
        <w:t>colour</w:t>
      </w:r>
      <w:proofErr w:type="spellEnd"/>
      <w:r w:rsidRPr="008A2FBD">
        <w:t xml:space="preserve"> intensity developed was measured at 450 nm using a microplate reader (Bio-Rad Model 680 Microplate Reader, Bio-Rad Laboratories Inc., Hercules, CA, USA). Serum ferritin concentrations were calculated from the standard calibration curve and expressed in ng/</w:t>
      </w:r>
      <w:proofErr w:type="spellStart"/>
      <w:r w:rsidRPr="008A2FBD">
        <w:t>mL.</w:t>
      </w:r>
      <w:proofErr w:type="spellEnd"/>
    </w:p>
    <w:p w14:paraId="2F5E4B02" w14:textId="77777777" w:rsidR="00B24C34" w:rsidRPr="00B24C34" w:rsidRDefault="00B24C34" w:rsidP="00B24C34">
      <w:pPr>
        <w:spacing w:before="240" w:line="276" w:lineRule="auto"/>
        <w:jc w:val="both"/>
        <w:rPr>
          <w:b/>
          <w:bCs/>
          <w:i/>
          <w:iCs/>
        </w:rPr>
      </w:pPr>
      <w:r w:rsidRPr="00B24C34">
        <w:rPr>
          <w:b/>
          <w:bCs/>
          <w:i/>
          <w:iCs/>
        </w:rPr>
        <w:t>2.6.3 Determination of Serum Iron</w:t>
      </w:r>
    </w:p>
    <w:p w14:paraId="4F7058E7" w14:textId="77777777" w:rsidR="00B24C34" w:rsidRPr="008A2FBD" w:rsidRDefault="00B24C34" w:rsidP="00B24C34">
      <w:pPr>
        <w:spacing w:before="240" w:line="276" w:lineRule="auto"/>
        <w:jc w:val="both"/>
      </w:pPr>
      <w:r w:rsidRPr="008A2FBD">
        <w:t xml:space="preserve">Serum iron concentration was determined by the Ferrozine </w:t>
      </w:r>
      <w:proofErr w:type="spellStart"/>
      <w:r w:rsidRPr="008A2FBD">
        <w:t>colourimetric</w:t>
      </w:r>
      <w:proofErr w:type="spellEnd"/>
      <w:r w:rsidRPr="008A2FBD">
        <w:t xml:space="preserve"> method using a commercial assay kit (Randox Laboratories Ltd., Crumlin, County Antrim, United Kingdom) in accordance with the manufacturer's protocol. In this method, ferric ions were released from transferrin under acidic conditions and reduced to ferrous ions, which then reacted with ferrozine to form a </w:t>
      </w:r>
      <w:proofErr w:type="spellStart"/>
      <w:r w:rsidRPr="008A2FBD">
        <w:t>coloured</w:t>
      </w:r>
      <w:proofErr w:type="spellEnd"/>
      <w:r w:rsidRPr="008A2FBD">
        <w:t xml:space="preserve"> complex. The absorbance of the reaction mixture was measured at 560 nm using a UV–Visible spectrophotometer (</w:t>
      </w:r>
      <w:proofErr w:type="spellStart"/>
      <w:r w:rsidRPr="008A2FBD">
        <w:t>Jenway</w:t>
      </w:r>
      <w:proofErr w:type="spellEnd"/>
      <w:r w:rsidRPr="008A2FBD">
        <w:t xml:space="preserve"> 6305, Bibby Scientific Ltd., United Kingdom). Serum iron concentrations were expressed in µg/dL.</w:t>
      </w:r>
    </w:p>
    <w:p w14:paraId="240F7335" w14:textId="77777777" w:rsidR="00B24C34" w:rsidRPr="00B24C34" w:rsidRDefault="00B24C34" w:rsidP="00B24C34">
      <w:pPr>
        <w:spacing w:before="240" w:line="276" w:lineRule="auto"/>
        <w:jc w:val="both"/>
        <w:rPr>
          <w:b/>
          <w:bCs/>
          <w:i/>
          <w:iCs/>
        </w:rPr>
      </w:pPr>
      <w:r w:rsidRPr="00B24C34">
        <w:rPr>
          <w:b/>
          <w:bCs/>
          <w:i/>
          <w:iCs/>
        </w:rPr>
        <w:t>2.6.4 Determination of Total Iron-Binding Capacity (TIBC)</w:t>
      </w:r>
    </w:p>
    <w:p w14:paraId="7FC37132" w14:textId="77777777" w:rsidR="00B24C34" w:rsidRPr="008A2FBD" w:rsidRDefault="00B24C34" w:rsidP="00B24C34">
      <w:pPr>
        <w:spacing w:before="240" w:line="276" w:lineRule="auto"/>
        <w:jc w:val="both"/>
      </w:pPr>
      <w:r w:rsidRPr="008A2FBD">
        <w:t xml:space="preserve">Total iron-binding capacity (TIBC) was determined using a </w:t>
      </w:r>
      <w:proofErr w:type="spellStart"/>
      <w:r w:rsidRPr="008A2FBD">
        <w:t>colourimetric</w:t>
      </w:r>
      <w:proofErr w:type="spellEnd"/>
      <w:r w:rsidRPr="008A2FBD">
        <w:t xml:space="preserve"> assay kit (Randox Laboratories Ltd., Crumlin, County Antrim, United Kingdom) according to the manufacturer's instructions. Serum samples were saturated with excess iron, and unbound iron was removed before the ferrozine reaction quantified the remaining bound iron. Absorbance was measured at 560 nm using a </w:t>
      </w:r>
      <w:proofErr w:type="spellStart"/>
      <w:r w:rsidRPr="008A2FBD">
        <w:t>Jenway</w:t>
      </w:r>
      <w:proofErr w:type="spellEnd"/>
      <w:r w:rsidRPr="008A2FBD">
        <w:t xml:space="preserve"> 6305 UV/Visible Spectrophotometer (Bibby Scientific Ltd., United Kingdom), and TIBC values were expressed in µg/dL.</w:t>
      </w:r>
    </w:p>
    <w:p w14:paraId="07DA8D2B" w14:textId="77777777" w:rsidR="00B24C34" w:rsidRPr="00B24C34" w:rsidRDefault="00B24C34" w:rsidP="00B24C34">
      <w:pPr>
        <w:spacing w:before="240" w:line="276" w:lineRule="auto"/>
        <w:jc w:val="both"/>
        <w:rPr>
          <w:b/>
          <w:bCs/>
          <w:i/>
          <w:iCs/>
        </w:rPr>
      </w:pPr>
      <w:r w:rsidRPr="00B24C34">
        <w:rPr>
          <w:b/>
          <w:bCs/>
          <w:i/>
          <w:iCs/>
        </w:rPr>
        <w:t>2.7 Statistical Analysis</w:t>
      </w:r>
    </w:p>
    <w:p w14:paraId="666663CA" w14:textId="77777777" w:rsidR="00B24C34" w:rsidRPr="008A2FBD" w:rsidRDefault="00B24C34" w:rsidP="00B24C34">
      <w:pPr>
        <w:spacing w:before="240" w:line="276" w:lineRule="auto"/>
        <w:jc w:val="both"/>
      </w:pPr>
      <w:r w:rsidRPr="008A2FBD">
        <w:lastRenderedPageBreak/>
        <w:t xml:space="preserve">Data were </w:t>
      </w:r>
      <w:proofErr w:type="spellStart"/>
      <w:r w:rsidRPr="008A2FBD">
        <w:t>analysed</w:t>
      </w:r>
      <w:proofErr w:type="spellEnd"/>
      <w:r w:rsidRPr="008A2FBD">
        <w:t xml:space="preserve"> using the Statistical Package for the Social Sciences (SPSS) version 25.0. Continuous variables were presented as mean ± standard deviation, and categorical variables as frequencies and percentages. Differences between groups were assessed using an independent t-test or a Mann–Whitney U test, as appropriate. Correlation analysis was performed to assess relationships among </w:t>
      </w:r>
      <w:proofErr w:type="spellStart"/>
      <w:r w:rsidRPr="008A2FBD">
        <w:t>haemoglobin</w:t>
      </w:r>
      <w:proofErr w:type="spellEnd"/>
      <w:r w:rsidRPr="008A2FBD">
        <w:t xml:space="preserve">, serum ferritin, serum iron, and TIBC. Binary logistic regression was used to identify independent biochemical predictors of iron deficiency </w:t>
      </w:r>
      <w:proofErr w:type="spellStart"/>
      <w:r w:rsidRPr="008A2FBD">
        <w:t>anaemia</w:t>
      </w:r>
      <w:proofErr w:type="spellEnd"/>
      <w:r w:rsidRPr="008A2FBD">
        <w:t>. Statistical significance was set at p &lt; 0.05.</w:t>
      </w:r>
    </w:p>
    <w:p w14:paraId="010F2CEE" w14:textId="77777777" w:rsidR="00B24C34" w:rsidRPr="008A2FBD" w:rsidRDefault="00B24C34" w:rsidP="00B24C34">
      <w:pPr>
        <w:spacing w:before="240" w:line="276" w:lineRule="auto"/>
        <w:jc w:val="both"/>
        <w:rPr>
          <w:b/>
          <w:bCs/>
        </w:rPr>
      </w:pPr>
      <w:bookmarkStart w:id="2" w:name="_Hlk235233893"/>
      <w:bookmarkEnd w:id="1"/>
      <w:r w:rsidRPr="008A2FBD">
        <w:rPr>
          <w:b/>
          <w:bCs/>
        </w:rPr>
        <w:t xml:space="preserve">3. RESULTS AND DISCUSSION </w:t>
      </w:r>
    </w:p>
    <w:p w14:paraId="3E3B5332" w14:textId="77777777" w:rsidR="00B24C34" w:rsidRPr="00B24C34" w:rsidRDefault="00B24C34" w:rsidP="00B24C34">
      <w:pPr>
        <w:spacing w:before="240" w:line="276" w:lineRule="auto"/>
        <w:jc w:val="both"/>
        <w:rPr>
          <w:b/>
          <w:bCs/>
          <w:i/>
          <w:iCs/>
        </w:rPr>
      </w:pPr>
      <w:r w:rsidRPr="00B24C34">
        <w:rPr>
          <w:b/>
          <w:bCs/>
          <w:i/>
          <w:iCs/>
        </w:rPr>
        <w:t>3.1 Socio-Demographic Characteristics of the Participants</w:t>
      </w:r>
    </w:p>
    <w:p w14:paraId="04F36981" w14:textId="77777777" w:rsidR="00B24C34" w:rsidRPr="008A2FBD" w:rsidRDefault="00B24C34" w:rsidP="00B24C34">
      <w:pPr>
        <w:spacing w:before="240" w:line="276" w:lineRule="auto"/>
        <w:jc w:val="both"/>
      </w:pPr>
      <w:r w:rsidRPr="008A2FBD">
        <w:t>Table 1 presents the socio-demographic characteristics of the study participants. Of the 250 school-aged adolescent girls enrolled in the study, 100 (40.0%) were aged 16–19 years, 83 (33.2%) were aged 13–15 years, and 67 (26.8%) were aged 10–12 years. Regarding educational level, the highest proportion of participants was in SS 3 (38.0%), followed by SS 2 (24.0%), SS 1 (11.2%), JSS 1 (10.0%), JSS 3 (9.6%), and JSS 2 (7.2%). Most participants attended public secondary schools (60.0%), while 40.0% attended private secondary schools. Regarding residence, the majority (68.0%) lived in urban areas, while 32.0% lived in rural communities.</w:t>
      </w:r>
    </w:p>
    <w:p w14:paraId="09232B9F" w14:textId="77777777" w:rsidR="00B24C34" w:rsidRPr="008A2FBD" w:rsidRDefault="00B24C34" w:rsidP="00B24C34">
      <w:pPr>
        <w:spacing w:before="240" w:line="276" w:lineRule="auto"/>
        <w:jc w:val="both"/>
      </w:pPr>
      <w:r w:rsidRPr="008A2FBD">
        <w:t xml:space="preserve">The higher percentage of older senior secondary school students may be attributed to greater enrolment in senior secondary classes within the selected schools. Adolescence is a critical stage of development </w:t>
      </w:r>
      <w:proofErr w:type="spellStart"/>
      <w:r w:rsidRPr="008A2FBD">
        <w:t>characterised</w:t>
      </w:r>
      <w:proofErr w:type="spellEnd"/>
      <w:r w:rsidRPr="008A2FBD">
        <w:t xml:space="preserve"> by rapid growth, increased blood volume, and physiological changes associated with puberty that significantly increase iron requirements, particularly among females (Das et al., 2017). According to Alomari and </w:t>
      </w:r>
      <w:proofErr w:type="spellStart"/>
      <w:r w:rsidRPr="008A2FBD">
        <w:t>Alghwairy</w:t>
      </w:r>
      <w:proofErr w:type="spellEnd"/>
      <w:r w:rsidRPr="008A2FBD">
        <w:t xml:space="preserve"> (2026), adolescent girls are among the population groups at the highest risk of iron deficiency due to increased iron demand during growth and menstrual blood loss. Similarly, Rathi and Bahmani (2026) buttressed that the increased nutritional requirements of adolescence make females more disposed to iron depletion and iron-deficiency </w:t>
      </w:r>
      <w:proofErr w:type="spellStart"/>
      <w:r w:rsidRPr="008A2FBD">
        <w:t>anaemia</w:t>
      </w:r>
      <w:proofErr w:type="spellEnd"/>
      <w:r w:rsidRPr="008A2FBD">
        <w:t xml:space="preserve"> when iron intake and absorption are inadequate.</w:t>
      </w:r>
    </w:p>
    <w:p w14:paraId="254D1741" w14:textId="77777777" w:rsidR="00B24C34" w:rsidRPr="008A2FBD" w:rsidRDefault="00B24C34" w:rsidP="00B24C34">
      <w:pPr>
        <w:spacing w:before="240" w:line="276" w:lineRule="auto"/>
        <w:jc w:val="both"/>
      </w:pPr>
      <w:r w:rsidRPr="008A2FBD">
        <w:t xml:space="preserve">The predominance of participants in senior secondary classes, particularly SS3 (38.0%), reflects the age distribution of the study population. Similar patterns have been reported in school-based studies among Nigerian adolescents, in which older students constituted a larger proportion of participants due to higher school retention rates and greater willingness to participate in health-related research. For instance, </w:t>
      </w:r>
      <w:proofErr w:type="spellStart"/>
      <w:r w:rsidRPr="008A2FBD">
        <w:t>Alaofè</w:t>
      </w:r>
      <w:proofErr w:type="spellEnd"/>
      <w:r w:rsidRPr="008A2FBD">
        <w:t xml:space="preserve"> et al. (2017) observed that older adolescent girls were frequently represented in school-based </w:t>
      </w:r>
      <w:proofErr w:type="spellStart"/>
      <w:r w:rsidRPr="008A2FBD">
        <w:t>anaemia</w:t>
      </w:r>
      <w:proofErr w:type="spellEnd"/>
      <w:r w:rsidRPr="008A2FBD">
        <w:t xml:space="preserve"> studies because they had greater exposure to menstruation and other factors associated with iron loss. The inclusion of students across different class levels in the present study provided a broader representation of adolescent girls attending secondary schools in Rivers State.</w:t>
      </w:r>
    </w:p>
    <w:p w14:paraId="1981DDB3" w14:textId="77777777" w:rsidR="00B24C34" w:rsidRPr="008A2FBD" w:rsidRDefault="00B24C34" w:rsidP="00B24C34">
      <w:pPr>
        <w:spacing w:before="240" w:line="276" w:lineRule="auto"/>
        <w:jc w:val="both"/>
      </w:pPr>
      <w:r w:rsidRPr="008A2FBD">
        <w:t xml:space="preserve">The majority of participants attended public secondary schools (60.0%), while 40.0% attended private schools. The higher representation of students from public schools may be associated with the larger population of students enrolled in government-owned secondary schools in Rivers State. Public schools often accommodate adolescents from diverse socioeconomic backgrounds, which may influence access to healthcare services, nutritional resources, and preventive health interventions. Similar observations were reported by Gore et al. (2024), who noted that socioeconomic disparities and access to healthcare services may influence the occurrence of </w:t>
      </w:r>
      <w:proofErr w:type="spellStart"/>
      <w:r w:rsidRPr="008A2FBD">
        <w:t>anaemia</w:t>
      </w:r>
      <w:proofErr w:type="spellEnd"/>
      <w:r w:rsidRPr="008A2FBD">
        <w:t xml:space="preserve"> among school-aged adolescents. However, iron </w:t>
      </w:r>
      <w:r w:rsidRPr="008A2FBD">
        <w:lastRenderedPageBreak/>
        <w:t xml:space="preserve">deficiency </w:t>
      </w:r>
      <w:proofErr w:type="spellStart"/>
      <w:r w:rsidRPr="008A2FBD">
        <w:t>anaemia</w:t>
      </w:r>
      <w:proofErr w:type="spellEnd"/>
      <w:r w:rsidRPr="008A2FBD">
        <w:t xml:space="preserve"> remains a concern among adolescents across school types, highlighting the need for universal school-based screening and </w:t>
      </w:r>
      <w:proofErr w:type="spellStart"/>
      <w:r w:rsidRPr="008A2FBD">
        <w:t>anaemia</w:t>
      </w:r>
      <w:proofErr w:type="spellEnd"/>
      <w:r w:rsidRPr="008A2FBD">
        <w:t xml:space="preserve"> prevention </w:t>
      </w:r>
      <w:proofErr w:type="spellStart"/>
      <w:r w:rsidRPr="008A2FBD">
        <w:t>programmes</w:t>
      </w:r>
      <w:proofErr w:type="spellEnd"/>
      <w:r w:rsidRPr="008A2FBD">
        <w:t>.</w:t>
      </w:r>
    </w:p>
    <w:p w14:paraId="2622E1A3" w14:textId="77777777" w:rsidR="00B24C34" w:rsidRPr="008A2FBD" w:rsidRDefault="00B24C34" w:rsidP="00B24C34">
      <w:pPr>
        <w:spacing w:before="240" w:line="276" w:lineRule="auto"/>
        <w:jc w:val="both"/>
      </w:pPr>
      <w:r w:rsidRPr="008A2FBD">
        <w:t xml:space="preserve">Regarding residential distribution, most participants were from urban areas (68.0%), while 32.0% resided in rural communities. The predominance of urban participants may reflect the higher concentration of secondary schools and easier accessibility of educational institutions in the urban areas of Rivers State. However, urban residence does not necessarily eliminate the risk of iron deficiency </w:t>
      </w:r>
      <w:proofErr w:type="spellStart"/>
      <w:r w:rsidRPr="008A2FBD">
        <w:t>anaemia</w:t>
      </w:r>
      <w:proofErr w:type="spellEnd"/>
      <w:r w:rsidRPr="008A2FBD">
        <w:t xml:space="preserve">. Previous studies have shown that adolescents in urban settings may still experience iron deficiency due to poor dietary choices, increased consumption of processed foods, and inadequate intake of iron-rich foods. Tesfaye et al. (2024) informed that urban adolescents may remain vulnerable to </w:t>
      </w:r>
      <w:proofErr w:type="spellStart"/>
      <w:r w:rsidRPr="008A2FBD">
        <w:t>anaemia</w:t>
      </w:r>
      <w:proofErr w:type="spellEnd"/>
      <w:r w:rsidRPr="008A2FBD">
        <w:t xml:space="preserve"> despite improved access to health facilities, as dietary quality and lifestyle factors significantly influence iron status. Conversely, adolescents in rural communities may face additional risks due to limited healthcare access, poverty, and reduced availability of iron-rich foods.</w:t>
      </w:r>
    </w:p>
    <w:p w14:paraId="2336FA3E" w14:textId="77777777" w:rsidR="00B24C34" w:rsidRDefault="00B24C34" w:rsidP="00B24C34">
      <w:pPr>
        <w:spacing w:line="259" w:lineRule="auto"/>
        <w:jc w:val="both"/>
      </w:pPr>
    </w:p>
    <w:p w14:paraId="0F2ACFB4" w14:textId="77777777" w:rsidR="00B24C34" w:rsidRPr="008A2FBD" w:rsidRDefault="00B24C34" w:rsidP="00B24C34">
      <w:pPr>
        <w:spacing w:line="259" w:lineRule="auto"/>
        <w:jc w:val="both"/>
      </w:pPr>
      <w:r w:rsidRPr="008A2FBD">
        <w:t>Table 1. Socio-demographic Characteristics of the Participants (n = 250)</w:t>
      </w:r>
    </w:p>
    <w:tbl>
      <w:tblPr>
        <w:tblStyle w:val="PlainTable2"/>
        <w:tblW w:w="9282" w:type="dxa"/>
        <w:tblLook w:val="07A0" w:firstRow="1" w:lastRow="0" w:firstColumn="1" w:lastColumn="1" w:noHBand="1" w:noVBand="1"/>
      </w:tblPr>
      <w:tblGrid>
        <w:gridCol w:w="2182"/>
        <w:gridCol w:w="1766"/>
        <w:gridCol w:w="2538"/>
        <w:gridCol w:w="2796"/>
      </w:tblGrid>
      <w:tr w:rsidR="00B24C34" w:rsidRPr="008A2FBD" w14:paraId="056BE346" w14:textId="77777777" w:rsidTr="001D79DE">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786EE230" w14:textId="77777777" w:rsidR="00B24C34" w:rsidRPr="008A2FBD" w:rsidRDefault="00B24C34" w:rsidP="00B24C34">
            <w:pPr>
              <w:spacing w:line="259" w:lineRule="auto"/>
              <w:jc w:val="both"/>
              <w:rPr>
                <w:b w:val="0"/>
                <w:bCs w:val="0"/>
                <w:szCs w:val="20"/>
              </w:rPr>
            </w:pPr>
            <w:r w:rsidRPr="008A2FBD">
              <w:rPr>
                <w:b w:val="0"/>
                <w:bCs w:val="0"/>
                <w:szCs w:val="20"/>
              </w:rPr>
              <w:t>Variable</w:t>
            </w:r>
          </w:p>
        </w:tc>
        <w:tc>
          <w:tcPr>
            <w:tcW w:w="0" w:type="auto"/>
            <w:hideMark/>
          </w:tcPr>
          <w:p w14:paraId="50E8354F" w14:textId="77777777" w:rsidR="00B24C34" w:rsidRPr="008A2FBD" w:rsidRDefault="00B24C34" w:rsidP="00B24C34">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szCs w:val="20"/>
              </w:rPr>
            </w:pPr>
            <w:r w:rsidRPr="008A2FBD">
              <w:rPr>
                <w:b w:val="0"/>
                <w:bCs w:val="0"/>
                <w:szCs w:val="20"/>
              </w:rPr>
              <w:t>Category</w:t>
            </w:r>
          </w:p>
        </w:tc>
        <w:tc>
          <w:tcPr>
            <w:tcW w:w="0" w:type="auto"/>
            <w:hideMark/>
          </w:tcPr>
          <w:p w14:paraId="77520ADC" w14:textId="77777777" w:rsidR="00B24C34" w:rsidRPr="008A2FBD" w:rsidRDefault="00B24C34" w:rsidP="00B24C34">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szCs w:val="20"/>
              </w:rPr>
            </w:pPr>
            <w:r w:rsidRPr="008A2FBD">
              <w:rPr>
                <w:b w:val="0"/>
                <w:bCs w:val="0"/>
                <w:szCs w:val="20"/>
              </w:rPr>
              <w:t>Frequency (n)</w:t>
            </w:r>
          </w:p>
        </w:tc>
        <w:tc>
          <w:tcPr>
            <w:cnfStyle w:val="000100000000" w:firstRow="0" w:lastRow="0" w:firstColumn="0" w:lastColumn="1" w:oddVBand="0" w:evenVBand="0" w:oddHBand="0" w:evenHBand="0" w:firstRowFirstColumn="0" w:firstRowLastColumn="0" w:lastRowFirstColumn="0" w:lastRowLastColumn="0"/>
            <w:tcW w:w="0" w:type="auto"/>
            <w:hideMark/>
          </w:tcPr>
          <w:p w14:paraId="2177A118" w14:textId="77777777" w:rsidR="00B24C34" w:rsidRPr="008A2FBD" w:rsidRDefault="00B24C34" w:rsidP="00B24C34">
            <w:pPr>
              <w:spacing w:line="259" w:lineRule="auto"/>
              <w:jc w:val="both"/>
              <w:rPr>
                <w:b w:val="0"/>
                <w:bCs w:val="0"/>
                <w:szCs w:val="20"/>
              </w:rPr>
            </w:pPr>
            <w:r w:rsidRPr="008A2FBD">
              <w:rPr>
                <w:b w:val="0"/>
                <w:bCs w:val="0"/>
                <w:szCs w:val="20"/>
              </w:rPr>
              <w:t>Percentage (%)</w:t>
            </w:r>
          </w:p>
        </w:tc>
      </w:tr>
      <w:tr w:rsidR="00B24C34" w:rsidRPr="008A2FBD" w14:paraId="66E4E3BC"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6FAA7D5" w14:textId="77777777" w:rsidR="00B24C34" w:rsidRPr="008A2FBD" w:rsidRDefault="00B24C34" w:rsidP="00B24C34">
            <w:pPr>
              <w:spacing w:line="259" w:lineRule="auto"/>
              <w:jc w:val="both"/>
              <w:rPr>
                <w:b w:val="0"/>
                <w:bCs w:val="0"/>
                <w:szCs w:val="20"/>
              </w:rPr>
            </w:pPr>
            <w:r w:rsidRPr="008A2FBD">
              <w:rPr>
                <w:b w:val="0"/>
                <w:bCs w:val="0"/>
                <w:szCs w:val="20"/>
              </w:rPr>
              <w:t>Age (years)</w:t>
            </w:r>
          </w:p>
        </w:tc>
        <w:tc>
          <w:tcPr>
            <w:tcW w:w="0" w:type="auto"/>
            <w:hideMark/>
          </w:tcPr>
          <w:p w14:paraId="29056116"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10–12</w:t>
            </w:r>
          </w:p>
        </w:tc>
        <w:tc>
          <w:tcPr>
            <w:tcW w:w="0" w:type="auto"/>
            <w:hideMark/>
          </w:tcPr>
          <w:p w14:paraId="4E6A4024"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67</w:t>
            </w:r>
          </w:p>
        </w:tc>
        <w:tc>
          <w:tcPr>
            <w:cnfStyle w:val="000100000000" w:firstRow="0" w:lastRow="0" w:firstColumn="0" w:lastColumn="1" w:oddVBand="0" w:evenVBand="0" w:oddHBand="0" w:evenHBand="0" w:firstRowFirstColumn="0" w:firstRowLastColumn="0" w:lastRowFirstColumn="0" w:lastRowLastColumn="0"/>
            <w:tcW w:w="0" w:type="auto"/>
            <w:hideMark/>
          </w:tcPr>
          <w:p w14:paraId="5D2B72ED" w14:textId="77777777" w:rsidR="00B24C34" w:rsidRPr="008A2FBD" w:rsidRDefault="00B24C34" w:rsidP="00B24C34">
            <w:pPr>
              <w:spacing w:line="259" w:lineRule="auto"/>
              <w:jc w:val="both"/>
              <w:rPr>
                <w:b w:val="0"/>
                <w:bCs w:val="0"/>
                <w:szCs w:val="20"/>
              </w:rPr>
            </w:pPr>
            <w:r w:rsidRPr="008A2FBD">
              <w:rPr>
                <w:b w:val="0"/>
                <w:bCs w:val="0"/>
                <w:szCs w:val="20"/>
              </w:rPr>
              <w:t>26.8</w:t>
            </w:r>
          </w:p>
        </w:tc>
      </w:tr>
      <w:tr w:rsidR="00B24C34" w:rsidRPr="008A2FBD" w14:paraId="6350447B"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760183E0" w14:textId="77777777" w:rsidR="00B24C34" w:rsidRPr="008A2FBD" w:rsidRDefault="00B24C34" w:rsidP="00B24C34">
            <w:pPr>
              <w:spacing w:line="259" w:lineRule="auto"/>
              <w:jc w:val="both"/>
              <w:rPr>
                <w:b w:val="0"/>
                <w:bCs w:val="0"/>
                <w:szCs w:val="20"/>
              </w:rPr>
            </w:pPr>
          </w:p>
        </w:tc>
        <w:tc>
          <w:tcPr>
            <w:tcW w:w="0" w:type="auto"/>
            <w:hideMark/>
          </w:tcPr>
          <w:p w14:paraId="332D2DC0"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13–15</w:t>
            </w:r>
          </w:p>
        </w:tc>
        <w:tc>
          <w:tcPr>
            <w:tcW w:w="0" w:type="auto"/>
            <w:hideMark/>
          </w:tcPr>
          <w:p w14:paraId="6740DE83"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83</w:t>
            </w:r>
          </w:p>
        </w:tc>
        <w:tc>
          <w:tcPr>
            <w:cnfStyle w:val="000100000000" w:firstRow="0" w:lastRow="0" w:firstColumn="0" w:lastColumn="1" w:oddVBand="0" w:evenVBand="0" w:oddHBand="0" w:evenHBand="0" w:firstRowFirstColumn="0" w:firstRowLastColumn="0" w:lastRowFirstColumn="0" w:lastRowLastColumn="0"/>
            <w:tcW w:w="0" w:type="auto"/>
            <w:hideMark/>
          </w:tcPr>
          <w:p w14:paraId="3EA53788" w14:textId="77777777" w:rsidR="00B24C34" w:rsidRPr="008A2FBD" w:rsidRDefault="00B24C34" w:rsidP="00B24C34">
            <w:pPr>
              <w:spacing w:line="259" w:lineRule="auto"/>
              <w:jc w:val="both"/>
              <w:rPr>
                <w:b w:val="0"/>
                <w:bCs w:val="0"/>
                <w:szCs w:val="20"/>
              </w:rPr>
            </w:pPr>
            <w:r w:rsidRPr="008A2FBD">
              <w:rPr>
                <w:b w:val="0"/>
                <w:bCs w:val="0"/>
                <w:szCs w:val="20"/>
              </w:rPr>
              <w:t>33.2</w:t>
            </w:r>
          </w:p>
        </w:tc>
      </w:tr>
      <w:tr w:rsidR="00B24C34" w:rsidRPr="008A2FBD" w14:paraId="502C198D"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196007FD" w14:textId="77777777" w:rsidR="00B24C34" w:rsidRPr="008A2FBD" w:rsidRDefault="00B24C34" w:rsidP="00B24C34">
            <w:pPr>
              <w:spacing w:line="259" w:lineRule="auto"/>
              <w:jc w:val="both"/>
              <w:rPr>
                <w:b w:val="0"/>
                <w:bCs w:val="0"/>
                <w:szCs w:val="20"/>
              </w:rPr>
            </w:pPr>
          </w:p>
        </w:tc>
        <w:tc>
          <w:tcPr>
            <w:tcW w:w="0" w:type="auto"/>
            <w:hideMark/>
          </w:tcPr>
          <w:p w14:paraId="141F3E91"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16–19</w:t>
            </w:r>
          </w:p>
        </w:tc>
        <w:tc>
          <w:tcPr>
            <w:tcW w:w="0" w:type="auto"/>
            <w:hideMark/>
          </w:tcPr>
          <w:p w14:paraId="0DB0095C"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100</w:t>
            </w:r>
          </w:p>
        </w:tc>
        <w:tc>
          <w:tcPr>
            <w:cnfStyle w:val="000100000000" w:firstRow="0" w:lastRow="0" w:firstColumn="0" w:lastColumn="1" w:oddVBand="0" w:evenVBand="0" w:oddHBand="0" w:evenHBand="0" w:firstRowFirstColumn="0" w:firstRowLastColumn="0" w:lastRowFirstColumn="0" w:lastRowLastColumn="0"/>
            <w:tcW w:w="0" w:type="auto"/>
            <w:hideMark/>
          </w:tcPr>
          <w:p w14:paraId="3563C93E" w14:textId="77777777" w:rsidR="00B24C34" w:rsidRPr="008A2FBD" w:rsidRDefault="00B24C34" w:rsidP="00B24C34">
            <w:pPr>
              <w:spacing w:line="259" w:lineRule="auto"/>
              <w:jc w:val="both"/>
              <w:rPr>
                <w:b w:val="0"/>
                <w:bCs w:val="0"/>
                <w:szCs w:val="20"/>
              </w:rPr>
            </w:pPr>
            <w:r w:rsidRPr="008A2FBD">
              <w:rPr>
                <w:b w:val="0"/>
                <w:bCs w:val="0"/>
                <w:szCs w:val="20"/>
              </w:rPr>
              <w:t>40.0</w:t>
            </w:r>
          </w:p>
        </w:tc>
      </w:tr>
      <w:tr w:rsidR="00B24C34" w:rsidRPr="008A2FBD" w14:paraId="128B66D9"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6DD21BF" w14:textId="77777777" w:rsidR="00B24C34" w:rsidRPr="008A2FBD" w:rsidRDefault="00B24C34" w:rsidP="00B24C34">
            <w:pPr>
              <w:spacing w:line="259" w:lineRule="auto"/>
              <w:jc w:val="both"/>
              <w:rPr>
                <w:b w:val="0"/>
                <w:bCs w:val="0"/>
                <w:szCs w:val="20"/>
              </w:rPr>
            </w:pPr>
            <w:r w:rsidRPr="008A2FBD">
              <w:rPr>
                <w:b w:val="0"/>
                <w:bCs w:val="0"/>
                <w:szCs w:val="20"/>
              </w:rPr>
              <w:t>Class</w:t>
            </w:r>
          </w:p>
        </w:tc>
        <w:tc>
          <w:tcPr>
            <w:tcW w:w="0" w:type="auto"/>
            <w:hideMark/>
          </w:tcPr>
          <w:p w14:paraId="2C6468F7"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JSS 1</w:t>
            </w:r>
          </w:p>
        </w:tc>
        <w:tc>
          <w:tcPr>
            <w:tcW w:w="0" w:type="auto"/>
            <w:hideMark/>
          </w:tcPr>
          <w:p w14:paraId="231B97A3"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25</w:t>
            </w:r>
          </w:p>
        </w:tc>
        <w:tc>
          <w:tcPr>
            <w:cnfStyle w:val="000100000000" w:firstRow="0" w:lastRow="0" w:firstColumn="0" w:lastColumn="1" w:oddVBand="0" w:evenVBand="0" w:oddHBand="0" w:evenHBand="0" w:firstRowFirstColumn="0" w:firstRowLastColumn="0" w:lastRowFirstColumn="0" w:lastRowLastColumn="0"/>
            <w:tcW w:w="0" w:type="auto"/>
            <w:hideMark/>
          </w:tcPr>
          <w:p w14:paraId="7494FBC3" w14:textId="77777777" w:rsidR="00B24C34" w:rsidRPr="008A2FBD" w:rsidRDefault="00B24C34" w:rsidP="00B24C34">
            <w:pPr>
              <w:spacing w:line="259" w:lineRule="auto"/>
              <w:jc w:val="both"/>
              <w:rPr>
                <w:b w:val="0"/>
                <w:bCs w:val="0"/>
                <w:szCs w:val="20"/>
              </w:rPr>
            </w:pPr>
            <w:r w:rsidRPr="008A2FBD">
              <w:rPr>
                <w:b w:val="0"/>
                <w:bCs w:val="0"/>
                <w:szCs w:val="20"/>
              </w:rPr>
              <w:t>10.0</w:t>
            </w:r>
          </w:p>
        </w:tc>
      </w:tr>
      <w:tr w:rsidR="00B24C34" w:rsidRPr="008A2FBD" w14:paraId="6B8A040D"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08F541D1" w14:textId="77777777" w:rsidR="00B24C34" w:rsidRPr="008A2FBD" w:rsidRDefault="00B24C34" w:rsidP="00B24C34">
            <w:pPr>
              <w:spacing w:line="259" w:lineRule="auto"/>
              <w:jc w:val="both"/>
              <w:rPr>
                <w:b w:val="0"/>
                <w:bCs w:val="0"/>
                <w:szCs w:val="20"/>
              </w:rPr>
            </w:pPr>
          </w:p>
        </w:tc>
        <w:tc>
          <w:tcPr>
            <w:tcW w:w="0" w:type="auto"/>
            <w:hideMark/>
          </w:tcPr>
          <w:p w14:paraId="43EA9E21"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JSS 2</w:t>
            </w:r>
          </w:p>
        </w:tc>
        <w:tc>
          <w:tcPr>
            <w:tcW w:w="0" w:type="auto"/>
            <w:hideMark/>
          </w:tcPr>
          <w:p w14:paraId="1AC14277"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18</w:t>
            </w:r>
          </w:p>
        </w:tc>
        <w:tc>
          <w:tcPr>
            <w:cnfStyle w:val="000100000000" w:firstRow="0" w:lastRow="0" w:firstColumn="0" w:lastColumn="1" w:oddVBand="0" w:evenVBand="0" w:oddHBand="0" w:evenHBand="0" w:firstRowFirstColumn="0" w:firstRowLastColumn="0" w:lastRowFirstColumn="0" w:lastRowLastColumn="0"/>
            <w:tcW w:w="0" w:type="auto"/>
            <w:hideMark/>
          </w:tcPr>
          <w:p w14:paraId="031F86FB" w14:textId="77777777" w:rsidR="00B24C34" w:rsidRPr="008A2FBD" w:rsidRDefault="00B24C34" w:rsidP="00B24C34">
            <w:pPr>
              <w:spacing w:line="259" w:lineRule="auto"/>
              <w:jc w:val="both"/>
              <w:rPr>
                <w:b w:val="0"/>
                <w:bCs w:val="0"/>
                <w:szCs w:val="20"/>
              </w:rPr>
            </w:pPr>
            <w:r w:rsidRPr="008A2FBD">
              <w:rPr>
                <w:b w:val="0"/>
                <w:bCs w:val="0"/>
                <w:szCs w:val="20"/>
              </w:rPr>
              <w:t>7.2</w:t>
            </w:r>
          </w:p>
        </w:tc>
      </w:tr>
      <w:tr w:rsidR="00B24C34" w:rsidRPr="008A2FBD" w14:paraId="1792232E"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8CA61C2" w14:textId="77777777" w:rsidR="00B24C34" w:rsidRPr="008A2FBD" w:rsidRDefault="00B24C34" w:rsidP="00B24C34">
            <w:pPr>
              <w:spacing w:line="259" w:lineRule="auto"/>
              <w:jc w:val="both"/>
              <w:rPr>
                <w:b w:val="0"/>
                <w:bCs w:val="0"/>
                <w:szCs w:val="20"/>
              </w:rPr>
            </w:pPr>
          </w:p>
        </w:tc>
        <w:tc>
          <w:tcPr>
            <w:tcW w:w="0" w:type="auto"/>
            <w:hideMark/>
          </w:tcPr>
          <w:p w14:paraId="771523C5"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JSS 3</w:t>
            </w:r>
          </w:p>
        </w:tc>
        <w:tc>
          <w:tcPr>
            <w:tcW w:w="0" w:type="auto"/>
            <w:hideMark/>
          </w:tcPr>
          <w:p w14:paraId="010A23AC"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24</w:t>
            </w:r>
          </w:p>
        </w:tc>
        <w:tc>
          <w:tcPr>
            <w:cnfStyle w:val="000100000000" w:firstRow="0" w:lastRow="0" w:firstColumn="0" w:lastColumn="1" w:oddVBand="0" w:evenVBand="0" w:oddHBand="0" w:evenHBand="0" w:firstRowFirstColumn="0" w:firstRowLastColumn="0" w:lastRowFirstColumn="0" w:lastRowLastColumn="0"/>
            <w:tcW w:w="0" w:type="auto"/>
            <w:hideMark/>
          </w:tcPr>
          <w:p w14:paraId="7D072E8F" w14:textId="77777777" w:rsidR="00B24C34" w:rsidRPr="008A2FBD" w:rsidRDefault="00B24C34" w:rsidP="00B24C34">
            <w:pPr>
              <w:spacing w:line="259" w:lineRule="auto"/>
              <w:jc w:val="both"/>
              <w:rPr>
                <w:b w:val="0"/>
                <w:bCs w:val="0"/>
                <w:szCs w:val="20"/>
              </w:rPr>
            </w:pPr>
            <w:r w:rsidRPr="008A2FBD">
              <w:rPr>
                <w:b w:val="0"/>
                <w:bCs w:val="0"/>
                <w:szCs w:val="20"/>
              </w:rPr>
              <w:t>9.6</w:t>
            </w:r>
          </w:p>
        </w:tc>
      </w:tr>
      <w:tr w:rsidR="00B24C34" w:rsidRPr="008A2FBD" w14:paraId="4B463A27"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5C5C6B0F" w14:textId="77777777" w:rsidR="00B24C34" w:rsidRPr="008A2FBD" w:rsidRDefault="00B24C34" w:rsidP="00B24C34">
            <w:pPr>
              <w:spacing w:line="259" w:lineRule="auto"/>
              <w:jc w:val="both"/>
              <w:rPr>
                <w:b w:val="0"/>
                <w:bCs w:val="0"/>
                <w:szCs w:val="20"/>
              </w:rPr>
            </w:pPr>
          </w:p>
        </w:tc>
        <w:tc>
          <w:tcPr>
            <w:tcW w:w="0" w:type="auto"/>
            <w:hideMark/>
          </w:tcPr>
          <w:p w14:paraId="60840600"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SS 1</w:t>
            </w:r>
          </w:p>
        </w:tc>
        <w:tc>
          <w:tcPr>
            <w:tcW w:w="0" w:type="auto"/>
            <w:hideMark/>
          </w:tcPr>
          <w:p w14:paraId="43E708E3"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28</w:t>
            </w:r>
          </w:p>
        </w:tc>
        <w:tc>
          <w:tcPr>
            <w:cnfStyle w:val="000100000000" w:firstRow="0" w:lastRow="0" w:firstColumn="0" w:lastColumn="1" w:oddVBand="0" w:evenVBand="0" w:oddHBand="0" w:evenHBand="0" w:firstRowFirstColumn="0" w:firstRowLastColumn="0" w:lastRowFirstColumn="0" w:lastRowLastColumn="0"/>
            <w:tcW w:w="0" w:type="auto"/>
            <w:hideMark/>
          </w:tcPr>
          <w:p w14:paraId="114CD2F8" w14:textId="77777777" w:rsidR="00B24C34" w:rsidRPr="008A2FBD" w:rsidRDefault="00B24C34" w:rsidP="00B24C34">
            <w:pPr>
              <w:spacing w:line="259" w:lineRule="auto"/>
              <w:jc w:val="both"/>
              <w:rPr>
                <w:b w:val="0"/>
                <w:bCs w:val="0"/>
                <w:szCs w:val="20"/>
              </w:rPr>
            </w:pPr>
            <w:r w:rsidRPr="008A2FBD">
              <w:rPr>
                <w:b w:val="0"/>
                <w:bCs w:val="0"/>
                <w:szCs w:val="20"/>
              </w:rPr>
              <w:t>11.2</w:t>
            </w:r>
          </w:p>
        </w:tc>
      </w:tr>
      <w:tr w:rsidR="00B24C34" w:rsidRPr="008A2FBD" w14:paraId="2CAA9FF8"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6031BDA3" w14:textId="77777777" w:rsidR="00B24C34" w:rsidRPr="008A2FBD" w:rsidRDefault="00B24C34" w:rsidP="00B24C34">
            <w:pPr>
              <w:spacing w:line="259" w:lineRule="auto"/>
              <w:jc w:val="both"/>
              <w:rPr>
                <w:b w:val="0"/>
                <w:bCs w:val="0"/>
                <w:szCs w:val="20"/>
              </w:rPr>
            </w:pPr>
          </w:p>
        </w:tc>
        <w:tc>
          <w:tcPr>
            <w:tcW w:w="0" w:type="auto"/>
            <w:hideMark/>
          </w:tcPr>
          <w:p w14:paraId="6F44FD63"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SS 2</w:t>
            </w:r>
          </w:p>
        </w:tc>
        <w:tc>
          <w:tcPr>
            <w:tcW w:w="0" w:type="auto"/>
            <w:hideMark/>
          </w:tcPr>
          <w:p w14:paraId="44B9C3BD"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60</w:t>
            </w:r>
          </w:p>
        </w:tc>
        <w:tc>
          <w:tcPr>
            <w:cnfStyle w:val="000100000000" w:firstRow="0" w:lastRow="0" w:firstColumn="0" w:lastColumn="1" w:oddVBand="0" w:evenVBand="0" w:oddHBand="0" w:evenHBand="0" w:firstRowFirstColumn="0" w:firstRowLastColumn="0" w:lastRowFirstColumn="0" w:lastRowLastColumn="0"/>
            <w:tcW w:w="0" w:type="auto"/>
            <w:hideMark/>
          </w:tcPr>
          <w:p w14:paraId="2596FE68" w14:textId="77777777" w:rsidR="00B24C34" w:rsidRPr="008A2FBD" w:rsidRDefault="00B24C34" w:rsidP="00B24C34">
            <w:pPr>
              <w:spacing w:line="259" w:lineRule="auto"/>
              <w:jc w:val="both"/>
              <w:rPr>
                <w:b w:val="0"/>
                <w:bCs w:val="0"/>
                <w:szCs w:val="20"/>
              </w:rPr>
            </w:pPr>
            <w:r w:rsidRPr="008A2FBD">
              <w:rPr>
                <w:b w:val="0"/>
                <w:bCs w:val="0"/>
                <w:szCs w:val="20"/>
              </w:rPr>
              <w:t>24.0</w:t>
            </w:r>
          </w:p>
        </w:tc>
      </w:tr>
      <w:tr w:rsidR="00B24C34" w:rsidRPr="008A2FBD" w14:paraId="2A67553F"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8C7ABCF" w14:textId="77777777" w:rsidR="00B24C34" w:rsidRPr="008A2FBD" w:rsidRDefault="00B24C34" w:rsidP="00B24C34">
            <w:pPr>
              <w:spacing w:line="259" w:lineRule="auto"/>
              <w:jc w:val="both"/>
              <w:rPr>
                <w:b w:val="0"/>
                <w:bCs w:val="0"/>
                <w:szCs w:val="20"/>
              </w:rPr>
            </w:pPr>
          </w:p>
        </w:tc>
        <w:tc>
          <w:tcPr>
            <w:tcW w:w="0" w:type="auto"/>
            <w:hideMark/>
          </w:tcPr>
          <w:p w14:paraId="0F16FF51"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SS 3</w:t>
            </w:r>
          </w:p>
        </w:tc>
        <w:tc>
          <w:tcPr>
            <w:tcW w:w="0" w:type="auto"/>
            <w:hideMark/>
          </w:tcPr>
          <w:p w14:paraId="004D751C"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95</w:t>
            </w:r>
          </w:p>
        </w:tc>
        <w:tc>
          <w:tcPr>
            <w:cnfStyle w:val="000100000000" w:firstRow="0" w:lastRow="0" w:firstColumn="0" w:lastColumn="1" w:oddVBand="0" w:evenVBand="0" w:oddHBand="0" w:evenHBand="0" w:firstRowFirstColumn="0" w:firstRowLastColumn="0" w:lastRowFirstColumn="0" w:lastRowLastColumn="0"/>
            <w:tcW w:w="0" w:type="auto"/>
            <w:hideMark/>
          </w:tcPr>
          <w:p w14:paraId="36926CDE" w14:textId="77777777" w:rsidR="00B24C34" w:rsidRPr="008A2FBD" w:rsidRDefault="00B24C34" w:rsidP="00B24C34">
            <w:pPr>
              <w:spacing w:line="259" w:lineRule="auto"/>
              <w:jc w:val="both"/>
              <w:rPr>
                <w:b w:val="0"/>
                <w:bCs w:val="0"/>
                <w:szCs w:val="20"/>
              </w:rPr>
            </w:pPr>
            <w:r w:rsidRPr="008A2FBD">
              <w:rPr>
                <w:b w:val="0"/>
                <w:bCs w:val="0"/>
                <w:szCs w:val="20"/>
              </w:rPr>
              <w:t>38.0</w:t>
            </w:r>
          </w:p>
        </w:tc>
      </w:tr>
      <w:tr w:rsidR="00B24C34" w:rsidRPr="008A2FBD" w14:paraId="701FC21F"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593E1685" w14:textId="77777777" w:rsidR="00B24C34" w:rsidRPr="008A2FBD" w:rsidRDefault="00B24C34" w:rsidP="00B24C34">
            <w:pPr>
              <w:spacing w:line="259" w:lineRule="auto"/>
              <w:jc w:val="both"/>
              <w:rPr>
                <w:b w:val="0"/>
                <w:bCs w:val="0"/>
                <w:szCs w:val="20"/>
              </w:rPr>
            </w:pPr>
            <w:r w:rsidRPr="008A2FBD">
              <w:rPr>
                <w:b w:val="0"/>
                <w:bCs w:val="0"/>
                <w:szCs w:val="20"/>
              </w:rPr>
              <w:t>School type</w:t>
            </w:r>
          </w:p>
        </w:tc>
        <w:tc>
          <w:tcPr>
            <w:tcW w:w="0" w:type="auto"/>
            <w:hideMark/>
          </w:tcPr>
          <w:p w14:paraId="3DF2D4D8"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Public</w:t>
            </w:r>
          </w:p>
        </w:tc>
        <w:tc>
          <w:tcPr>
            <w:tcW w:w="0" w:type="auto"/>
            <w:hideMark/>
          </w:tcPr>
          <w:p w14:paraId="27DC24DB"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150</w:t>
            </w:r>
          </w:p>
        </w:tc>
        <w:tc>
          <w:tcPr>
            <w:cnfStyle w:val="000100000000" w:firstRow="0" w:lastRow="0" w:firstColumn="0" w:lastColumn="1" w:oddVBand="0" w:evenVBand="0" w:oddHBand="0" w:evenHBand="0" w:firstRowFirstColumn="0" w:firstRowLastColumn="0" w:lastRowFirstColumn="0" w:lastRowLastColumn="0"/>
            <w:tcW w:w="0" w:type="auto"/>
            <w:hideMark/>
          </w:tcPr>
          <w:p w14:paraId="437EBCDA" w14:textId="77777777" w:rsidR="00B24C34" w:rsidRPr="008A2FBD" w:rsidRDefault="00B24C34" w:rsidP="00B24C34">
            <w:pPr>
              <w:spacing w:line="259" w:lineRule="auto"/>
              <w:jc w:val="both"/>
              <w:rPr>
                <w:b w:val="0"/>
                <w:bCs w:val="0"/>
                <w:szCs w:val="20"/>
              </w:rPr>
            </w:pPr>
            <w:r w:rsidRPr="008A2FBD">
              <w:rPr>
                <w:b w:val="0"/>
                <w:bCs w:val="0"/>
                <w:szCs w:val="20"/>
              </w:rPr>
              <w:t>60.0</w:t>
            </w:r>
          </w:p>
        </w:tc>
      </w:tr>
      <w:tr w:rsidR="00B24C34" w:rsidRPr="008A2FBD" w14:paraId="213F6429"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D6711AE" w14:textId="77777777" w:rsidR="00B24C34" w:rsidRPr="008A2FBD" w:rsidRDefault="00B24C34" w:rsidP="00B24C34">
            <w:pPr>
              <w:spacing w:line="259" w:lineRule="auto"/>
              <w:jc w:val="both"/>
              <w:rPr>
                <w:b w:val="0"/>
                <w:bCs w:val="0"/>
                <w:szCs w:val="20"/>
              </w:rPr>
            </w:pPr>
          </w:p>
        </w:tc>
        <w:tc>
          <w:tcPr>
            <w:tcW w:w="0" w:type="auto"/>
            <w:hideMark/>
          </w:tcPr>
          <w:p w14:paraId="461E01C6"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Private</w:t>
            </w:r>
          </w:p>
        </w:tc>
        <w:tc>
          <w:tcPr>
            <w:tcW w:w="0" w:type="auto"/>
            <w:hideMark/>
          </w:tcPr>
          <w:p w14:paraId="0836E04D"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100</w:t>
            </w:r>
          </w:p>
        </w:tc>
        <w:tc>
          <w:tcPr>
            <w:cnfStyle w:val="000100000000" w:firstRow="0" w:lastRow="0" w:firstColumn="0" w:lastColumn="1" w:oddVBand="0" w:evenVBand="0" w:oddHBand="0" w:evenHBand="0" w:firstRowFirstColumn="0" w:firstRowLastColumn="0" w:lastRowFirstColumn="0" w:lastRowLastColumn="0"/>
            <w:tcW w:w="0" w:type="auto"/>
            <w:hideMark/>
          </w:tcPr>
          <w:p w14:paraId="3C479582" w14:textId="77777777" w:rsidR="00B24C34" w:rsidRPr="008A2FBD" w:rsidRDefault="00B24C34" w:rsidP="00B24C34">
            <w:pPr>
              <w:spacing w:line="259" w:lineRule="auto"/>
              <w:jc w:val="both"/>
              <w:rPr>
                <w:b w:val="0"/>
                <w:bCs w:val="0"/>
                <w:szCs w:val="20"/>
              </w:rPr>
            </w:pPr>
            <w:r w:rsidRPr="008A2FBD">
              <w:rPr>
                <w:b w:val="0"/>
                <w:bCs w:val="0"/>
                <w:szCs w:val="20"/>
              </w:rPr>
              <w:t>40.0</w:t>
            </w:r>
          </w:p>
        </w:tc>
      </w:tr>
      <w:tr w:rsidR="00B24C34" w:rsidRPr="008A2FBD" w14:paraId="38E6481B"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17F23AC2" w14:textId="77777777" w:rsidR="00B24C34" w:rsidRPr="008A2FBD" w:rsidRDefault="00B24C34" w:rsidP="00B24C34">
            <w:pPr>
              <w:spacing w:line="259" w:lineRule="auto"/>
              <w:jc w:val="both"/>
              <w:rPr>
                <w:b w:val="0"/>
                <w:bCs w:val="0"/>
                <w:szCs w:val="20"/>
              </w:rPr>
            </w:pPr>
            <w:r w:rsidRPr="008A2FBD">
              <w:rPr>
                <w:b w:val="0"/>
                <w:bCs w:val="0"/>
                <w:szCs w:val="20"/>
              </w:rPr>
              <w:t>Residence</w:t>
            </w:r>
          </w:p>
        </w:tc>
        <w:tc>
          <w:tcPr>
            <w:tcW w:w="0" w:type="auto"/>
            <w:hideMark/>
          </w:tcPr>
          <w:p w14:paraId="42C4F15A"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Urban</w:t>
            </w:r>
          </w:p>
        </w:tc>
        <w:tc>
          <w:tcPr>
            <w:tcW w:w="0" w:type="auto"/>
            <w:hideMark/>
          </w:tcPr>
          <w:p w14:paraId="186BF179"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170</w:t>
            </w:r>
          </w:p>
        </w:tc>
        <w:tc>
          <w:tcPr>
            <w:cnfStyle w:val="000100000000" w:firstRow="0" w:lastRow="0" w:firstColumn="0" w:lastColumn="1" w:oddVBand="0" w:evenVBand="0" w:oddHBand="0" w:evenHBand="0" w:firstRowFirstColumn="0" w:firstRowLastColumn="0" w:lastRowFirstColumn="0" w:lastRowLastColumn="0"/>
            <w:tcW w:w="0" w:type="auto"/>
            <w:hideMark/>
          </w:tcPr>
          <w:p w14:paraId="001B7864" w14:textId="77777777" w:rsidR="00B24C34" w:rsidRPr="008A2FBD" w:rsidRDefault="00B24C34" w:rsidP="00B24C34">
            <w:pPr>
              <w:spacing w:line="259" w:lineRule="auto"/>
              <w:jc w:val="both"/>
              <w:rPr>
                <w:b w:val="0"/>
                <w:bCs w:val="0"/>
                <w:szCs w:val="20"/>
              </w:rPr>
            </w:pPr>
            <w:r w:rsidRPr="008A2FBD">
              <w:rPr>
                <w:b w:val="0"/>
                <w:bCs w:val="0"/>
                <w:szCs w:val="20"/>
              </w:rPr>
              <w:t>68.0</w:t>
            </w:r>
          </w:p>
        </w:tc>
      </w:tr>
      <w:tr w:rsidR="00B24C34" w:rsidRPr="008A2FBD" w14:paraId="4C67532A"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7568FAFD" w14:textId="77777777" w:rsidR="00B24C34" w:rsidRPr="008A2FBD" w:rsidRDefault="00B24C34" w:rsidP="00B24C34">
            <w:pPr>
              <w:spacing w:line="259" w:lineRule="auto"/>
              <w:jc w:val="both"/>
              <w:rPr>
                <w:b w:val="0"/>
                <w:bCs w:val="0"/>
                <w:szCs w:val="20"/>
              </w:rPr>
            </w:pPr>
          </w:p>
        </w:tc>
        <w:tc>
          <w:tcPr>
            <w:tcW w:w="0" w:type="auto"/>
            <w:hideMark/>
          </w:tcPr>
          <w:p w14:paraId="5771B990"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Rural</w:t>
            </w:r>
          </w:p>
        </w:tc>
        <w:tc>
          <w:tcPr>
            <w:tcW w:w="0" w:type="auto"/>
            <w:hideMark/>
          </w:tcPr>
          <w:p w14:paraId="40E8BAAE" w14:textId="77777777" w:rsidR="00B24C34" w:rsidRPr="008A2FB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8A2FBD">
              <w:rPr>
                <w:szCs w:val="20"/>
              </w:rPr>
              <w:t>80</w:t>
            </w:r>
          </w:p>
        </w:tc>
        <w:tc>
          <w:tcPr>
            <w:cnfStyle w:val="000100000000" w:firstRow="0" w:lastRow="0" w:firstColumn="0" w:lastColumn="1" w:oddVBand="0" w:evenVBand="0" w:oddHBand="0" w:evenHBand="0" w:firstRowFirstColumn="0" w:firstRowLastColumn="0" w:lastRowFirstColumn="0" w:lastRowLastColumn="0"/>
            <w:tcW w:w="0" w:type="auto"/>
            <w:hideMark/>
          </w:tcPr>
          <w:p w14:paraId="3B4E783B" w14:textId="77777777" w:rsidR="00B24C34" w:rsidRPr="008A2FBD" w:rsidRDefault="00B24C34" w:rsidP="00B24C34">
            <w:pPr>
              <w:spacing w:line="259" w:lineRule="auto"/>
              <w:jc w:val="both"/>
              <w:rPr>
                <w:b w:val="0"/>
                <w:bCs w:val="0"/>
                <w:szCs w:val="20"/>
              </w:rPr>
            </w:pPr>
            <w:r w:rsidRPr="008A2FBD">
              <w:rPr>
                <w:b w:val="0"/>
                <w:bCs w:val="0"/>
                <w:szCs w:val="20"/>
              </w:rPr>
              <w:t>32.0</w:t>
            </w:r>
          </w:p>
        </w:tc>
      </w:tr>
    </w:tbl>
    <w:p w14:paraId="32EE4308" w14:textId="77777777" w:rsidR="00B24C34" w:rsidRPr="008A2FBD" w:rsidRDefault="00B24C34" w:rsidP="00B24C34">
      <w:pPr>
        <w:spacing w:line="259" w:lineRule="auto"/>
        <w:jc w:val="both"/>
      </w:pPr>
    </w:p>
    <w:p w14:paraId="798E5C66" w14:textId="77777777" w:rsidR="00B24C34" w:rsidRPr="00B24C34" w:rsidRDefault="00B24C34" w:rsidP="00B24C34">
      <w:pPr>
        <w:spacing w:before="240" w:line="259" w:lineRule="auto"/>
        <w:jc w:val="both"/>
        <w:rPr>
          <w:b/>
          <w:bCs/>
          <w:i/>
          <w:iCs/>
        </w:rPr>
      </w:pPr>
      <w:r w:rsidRPr="00B24C34">
        <w:rPr>
          <w:b/>
          <w:bCs/>
          <w:i/>
          <w:iCs/>
        </w:rPr>
        <w:lastRenderedPageBreak/>
        <w:t>3.2 Menstrual and Health-Related Characteristics</w:t>
      </w:r>
    </w:p>
    <w:p w14:paraId="657BB4BB" w14:textId="77777777" w:rsidR="00B24C34" w:rsidRPr="008A2FBD" w:rsidRDefault="00B24C34" w:rsidP="00B24C34">
      <w:pPr>
        <w:spacing w:before="240" w:line="259" w:lineRule="auto"/>
        <w:jc w:val="both"/>
      </w:pPr>
      <w:r w:rsidRPr="008A2FBD">
        <w:rPr>
          <w:b/>
          <w:bCs/>
        </w:rPr>
        <w:t>Table 2</w:t>
      </w:r>
      <w:r w:rsidRPr="008A2FBD">
        <w:t xml:space="preserve"> presents the menstrual and health-related characteristics of the participants.                                  Most participants (58.4%) attained menarche after 14 years of age, 32.0% between 12 and 14 years, and 9.6% before 12 years of age. The majority (60.0%) reported a menstrual duration of 5–7 days, followed by 24.0% with a duration of ≤4 days and 16.0% with a duration of&gt; 7 days. Regarding menstrual flow, 46.8% reported light flow, 42.0% moderate, and 11.2% heavy. A previous history of </w:t>
      </w:r>
      <w:proofErr w:type="spellStart"/>
      <w:r w:rsidRPr="008A2FBD">
        <w:t>anaemia</w:t>
      </w:r>
      <w:proofErr w:type="spellEnd"/>
      <w:r w:rsidRPr="008A2FBD">
        <w:t xml:space="preserve"> was reported by 38.0% of the participants, whereas 62.0% had no such history.  More than half of the participants (55.2%) reported a recent malaria infection, while 44.8% had no recent malaria episode. Only 35.6% reported using iron supplements, whereas 64.4% had not used iron supplementation.</w:t>
      </w:r>
    </w:p>
    <w:p w14:paraId="55D1578D" w14:textId="77777777" w:rsidR="00B24C34" w:rsidRPr="008A2FBD" w:rsidRDefault="00B24C34" w:rsidP="00B24C34">
      <w:pPr>
        <w:spacing w:before="240" w:line="259" w:lineRule="auto"/>
        <w:jc w:val="both"/>
      </w:pPr>
      <w:r w:rsidRPr="008A2FBD">
        <w:t xml:space="preserve">The participants' menstrual and health-related characteristics provide important information about factors that may influence iron status and the development of iron deficiency </w:t>
      </w:r>
      <w:proofErr w:type="spellStart"/>
      <w:r w:rsidRPr="008A2FBD">
        <w:t>anaemia</w:t>
      </w:r>
      <w:proofErr w:type="spellEnd"/>
      <w:r w:rsidRPr="008A2FBD">
        <w:t xml:space="preserve"> among adolescent girls. Prolonged menstrual bleeding is an important risk factor for iron depletion because continuous blood loss increases iron requirements and may gradually reduce body iron stores. Similar findings were reported by Cooke et al. (2017) and Munro et al. (2023), who identified menstrual blood loss as a major contributor to iron deficiency </w:t>
      </w:r>
      <w:proofErr w:type="spellStart"/>
      <w:r w:rsidRPr="008A2FBD">
        <w:t>anaemia</w:t>
      </w:r>
      <w:proofErr w:type="spellEnd"/>
      <w:r w:rsidRPr="008A2FBD">
        <w:t xml:space="preserve"> among adolescent females, particularly in populations where dietary iron intake may not adequately compensate for iron losses.</w:t>
      </w:r>
    </w:p>
    <w:p w14:paraId="5B18B275" w14:textId="77777777" w:rsidR="00B24C34" w:rsidRPr="008A2FBD" w:rsidRDefault="00B24C34" w:rsidP="00B24C34">
      <w:pPr>
        <w:spacing w:before="240" w:line="259" w:lineRule="auto"/>
        <w:jc w:val="both"/>
      </w:pPr>
      <w:r w:rsidRPr="008A2FBD">
        <w:t xml:space="preserve">A considerable proportion of participants (38.0%) reported a previous history of </w:t>
      </w:r>
      <w:proofErr w:type="spellStart"/>
      <w:r w:rsidRPr="008A2FBD">
        <w:t>anaemia</w:t>
      </w:r>
      <w:proofErr w:type="spellEnd"/>
      <w:r w:rsidRPr="008A2FBD">
        <w:t xml:space="preserve">, suggesting a possible persistent or recurrent burden of </w:t>
      </w:r>
      <w:proofErr w:type="spellStart"/>
      <w:r w:rsidRPr="008A2FBD">
        <w:t>anaemia</w:t>
      </w:r>
      <w:proofErr w:type="spellEnd"/>
      <w:r w:rsidRPr="008A2FBD">
        <w:t xml:space="preserve"> within the study population. Previous episodes of </w:t>
      </w:r>
      <w:proofErr w:type="spellStart"/>
      <w:r w:rsidRPr="008A2FBD">
        <w:t>anaemia</w:t>
      </w:r>
      <w:proofErr w:type="spellEnd"/>
      <w:r w:rsidRPr="008A2FBD">
        <w:t xml:space="preserve"> may indicate underlying factors such as inadequate iron stores, recurrent infections, poor healthcare </w:t>
      </w:r>
      <w:proofErr w:type="spellStart"/>
      <w:r w:rsidRPr="008A2FBD">
        <w:t>utilisation</w:t>
      </w:r>
      <w:proofErr w:type="spellEnd"/>
      <w:r w:rsidRPr="008A2FBD">
        <w:t xml:space="preserve">, or uncorrected blood loss. Tesfaye et al. (2024) found that adolescent girls with a history of </w:t>
      </w:r>
      <w:proofErr w:type="spellStart"/>
      <w:r w:rsidRPr="008A2FBD">
        <w:t>anaemia</w:t>
      </w:r>
      <w:proofErr w:type="spellEnd"/>
      <w:r w:rsidRPr="008A2FBD">
        <w:t xml:space="preserve"> are more likely to currently be </w:t>
      </w:r>
      <w:proofErr w:type="spellStart"/>
      <w:r w:rsidRPr="008A2FBD">
        <w:t>anaemic</w:t>
      </w:r>
      <w:proofErr w:type="spellEnd"/>
      <w:r w:rsidRPr="008A2FBD">
        <w:t>, highlighting the need for early detection and ongoing monitoring in high-risk populations.</w:t>
      </w:r>
    </w:p>
    <w:p w14:paraId="5D832478" w14:textId="77777777" w:rsidR="00B24C34" w:rsidRPr="008A2FBD" w:rsidRDefault="00B24C34" w:rsidP="00B24C34">
      <w:pPr>
        <w:spacing w:before="240" w:line="259" w:lineRule="auto"/>
        <w:jc w:val="both"/>
      </w:pPr>
      <w:r w:rsidRPr="008A2FBD">
        <w:t xml:space="preserve">More than half of the participants (55.2%) reported recent malaria infection. Malaria remains an important contributor to </w:t>
      </w:r>
      <w:proofErr w:type="spellStart"/>
      <w:r w:rsidRPr="008A2FBD">
        <w:t>anaemia</w:t>
      </w:r>
      <w:proofErr w:type="spellEnd"/>
      <w:r w:rsidRPr="008A2FBD">
        <w:t xml:space="preserve"> in malaria-endemic regions, including Nigeria, through mechanisms involving </w:t>
      </w:r>
      <w:proofErr w:type="spellStart"/>
      <w:r w:rsidRPr="008A2FBD">
        <w:t>haemolysis</w:t>
      </w:r>
      <w:proofErr w:type="spellEnd"/>
      <w:r w:rsidRPr="008A2FBD">
        <w:t xml:space="preserve"> of infected erythrocytes, accelerated removal of red blood cells, and suppression of erythropoiesis. </w:t>
      </w:r>
      <w:proofErr w:type="spellStart"/>
      <w:r w:rsidRPr="008A2FBD">
        <w:t>Itzkovich</w:t>
      </w:r>
      <w:proofErr w:type="spellEnd"/>
      <w:r w:rsidRPr="008A2FBD">
        <w:t xml:space="preserve"> et al. (2026) and White (2018) buttressed that repeated malaria episodes contribute significantly to the </w:t>
      </w:r>
      <w:proofErr w:type="spellStart"/>
      <w:r w:rsidRPr="008A2FBD">
        <w:t>anaemia</w:t>
      </w:r>
      <w:proofErr w:type="spellEnd"/>
      <w:r w:rsidRPr="008A2FBD">
        <w:t xml:space="preserve"> burden in endemic areas, particularly among children and adolescents. Therefore, malaria prevention and prompt treatment may complement iron-focused interventions in reducing </w:t>
      </w:r>
      <w:proofErr w:type="spellStart"/>
      <w:r w:rsidRPr="008A2FBD">
        <w:t>anaemia</w:t>
      </w:r>
      <w:proofErr w:type="spellEnd"/>
      <w:r w:rsidRPr="008A2FBD">
        <w:t xml:space="preserve"> among adolescent girls.</w:t>
      </w:r>
    </w:p>
    <w:p w14:paraId="0B1AF400" w14:textId="77777777" w:rsidR="00B24C34" w:rsidRDefault="00B24C34" w:rsidP="00B24C34">
      <w:pPr>
        <w:spacing w:before="240" w:line="259" w:lineRule="auto"/>
        <w:jc w:val="both"/>
      </w:pPr>
      <w:r w:rsidRPr="008A2FBD">
        <w:t xml:space="preserve">The present study also showed that only 35.6% of participants reported using iron supplements, whereas the majority (64.4%) had not. Limited </w:t>
      </w:r>
      <w:proofErr w:type="spellStart"/>
      <w:r w:rsidRPr="008A2FBD">
        <w:t>utilisation</w:t>
      </w:r>
      <w:proofErr w:type="spellEnd"/>
      <w:r w:rsidRPr="008A2FBD">
        <w:t xml:space="preserve"> of iron supplements may increase the risk of iron deficiency, especially among menstruating adolescents with increased physiological iron requirements (Leung et al., 2026). Similar observations were reported by Putri et al. (2026) and </w:t>
      </w:r>
      <w:proofErr w:type="spellStart"/>
      <w:r w:rsidRPr="008A2FBD">
        <w:t>Alaofè</w:t>
      </w:r>
      <w:proofErr w:type="spellEnd"/>
      <w:r w:rsidRPr="008A2FBD">
        <w:t xml:space="preserve"> et al. (2017), who </w:t>
      </w:r>
      <w:proofErr w:type="spellStart"/>
      <w:r w:rsidRPr="008A2FBD">
        <w:t>emphasised</w:t>
      </w:r>
      <w:proofErr w:type="spellEnd"/>
      <w:r w:rsidRPr="008A2FBD">
        <w:t xml:space="preserve"> that inadequate access to iron supplementation </w:t>
      </w:r>
      <w:proofErr w:type="spellStart"/>
      <w:r w:rsidRPr="008A2FBD">
        <w:t>programmes</w:t>
      </w:r>
      <w:proofErr w:type="spellEnd"/>
      <w:r w:rsidRPr="008A2FBD">
        <w:t xml:space="preserve"> contributes to the persistence of </w:t>
      </w:r>
      <w:proofErr w:type="spellStart"/>
      <w:r w:rsidRPr="008A2FBD">
        <w:t>anaemia</w:t>
      </w:r>
      <w:proofErr w:type="spellEnd"/>
      <w:r w:rsidRPr="008A2FBD">
        <w:t xml:space="preserve"> among adolescent girls in developing countries.</w:t>
      </w:r>
    </w:p>
    <w:p w14:paraId="240F66C3" w14:textId="77777777" w:rsidR="00B24C34" w:rsidRPr="008A2FBD" w:rsidRDefault="00B24C34" w:rsidP="00B24C34">
      <w:pPr>
        <w:spacing w:before="240" w:line="259" w:lineRule="auto"/>
        <w:jc w:val="both"/>
      </w:pPr>
    </w:p>
    <w:p w14:paraId="7DE61A9B" w14:textId="77777777" w:rsidR="00B24C34" w:rsidRPr="008A2FBD" w:rsidRDefault="00B24C34" w:rsidP="00B24C34">
      <w:pPr>
        <w:spacing w:line="259" w:lineRule="auto"/>
        <w:jc w:val="both"/>
      </w:pPr>
      <w:r w:rsidRPr="008A2FBD">
        <w:t>Table 2. Menstrual and health-related characteristics of the participants</w:t>
      </w:r>
    </w:p>
    <w:tbl>
      <w:tblPr>
        <w:tblStyle w:val="PlainTable2"/>
        <w:tblW w:w="9311" w:type="dxa"/>
        <w:tblLook w:val="07A0" w:firstRow="1" w:lastRow="0" w:firstColumn="1" w:lastColumn="1" w:noHBand="1" w:noVBand="1"/>
      </w:tblPr>
      <w:tblGrid>
        <w:gridCol w:w="3535"/>
        <w:gridCol w:w="1735"/>
        <w:gridCol w:w="1925"/>
        <w:gridCol w:w="2116"/>
      </w:tblGrid>
      <w:tr w:rsidR="00B24C34" w:rsidRPr="00B9314D" w14:paraId="58E66CA2" w14:textId="77777777" w:rsidTr="001D79DE">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7F97AF5B" w14:textId="77777777" w:rsidR="00B24C34" w:rsidRPr="00B9314D" w:rsidRDefault="00B24C34" w:rsidP="00B24C34">
            <w:pPr>
              <w:spacing w:line="259" w:lineRule="auto"/>
              <w:jc w:val="both"/>
              <w:rPr>
                <w:b w:val="0"/>
                <w:bCs w:val="0"/>
                <w:sz w:val="20"/>
                <w:szCs w:val="20"/>
              </w:rPr>
            </w:pPr>
            <w:r w:rsidRPr="00B9314D">
              <w:rPr>
                <w:b w:val="0"/>
                <w:bCs w:val="0"/>
                <w:sz w:val="20"/>
                <w:szCs w:val="20"/>
              </w:rPr>
              <w:t>Variable</w:t>
            </w:r>
          </w:p>
        </w:tc>
        <w:tc>
          <w:tcPr>
            <w:tcW w:w="0" w:type="auto"/>
            <w:hideMark/>
          </w:tcPr>
          <w:p w14:paraId="792F2A6B" w14:textId="77777777" w:rsidR="00B24C34" w:rsidRPr="00B9314D" w:rsidRDefault="00B24C34" w:rsidP="00B24C34">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B9314D">
              <w:rPr>
                <w:b w:val="0"/>
                <w:bCs w:val="0"/>
                <w:sz w:val="20"/>
                <w:szCs w:val="20"/>
              </w:rPr>
              <w:t>Category</w:t>
            </w:r>
          </w:p>
        </w:tc>
        <w:tc>
          <w:tcPr>
            <w:tcW w:w="0" w:type="auto"/>
            <w:hideMark/>
          </w:tcPr>
          <w:p w14:paraId="217B4E86" w14:textId="77777777" w:rsidR="00B24C34" w:rsidRPr="00B9314D" w:rsidRDefault="00B24C34" w:rsidP="00B24C34">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B9314D">
              <w:rPr>
                <w:b w:val="0"/>
                <w:bCs w:val="0"/>
                <w:sz w:val="20"/>
                <w:szCs w:val="20"/>
              </w:rPr>
              <w:t>Frequency (n)</w:t>
            </w:r>
          </w:p>
        </w:tc>
        <w:tc>
          <w:tcPr>
            <w:cnfStyle w:val="000100000000" w:firstRow="0" w:lastRow="0" w:firstColumn="0" w:lastColumn="1" w:oddVBand="0" w:evenVBand="0" w:oddHBand="0" w:evenHBand="0" w:firstRowFirstColumn="0" w:firstRowLastColumn="0" w:lastRowFirstColumn="0" w:lastRowLastColumn="0"/>
            <w:tcW w:w="0" w:type="auto"/>
            <w:hideMark/>
          </w:tcPr>
          <w:p w14:paraId="128023B4" w14:textId="77777777" w:rsidR="00B24C34" w:rsidRPr="00B9314D" w:rsidRDefault="00B24C34" w:rsidP="00B24C34">
            <w:pPr>
              <w:spacing w:line="259" w:lineRule="auto"/>
              <w:jc w:val="both"/>
              <w:rPr>
                <w:b w:val="0"/>
                <w:bCs w:val="0"/>
                <w:sz w:val="20"/>
                <w:szCs w:val="20"/>
              </w:rPr>
            </w:pPr>
            <w:r w:rsidRPr="00B9314D">
              <w:rPr>
                <w:b w:val="0"/>
                <w:bCs w:val="0"/>
                <w:sz w:val="20"/>
                <w:szCs w:val="20"/>
              </w:rPr>
              <w:t>Percentage (%)</w:t>
            </w:r>
          </w:p>
        </w:tc>
      </w:tr>
      <w:tr w:rsidR="00B24C34" w:rsidRPr="00B9314D" w14:paraId="31A0E574"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1AE25E31" w14:textId="77777777" w:rsidR="00B24C34" w:rsidRPr="00B9314D" w:rsidRDefault="00B24C34" w:rsidP="00B24C34">
            <w:pPr>
              <w:spacing w:line="259" w:lineRule="auto"/>
              <w:jc w:val="both"/>
              <w:rPr>
                <w:b w:val="0"/>
                <w:bCs w:val="0"/>
                <w:sz w:val="20"/>
                <w:szCs w:val="20"/>
              </w:rPr>
            </w:pPr>
            <w:r w:rsidRPr="00B9314D">
              <w:rPr>
                <w:b w:val="0"/>
                <w:bCs w:val="0"/>
                <w:sz w:val="20"/>
                <w:szCs w:val="20"/>
              </w:rPr>
              <w:t>Age at menarche</w:t>
            </w:r>
          </w:p>
        </w:tc>
        <w:tc>
          <w:tcPr>
            <w:tcW w:w="0" w:type="auto"/>
            <w:hideMark/>
          </w:tcPr>
          <w:p w14:paraId="79444162"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&lt;12 years</w:t>
            </w:r>
          </w:p>
        </w:tc>
        <w:tc>
          <w:tcPr>
            <w:tcW w:w="0" w:type="auto"/>
            <w:hideMark/>
          </w:tcPr>
          <w:p w14:paraId="4A8D46A9"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24</w:t>
            </w:r>
          </w:p>
        </w:tc>
        <w:tc>
          <w:tcPr>
            <w:cnfStyle w:val="000100000000" w:firstRow="0" w:lastRow="0" w:firstColumn="0" w:lastColumn="1" w:oddVBand="0" w:evenVBand="0" w:oddHBand="0" w:evenHBand="0" w:firstRowFirstColumn="0" w:firstRowLastColumn="0" w:lastRowFirstColumn="0" w:lastRowLastColumn="0"/>
            <w:tcW w:w="0" w:type="auto"/>
            <w:hideMark/>
          </w:tcPr>
          <w:p w14:paraId="28DC9730" w14:textId="77777777" w:rsidR="00B24C34" w:rsidRPr="00B9314D" w:rsidRDefault="00B24C34" w:rsidP="00B24C34">
            <w:pPr>
              <w:spacing w:line="259" w:lineRule="auto"/>
              <w:jc w:val="both"/>
              <w:rPr>
                <w:b w:val="0"/>
                <w:bCs w:val="0"/>
                <w:sz w:val="20"/>
                <w:szCs w:val="20"/>
              </w:rPr>
            </w:pPr>
            <w:r w:rsidRPr="00B9314D">
              <w:rPr>
                <w:b w:val="0"/>
                <w:bCs w:val="0"/>
                <w:sz w:val="20"/>
                <w:szCs w:val="20"/>
              </w:rPr>
              <w:t>9.6</w:t>
            </w:r>
          </w:p>
        </w:tc>
      </w:tr>
      <w:tr w:rsidR="00B24C34" w:rsidRPr="00B9314D" w14:paraId="674A68C3"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048F64E4" w14:textId="77777777" w:rsidR="00B24C34" w:rsidRPr="00B9314D" w:rsidRDefault="00B24C34" w:rsidP="00B24C34">
            <w:pPr>
              <w:spacing w:line="259" w:lineRule="auto"/>
              <w:jc w:val="both"/>
              <w:rPr>
                <w:b w:val="0"/>
                <w:bCs w:val="0"/>
                <w:sz w:val="20"/>
                <w:szCs w:val="20"/>
              </w:rPr>
            </w:pPr>
          </w:p>
        </w:tc>
        <w:tc>
          <w:tcPr>
            <w:tcW w:w="0" w:type="auto"/>
            <w:hideMark/>
          </w:tcPr>
          <w:p w14:paraId="0C1E38D3"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12–14 years</w:t>
            </w:r>
          </w:p>
        </w:tc>
        <w:tc>
          <w:tcPr>
            <w:tcW w:w="0" w:type="auto"/>
            <w:hideMark/>
          </w:tcPr>
          <w:p w14:paraId="7E76C0C1"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80</w:t>
            </w:r>
          </w:p>
        </w:tc>
        <w:tc>
          <w:tcPr>
            <w:cnfStyle w:val="000100000000" w:firstRow="0" w:lastRow="0" w:firstColumn="0" w:lastColumn="1" w:oddVBand="0" w:evenVBand="0" w:oddHBand="0" w:evenHBand="0" w:firstRowFirstColumn="0" w:firstRowLastColumn="0" w:lastRowFirstColumn="0" w:lastRowLastColumn="0"/>
            <w:tcW w:w="0" w:type="auto"/>
            <w:hideMark/>
          </w:tcPr>
          <w:p w14:paraId="2CCD9E9B" w14:textId="77777777" w:rsidR="00B24C34" w:rsidRPr="00B9314D" w:rsidRDefault="00B24C34" w:rsidP="00B24C34">
            <w:pPr>
              <w:spacing w:line="259" w:lineRule="auto"/>
              <w:jc w:val="both"/>
              <w:rPr>
                <w:b w:val="0"/>
                <w:bCs w:val="0"/>
                <w:sz w:val="20"/>
                <w:szCs w:val="20"/>
              </w:rPr>
            </w:pPr>
            <w:r w:rsidRPr="00B9314D">
              <w:rPr>
                <w:b w:val="0"/>
                <w:bCs w:val="0"/>
                <w:sz w:val="20"/>
                <w:szCs w:val="20"/>
              </w:rPr>
              <w:t>32.0</w:t>
            </w:r>
          </w:p>
        </w:tc>
      </w:tr>
      <w:tr w:rsidR="00B24C34" w:rsidRPr="00B9314D" w14:paraId="3E2A4FE5"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2CA1F37B" w14:textId="77777777" w:rsidR="00B24C34" w:rsidRPr="00B9314D" w:rsidRDefault="00B24C34" w:rsidP="00B24C34">
            <w:pPr>
              <w:spacing w:line="259" w:lineRule="auto"/>
              <w:jc w:val="both"/>
              <w:rPr>
                <w:b w:val="0"/>
                <w:bCs w:val="0"/>
                <w:sz w:val="20"/>
                <w:szCs w:val="20"/>
              </w:rPr>
            </w:pPr>
          </w:p>
        </w:tc>
        <w:tc>
          <w:tcPr>
            <w:tcW w:w="0" w:type="auto"/>
            <w:hideMark/>
          </w:tcPr>
          <w:p w14:paraId="5C068C13"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&gt;14 years</w:t>
            </w:r>
          </w:p>
        </w:tc>
        <w:tc>
          <w:tcPr>
            <w:tcW w:w="0" w:type="auto"/>
            <w:hideMark/>
          </w:tcPr>
          <w:p w14:paraId="02389F4E"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146</w:t>
            </w:r>
          </w:p>
        </w:tc>
        <w:tc>
          <w:tcPr>
            <w:cnfStyle w:val="000100000000" w:firstRow="0" w:lastRow="0" w:firstColumn="0" w:lastColumn="1" w:oddVBand="0" w:evenVBand="0" w:oddHBand="0" w:evenHBand="0" w:firstRowFirstColumn="0" w:firstRowLastColumn="0" w:lastRowFirstColumn="0" w:lastRowLastColumn="0"/>
            <w:tcW w:w="0" w:type="auto"/>
            <w:hideMark/>
          </w:tcPr>
          <w:p w14:paraId="5144241D" w14:textId="77777777" w:rsidR="00B24C34" w:rsidRPr="00B9314D" w:rsidRDefault="00B24C34" w:rsidP="00B24C34">
            <w:pPr>
              <w:spacing w:line="259" w:lineRule="auto"/>
              <w:jc w:val="both"/>
              <w:rPr>
                <w:b w:val="0"/>
                <w:bCs w:val="0"/>
                <w:sz w:val="20"/>
                <w:szCs w:val="20"/>
              </w:rPr>
            </w:pPr>
            <w:r w:rsidRPr="00B9314D">
              <w:rPr>
                <w:b w:val="0"/>
                <w:bCs w:val="0"/>
                <w:sz w:val="20"/>
                <w:szCs w:val="20"/>
              </w:rPr>
              <w:t>58.4</w:t>
            </w:r>
          </w:p>
        </w:tc>
      </w:tr>
      <w:tr w:rsidR="00B24C34" w:rsidRPr="00B9314D" w14:paraId="77545D1D"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7847C91F" w14:textId="77777777" w:rsidR="00B24C34" w:rsidRPr="00B9314D" w:rsidRDefault="00B24C34" w:rsidP="00B24C34">
            <w:pPr>
              <w:spacing w:line="259" w:lineRule="auto"/>
              <w:jc w:val="both"/>
              <w:rPr>
                <w:b w:val="0"/>
                <w:bCs w:val="0"/>
                <w:sz w:val="20"/>
                <w:szCs w:val="20"/>
              </w:rPr>
            </w:pPr>
            <w:r w:rsidRPr="00B9314D">
              <w:rPr>
                <w:b w:val="0"/>
                <w:bCs w:val="0"/>
                <w:sz w:val="20"/>
                <w:szCs w:val="20"/>
              </w:rPr>
              <w:t>Duration of menstruation</w:t>
            </w:r>
          </w:p>
        </w:tc>
        <w:tc>
          <w:tcPr>
            <w:tcW w:w="0" w:type="auto"/>
            <w:hideMark/>
          </w:tcPr>
          <w:p w14:paraId="74FBAEA8"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≤4 days</w:t>
            </w:r>
          </w:p>
        </w:tc>
        <w:tc>
          <w:tcPr>
            <w:tcW w:w="0" w:type="auto"/>
            <w:hideMark/>
          </w:tcPr>
          <w:p w14:paraId="766861BB"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60</w:t>
            </w:r>
          </w:p>
        </w:tc>
        <w:tc>
          <w:tcPr>
            <w:cnfStyle w:val="000100000000" w:firstRow="0" w:lastRow="0" w:firstColumn="0" w:lastColumn="1" w:oddVBand="0" w:evenVBand="0" w:oddHBand="0" w:evenHBand="0" w:firstRowFirstColumn="0" w:firstRowLastColumn="0" w:lastRowFirstColumn="0" w:lastRowLastColumn="0"/>
            <w:tcW w:w="0" w:type="auto"/>
            <w:hideMark/>
          </w:tcPr>
          <w:p w14:paraId="1D7A4922" w14:textId="77777777" w:rsidR="00B24C34" w:rsidRPr="00B9314D" w:rsidRDefault="00B24C34" w:rsidP="00B24C34">
            <w:pPr>
              <w:spacing w:line="259" w:lineRule="auto"/>
              <w:jc w:val="both"/>
              <w:rPr>
                <w:b w:val="0"/>
                <w:bCs w:val="0"/>
                <w:sz w:val="20"/>
                <w:szCs w:val="20"/>
              </w:rPr>
            </w:pPr>
            <w:r w:rsidRPr="00B9314D">
              <w:rPr>
                <w:b w:val="0"/>
                <w:bCs w:val="0"/>
                <w:sz w:val="20"/>
                <w:szCs w:val="20"/>
              </w:rPr>
              <w:t>24.0</w:t>
            </w:r>
          </w:p>
        </w:tc>
      </w:tr>
      <w:tr w:rsidR="00B24C34" w:rsidRPr="00B9314D" w14:paraId="5C406039"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7A85117A" w14:textId="77777777" w:rsidR="00B24C34" w:rsidRPr="00B9314D" w:rsidRDefault="00B24C34" w:rsidP="00B24C34">
            <w:pPr>
              <w:spacing w:line="259" w:lineRule="auto"/>
              <w:jc w:val="both"/>
              <w:rPr>
                <w:b w:val="0"/>
                <w:bCs w:val="0"/>
                <w:sz w:val="20"/>
                <w:szCs w:val="20"/>
              </w:rPr>
            </w:pPr>
          </w:p>
        </w:tc>
        <w:tc>
          <w:tcPr>
            <w:tcW w:w="0" w:type="auto"/>
            <w:hideMark/>
          </w:tcPr>
          <w:p w14:paraId="5DFC5D8B"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5–7 days</w:t>
            </w:r>
          </w:p>
        </w:tc>
        <w:tc>
          <w:tcPr>
            <w:tcW w:w="0" w:type="auto"/>
            <w:hideMark/>
          </w:tcPr>
          <w:p w14:paraId="359D90D0"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150</w:t>
            </w:r>
          </w:p>
        </w:tc>
        <w:tc>
          <w:tcPr>
            <w:cnfStyle w:val="000100000000" w:firstRow="0" w:lastRow="0" w:firstColumn="0" w:lastColumn="1" w:oddVBand="0" w:evenVBand="0" w:oddHBand="0" w:evenHBand="0" w:firstRowFirstColumn="0" w:firstRowLastColumn="0" w:lastRowFirstColumn="0" w:lastRowLastColumn="0"/>
            <w:tcW w:w="0" w:type="auto"/>
            <w:hideMark/>
          </w:tcPr>
          <w:p w14:paraId="78C943F1" w14:textId="77777777" w:rsidR="00B24C34" w:rsidRPr="00B9314D" w:rsidRDefault="00B24C34" w:rsidP="00B24C34">
            <w:pPr>
              <w:spacing w:line="259" w:lineRule="auto"/>
              <w:jc w:val="both"/>
              <w:rPr>
                <w:b w:val="0"/>
                <w:bCs w:val="0"/>
                <w:sz w:val="20"/>
                <w:szCs w:val="20"/>
              </w:rPr>
            </w:pPr>
            <w:r w:rsidRPr="00B9314D">
              <w:rPr>
                <w:b w:val="0"/>
                <w:bCs w:val="0"/>
                <w:sz w:val="20"/>
                <w:szCs w:val="20"/>
              </w:rPr>
              <w:t>60.0</w:t>
            </w:r>
          </w:p>
        </w:tc>
      </w:tr>
      <w:tr w:rsidR="00B24C34" w:rsidRPr="00B9314D" w14:paraId="002102B0"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2CB8454C" w14:textId="77777777" w:rsidR="00B24C34" w:rsidRPr="00B9314D" w:rsidRDefault="00B24C34" w:rsidP="00B24C34">
            <w:pPr>
              <w:spacing w:line="259" w:lineRule="auto"/>
              <w:jc w:val="both"/>
              <w:rPr>
                <w:b w:val="0"/>
                <w:bCs w:val="0"/>
                <w:sz w:val="20"/>
                <w:szCs w:val="20"/>
              </w:rPr>
            </w:pPr>
          </w:p>
        </w:tc>
        <w:tc>
          <w:tcPr>
            <w:tcW w:w="0" w:type="auto"/>
            <w:hideMark/>
          </w:tcPr>
          <w:p w14:paraId="34473F3D"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&gt;7 days</w:t>
            </w:r>
          </w:p>
        </w:tc>
        <w:tc>
          <w:tcPr>
            <w:tcW w:w="0" w:type="auto"/>
            <w:hideMark/>
          </w:tcPr>
          <w:p w14:paraId="2C51DDB4"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40</w:t>
            </w:r>
          </w:p>
        </w:tc>
        <w:tc>
          <w:tcPr>
            <w:cnfStyle w:val="000100000000" w:firstRow="0" w:lastRow="0" w:firstColumn="0" w:lastColumn="1" w:oddVBand="0" w:evenVBand="0" w:oddHBand="0" w:evenHBand="0" w:firstRowFirstColumn="0" w:firstRowLastColumn="0" w:lastRowFirstColumn="0" w:lastRowLastColumn="0"/>
            <w:tcW w:w="0" w:type="auto"/>
            <w:hideMark/>
          </w:tcPr>
          <w:p w14:paraId="5BB3145C" w14:textId="77777777" w:rsidR="00B24C34" w:rsidRPr="00B9314D" w:rsidRDefault="00B24C34" w:rsidP="00B24C34">
            <w:pPr>
              <w:spacing w:line="259" w:lineRule="auto"/>
              <w:jc w:val="both"/>
              <w:rPr>
                <w:b w:val="0"/>
                <w:bCs w:val="0"/>
                <w:sz w:val="20"/>
                <w:szCs w:val="20"/>
              </w:rPr>
            </w:pPr>
            <w:r w:rsidRPr="00B9314D">
              <w:rPr>
                <w:b w:val="0"/>
                <w:bCs w:val="0"/>
                <w:sz w:val="20"/>
                <w:szCs w:val="20"/>
              </w:rPr>
              <w:t>16.0</w:t>
            </w:r>
          </w:p>
        </w:tc>
      </w:tr>
      <w:tr w:rsidR="00B24C34" w:rsidRPr="00B9314D" w14:paraId="73A3724B"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0D70D7AF" w14:textId="77777777" w:rsidR="00B24C34" w:rsidRPr="00B9314D" w:rsidRDefault="00B24C34" w:rsidP="00B24C34">
            <w:pPr>
              <w:spacing w:line="259" w:lineRule="auto"/>
              <w:jc w:val="both"/>
              <w:rPr>
                <w:b w:val="0"/>
                <w:bCs w:val="0"/>
                <w:sz w:val="20"/>
                <w:szCs w:val="20"/>
              </w:rPr>
            </w:pPr>
            <w:r w:rsidRPr="00B9314D">
              <w:rPr>
                <w:b w:val="0"/>
                <w:bCs w:val="0"/>
                <w:sz w:val="20"/>
                <w:szCs w:val="20"/>
              </w:rPr>
              <w:t>Menstrual flow</w:t>
            </w:r>
          </w:p>
        </w:tc>
        <w:tc>
          <w:tcPr>
            <w:tcW w:w="0" w:type="auto"/>
            <w:hideMark/>
          </w:tcPr>
          <w:p w14:paraId="3D0EFB77"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Light</w:t>
            </w:r>
          </w:p>
        </w:tc>
        <w:tc>
          <w:tcPr>
            <w:tcW w:w="0" w:type="auto"/>
            <w:hideMark/>
          </w:tcPr>
          <w:p w14:paraId="02D1D07E"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117</w:t>
            </w:r>
          </w:p>
        </w:tc>
        <w:tc>
          <w:tcPr>
            <w:cnfStyle w:val="000100000000" w:firstRow="0" w:lastRow="0" w:firstColumn="0" w:lastColumn="1" w:oddVBand="0" w:evenVBand="0" w:oddHBand="0" w:evenHBand="0" w:firstRowFirstColumn="0" w:firstRowLastColumn="0" w:lastRowFirstColumn="0" w:lastRowLastColumn="0"/>
            <w:tcW w:w="0" w:type="auto"/>
            <w:hideMark/>
          </w:tcPr>
          <w:p w14:paraId="463829AB" w14:textId="77777777" w:rsidR="00B24C34" w:rsidRPr="00B9314D" w:rsidRDefault="00B24C34" w:rsidP="00B24C34">
            <w:pPr>
              <w:spacing w:line="259" w:lineRule="auto"/>
              <w:jc w:val="both"/>
              <w:rPr>
                <w:b w:val="0"/>
                <w:bCs w:val="0"/>
                <w:sz w:val="20"/>
                <w:szCs w:val="20"/>
              </w:rPr>
            </w:pPr>
            <w:r w:rsidRPr="00B9314D">
              <w:rPr>
                <w:b w:val="0"/>
                <w:bCs w:val="0"/>
                <w:sz w:val="20"/>
                <w:szCs w:val="20"/>
              </w:rPr>
              <w:t>46.8</w:t>
            </w:r>
          </w:p>
        </w:tc>
      </w:tr>
      <w:tr w:rsidR="00B24C34" w:rsidRPr="00B9314D" w14:paraId="53C98B18"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60648AAD" w14:textId="77777777" w:rsidR="00B24C34" w:rsidRPr="00B9314D" w:rsidRDefault="00B24C34" w:rsidP="00B24C34">
            <w:pPr>
              <w:spacing w:line="259" w:lineRule="auto"/>
              <w:jc w:val="both"/>
              <w:rPr>
                <w:b w:val="0"/>
                <w:bCs w:val="0"/>
                <w:sz w:val="20"/>
                <w:szCs w:val="20"/>
              </w:rPr>
            </w:pPr>
          </w:p>
        </w:tc>
        <w:tc>
          <w:tcPr>
            <w:tcW w:w="0" w:type="auto"/>
            <w:hideMark/>
          </w:tcPr>
          <w:p w14:paraId="0C28EA30"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Moderate</w:t>
            </w:r>
          </w:p>
        </w:tc>
        <w:tc>
          <w:tcPr>
            <w:tcW w:w="0" w:type="auto"/>
            <w:hideMark/>
          </w:tcPr>
          <w:p w14:paraId="18ACF707"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105</w:t>
            </w:r>
          </w:p>
        </w:tc>
        <w:tc>
          <w:tcPr>
            <w:cnfStyle w:val="000100000000" w:firstRow="0" w:lastRow="0" w:firstColumn="0" w:lastColumn="1" w:oddVBand="0" w:evenVBand="0" w:oddHBand="0" w:evenHBand="0" w:firstRowFirstColumn="0" w:firstRowLastColumn="0" w:lastRowFirstColumn="0" w:lastRowLastColumn="0"/>
            <w:tcW w:w="0" w:type="auto"/>
            <w:hideMark/>
          </w:tcPr>
          <w:p w14:paraId="3E8D74E0" w14:textId="77777777" w:rsidR="00B24C34" w:rsidRPr="00B9314D" w:rsidRDefault="00B24C34" w:rsidP="00B24C34">
            <w:pPr>
              <w:spacing w:line="259" w:lineRule="auto"/>
              <w:jc w:val="both"/>
              <w:rPr>
                <w:b w:val="0"/>
                <w:bCs w:val="0"/>
                <w:sz w:val="20"/>
                <w:szCs w:val="20"/>
              </w:rPr>
            </w:pPr>
            <w:r w:rsidRPr="00B9314D">
              <w:rPr>
                <w:b w:val="0"/>
                <w:bCs w:val="0"/>
                <w:sz w:val="20"/>
                <w:szCs w:val="20"/>
              </w:rPr>
              <w:t>42.0</w:t>
            </w:r>
          </w:p>
        </w:tc>
      </w:tr>
      <w:tr w:rsidR="00B24C34" w:rsidRPr="00B9314D" w14:paraId="111862DA"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75E9E9C3" w14:textId="77777777" w:rsidR="00B24C34" w:rsidRPr="00B9314D" w:rsidRDefault="00B24C34" w:rsidP="00B24C34">
            <w:pPr>
              <w:spacing w:line="259" w:lineRule="auto"/>
              <w:jc w:val="both"/>
              <w:rPr>
                <w:b w:val="0"/>
                <w:bCs w:val="0"/>
                <w:sz w:val="20"/>
                <w:szCs w:val="20"/>
              </w:rPr>
            </w:pPr>
          </w:p>
        </w:tc>
        <w:tc>
          <w:tcPr>
            <w:tcW w:w="0" w:type="auto"/>
            <w:hideMark/>
          </w:tcPr>
          <w:p w14:paraId="29B9DA13"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Heavy</w:t>
            </w:r>
          </w:p>
        </w:tc>
        <w:tc>
          <w:tcPr>
            <w:tcW w:w="0" w:type="auto"/>
            <w:hideMark/>
          </w:tcPr>
          <w:p w14:paraId="59EFC4AC"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28</w:t>
            </w:r>
          </w:p>
        </w:tc>
        <w:tc>
          <w:tcPr>
            <w:cnfStyle w:val="000100000000" w:firstRow="0" w:lastRow="0" w:firstColumn="0" w:lastColumn="1" w:oddVBand="0" w:evenVBand="0" w:oddHBand="0" w:evenHBand="0" w:firstRowFirstColumn="0" w:firstRowLastColumn="0" w:lastRowFirstColumn="0" w:lastRowLastColumn="0"/>
            <w:tcW w:w="0" w:type="auto"/>
            <w:hideMark/>
          </w:tcPr>
          <w:p w14:paraId="5E58D60C" w14:textId="77777777" w:rsidR="00B24C34" w:rsidRPr="00B9314D" w:rsidRDefault="00B24C34" w:rsidP="00B24C34">
            <w:pPr>
              <w:spacing w:line="259" w:lineRule="auto"/>
              <w:jc w:val="both"/>
              <w:rPr>
                <w:b w:val="0"/>
                <w:bCs w:val="0"/>
                <w:sz w:val="20"/>
                <w:szCs w:val="20"/>
              </w:rPr>
            </w:pPr>
            <w:r w:rsidRPr="00B9314D">
              <w:rPr>
                <w:b w:val="0"/>
                <w:bCs w:val="0"/>
                <w:sz w:val="20"/>
                <w:szCs w:val="20"/>
              </w:rPr>
              <w:t>11.2</w:t>
            </w:r>
          </w:p>
        </w:tc>
      </w:tr>
      <w:tr w:rsidR="00B24C34" w:rsidRPr="00B9314D" w14:paraId="7F45E1F1"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6F950C86" w14:textId="77777777" w:rsidR="00B24C34" w:rsidRPr="00B9314D" w:rsidRDefault="00B24C34" w:rsidP="00B24C34">
            <w:pPr>
              <w:spacing w:line="259" w:lineRule="auto"/>
              <w:jc w:val="both"/>
              <w:rPr>
                <w:b w:val="0"/>
                <w:bCs w:val="0"/>
                <w:sz w:val="20"/>
                <w:szCs w:val="20"/>
              </w:rPr>
            </w:pPr>
            <w:r w:rsidRPr="00B9314D">
              <w:rPr>
                <w:b w:val="0"/>
                <w:bCs w:val="0"/>
                <w:sz w:val="20"/>
                <w:szCs w:val="20"/>
              </w:rPr>
              <w:t xml:space="preserve">Previous history of </w:t>
            </w:r>
            <w:proofErr w:type="spellStart"/>
            <w:r w:rsidRPr="00B9314D">
              <w:rPr>
                <w:b w:val="0"/>
                <w:bCs w:val="0"/>
                <w:sz w:val="20"/>
                <w:szCs w:val="20"/>
              </w:rPr>
              <w:t>anaemia</w:t>
            </w:r>
            <w:proofErr w:type="spellEnd"/>
          </w:p>
        </w:tc>
        <w:tc>
          <w:tcPr>
            <w:tcW w:w="0" w:type="auto"/>
            <w:hideMark/>
          </w:tcPr>
          <w:p w14:paraId="440E6DE3"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Yes</w:t>
            </w:r>
          </w:p>
        </w:tc>
        <w:tc>
          <w:tcPr>
            <w:tcW w:w="0" w:type="auto"/>
            <w:hideMark/>
          </w:tcPr>
          <w:p w14:paraId="789A6505"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95</w:t>
            </w:r>
          </w:p>
        </w:tc>
        <w:tc>
          <w:tcPr>
            <w:cnfStyle w:val="000100000000" w:firstRow="0" w:lastRow="0" w:firstColumn="0" w:lastColumn="1" w:oddVBand="0" w:evenVBand="0" w:oddHBand="0" w:evenHBand="0" w:firstRowFirstColumn="0" w:firstRowLastColumn="0" w:lastRowFirstColumn="0" w:lastRowLastColumn="0"/>
            <w:tcW w:w="0" w:type="auto"/>
            <w:hideMark/>
          </w:tcPr>
          <w:p w14:paraId="56225C90" w14:textId="77777777" w:rsidR="00B24C34" w:rsidRPr="00B9314D" w:rsidRDefault="00B24C34" w:rsidP="00B24C34">
            <w:pPr>
              <w:spacing w:line="259" w:lineRule="auto"/>
              <w:jc w:val="both"/>
              <w:rPr>
                <w:b w:val="0"/>
                <w:bCs w:val="0"/>
                <w:sz w:val="20"/>
                <w:szCs w:val="20"/>
              </w:rPr>
            </w:pPr>
            <w:r w:rsidRPr="00B9314D">
              <w:rPr>
                <w:b w:val="0"/>
                <w:bCs w:val="0"/>
                <w:sz w:val="20"/>
                <w:szCs w:val="20"/>
              </w:rPr>
              <w:t>38.0</w:t>
            </w:r>
          </w:p>
        </w:tc>
      </w:tr>
      <w:tr w:rsidR="00B24C34" w:rsidRPr="00B9314D" w14:paraId="1AE15DCA"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36F9CE64" w14:textId="77777777" w:rsidR="00B24C34" w:rsidRPr="00B9314D" w:rsidRDefault="00B24C34" w:rsidP="00B24C34">
            <w:pPr>
              <w:spacing w:line="259" w:lineRule="auto"/>
              <w:jc w:val="both"/>
              <w:rPr>
                <w:b w:val="0"/>
                <w:bCs w:val="0"/>
                <w:sz w:val="20"/>
                <w:szCs w:val="20"/>
              </w:rPr>
            </w:pPr>
          </w:p>
        </w:tc>
        <w:tc>
          <w:tcPr>
            <w:tcW w:w="0" w:type="auto"/>
            <w:hideMark/>
          </w:tcPr>
          <w:p w14:paraId="286FA547"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No</w:t>
            </w:r>
          </w:p>
        </w:tc>
        <w:tc>
          <w:tcPr>
            <w:tcW w:w="0" w:type="auto"/>
            <w:hideMark/>
          </w:tcPr>
          <w:p w14:paraId="5E244B30"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155</w:t>
            </w:r>
          </w:p>
        </w:tc>
        <w:tc>
          <w:tcPr>
            <w:cnfStyle w:val="000100000000" w:firstRow="0" w:lastRow="0" w:firstColumn="0" w:lastColumn="1" w:oddVBand="0" w:evenVBand="0" w:oddHBand="0" w:evenHBand="0" w:firstRowFirstColumn="0" w:firstRowLastColumn="0" w:lastRowFirstColumn="0" w:lastRowLastColumn="0"/>
            <w:tcW w:w="0" w:type="auto"/>
            <w:hideMark/>
          </w:tcPr>
          <w:p w14:paraId="31656BB2" w14:textId="77777777" w:rsidR="00B24C34" w:rsidRPr="00B9314D" w:rsidRDefault="00B24C34" w:rsidP="00B24C34">
            <w:pPr>
              <w:spacing w:line="259" w:lineRule="auto"/>
              <w:jc w:val="both"/>
              <w:rPr>
                <w:b w:val="0"/>
                <w:bCs w:val="0"/>
                <w:sz w:val="20"/>
                <w:szCs w:val="20"/>
              </w:rPr>
            </w:pPr>
            <w:r w:rsidRPr="00B9314D">
              <w:rPr>
                <w:b w:val="0"/>
                <w:bCs w:val="0"/>
                <w:sz w:val="20"/>
                <w:szCs w:val="20"/>
              </w:rPr>
              <w:t>62.0</w:t>
            </w:r>
          </w:p>
        </w:tc>
      </w:tr>
      <w:tr w:rsidR="00B24C34" w:rsidRPr="00B9314D" w14:paraId="641ABE11"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52D7C4DB" w14:textId="77777777" w:rsidR="00B24C34" w:rsidRPr="00B9314D" w:rsidRDefault="00B24C34" w:rsidP="00B24C34">
            <w:pPr>
              <w:spacing w:line="259" w:lineRule="auto"/>
              <w:jc w:val="both"/>
              <w:rPr>
                <w:b w:val="0"/>
                <w:bCs w:val="0"/>
                <w:sz w:val="20"/>
                <w:szCs w:val="20"/>
              </w:rPr>
            </w:pPr>
            <w:r w:rsidRPr="00B9314D">
              <w:rPr>
                <w:b w:val="0"/>
                <w:bCs w:val="0"/>
                <w:sz w:val="20"/>
                <w:szCs w:val="20"/>
              </w:rPr>
              <w:t>Recent malaria infection</w:t>
            </w:r>
          </w:p>
        </w:tc>
        <w:tc>
          <w:tcPr>
            <w:tcW w:w="0" w:type="auto"/>
            <w:hideMark/>
          </w:tcPr>
          <w:p w14:paraId="3AA7E16C"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Yes</w:t>
            </w:r>
          </w:p>
        </w:tc>
        <w:tc>
          <w:tcPr>
            <w:tcW w:w="0" w:type="auto"/>
            <w:hideMark/>
          </w:tcPr>
          <w:p w14:paraId="557FBA3C"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138</w:t>
            </w:r>
          </w:p>
        </w:tc>
        <w:tc>
          <w:tcPr>
            <w:cnfStyle w:val="000100000000" w:firstRow="0" w:lastRow="0" w:firstColumn="0" w:lastColumn="1" w:oddVBand="0" w:evenVBand="0" w:oddHBand="0" w:evenHBand="0" w:firstRowFirstColumn="0" w:firstRowLastColumn="0" w:lastRowFirstColumn="0" w:lastRowLastColumn="0"/>
            <w:tcW w:w="0" w:type="auto"/>
            <w:hideMark/>
          </w:tcPr>
          <w:p w14:paraId="20186D03" w14:textId="77777777" w:rsidR="00B24C34" w:rsidRPr="00B9314D" w:rsidRDefault="00B24C34" w:rsidP="00B24C34">
            <w:pPr>
              <w:spacing w:line="259" w:lineRule="auto"/>
              <w:jc w:val="both"/>
              <w:rPr>
                <w:b w:val="0"/>
                <w:bCs w:val="0"/>
                <w:sz w:val="20"/>
                <w:szCs w:val="20"/>
              </w:rPr>
            </w:pPr>
            <w:r w:rsidRPr="00B9314D">
              <w:rPr>
                <w:b w:val="0"/>
                <w:bCs w:val="0"/>
                <w:sz w:val="20"/>
                <w:szCs w:val="20"/>
              </w:rPr>
              <w:t>55.2</w:t>
            </w:r>
          </w:p>
        </w:tc>
      </w:tr>
      <w:tr w:rsidR="00B24C34" w:rsidRPr="00B9314D" w14:paraId="7AA4FA00"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70FA71EE" w14:textId="77777777" w:rsidR="00B24C34" w:rsidRPr="00B9314D" w:rsidRDefault="00B24C34" w:rsidP="00B24C34">
            <w:pPr>
              <w:spacing w:line="259" w:lineRule="auto"/>
              <w:jc w:val="both"/>
              <w:rPr>
                <w:b w:val="0"/>
                <w:bCs w:val="0"/>
                <w:sz w:val="20"/>
                <w:szCs w:val="20"/>
              </w:rPr>
            </w:pPr>
          </w:p>
        </w:tc>
        <w:tc>
          <w:tcPr>
            <w:tcW w:w="0" w:type="auto"/>
            <w:hideMark/>
          </w:tcPr>
          <w:p w14:paraId="52F1BCE8"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No</w:t>
            </w:r>
          </w:p>
        </w:tc>
        <w:tc>
          <w:tcPr>
            <w:tcW w:w="0" w:type="auto"/>
            <w:hideMark/>
          </w:tcPr>
          <w:p w14:paraId="1EE8FD74"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112</w:t>
            </w:r>
          </w:p>
        </w:tc>
        <w:tc>
          <w:tcPr>
            <w:cnfStyle w:val="000100000000" w:firstRow="0" w:lastRow="0" w:firstColumn="0" w:lastColumn="1" w:oddVBand="0" w:evenVBand="0" w:oddHBand="0" w:evenHBand="0" w:firstRowFirstColumn="0" w:firstRowLastColumn="0" w:lastRowFirstColumn="0" w:lastRowLastColumn="0"/>
            <w:tcW w:w="0" w:type="auto"/>
            <w:hideMark/>
          </w:tcPr>
          <w:p w14:paraId="6B501791" w14:textId="77777777" w:rsidR="00B24C34" w:rsidRPr="00B9314D" w:rsidRDefault="00B24C34" w:rsidP="00B24C34">
            <w:pPr>
              <w:spacing w:line="259" w:lineRule="auto"/>
              <w:jc w:val="both"/>
              <w:rPr>
                <w:b w:val="0"/>
                <w:bCs w:val="0"/>
                <w:sz w:val="20"/>
                <w:szCs w:val="20"/>
              </w:rPr>
            </w:pPr>
            <w:r w:rsidRPr="00B9314D">
              <w:rPr>
                <w:b w:val="0"/>
                <w:bCs w:val="0"/>
                <w:sz w:val="20"/>
                <w:szCs w:val="20"/>
              </w:rPr>
              <w:t>44.8</w:t>
            </w:r>
          </w:p>
        </w:tc>
      </w:tr>
      <w:tr w:rsidR="00B24C34" w:rsidRPr="00B9314D" w14:paraId="798A207F"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2617DA99" w14:textId="77777777" w:rsidR="00B24C34" w:rsidRPr="00B9314D" w:rsidRDefault="00B24C34" w:rsidP="00B24C34">
            <w:pPr>
              <w:spacing w:line="259" w:lineRule="auto"/>
              <w:jc w:val="both"/>
              <w:rPr>
                <w:b w:val="0"/>
                <w:bCs w:val="0"/>
                <w:sz w:val="20"/>
                <w:szCs w:val="20"/>
              </w:rPr>
            </w:pPr>
            <w:r w:rsidRPr="00B9314D">
              <w:rPr>
                <w:b w:val="0"/>
                <w:bCs w:val="0"/>
                <w:sz w:val="20"/>
                <w:szCs w:val="20"/>
              </w:rPr>
              <w:t>Iron supplementation</w:t>
            </w:r>
          </w:p>
        </w:tc>
        <w:tc>
          <w:tcPr>
            <w:tcW w:w="0" w:type="auto"/>
            <w:hideMark/>
          </w:tcPr>
          <w:p w14:paraId="7C29D826"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Yes</w:t>
            </w:r>
          </w:p>
        </w:tc>
        <w:tc>
          <w:tcPr>
            <w:tcW w:w="0" w:type="auto"/>
            <w:hideMark/>
          </w:tcPr>
          <w:p w14:paraId="6C562F53"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89</w:t>
            </w:r>
          </w:p>
        </w:tc>
        <w:tc>
          <w:tcPr>
            <w:cnfStyle w:val="000100000000" w:firstRow="0" w:lastRow="0" w:firstColumn="0" w:lastColumn="1" w:oddVBand="0" w:evenVBand="0" w:oddHBand="0" w:evenHBand="0" w:firstRowFirstColumn="0" w:firstRowLastColumn="0" w:lastRowFirstColumn="0" w:lastRowLastColumn="0"/>
            <w:tcW w:w="0" w:type="auto"/>
            <w:hideMark/>
          </w:tcPr>
          <w:p w14:paraId="4162775E" w14:textId="77777777" w:rsidR="00B24C34" w:rsidRPr="00B9314D" w:rsidRDefault="00B24C34" w:rsidP="00B24C34">
            <w:pPr>
              <w:spacing w:line="259" w:lineRule="auto"/>
              <w:jc w:val="both"/>
              <w:rPr>
                <w:b w:val="0"/>
                <w:bCs w:val="0"/>
                <w:sz w:val="20"/>
                <w:szCs w:val="20"/>
              </w:rPr>
            </w:pPr>
            <w:r w:rsidRPr="00B9314D">
              <w:rPr>
                <w:b w:val="0"/>
                <w:bCs w:val="0"/>
                <w:sz w:val="20"/>
                <w:szCs w:val="20"/>
              </w:rPr>
              <w:t>35.6</w:t>
            </w:r>
          </w:p>
        </w:tc>
      </w:tr>
      <w:tr w:rsidR="00B24C34" w:rsidRPr="00B9314D" w14:paraId="3D7F5679"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430D8FB0" w14:textId="77777777" w:rsidR="00B24C34" w:rsidRPr="00B9314D" w:rsidRDefault="00B24C34" w:rsidP="00B24C34">
            <w:pPr>
              <w:spacing w:line="259" w:lineRule="auto"/>
              <w:jc w:val="both"/>
              <w:rPr>
                <w:b w:val="0"/>
                <w:bCs w:val="0"/>
                <w:sz w:val="20"/>
                <w:szCs w:val="20"/>
              </w:rPr>
            </w:pPr>
          </w:p>
        </w:tc>
        <w:tc>
          <w:tcPr>
            <w:tcW w:w="0" w:type="auto"/>
            <w:hideMark/>
          </w:tcPr>
          <w:p w14:paraId="7A4E2DF9"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No</w:t>
            </w:r>
          </w:p>
        </w:tc>
        <w:tc>
          <w:tcPr>
            <w:tcW w:w="0" w:type="auto"/>
            <w:hideMark/>
          </w:tcPr>
          <w:p w14:paraId="24469DE6" w14:textId="77777777" w:rsidR="00B24C34" w:rsidRPr="00B9314D"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161</w:t>
            </w:r>
          </w:p>
        </w:tc>
        <w:tc>
          <w:tcPr>
            <w:cnfStyle w:val="000100000000" w:firstRow="0" w:lastRow="0" w:firstColumn="0" w:lastColumn="1" w:oddVBand="0" w:evenVBand="0" w:oddHBand="0" w:evenHBand="0" w:firstRowFirstColumn="0" w:firstRowLastColumn="0" w:lastRowFirstColumn="0" w:lastRowLastColumn="0"/>
            <w:tcW w:w="0" w:type="auto"/>
            <w:hideMark/>
          </w:tcPr>
          <w:p w14:paraId="44243E85" w14:textId="77777777" w:rsidR="00B24C34" w:rsidRPr="00B9314D" w:rsidRDefault="00B24C34" w:rsidP="00B24C34">
            <w:pPr>
              <w:spacing w:line="259" w:lineRule="auto"/>
              <w:jc w:val="both"/>
              <w:rPr>
                <w:b w:val="0"/>
                <w:bCs w:val="0"/>
                <w:sz w:val="20"/>
                <w:szCs w:val="20"/>
              </w:rPr>
            </w:pPr>
            <w:r w:rsidRPr="00B9314D">
              <w:rPr>
                <w:b w:val="0"/>
                <w:bCs w:val="0"/>
                <w:sz w:val="20"/>
                <w:szCs w:val="20"/>
              </w:rPr>
              <w:t>64.4</w:t>
            </w:r>
          </w:p>
        </w:tc>
      </w:tr>
    </w:tbl>
    <w:p w14:paraId="592537D9" w14:textId="77777777" w:rsidR="00B24C34" w:rsidRPr="008A2FBD" w:rsidRDefault="00B24C34" w:rsidP="00B24C34">
      <w:pPr>
        <w:spacing w:line="259" w:lineRule="auto"/>
        <w:jc w:val="both"/>
      </w:pPr>
    </w:p>
    <w:p w14:paraId="03DC5C26" w14:textId="77777777" w:rsidR="00B24C34" w:rsidRPr="00B24C34" w:rsidRDefault="00B24C34" w:rsidP="00B24C34">
      <w:pPr>
        <w:spacing w:before="240" w:line="259" w:lineRule="auto"/>
        <w:jc w:val="both"/>
        <w:rPr>
          <w:b/>
          <w:bCs/>
          <w:i/>
          <w:iCs/>
        </w:rPr>
      </w:pPr>
      <w:r w:rsidRPr="00B24C34">
        <w:rPr>
          <w:b/>
          <w:bCs/>
          <w:i/>
          <w:iCs/>
        </w:rPr>
        <w:t xml:space="preserve">3.3 Prevalence of Iron Deficiency </w:t>
      </w:r>
      <w:proofErr w:type="spellStart"/>
      <w:r w:rsidRPr="00B24C34">
        <w:rPr>
          <w:b/>
          <w:bCs/>
          <w:i/>
          <w:iCs/>
        </w:rPr>
        <w:t>Anaemia</w:t>
      </w:r>
      <w:proofErr w:type="spellEnd"/>
    </w:p>
    <w:p w14:paraId="37C7C8E4" w14:textId="77777777" w:rsidR="00B24C34" w:rsidRPr="008A2FBD" w:rsidRDefault="00B24C34" w:rsidP="00B24C34">
      <w:pPr>
        <w:spacing w:before="240" w:line="259" w:lineRule="auto"/>
        <w:jc w:val="both"/>
      </w:pPr>
      <w:r w:rsidRPr="008A2FBD">
        <w:t xml:space="preserve">The prevalence of iron deficiency </w:t>
      </w:r>
      <w:proofErr w:type="spellStart"/>
      <w:r w:rsidRPr="008A2FBD">
        <w:t>anaemia</w:t>
      </w:r>
      <w:proofErr w:type="spellEnd"/>
      <w:r w:rsidRPr="008A2FBD">
        <w:t xml:space="preserve"> among the study participants is presented in </w:t>
      </w:r>
      <w:r w:rsidRPr="008A2FBD">
        <w:rPr>
          <w:b/>
          <w:bCs/>
        </w:rPr>
        <w:t>Table 3</w:t>
      </w:r>
      <w:r w:rsidRPr="008A2FBD">
        <w:t xml:space="preserve">. Of the 250 school-aged adolescent girls enrolled in the study, 62 (24.8%) were diagnosed with iron deficiency </w:t>
      </w:r>
      <w:proofErr w:type="spellStart"/>
      <w:r w:rsidRPr="008A2FBD">
        <w:t>anaemia</w:t>
      </w:r>
      <w:proofErr w:type="spellEnd"/>
      <w:r w:rsidRPr="008A2FBD">
        <w:t xml:space="preserve">, while 188 (75.2%) had normal iron status. The overall prevalence of iron deficiency </w:t>
      </w:r>
      <w:proofErr w:type="spellStart"/>
      <w:r w:rsidRPr="008A2FBD">
        <w:t>anaemia</w:t>
      </w:r>
      <w:proofErr w:type="spellEnd"/>
      <w:r w:rsidRPr="008A2FBD">
        <w:t xml:space="preserve"> was 24.8%, indicating that approximately one in every four adolescent girls in the study was affected by the condition. </w:t>
      </w:r>
    </w:p>
    <w:p w14:paraId="06729751" w14:textId="77777777" w:rsidR="00B24C34" w:rsidRPr="008A2FBD" w:rsidRDefault="00B24C34" w:rsidP="00B24C34">
      <w:pPr>
        <w:spacing w:before="240" w:line="259" w:lineRule="auto"/>
        <w:jc w:val="both"/>
      </w:pPr>
      <w:r w:rsidRPr="008A2FBD">
        <w:t xml:space="preserve">This finding indicates that approximately one in four participants had iron deficiency </w:t>
      </w:r>
      <w:proofErr w:type="spellStart"/>
      <w:r w:rsidRPr="008A2FBD">
        <w:t>anaemia</w:t>
      </w:r>
      <w:proofErr w:type="spellEnd"/>
      <w:r w:rsidRPr="008A2FBD">
        <w:t xml:space="preserve">, highlighting the condition as an important public health concern among adolescent females. The observed prevalence is consistent with reports from developing countries where adolescent girls remain highly vulnerable to </w:t>
      </w:r>
      <w:proofErr w:type="spellStart"/>
      <w:r w:rsidRPr="008A2FBD">
        <w:t>anaemia</w:t>
      </w:r>
      <w:proofErr w:type="spellEnd"/>
      <w:r w:rsidRPr="008A2FBD">
        <w:t xml:space="preserve"> due to increased iron requirements associated with rapid growth, menstruation, and inadequate replenishment of iron stores.</w:t>
      </w:r>
    </w:p>
    <w:p w14:paraId="7523B2A6" w14:textId="77777777" w:rsidR="00B24C34" w:rsidRPr="008A2FBD" w:rsidRDefault="00B24C34" w:rsidP="00B24C34">
      <w:pPr>
        <w:spacing w:before="240" w:line="259" w:lineRule="auto"/>
        <w:jc w:val="both"/>
      </w:pPr>
      <w:r w:rsidRPr="008A2FBD">
        <w:t xml:space="preserve">The prevalence obtained in this study is comparable with findings reported by Tesfaye et al. (2024), who documented a considerable burden of </w:t>
      </w:r>
      <w:proofErr w:type="spellStart"/>
      <w:r w:rsidRPr="008A2FBD">
        <w:t>anaemia</w:t>
      </w:r>
      <w:proofErr w:type="spellEnd"/>
      <w:r w:rsidRPr="008A2FBD">
        <w:t xml:space="preserve"> among adolescent girls and attributed the high prevalence to increased physiological iron demand and menstrual blood loss. Similarly, Ahmad et al. (2026) identified adolescent females as one of the population groups with a high global burden of </w:t>
      </w:r>
      <w:proofErr w:type="spellStart"/>
      <w:r w:rsidRPr="008A2FBD">
        <w:lastRenderedPageBreak/>
        <w:t>anaemia</w:t>
      </w:r>
      <w:proofErr w:type="spellEnd"/>
      <w:r w:rsidRPr="008A2FBD">
        <w:t>, largely due to iron deficiency. However, the prevalence observed in the present study is lower than that reported in some Nigerian studies (</w:t>
      </w:r>
      <w:proofErr w:type="spellStart"/>
      <w:r w:rsidRPr="008A2FBD">
        <w:t>Obeagu</w:t>
      </w:r>
      <w:proofErr w:type="spellEnd"/>
      <w:r w:rsidRPr="008A2FBD">
        <w:t xml:space="preserve"> et al., 2026; Nwobodo et al., 2026; </w:t>
      </w:r>
      <w:proofErr w:type="spellStart"/>
      <w:r w:rsidRPr="008A2FBD">
        <w:t>Olumakaiye</w:t>
      </w:r>
      <w:proofErr w:type="spellEnd"/>
      <w:r w:rsidRPr="008A2FBD">
        <w:t xml:space="preserve">, 2013), which documented higher rates of </w:t>
      </w:r>
      <w:proofErr w:type="spellStart"/>
      <w:r w:rsidRPr="008A2FBD">
        <w:t>anaemia</w:t>
      </w:r>
      <w:proofErr w:type="spellEnd"/>
      <w:r w:rsidRPr="008A2FBD">
        <w:t xml:space="preserve"> among adolescent girls. Differences in the prevalence of iron-deficiency </w:t>
      </w:r>
      <w:proofErr w:type="spellStart"/>
      <w:r w:rsidRPr="008A2FBD">
        <w:t>anaemia</w:t>
      </w:r>
      <w:proofErr w:type="spellEnd"/>
      <w:r w:rsidRPr="008A2FBD">
        <w:t xml:space="preserve"> may be related to variations in geographic location, socioeconomic conditions (</w:t>
      </w:r>
      <w:proofErr w:type="spellStart"/>
      <w:r w:rsidRPr="008A2FBD">
        <w:t>Babah</w:t>
      </w:r>
      <w:proofErr w:type="spellEnd"/>
      <w:r w:rsidRPr="008A2FBD">
        <w:t xml:space="preserve"> et al., 2024), dietary practices (</w:t>
      </w:r>
      <w:proofErr w:type="spellStart"/>
      <w:r w:rsidRPr="008A2FBD">
        <w:t>Pipoyan</w:t>
      </w:r>
      <w:proofErr w:type="spellEnd"/>
      <w:r w:rsidRPr="008A2FBD">
        <w:t xml:space="preserve"> et al., 2023), malaria transmission intensity (Zegeye et al., 2025), and other associated factors.</w:t>
      </w:r>
    </w:p>
    <w:p w14:paraId="75897B4B" w14:textId="77777777" w:rsidR="00B24C34" w:rsidRPr="008A2FBD" w:rsidRDefault="00B24C34" w:rsidP="00B24C34">
      <w:pPr>
        <w:spacing w:before="240" w:line="259" w:lineRule="auto"/>
        <w:jc w:val="both"/>
      </w:pPr>
      <w:r w:rsidRPr="008A2FBD">
        <w:t xml:space="preserve">The prevalence of 24.8% observed in this study is below the 40% threshold set by the World Health </w:t>
      </w:r>
      <w:proofErr w:type="spellStart"/>
      <w:r w:rsidRPr="008A2FBD">
        <w:t>Organisation</w:t>
      </w:r>
      <w:proofErr w:type="spellEnd"/>
      <w:r w:rsidRPr="008A2FBD">
        <w:t xml:space="preserve"> for a severe public health problem (WHO, 2025). However, it remains within the range considered a moderate public health concern., physical development, educational achievement, and future maternal health outcomes.</w:t>
      </w:r>
    </w:p>
    <w:p w14:paraId="364BE927" w14:textId="77777777" w:rsidR="00B24C34" w:rsidRPr="008A2FBD" w:rsidRDefault="00B24C34" w:rsidP="00B24C34">
      <w:pPr>
        <w:spacing w:before="240" w:line="259" w:lineRule="auto"/>
        <w:jc w:val="both"/>
      </w:pPr>
      <w:r w:rsidRPr="008A2FBD">
        <w:t xml:space="preserve">The persistence of iron deficiency </w:t>
      </w:r>
      <w:proofErr w:type="spellStart"/>
      <w:r w:rsidRPr="008A2FBD">
        <w:t>anaemia</w:t>
      </w:r>
      <w:proofErr w:type="spellEnd"/>
      <w:r w:rsidRPr="008A2FBD">
        <w:t xml:space="preserve"> among adolescent girls may be associated with multiple interacting factors, including menstrual iron loss, limited use of iron supplements, previous history of </w:t>
      </w:r>
      <w:proofErr w:type="spellStart"/>
      <w:r w:rsidRPr="008A2FBD">
        <w:t>anaemia</w:t>
      </w:r>
      <w:proofErr w:type="spellEnd"/>
      <w:r w:rsidRPr="008A2FBD">
        <w:t>, and infectious diseases such as malaria (</w:t>
      </w:r>
      <w:proofErr w:type="spellStart"/>
      <w:r w:rsidRPr="008A2FBD">
        <w:t>Mankelkl</w:t>
      </w:r>
      <w:proofErr w:type="spellEnd"/>
      <w:r w:rsidRPr="008A2FBD">
        <w:t xml:space="preserve"> &amp; Kinfe, 2024; Munro et al., 2023). </w:t>
      </w:r>
    </w:p>
    <w:p w14:paraId="193C4F38" w14:textId="77777777" w:rsidR="00B24C34" w:rsidRPr="008A2FBD" w:rsidRDefault="00B24C34" w:rsidP="00B24C34">
      <w:pPr>
        <w:spacing w:before="240" w:line="259" w:lineRule="auto"/>
        <w:jc w:val="both"/>
      </w:pPr>
      <w:r w:rsidRPr="008A2FBD">
        <w:t xml:space="preserve">Table 3. Prevalence of iron deficiency </w:t>
      </w:r>
      <w:proofErr w:type="spellStart"/>
      <w:r w:rsidRPr="008A2FBD">
        <w:t>anaemia</w:t>
      </w:r>
      <w:proofErr w:type="spellEnd"/>
    </w:p>
    <w:tbl>
      <w:tblPr>
        <w:tblStyle w:val="PlainTable2"/>
        <w:tblW w:w="9198" w:type="dxa"/>
        <w:tblLook w:val="07A0" w:firstRow="1" w:lastRow="0" w:firstColumn="1" w:lastColumn="1" w:noHBand="1" w:noVBand="1"/>
      </w:tblPr>
      <w:tblGrid>
        <w:gridCol w:w="4246"/>
        <w:gridCol w:w="2359"/>
        <w:gridCol w:w="2593"/>
      </w:tblGrid>
      <w:tr w:rsidR="00B24C34" w:rsidRPr="00B9314D" w14:paraId="6181A6F4" w14:textId="77777777" w:rsidTr="001D79DE">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0" w:type="auto"/>
            <w:hideMark/>
          </w:tcPr>
          <w:p w14:paraId="39B7C6D9" w14:textId="77777777" w:rsidR="00B24C34" w:rsidRPr="00B9314D" w:rsidRDefault="00B24C34" w:rsidP="00B24C34">
            <w:pPr>
              <w:spacing w:before="240" w:line="259" w:lineRule="auto"/>
              <w:jc w:val="both"/>
              <w:rPr>
                <w:b w:val="0"/>
                <w:bCs w:val="0"/>
                <w:sz w:val="20"/>
                <w:szCs w:val="20"/>
              </w:rPr>
            </w:pPr>
            <w:proofErr w:type="spellStart"/>
            <w:r w:rsidRPr="00B9314D">
              <w:rPr>
                <w:b w:val="0"/>
                <w:bCs w:val="0"/>
                <w:sz w:val="20"/>
                <w:szCs w:val="20"/>
              </w:rPr>
              <w:t>Anaemia</w:t>
            </w:r>
            <w:proofErr w:type="spellEnd"/>
            <w:r w:rsidRPr="00B9314D">
              <w:rPr>
                <w:b w:val="0"/>
                <w:bCs w:val="0"/>
                <w:sz w:val="20"/>
                <w:szCs w:val="20"/>
              </w:rPr>
              <w:t xml:space="preserve"> Status</w:t>
            </w:r>
          </w:p>
        </w:tc>
        <w:tc>
          <w:tcPr>
            <w:tcW w:w="0" w:type="auto"/>
            <w:hideMark/>
          </w:tcPr>
          <w:p w14:paraId="5A5452D0" w14:textId="77777777" w:rsidR="00B24C34" w:rsidRPr="00B9314D"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B9314D">
              <w:rPr>
                <w:b w:val="0"/>
                <w:bCs w:val="0"/>
                <w:sz w:val="20"/>
                <w:szCs w:val="20"/>
              </w:rPr>
              <w:t>Frequency (n)</w:t>
            </w:r>
          </w:p>
        </w:tc>
        <w:tc>
          <w:tcPr>
            <w:cnfStyle w:val="000100000000" w:firstRow="0" w:lastRow="0" w:firstColumn="0" w:lastColumn="1" w:oddVBand="0" w:evenVBand="0" w:oddHBand="0" w:evenHBand="0" w:firstRowFirstColumn="0" w:firstRowLastColumn="0" w:lastRowFirstColumn="0" w:lastRowLastColumn="0"/>
            <w:tcW w:w="0" w:type="auto"/>
            <w:hideMark/>
          </w:tcPr>
          <w:p w14:paraId="6FF9E98D"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Percentage (%)</w:t>
            </w:r>
          </w:p>
        </w:tc>
      </w:tr>
      <w:tr w:rsidR="00B24C34" w:rsidRPr="00B9314D" w14:paraId="51A821FC" w14:textId="77777777" w:rsidTr="001D79DE">
        <w:trPr>
          <w:trHeight w:val="575"/>
        </w:trPr>
        <w:tc>
          <w:tcPr>
            <w:cnfStyle w:val="001000000000" w:firstRow="0" w:lastRow="0" w:firstColumn="1" w:lastColumn="0" w:oddVBand="0" w:evenVBand="0" w:oddHBand="0" w:evenHBand="0" w:firstRowFirstColumn="0" w:firstRowLastColumn="0" w:lastRowFirstColumn="0" w:lastRowLastColumn="0"/>
            <w:tcW w:w="0" w:type="auto"/>
            <w:hideMark/>
          </w:tcPr>
          <w:p w14:paraId="45EECBA9"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 xml:space="preserve">Iron deficiency </w:t>
            </w:r>
            <w:proofErr w:type="spellStart"/>
            <w:r w:rsidRPr="00B9314D">
              <w:rPr>
                <w:b w:val="0"/>
                <w:bCs w:val="0"/>
                <w:sz w:val="20"/>
                <w:szCs w:val="20"/>
              </w:rPr>
              <w:t>anaemia</w:t>
            </w:r>
            <w:proofErr w:type="spellEnd"/>
          </w:p>
        </w:tc>
        <w:tc>
          <w:tcPr>
            <w:tcW w:w="0" w:type="auto"/>
            <w:hideMark/>
          </w:tcPr>
          <w:p w14:paraId="7507F73F"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62</w:t>
            </w:r>
          </w:p>
        </w:tc>
        <w:tc>
          <w:tcPr>
            <w:cnfStyle w:val="000100000000" w:firstRow="0" w:lastRow="0" w:firstColumn="0" w:lastColumn="1" w:oddVBand="0" w:evenVBand="0" w:oddHBand="0" w:evenHBand="0" w:firstRowFirstColumn="0" w:firstRowLastColumn="0" w:lastRowFirstColumn="0" w:lastRowLastColumn="0"/>
            <w:tcW w:w="0" w:type="auto"/>
            <w:hideMark/>
          </w:tcPr>
          <w:p w14:paraId="4DA51875"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24.8</w:t>
            </w:r>
          </w:p>
        </w:tc>
      </w:tr>
      <w:tr w:rsidR="00B24C34" w:rsidRPr="00B9314D" w14:paraId="4841082E" w14:textId="77777777" w:rsidTr="001D79DE">
        <w:trPr>
          <w:trHeight w:val="586"/>
        </w:trPr>
        <w:tc>
          <w:tcPr>
            <w:cnfStyle w:val="001000000000" w:firstRow="0" w:lastRow="0" w:firstColumn="1" w:lastColumn="0" w:oddVBand="0" w:evenVBand="0" w:oddHBand="0" w:evenHBand="0" w:firstRowFirstColumn="0" w:firstRowLastColumn="0" w:lastRowFirstColumn="0" w:lastRowLastColumn="0"/>
            <w:tcW w:w="0" w:type="auto"/>
            <w:hideMark/>
          </w:tcPr>
          <w:p w14:paraId="3A2CA673"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 xml:space="preserve">No iron deficiency </w:t>
            </w:r>
            <w:proofErr w:type="spellStart"/>
            <w:r w:rsidRPr="00B9314D">
              <w:rPr>
                <w:b w:val="0"/>
                <w:bCs w:val="0"/>
                <w:sz w:val="20"/>
                <w:szCs w:val="20"/>
              </w:rPr>
              <w:t>anaemia</w:t>
            </w:r>
            <w:proofErr w:type="spellEnd"/>
          </w:p>
        </w:tc>
        <w:tc>
          <w:tcPr>
            <w:tcW w:w="0" w:type="auto"/>
            <w:hideMark/>
          </w:tcPr>
          <w:p w14:paraId="5DFA64D0"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188</w:t>
            </w:r>
          </w:p>
        </w:tc>
        <w:tc>
          <w:tcPr>
            <w:cnfStyle w:val="000100000000" w:firstRow="0" w:lastRow="0" w:firstColumn="0" w:lastColumn="1" w:oddVBand="0" w:evenVBand="0" w:oddHBand="0" w:evenHBand="0" w:firstRowFirstColumn="0" w:firstRowLastColumn="0" w:lastRowFirstColumn="0" w:lastRowLastColumn="0"/>
            <w:tcW w:w="0" w:type="auto"/>
            <w:hideMark/>
          </w:tcPr>
          <w:p w14:paraId="69FA7400"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75.2</w:t>
            </w:r>
          </w:p>
        </w:tc>
      </w:tr>
      <w:tr w:rsidR="00B24C34" w:rsidRPr="00B9314D" w14:paraId="24993C27" w14:textId="77777777" w:rsidTr="001D79DE">
        <w:trPr>
          <w:trHeight w:val="575"/>
        </w:trPr>
        <w:tc>
          <w:tcPr>
            <w:cnfStyle w:val="001000000000" w:firstRow="0" w:lastRow="0" w:firstColumn="1" w:lastColumn="0" w:oddVBand="0" w:evenVBand="0" w:oddHBand="0" w:evenHBand="0" w:firstRowFirstColumn="0" w:firstRowLastColumn="0" w:lastRowFirstColumn="0" w:lastRowLastColumn="0"/>
            <w:tcW w:w="0" w:type="auto"/>
            <w:hideMark/>
          </w:tcPr>
          <w:p w14:paraId="01E3A0EF"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Total</w:t>
            </w:r>
          </w:p>
        </w:tc>
        <w:tc>
          <w:tcPr>
            <w:tcW w:w="0" w:type="auto"/>
            <w:hideMark/>
          </w:tcPr>
          <w:p w14:paraId="14A1AA99"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250</w:t>
            </w:r>
          </w:p>
        </w:tc>
        <w:tc>
          <w:tcPr>
            <w:cnfStyle w:val="000100000000" w:firstRow="0" w:lastRow="0" w:firstColumn="0" w:lastColumn="1" w:oddVBand="0" w:evenVBand="0" w:oddHBand="0" w:evenHBand="0" w:firstRowFirstColumn="0" w:firstRowLastColumn="0" w:lastRowFirstColumn="0" w:lastRowLastColumn="0"/>
            <w:tcW w:w="0" w:type="auto"/>
            <w:hideMark/>
          </w:tcPr>
          <w:p w14:paraId="191A64C9"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100.0</w:t>
            </w:r>
          </w:p>
        </w:tc>
      </w:tr>
    </w:tbl>
    <w:p w14:paraId="54BE13FD" w14:textId="77777777" w:rsidR="00B24C34" w:rsidRPr="00B24C34" w:rsidRDefault="00B24C34" w:rsidP="00B24C34">
      <w:pPr>
        <w:spacing w:before="240" w:line="259" w:lineRule="auto"/>
        <w:jc w:val="both"/>
        <w:rPr>
          <w:b/>
          <w:bCs/>
          <w:i/>
          <w:iCs/>
        </w:rPr>
      </w:pPr>
      <w:r w:rsidRPr="00B24C34">
        <w:rPr>
          <w:b/>
          <w:bCs/>
          <w:i/>
          <w:iCs/>
        </w:rPr>
        <w:t xml:space="preserve">3.4 Comparison of Biochemical Parameters Between Participants with and without Iron Deficiency </w:t>
      </w:r>
      <w:proofErr w:type="spellStart"/>
      <w:r w:rsidRPr="00B24C34">
        <w:rPr>
          <w:b/>
          <w:bCs/>
          <w:i/>
          <w:iCs/>
        </w:rPr>
        <w:t>Anaemia</w:t>
      </w:r>
      <w:proofErr w:type="spellEnd"/>
    </w:p>
    <w:p w14:paraId="1B11BEAF" w14:textId="77777777" w:rsidR="00B24C34" w:rsidRPr="008A2FBD" w:rsidRDefault="00B24C34" w:rsidP="00B24C34">
      <w:pPr>
        <w:spacing w:before="240" w:line="259" w:lineRule="auto"/>
        <w:jc w:val="both"/>
      </w:pPr>
      <w:r w:rsidRPr="008A2FBD">
        <w:rPr>
          <w:b/>
          <w:bCs/>
        </w:rPr>
        <w:t>Table 4</w:t>
      </w:r>
      <w:r w:rsidRPr="008A2FBD">
        <w:t xml:space="preserve"> compares biochemical parameters between participants with and without iron deficiency </w:t>
      </w:r>
      <w:proofErr w:type="spellStart"/>
      <w:r w:rsidRPr="008A2FBD">
        <w:t>anaemia</w:t>
      </w:r>
      <w:proofErr w:type="spellEnd"/>
      <w:r w:rsidRPr="008A2FBD">
        <w:t xml:space="preserve">. Adolescents with iron deficiency </w:t>
      </w:r>
      <w:proofErr w:type="spellStart"/>
      <w:r w:rsidRPr="008A2FBD">
        <w:t>anaemia</w:t>
      </w:r>
      <w:proofErr w:type="spellEnd"/>
      <w:r w:rsidRPr="008A2FBD">
        <w:t xml:space="preserve"> had significantly lower mean </w:t>
      </w:r>
      <w:proofErr w:type="spellStart"/>
      <w:r w:rsidRPr="008A2FBD">
        <w:t>haemoglobin</w:t>
      </w:r>
      <w:proofErr w:type="spellEnd"/>
      <w:r w:rsidRPr="008A2FBD">
        <w:t xml:space="preserve"> concentration (10.42 ± 0.81 g/dL), serum ferritin (11.87 ± 4.26 ng/mL), and serum iron (47.53 ± 9.84 µg/dL) than those without iron deficiency </w:t>
      </w:r>
      <w:proofErr w:type="spellStart"/>
      <w:r w:rsidRPr="008A2FBD">
        <w:t>anaemia</w:t>
      </w:r>
      <w:proofErr w:type="spellEnd"/>
      <w:r w:rsidRPr="008A2FBD">
        <w:t xml:space="preserve"> (13.28 ± 0.74 g/dL, 38.64 ± 9.58 ng/mL, and 91.76 ± 14.28 µg/dL, respectively) (</w:t>
      </w:r>
      <w:r w:rsidRPr="008A2FBD">
        <w:rPr>
          <w:i/>
          <w:iCs/>
        </w:rPr>
        <w:t>p</w:t>
      </w:r>
      <w:r w:rsidRPr="008A2FBD">
        <w:t xml:space="preserve"> &lt; 0.001). Conversely, the mean TIBC was significantly higher among participants with iron deficiency </w:t>
      </w:r>
      <w:proofErr w:type="spellStart"/>
      <w:r w:rsidRPr="008A2FBD">
        <w:t>anaemia</w:t>
      </w:r>
      <w:proofErr w:type="spellEnd"/>
      <w:r w:rsidRPr="008A2FBD">
        <w:t xml:space="preserve"> (438.65 ± 36.41 µg/dL) than among non-</w:t>
      </w:r>
      <w:proofErr w:type="spellStart"/>
      <w:r w:rsidRPr="008A2FBD">
        <w:t>anaemic</w:t>
      </w:r>
      <w:proofErr w:type="spellEnd"/>
      <w:r w:rsidRPr="008A2FBD">
        <w:t xml:space="preserve"> participants (321.47 ± 29.86 µg/dL) (</w:t>
      </w:r>
      <w:r w:rsidRPr="008A2FBD">
        <w:rPr>
          <w:i/>
          <w:iCs/>
        </w:rPr>
        <w:t>p</w:t>
      </w:r>
      <w:r w:rsidRPr="008A2FBD">
        <w:t xml:space="preserve"> &lt; 0.001), indicating increased iron-binding capacity associated with depleted iron stores.</w:t>
      </w:r>
    </w:p>
    <w:p w14:paraId="12CCF706" w14:textId="77777777" w:rsidR="00B24C34" w:rsidRPr="008A2FBD" w:rsidRDefault="00B24C34" w:rsidP="00B24C34">
      <w:pPr>
        <w:spacing w:before="240" w:line="259" w:lineRule="auto"/>
        <w:jc w:val="both"/>
      </w:pPr>
      <w:r w:rsidRPr="008A2FBD">
        <w:t xml:space="preserve">This study found that participants with iron deficiency </w:t>
      </w:r>
      <w:proofErr w:type="spellStart"/>
      <w:r w:rsidRPr="008A2FBD">
        <w:t>anaemia</w:t>
      </w:r>
      <w:proofErr w:type="spellEnd"/>
      <w:r w:rsidRPr="008A2FBD">
        <w:t xml:space="preserve"> had significantly lower </w:t>
      </w:r>
      <w:proofErr w:type="spellStart"/>
      <w:r w:rsidRPr="008A2FBD">
        <w:t>haemoglobin</w:t>
      </w:r>
      <w:proofErr w:type="spellEnd"/>
      <w:r w:rsidRPr="008A2FBD">
        <w:t xml:space="preserve">, serum ferritin, and serum iron concentrations. In contrast, total iron-binding capacity (TIBC) was significantly higher than in participants without iron deficiency </w:t>
      </w:r>
      <w:proofErr w:type="spellStart"/>
      <w:r w:rsidRPr="008A2FBD">
        <w:t>anaemia</w:t>
      </w:r>
      <w:proofErr w:type="spellEnd"/>
      <w:r w:rsidRPr="008A2FBD">
        <w:t xml:space="preserve">. The observed reduction in </w:t>
      </w:r>
      <w:proofErr w:type="spellStart"/>
      <w:r w:rsidRPr="008A2FBD">
        <w:t>haemoglobin</w:t>
      </w:r>
      <w:proofErr w:type="spellEnd"/>
      <w:r w:rsidRPr="008A2FBD">
        <w:t xml:space="preserve"> among </w:t>
      </w:r>
      <w:proofErr w:type="spellStart"/>
      <w:r w:rsidRPr="008A2FBD">
        <w:t>anaemic</w:t>
      </w:r>
      <w:proofErr w:type="spellEnd"/>
      <w:r w:rsidRPr="008A2FBD">
        <w:t xml:space="preserve"> participants reflects inadequate iron availability for erythropoiesis and impaired </w:t>
      </w:r>
      <w:proofErr w:type="spellStart"/>
      <w:r w:rsidRPr="008A2FBD">
        <w:t>haemoglobin</w:t>
      </w:r>
      <w:proofErr w:type="spellEnd"/>
      <w:r w:rsidRPr="008A2FBD">
        <w:t xml:space="preserve"> synthesis. Similar findings were reported by </w:t>
      </w:r>
      <w:proofErr w:type="spellStart"/>
      <w:r w:rsidRPr="008A2FBD">
        <w:t>Alaofè</w:t>
      </w:r>
      <w:proofErr w:type="spellEnd"/>
      <w:r w:rsidRPr="008A2FBD">
        <w:t xml:space="preserve"> et al. (2017) and Tesfaye et al. (2024), who observed significantly lower </w:t>
      </w:r>
      <w:proofErr w:type="spellStart"/>
      <w:r w:rsidRPr="008A2FBD">
        <w:t>haemoglobin</w:t>
      </w:r>
      <w:proofErr w:type="spellEnd"/>
      <w:r w:rsidRPr="008A2FBD">
        <w:t xml:space="preserve"> concentrations among adolescent girls with iron-deficiency </w:t>
      </w:r>
      <w:proofErr w:type="spellStart"/>
      <w:r w:rsidRPr="008A2FBD">
        <w:t>anaemia</w:t>
      </w:r>
      <w:proofErr w:type="spellEnd"/>
      <w:r w:rsidRPr="008A2FBD">
        <w:t xml:space="preserve"> compared with their non-</w:t>
      </w:r>
      <w:proofErr w:type="spellStart"/>
      <w:r w:rsidRPr="008A2FBD">
        <w:t>anaemic</w:t>
      </w:r>
      <w:proofErr w:type="spellEnd"/>
      <w:r w:rsidRPr="008A2FBD">
        <w:t xml:space="preserve"> counterparts.</w:t>
      </w:r>
    </w:p>
    <w:p w14:paraId="5C2D648A" w14:textId="77777777" w:rsidR="00B24C34" w:rsidRPr="008A2FBD" w:rsidRDefault="00B24C34" w:rsidP="00B24C34">
      <w:pPr>
        <w:spacing w:before="240" w:line="259" w:lineRule="auto"/>
        <w:jc w:val="both"/>
      </w:pPr>
      <w:r w:rsidRPr="008A2FBD">
        <w:t xml:space="preserve">The significantly lower serum ferritin levels observed among participants with iron deficiency </w:t>
      </w:r>
      <w:proofErr w:type="spellStart"/>
      <w:r w:rsidRPr="008A2FBD">
        <w:t>anaemia</w:t>
      </w:r>
      <w:proofErr w:type="spellEnd"/>
      <w:r w:rsidRPr="008A2FBD">
        <w:t xml:space="preserve"> indicate reduced body iron stores. Serum ferritin is widely </w:t>
      </w:r>
      <w:proofErr w:type="spellStart"/>
      <w:r w:rsidRPr="008A2FBD">
        <w:t>recognised</w:t>
      </w:r>
      <w:proofErr w:type="spellEnd"/>
      <w:r w:rsidRPr="008A2FBD">
        <w:t xml:space="preserve"> as a reliable indicator of iron </w:t>
      </w:r>
      <w:r w:rsidRPr="008A2FBD">
        <w:lastRenderedPageBreak/>
        <w:t xml:space="preserve">reserves and is considered one of the earliest biomarkers to decline during iron depletion. Gebremedhin et al. (2015) found a strong link between low serum ferritin levels and iron deficiency </w:t>
      </w:r>
      <w:proofErr w:type="spellStart"/>
      <w:r w:rsidRPr="008A2FBD">
        <w:t>anaemia</w:t>
      </w:r>
      <w:proofErr w:type="spellEnd"/>
      <w:r w:rsidRPr="008A2FBD">
        <w:t xml:space="preserve"> in adolescent girls, highlighting the role of ferritin measurement for detecting depleted iron stores. Similarly, Kundu et al. (2023) showed that adolescent females with </w:t>
      </w:r>
      <w:proofErr w:type="spellStart"/>
      <w:r w:rsidRPr="008A2FBD">
        <w:t>anaemia</w:t>
      </w:r>
      <w:proofErr w:type="spellEnd"/>
      <w:r w:rsidRPr="008A2FBD">
        <w:t xml:space="preserve"> had markedly lower ferritin levels than those without </w:t>
      </w:r>
      <w:proofErr w:type="spellStart"/>
      <w:r w:rsidRPr="008A2FBD">
        <w:t>anaemia</w:t>
      </w:r>
      <w:proofErr w:type="spellEnd"/>
      <w:r w:rsidRPr="008A2FBD">
        <w:t>.</w:t>
      </w:r>
    </w:p>
    <w:p w14:paraId="5476E749" w14:textId="77777777" w:rsidR="00B24C34" w:rsidRPr="008A2FBD" w:rsidRDefault="00B24C34" w:rsidP="00B24C34">
      <w:pPr>
        <w:spacing w:before="240" w:line="259" w:lineRule="auto"/>
        <w:jc w:val="both"/>
      </w:pPr>
      <w:r w:rsidRPr="008A2FBD">
        <w:t xml:space="preserve">The reduced serum iron concentration observed among </w:t>
      </w:r>
      <w:proofErr w:type="spellStart"/>
      <w:r w:rsidRPr="008A2FBD">
        <w:t>anaemic</w:t>
      </w:r>
      <w:proofErr w:type="spellEnd"/>
      <w:r w:rsidRPr="008A2FBD">
        <w:t xml:space="preserve"> participants in the present study suggests limited availability of circulating iron for </w:t>
      </w:r>
      <w:proofErr w:type="spellStart"/>
      <w:r w:rsidRPr="008A2FBD">
        <w:t>haemoglobin</w:t>
      </w:r>
      <w:proofErr w:type="spellEnd"/>
      <w:r w:rsidRPr="008A2FBD">
        <w:t xml:space="preserve"> synthesis. This finding is consistent with the reports by Tesfaye et al. (2024) and Yusoff et al. (2019), who documented significantly lower serum iron levels among adolescent girls with iron-deficiency </w:t>
      </w:r>
      <w:proofErr w:type="spellStart"/>
      <w:r w:rsidRPr="008A2FBD">
        <w:t>anaemia</w:t>
      </w:r>
      <w:proofErr w:type="spellEnd"/>
      <w:r w:rsidRPr="008A2FBD">
        <w:t>. Reduced serum iron is a major biochemical consequence of inadequate iron absorption, increased iron loss, or insufficient iron intake and contributes directly to impaired red blood cell production.</w:t>
      </w:r>
    </w:p>
    <w:p w14:paraId="7093BD99" w14:textId="77777777" w:rsidR="00B24C34" w:rsidRPr="008A2FBD" w:rsidRDefault="00B24C34" w:rsidP="00B24C34">
      <w:pPr>
        <w:spacing w:before="240" w:line="259" w:lineRule="auto"/>
        <w:jc w:val="both"/>
      </w:pPr>
      <w:r w:rsidRPr="008A2FBD">
        <w:t xml:space="preserve">Participants with iron-deficiency </w:t>
      </w:r>
      <w:proofErr w:type="spellStart"/>
      <w:r w:rsidRPr="008A2FBD">
        <w:t>anaemia</w:t>
      </w:r>
      <w:proofErr w:type="spellEnd"/>
      <w:r w:rsidRPr="008A2FBD">
        <w:t xml:space="preserve"> exhibited a notably higher total iron-binding capacity (TIBC) than non-</w:t>
      </w:r>
      <w:proofErr w:type="spellStart"/>
      <w:r w:rsidRPr="008A2FBD">
        <w:t>anaemic</w:t>
      </w:r>
      <w:proofErr w:type="spellEnd"/>
      <w:r w:rsidRPr="008A2FBD">
        <w:t xml:space="preserve"> individuals. Elevated TIBC is a typical indicator of iron deficiency, as diminished iron stores in the body prompt the liver to increase transferrin production, enhancing iron transport and supporting erythropoiesis (Tayal et al., 2025; Leung et al., 2024; Cançado, 2023;). This physiological adaptation is consistently observed in patients with iron deficiency </w:t>
      </w:r>
      <w:proofErr w:type="spellStart"/>
      <w:r w:rsidRPr="008A2FBD">
        <w:t>anaemia</w:t>
      </w:r>
      <w:proofErr w:type="spellEnd"/>
      <w:r w:rsidRPr="008A2FBD">
        <w:t xml:space="preserve"> and is a critical laboratory marker for distinguishing it from other types of </w:t>
      </w:r>
      <w:proofErr w:type="spellStart"/>
      <w:r w:rsidRPr="008A2FBD">
        <w:t>anaemia</w:t>
      </w:r>
      <w:proofErr w:type="spellEnd"/>
      <w:r w:rsidRPr="008A2FBD">
        <w:t xml:space="preserve"> (Cançado, 2023; Kulik-</w:t>
      </w:r>
      <w:proofErr w:type="spellStart"/>
      <w:r w:rsidRPr="008A2FBD">
        <w:t>Rechberger</w:t>
      </w:r>
      <w:proofErr w:type="spellEnd"/>
      <w:r w:rsidRPr="008A2FBD">
        <w:t xml:space="preserve"> &amp; Dubel, 2024; Leung et al., 2024).</w:t>
      </w:r>
    </w:p>
    <w:p w14:paraId="6EDD8DDE" w14:textId="77777777" w:rsidR="00B24C34" w:rsidRPr="008A2FBD" w:rsidRDefault="00B24C34" w:rsidP="00B24C34">
      <w:pPr>
        <w:spacing w:before="240" w:line="259" w:lineRule="auto"/>
        <w:jc w:val="both"/>
      </w:pPr>
      <w:r w:rsidRPr="008A2FBD">
        <w:t xml:space="preserve">Table 4. Comparison of Biochemical Parameters Between Participants with and without Iron Deficiency </w:t>
      </w:r>
      <w:proofErr w:type="spellStart"/>
      <w:r w:rsidRPr="008A2FBD">
        <w:t>Anaemia</w:t>
      </w:r>
      <w:proofErr w:type="spellEnd"/>
    </w:p>
    <w:tbl>
      <w:tblPr>
        <w:tblStyle w:val="PlainTable2"/>
        <w:tblW w:w="8962" w:type="dxa"/>
        <w:tblLook w:val="07A0" w:firstRow="1" w:lastRow="0" w:firstColumn="1" w:lastColumn="1" w:noHBand="1" w:noVBand="1"/>
      </w:tblPr>
      <w:tblGrid>
        <w:gridCol w:w="3621"/>
        <w:gridCol w:w="1638"/>
        <w:gridCol w:w="2028"/>
        <w:gridCol w:w="807"/>
        <w:gridCol w:w="868"/>
      </w:tblGrid>
      <w:tr w:rsidR="00B24C34" w:rsidRPr="00B9314D" w14:paraId="5C6296DD" w14:textId="77777777" w:rsidTr="00B9314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0" w:type="auto"/>
            <w:hideMark/>
          </w:tcPr>
          <w:p w14:paraId="44985E15"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Parameter</w:t>
            </w:r>
          </w:p>
        </w:tc>
        <w:tc>
          <w:tcPr>
            <w:tcW w:w="0" w:type="auto"/>
            <w:hideMark/>
          </w:tcPr>
          <w:p w14:paraId="245E1CC7" w14:textId="77777777" w:rsidR="00B24C34" w:rsidRPr="00B9314D"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B9314D">
              <w:rPr>
                <w:b w:val="0"/>
                <w:bCs w:val="0"/>
                <w:sz w:val="20"/>
                <w:szCs w:val="20"/>
              </w:rPr>
              <w:t>IDA (Mean ± SD)</w:t>
            </w:r>
          </w:p>
        </w:tc>
        <w:tc>
          <w:tcPr>
            <w:tcW w:w="0" w:type="auto"/>
            <w:hideMark/>
          </w:tcPr>
          <w:p w14:paraId="4982CD44" w14:textId="77777777" w:rsidR="00B24C34" w:rsidRPr="00B9314D"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B9314D">
              <w:rPr>
                <w:b w:val="0"/>
                <w:bCs w:val="0"/>
                <w:sz w:val="20"/>
                <w:szCs w:val="20"/>
              </w:rPr>
              <w:t>Non-IDA (Mean ± SD)</w:t>
            </w:r>
          </w:p>
        </w:tc>
        <w:tc>
          <w:tcPr>
            <w:tcW w:w="0" w:type="auto"/>
            <w:hideMark/>
          </w:tcPr>
          <w:p w14:paraId="3A0994C7" w14:textId="77777777" w:rsidR="00B24C34" w:rsidRPr="00B9314D"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B9314D">
              <w:rPr>
                <w:b w:val="0"/>
                <w:bCs w:val="0"/>
                <w:sz w:val="20"/>
                <w:szCs w:val="20"/>
              </w:rPr>
              <w:t>t-value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1C9D5F6D"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p-value</w:t>
            </w:r>
          </w:p>
        </w:tc>
      </w:tr>
      <w:tr w:rsidR="00B24C34" w:rsidRPr="00B9314D" w14:paraId="68CD3C57" w14:textId="77777777" w:rsidTr="00B9314D">
        <w:trPr>
          <w:trHeight w:val="770"/>
        </w:trPr>
        <w:tc>
          <w:tcPr>
            <w:cnfStyle w:val="001000000000" w:firstRow="0" w:lastRow="0" w:firstColumn="1" w:lastColumn="0" w:oddVBand="0" w:evenVBand="0" w:oddHBand="0" w:evenHBand="0" w:firstRowFirstColumn="0" w:firstRowLastColumn="0" w:lastRowFirstColumn="0" w:lastRowLastColumn="0"/>
            <w:tcW w:w="0" w:type="auto"/>
            <w:hideMark/>
          </w:tcPr>
          <w:p w14:paraId="4D4273F3" w14:textId="77777777" w:rsidR="00B24C34" w:rsidRPr="00B9314D" w:rsidRDefault="00B24C34" w:rsidP="00B24C34">
            <w:pPr>
              <w:spacing w:before="240" w:line="259" w:lineRule="auto"/>
              <w:jc w:val="both"/>
              <w:rPr>
                <w:b w:val="0"/>
                <w:bCs w:val="0"/>
                <w:sz w:val="20"/>
                <w:szCs w:val="20"/>
              </w:rPr>
            </w:pPr>
            <w:proofErr w:type="spellStart"/>
            <w:r w:rsidRPr="00B9314D">
              <w:rPr>
                <w:b w:val="0"/>
                <w:bCs w:val="0"/>
                <w:sz w:val="20"/>
                <w:szCs w:val="20"/>
              </w:rPr>
              <w:t>Haemoglobin</w:t>
            </w:r>
            <w:proofErr w:type="spellEnd"/>
            <w:r w:rsidRPr="00B9314D">
              <w:rPr>
                <w:b w:val="0"/>
                <w:bCs w:val="0"/>
                <w:sz w:val="20"/>
                <w:szCs w:val="20"/>
              </w:rPr>
              <w:t xml:space="preserve"> (g/dL)</w:t>
            </w:r>
          </w:p>
        </w:tc>
        <w:tc>
          <w:tcPr>
            <w:tcW w:w="0" w:type="auto"/>
            <w:hideMark/>
          </w:tcPr>
          <w:p w14:paraId="09671F0D"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10.42 ± 0.81ᵃ</w:t>
            </w:r>
          </w:p>
        </w:tc>
        <w:tc>
          <w:tcPr>
            <w:tcW w:w="0" w:type="auto"/>
            <w:hideMark/>
          </w:tcPr>
          <w:p w14:paraId="541EED2B"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13.28 ± 0.74ᵇ</w:t>
            </w:r>
          </w:p>
        </w:tc>
        <w:tc>
          <w:tcPr>
            <w:tcW w:w="0" w:type="auto"/>
            <w:hideMark/>
          </w:tcPr>
          <w:p w14:paraId="417D7458"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-25.84</w:t>
            </w:r>
          </w:p>
        </w:tc>
        <w:tc>
          <w:tcPr>
            <w:cnfStyle w:val="000100000000" w:firstRow="0" w:lastRow="0" w:firstColumn="0" w:lastColumn="1" w:oddVBand="0" w:evenVBand="0" w:oddHBand="0" w:evenHBand="0" w:firstRowFirstColumn="0" w:firstRowLastColumn="0" w:lastRowFirstColumn="0" w:lastRowLastColumn="0"/>
            <w:tcW w:w="0" w:type="auto"/>
            <w:hideMark/>
          </w:tcPr>
          <w:p w14:paraId="04E53920"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&lt;0.001</w:t>
            </w:r>
          </w:p>
        </w:tc>
      </w:tr>
      <w:tr w:rsidR="00B24C34" w:rsidRPr="00B9314D" w14:paraId="4E9ECFC6" w14:textId="77777777" w:rsidTr="00B9314D">
        <w:trPr>
          <w:trHeight w:val="780"/>
        </w:trPr>
        <w:tc>
          <w:tcPr>
            <w:cnfStyle w:val="001000000000" w:firstRow="0" w:lastRow="0" w:firstColumn="1" w:lastColumn="0" w:oddVBand="0" w:evenVBand="0" w:oddHBand="0" w:evenHBand="0" w:firstRowFirstColumn="0" w:firstRowLastColumn="0" w:lastRowFirstColumn="0" w:lastRowLastColumn="0"/>
            <w:tcW w:w="0" w:type="auto"/>
            <w:hideMark/>
          </w:tcPr>
          <w:p w14:paraId="2490CCE5"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Serum ferritin (ng/mL)</w:t>
            </w:r>
          </w:p>
        </w:tc>
        <w:tc>
          <w:tcPr>
            <w:tcW w:w="0" w:type="auto"/>
            <w:hideMark/>
          </w:tcPr>
          <w:p w14:paraId="62112742"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11.87 ± 4.26ᵃ</w:t>
            </w:r>
          </w:p>
        </w:tc>
        <w:tc>
          <w:tcPr>
            <w:tcW w:w="0" w:type="auto"/>
            <w:hideMark/>
          </w:tcPr>
          <w:p w14:paraId="471C066A"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38.64 ± 9.58ᵇ</w:t>
            </w:r>
          </w:p>
        </w:tc>
        <w:tc>
          <w:tcPr>
            <w:tcW w:w="0" w:type="auto"/>
            <w:hideMark/>
          </w:tcPr>
          <w:p w14:paraId="192ED884"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-22.17</w:t>
            </w:r>
          </w:p>
        </w:tc>
        <w:tc>
          <w:tcPr>
            <w:cnfStyle w:val="000100000000" w:firstRow="0" w:lastRow="0" w:firstColumn="0" w:lastColumn="1" w:oddVBand="0" w:evenVBand="0" w:oddHBand="0" w:evenHBand="0" w:firstRowFirstColumn="0" w:firstRowLastColumn="0" w:lastRowFirstColumn="0" w:lastRowLastColumn="0"/>
            <w:tcW w:w="0" w:type="auto"/>
            <w:hideMark/>
          </w:tcPr>
          <w:p w14:paraId="353508C9"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&lt;0.001</w:t>
            </w:r>
          </w:p>
        </w:tc>
      </w:tr>
      <w:tr w:rsidR="00B24C34" w:rsidRPr="00B9314D" w14:paraId="73DA9AA9" w14:textId="77777777" w:rsidTr="00B9314D">
        <w:trPr>
          <w:trHeight w:val="770"/>
        </w:trPr>
        <w:tc>
          <w:tcPr>
            <w:cnfStyle w:val="001000000000" w:firstRow="0" w:lastRow="0" w:firstColumn="1" w:lastColumn="0" w:oddVBand="0" w:evenVBand="0" w:oddHBand="0" w:evenHBand="0" w:firstRowFirstColumn="0" w:firstRowLastColumn="0" w:lastRowFirstColumn="0" w:lastRowLastColumn="0"/>
            <w:tcW w:w="0" w:type="auto"/>
            <w:hideMark/>
          </w:tcPr>
          <w:p w14:paraId="3D95C715"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Serum iron (µg/dL)</w:t>
            </w:r>
          </w:p>
        </w:tc>
        <w:tc>
          <w:tcPr>
            <w:tcW w:w="0" w:type="auto"/>
            <w:hideMark/>
          </w:tcPr>
          <w:p w14:paraId="3603368A"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47.53 ± 9.84ᵃ</w:t>
            </w:r>
          </w:p>
        </w:tc>
        <w:tc>
          <w:tcPr>
            <w:tcW w:w="0" w:type="auto"/>
            <w:hideMark/>
          </w:tcPr>
          <w:p w14:paraId="345011AB"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91.76 ± 14.28ᵇ</w:t>
            </w:r>
          </w:p>
        </w:tc>
        <w:tc>
          <w:tcPr>
            <w:tcW w:w="0" w:type="auto"/>
            <w:hideMark/>
          </w:tcPr>
          <w:p w14:paraId="7EC2962C"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-24.63</w:t>
            </w:r>
          </w:p>
        </w:tc>
        <w:tc>
          <w:tcPr>
            <w:cnfStyle w:val="000100000000" w:firstRow="0" w:lastRow="0" w:firstColumn="0" w:lastColumn="1" w:oddVBand="0" w:evenVBand="0" w:oddHBand="0" w:evenHBand="0" w:firstRowFirstColumn="0" w:firstRowLastColumn="0" w:lastRowFirstColumn="0" w:lastRowLastColumn="0"/>
            <w:tcW w:w="0" w:type="auto"/>
            <w:hideMark/>
          </w:tcPr>
          <w:p w14:paraId="0A081A03"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&lt;0.001</w:t>
            </w:r>
          </w:p>
        </w:tc>
      </w:tr>
      <w:tr w:rsidR="00B24C34" w:rsidRPr="00B9314D" w14:paraId="6AFD7177" w14:textId="77777777" w:rsidTr="00B9314D">
        <w:trPr>
          <w:trHeight w:val="780"/>
        </w:trPr>
        <w:tc>
          <w:tcPr>
            <w:cnfStyle w:val="001000000000" w:firstRow="0" w:lastRow="0" w:firstColumn="1" w:lastColumn="0" w:oddVBand="0" w:evenVBand="0" w:oddHBand="0" w:evenHBand="0" w:firstRowFirstColumn="0" w:firstRowLastColumn="0" w:lastRowFirstColumn="0" w:lastRowLastColumn="0"/>
            <w:tcW w:w="0" w:type="auto"/>
            <w:hideMark/>
          </w:tcPr>
          <w:p w14:paraId="246C40BB"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Total iron-binding capacity (TIBC) (µg/dL)</w:t>
            </w:r>
          </w:p>
        </w:tc>
        <w:tc>
          <w:tcPr>
            <w:tcW w:w="0" w:type="auto"/>
            <w:hideMark/>
          </w:tcPr>
          <w:p w14:paraId="67FBF8CF"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438.65 ± 36.41ᵃ</w:t>
            </w:r>
          </w:p>
        </w:tc>
        <w:tc>
          <w:tcPr>
            <w:tcW w:w="0" w:type="auto"/>
            <w:hideMark/>
          </w:tcPr>
          <w:p w14:paraId="488503DA"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321.47 ± 29.86ᵇ</w:t>
            </w:r>
          </w:p>
        </w:tc>
        <w:tc>
          <w:tcPr>
            <w:tcW w:w="0" w:type="auto"/>
            <w:hideMark/>
          </w:tcPr>
          <w:p w14:paraId="31F19631"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26.18</w:t>
            </w:r>
          </w:p>
        </w:tc>
        <w:tc>
          <w:tcPr>
            <w:cnfStyle w:val="000100000000" w:firstRow="0" w:lastRow="0" w:firstColumn="0" w:lastColumn="1" w:oddVBand="0" w:evenVBand="0" w:oddHBand="0" w:evenHBand="0" w:firstRowFirstColumn="0" w:firstRowLastColumn="0" w:lastRowFirstColumn="0" w:lastRowLastColumn="0"/>
            <w:tcW w:w="0" w:type="auto"/>
            <w:hideMark/>
          </w:tcPr>
          <w:p w14:paraId="1C1BA108"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&lt;0.001</w:t>
            </w:r>
          </w:p>
        </w:tc>
      </w:tr>
    </w:tbl>
    <w:p w14:paraId="17F6DFF7" w14:textId="77777777" w:rsidR="00B24C34" w:rsidRPr="008A2FBD" w:rsidRDefault="00B24C34" w:rsidP="00B24C34">
      <w:pPr>
        <w:spacing w:line="259" w:lineRule="auto"/>
        <w:jc w:val="both"/>
        <w:rPr>
          <w:i/>
          <w:iCs/>
        </w:rPr>
      </w:pPr>
      <w:r w:rsidRPr="008A2FBD">
        <w:rPr>
          <w:i/>
          <w:iCs/>
        </w:rPr>
        <w:t xml:space="preserve">Values are expressed as mean ± standard deviation (SD). ᵃᵇ Mean values within the same row bearing different superscript letters differ significantly (P &lt; .05) as determined by the independent samples t-test. IDA = Iron deficiency </w:t>
      </w:r>
      <w:proofErr w:type="spellStart"/>
      <w:r w:rsidRPr="008A2FBD">
        <w:rPr>
          <w:i/>
          <w:iCs/>
        </w:rPr>
        <w:t>anaemia</w:t>
      </w:r>
      <w:proofErr w:type="spellEnd"/>
      <w:r w:rsidRPr="008A2FBD">
        <w:rPr>
          <w:i/>
          <w:iCs/>
        </w:rPr>
        <w:t>; TIBC = Total iron-binding capacity.</w:t>
      </w:r>
    </w:p>
    <w:p w14:paraId="74FAB269" w14:textId="77777777" w:rsidR="00B24C34" w:rsidRPr="00B24C34" w:rsidRDefault="00B24C34" w:rsidP="00B24C34">
      <w:pPr>
        <w:spacing w:before="240" w:line="259" w:lineRule="auto"/>
        <w:jc w:val="both"/>
        <w:rPr>
          <w:b/>
          <w:bCs/>
          <w:i/>
          <w:iCs/>
        </w:rPr>
      </w:pPr>
      <w:r w:rsidRPr="00B24C34">
        <w:rPr>
          <w:b/>
          <w:bCs/>
          <w:i/>
          <w:iCs/>
        </w:rPr>
        <w:t xml:space="preserve">3.5 Correlation Between Biochemical Parameters and Iron Deficiency </w:t>
      </w:r>
      <w:proofErr w:type="spellStart"/>
      <w:r w:rsidRPr="00B24C34">
        <w:rPr>
          <w:b/>
          <w:bCs/>
          <w:i/>
          <w:iCs/>
        </w:rPr>
        <w:t>Anaemia</w:t>
      </w:r>
      <w:proofErr w:type="spellEnd"/>
    </w:p>
    <w:p w14:paraId="509B6260" w14:textId="77777777" w:rsidR="00B24C34" w:rsidRPr="008A2FBD" w:rsidRDefault="00B24C34" w:rsidP="00B24C34">
      <w:pPr>
        <w:spacing w:before="240" w:line="259" w:lineRule="auto"/>
        <w:jc w:val="both"/>
      </w:pPr>
      <w:r w:rsidRPr="008A2FBD">
        <w:t xml:space="preserve">The relationships between the biochemical parameters and iron deficiency </w:t>
      </w:r>
      <w:proofErr w:type="spellStart"/>
      <w:r w:rsidRPr="008A2FBD">
        <w:t>anaemia</w:t>
      </w:r>
      <w:proofErr w:type="spellEnd"/>
      <w:r w:rsidRPr="008A2FBD">
        <w:t xml:space="preserve"> are presented in </w:t>
      </w:r>
      <w:r w:rsidRPr="008A2FBD">
        <w:rPr>
          <w:b/>
          <w:bCs/>
        </w:rPr>
        <w:t>Table 5</w:t>
      </w:r>
      <w:r w:rsidRPr="008A2FBD">
        <w:t xml:space="preserve">. </w:t>
      </w:r>
      <w:proofErr w:type="spellStart"/>
      <w:r w:rsidRPr="008A2FBD">
        <w:t>Haemoglobin</w:t>
      </w:r>
      <w:proofErr w:type="spellEnd"/>
      <w:r w:rsidRPr="008A2FBD">
        <w:t xml:space="preserve"> (</w:t>
      </w:r>
      <w:r w:rsidRPr="008A2FBD">
        <w:rPr>
          <w:i/>
          <w:iCs/>
        </w:rPr>
        <w:t>r</w:t>
      </w:r>
      <w:r w:rsidRPr="008A2FBD">
        <w:t xml:space="preserve"> = −0.781, </w:t>
      </w:r>
      <w:r w:rsidRPr="008A2FBD">
        <w:rPr>
          <w:i/>
          <w:iCs/>
        </w:rPr>
        <w:t>p</w:t>
      </w:r>
      <w:r w:rsidRPr="008A2FBD">
        <w:t xml:space="preserve"> &lt; 0.001), serum ferritin (</w:t>
      </w:r>
      <w:r w:rsidRPr="008A2FBD">
        <w:rPr>
          <w:i/>
          <w:iCs/>
        </w:rPr>
        <w:t>r</w:t>
      </w:r>
      <w:r w:rsidRPr="008A2FBD">
        <w:t xml:space="preserve"> = −0.724, </w:t>
      </w:r>
      <w:r w:rsidRPr="008A2FBD">
        <w:rPr>
          <w:i/>
          <w:iCs/>
        </w:rPr>
        <w:t>p</w:t>
      </w:r>
      <w:r w:rsidRPr="008A2FBD">
        <w:t xml:space="preserve"> &lt; 0.001), and serum iron (</w:t>
      </w:r>
      <w:r w:rsidRPr="008A2FBD">
        <w:rPr>
          <w:i/>
          <w:iCs/>
        </w:rPr>
        <w:t>r</w:t>
      </w:r>
      <w:r w:rsidRPr="008A2FBD">
        <w:t xml:space="preserve"> = −0.696, </w:t>
      </w:r>
      <w:r w:rsidRPr="008A2FBD">
        <w:rPr>
          <w:i/>
          <w:iCs/>
        </w:rPr>
        <w:t>p</w:t>
      </w:r>
      <w:r w:rsidRPr="008A2FBD">
        <w:t xml:space="preserve"> &lt; 0.001) showed significant, strong negative correlations with iron deficiency </w:t>
      </w:r>
      <w:proofErr w:type="spellStart"/>
      <w:r w:rsidRPr="008A2FBD">
        <w:t>anaemia</w:t>
      </w:r>
      <w:proofErr w:type="spellEnd"/>
      <w:r w:rsidRPr="008A2FBD">
        <w:t xml:space="preserve">, indicating that lower concentrations of these biomarkers were associated with an increased likelihood of </w:t>
      </w:r>
      <w:proofErr w:type="spellStart"/>
      <w:r w:rsidRPr="008A2FBD">
        <w:t>anaemia</w:t>
      </w:r>
      <w:proofErr w:type="spellEnd"/>
      <w:r w:rsidRPr="008A2FBD">
        <w:t xml:space="preserve">. Conversely, total iron-binding capacity (TIBC) showed a significant positive correlation with iron </w:t>
      </w:r>
      <w:r w:rsidRPr="008A2FBD">
        <w:lastRenderedPageBreak/>
        <w:t xml:space="preserve">deficiency </w:t>
      </w:r>
      <w:proofErr w:type="spellStart"/>
      <w:r w:rsidRPr="008A2FBD">
        <w:t>anaemia</w:t>
      </w:r>
      <w:proofErr w:type="spellEnd"/>
      <w:r w:rsidRPr="008A2FBD">
        <w:t xml:space="preserve"> (r = 0.658, p &lt; 0.001), indicating that higher TIBC values were associated with iron deficiency </w:t>
      </w:r>
      <w:proofErr w:type="spellStart"/>
      <w:r w:rsidRPr="008A2FBD">
        <w:t>anaemia</w:t>
      </w:r>
      <w:proofErr w:type="spellEnd"/>
      <w:r w:rsidRPr="008A2FBD">
        <w:t xml:space="preserve">. These findings indicate that all four biochemical parameters were significantly associated with iron deficiency </w:t>
      </w:r>
      <w:proofErr w:type="spellStart"/>
      <w:r w:rsidRPr="008A2FBD">
        <w:t>anaemia</w:t>
      </w:r>
      <w:proofErr w:type="spellEnd"/>
      <w:r w:rsidRPr="008A2FBD">
        <w:t xml:space="preserve"> among the study participants.</w:t>
      </w:r>
    </w:p>
    <w:p w14:paraId="7419DD01" w14:textId="77777777" w:rsidR="00B24C34" w:rsidRPr="008A2FBD" w:rsidRDefault="00B24C34" w:rsidP="00B24C34">
      <w:pPr>
        <w:spacing w:before="240" w:line="259" w:lineRule="auto"/>
        <w:jc w:val="both"/>
      </w:pPr>
      <w:r w:rsidRPr="008A2FBD">
        <w:t xml:space="preserve">The study found a strong link between biochemical parameters and iron deficiency </w:t>
      </w:r>
      <w:proofErr w:type="spellStart"/>
      <w:r w:rsidRPr="008A2FBD">
        <w:t>anaemia</w:t>
      </w:r>
      <w:proofErr w:type="spellEnd"/>
      <w:r w:rsidRPr="008A2FBD">
        <w:t xml:space="preserve"> in adolescent girls. </w:t>
      </w:r>
      <w:proofErr w:type="spellStart"/>
      <w:r w:rsidRPr="008A2FBD">
        <w:t>Haemoglobin</w:t>
      </w:r>
      <w:proofErr w:type="spellEnd"/>
      <w:r w:rsidRPr="008A2FBD">
        <w:t xml:space="preserve"> negatively correlated with </w:t>
      </w:r>
      <w:proofErr w:type="spellStart"/>
      <w:r w:rsidRPr="008A2FBD">
        <w:t>anaemia</w:t>
      </w:r>
      <w:proofErr w:type="spellEnd"/>
      <w:r w:rsidRPr="008A2FBD">
        <w:t xml:space="preserve">, reflecting the role of iron in erythropoiesis and oxygen transport (Samson et al., 2022; Wiafe et al., 2023). Serum ferritin, serum iron, and TIBC showed significant associations: ferritin and serum iron were negatively correlated, and TIBC was positively correlated with </w:t>
      </w:r>
      <w:proofErr w:type="spellStart"/>
      <w:r w:rsidRPr="008A2FBD">
        <w:t>anaemia</w:t>
      </w:r>
      <w:proofErr w:type="spellEnd"/>
      <w:r w:rsidRPr="008A2FBD">
        <w:t xml:space="preserve">. These relationships highlight the interdependence of iron storage, transport, and </w:t>
      </w:r>
      <w:proofErr w:type="spellStart"/>
      <w:r w:rsidRPr="008A2FBD">
        <w:t>haemoglobin</w:t>
      </w:r>
      <w:proofErr w:type="spellEnd"/>
      <w:r w:rsidRPr="008A2FBD">
        <w:t xml:space="preserve"> synthesis in developing iron deficiency </w:t>
      </w:r>
      <w:proofErr w:type="spellStart"/>
      <w:r w:rsidRPr="008A2FBD">
        <w:t>anaemia</w:t>
      </w:r>
      <w:proofErr w:type="spellEnd"/>
      <w:r w:rsidRPr="008A2FBD">
        <w:t>. Combining these measures enhances diagnosis and monitoring, especially in nutritionally vulnerable populations.</w:t>
      </w:r>
    </w:p>
    <w:p w14:paraId="1F40714B" w14:textId="77777777" w:rsidR="00B24C34" w:rsidRPr="008A2FBD" w:rsidRDefault="00B24C34" w:rsidP="00B24C34">
      <w:pPr>
        <w:spacing w:before="240" w:line="259" w:lineRule="auto"/>
        <w:jc w:val="both"/>
      </w:pPr>
      <w:r w:rsidRPr="008A2FBD">
        <w:t xml:space="preserve">Table 5. Correlation Between Biochemical Parameters and Iron Deficiency </w:t>
      </w:r>
      <w:proofErr w:type="spellStart"/>
      <w:r w:rsidRPr="008A2FBD">
        <w:t>Anaemia</w:t>
      </w:r>
      <w:proofErr w:type="spellEnd"/>
    </w:p>
    <w:tbl>
      <w:tblPr>
        <w:tblStyle w:val="PlainTable2"/>
        <w:tblW w:w="8944" w:type="dxa"/>
        <w:tblLook w:val="07A0" w:firstRow="1" w:lastRow="0" w:firstColumn="1" w:lastColumn="1" w:noHBand="1" w:noVBand="1"/>
      </w:tblPr>
      <w:tblGrid>
        <w:gridCol w:w="5824"/>
        <w:gridCol w:w="1520"/>
        <w:gridCol w:w="1600"/>
      </w:tblGrid>
      <w:tr w:rsidR="00B24C34" w:rsidRPr="00B9314D" w14:paraId="027EB50C" w14:textId="77777777" w:rsidTr="001D79DE">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0" w:type="auto"/>
            <w:hideMark/>
          </w:tcPr>
          <w:p w14:paraId="0646FC87"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Variable</w:t>
            </w:r>
          </w:p>
        </w:tc>
        <w:tc>
          <w:tcPr>
            <w:tcW w:w="0" w:type="auto"/>
            <w:hideMark/>
          </w:tcPr>
          <w:p w14:paraId="6C5275F2" w14:textId="77777777" w:rsidR="00B24C34" w:rsidRPr="00B9314D"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proofErr w:type="spellStart"/>
            <w:r w:rsidRPr="00B9314D">
              <w:rPr>
                <w:b w:val="0"/>
                <w:bCs w:val="0"/>
                <w:sz w:val="20"/>
                <w:szCs w:val="20"/>
              </w:rPr>
              <w:t>r-value</w:t>
            </w:r>
            <w:proofErr w:type="spellEnd"/>
          </w:p>
        </w:tc>
        <w:tc>
          <w:tcPr>
            <w:cnfStyle w:val="000100000000" w:firstRow="0" w:lastRow="0" w:firstColumn="0" w:lastColumn="1" w:oddVBand="0" w:evenVBand="0" w:oddHBand="0" w:evenHBand="0" w:firstRowFirstColumn="0" w:firstRowLastColumn="0" w:lastRowFirstColumn="0" w:lastRowLastColumn="0"/>
            <w:tcW w:w="0" w:type="auto"/>
            <w:hideMark/>
          </w:tcPr>
          <w:p w14:paraId="3283B9E1"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p-value</w:t>
            </w:r>
          </w:p>
        </w:tc>
      </w:tr>
      <w:tr w:rsidR="00B24C34" w:rsidRPr="00B9314D" w14:paraId="1CA7957B" w14:textId="77777777" w:rsidTr="001D79DE">
        <w:trPr>
          <w:trHeight w:val="602"/>
        </w:trPr>
        <w:tc>
          <w:tcPr>
            <w:cnfStyle w:val="001000000000" w:firstRow="0" w:lastRow="0" w:firstColumn="1" w:lastColumn="0" w:oddVBand="0" w:evenVBand="0" w:oddHBand="0" w:evenHBand="0" w:firstRowFirstColumn="0" w:firstRowLastColumn="0" w:lastRowFirstColumn="0" w:lastRowLastColumn="0"/>
            <w:tcW w:w="0" w:type="auto"/>
            <w:hideMark/>
          </w:tcPr>
          <w:p w14:paraId="51F44BB3" w14:textId="77777777" w:rsidR="00B24C34" w:rsidRPr="00B9314D" w:rsidRDefault="00B24C34" w:rsidP="00B24C34">
            <w:pPr>
              <w:spacing w:before="240" w:line="259" w:lineRule="auto"/>
              <w:jc w:val="both"/>
              <w:rPr>
                <w:b w:val="0"/>
                <w:bCs w:val="0"/>
                <w:sz w:val="20"/>
                <w:szCs w:val="20"/>
              </w:rPr>
            </w:pPr>
            <w:proofErr w:type="spellStart"/>
            <w:r w:rsidRPr="00B9314D">
              <w:rPr>
                <w:b w:val="0"/>
                <w:bCs w:val="0"/>
                <w:sz w:val="20"/>
                <w:szCs w:val="20"/>
              </w:rPr>
              <w:t>Haemoglobin</w:t>
            </w:r>
            <w:proofErr w:type="spellEnd"/>
          </w:p>
        </w:tc>
        <w:tc>
          <w:tcPr>
            <w:tcW w:w="0" w:type="auto"/>
            <w:hideMark/>
          </w:tcPr>
          <w:p w14:paraId="2408F0AB"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-0.781</w:t>
            </w:r>
          </w:p>
        </w:tc>
        <w:tc>
          <w:tcPr>
            <w:cnfStyle w:val="000100000000" w:firstRow="0" w:lastRow="0" w:firstColumn="0" w:lastColumn="1" w:oddVBand="0" w:evenVBand="0" w:oddHBand="0" w:evenHBand="0" w:firstRowFirstColumn="0" w:firstRowLastColumn="0" w:lastRowFirstColumn="0" w:lastRowLastColumn="0"/>
            <w:tcW w:w="0" w:type="auto"/>
            <w:hideMark/>
          </w:tcPr>
          <w:p w14:paraId="0605840D"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&lt;0.001</w:t>
            </w:r>
          </w:p>
        </w:tc>
      </w:tr>
      <w:tr w:rsidR="00B24C34" w:rsidRPr="00B9314D" w14:paraId="7A7EB729" w14:textId="77777777" w:rsidTr="001D79DE">
        <w:trPr>
          <w:trHeight w:val="614"/>
        </w:trPr>
        <w:tc>
          <w:tcPr>
            <w:cnfStyle w:val="001000000000" w:firstRow="0" w:lastRow="0" w:firstColumn="1" w:lastColumn="0" w:oddVBand="0" w:evenVBand="0" w:oddHBand="0" w:evenHBand="0" w:firstRowFirstColumn="0" w:firstRowLastColumn="0" w:lastRowFirstColumn="0" w:lastRowLastColumn="0"/>
            <w:tcW w:w="0" w:type="auto"/>
            <w:hideMark/>
          </w:tcPr>
          <w:p w14:paraId="641E5058"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Serum ferritin</w:t>
            </w:r>
          </w:p>
        </w:tc>
        <w:tc>
          <w:tcPr>
            <w:tcW w:w="0" w:type="auto"/>
            <w:hideMark/>
          </w:tcPr>
          <w:p w14:paraId="79FD36CD"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-0.724</w:t>
            </w:r>
          </w:p>
        </w:tc>
        <w:tc>
          <w:tcPr>
            <w:cnfStyle w:val="000100000000" w:firstRow="0" w:lastRow="0" w:firstColumn="0" w:lastColumn="1" w:oddVBand="0" w:evenVBand="0" w:oddHBand="0" w:evenHBand="0" w:firstRowFirstColumn="0" w:firstRowLastColumn="0" w:lastRowFirstColumn="0" w:lastRowLastColumn="0"/>
            <w:tcW w:w="0" w:type="auto"/>
            <w:hideMark/>
          </w:tcPr>
          <w:p w14:paraId="022C59D3"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&lt;0.001</w:t>
            </w:r>
          </w:p>
        </w:tc>
      </w:tr>
      <w:tr w:rsidR="00B24C34" w:rsidRPr="00B9314D" w14:paraId="5AC476ED" w14:textId="77777777" w:rsidTr="001D79DE">
        <w:trPr>
          <w:trHeight w:val="602"/>
        </w:trPr>
        <w:tc>
          <w:tcPr>
            <w:cnfStyle w:val="001000000000" w:firstRow="0" w:lastRow="0" w:firstColumn="1" w:lastColumn="0" w:oddVBand="0" w:evenVBand="0" w:oddHBand="0" w:evenHBand="0" w:firstRowFirstColumn="0" w:firstRowLastColumn="0" w:lastRowFirstColumn="0" w:lastRowLastColumn="0"/>
            <w:tcW w:w="0" w:type="auto"/>
            <w:hideMark/>
          </w:tcPr>
          <w:p w14:paraId="6A4592FC"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Serum iron</w:t>
            </w:r>
          </w:p>
        </w:tc>
        <w:tc>
          <w:tcPr>
            <w:tcW w:w="0" w:type="auto"/>
            <w:hideMark/>
          </w:tcPr>
          <w:p w14:paraId="0A24BE78"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-0.696</w:t>
            </w:r>
          </w:p>
        </w:tc>
        <w:tc>
          <w:tcPr>
            <w:cnfStyle w:val="000100000000" w:firstRow="0" w:lastRow="0" w:firstColumn="0" w:lastColumn="1" w:oddVBand="0" w:evenVBand="0" w:oddHBand="0" w:evenHBand="0" w:firstRowFirstColumn="0" w:firstRowLastColumn="0" w:lastRowFirstColumn="0" w:lastRowLastColumn="0"/>
            <w:tcW w:w="0" w:type="auto"/>
            <w:hideMark/>
          </w:tcPr>
          <w:p w14:paraId="3EABAACE"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&lt;0.001</w:t>
            </w:r>
          </w:p>
        </w:tc>
      </w:tr>
      <w:tr w:rsidR="00B24C34" w:rsidRPr="00B9314D" w14:paraId="60CE007C" w14:textId="77777777" w:rsidTr="001D79DE">
        <w:trPr>
          <w:trHeight w:val="614"/>
        </w:trPr>
        <w:tc>
          <w:tcPr>
            <w:cnfStyle w:val="001000000000" w:firstRow="0" w:lastRow="0" w:firstColumn="1" w:lastColumn="0" w:oddVBand="0" w:evenVBand="0" w:oddHBand="0" w:evenHBand="0" w:firstRowFirstColumn="0" w:firstRowLastColumn="0" w:lastRowFirstColumn="0" w:lastRowLastColumn="0"/>
            <w:tcW w:w="0" w:type="auto"/>
            <w:hideMark/>
          </w:tcPr>
          <w:p w14:paraId="3E1356FC"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Total iron-binding capacity (TIBC)</w:t>
            </w:r>
          </w:p>
        </w:tc>
        <w:tc>
          <w:tcPr>
            <w:tcW w:w="0" w:type="auto"/>
            <w:hideMark/>
          </w:tcPr>
          <w:p w14:paraId="06FCE92D" w14:textId="77777777" w:rsidR="00B24C34" w:rsidRPr="00B9314D"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B9314D">
              <w:rPr>
                <w:sz w:val="20"/>
                <w:szCs w:val="20"/>
              </w:rPr>
              <w:t>0.658</w:t>
            </w:r>
          </w:p>
        </w:tc>
        <w:tc>
          <w:tcPr>
            <w:cnfStyle w:val="000100000000" w:firstRow="0" w:lastRow="0" w:firstColumn="0" w:lastColumn="1" w:oddVBand="0" w:evenVBand="0" w:oddHBand="0" w:evenHBand="0" w:firstRowFirstColumn="0" w:firstRowLastColumn="0" w:lastRowFirstColumn="0" w:lastRowLastColumn="0"/>
            <w:tcW w:w="0" w:type="auto"/>
            <w:hideMark/>
          </w:tcPr>
          <w:p w14:paraId="2F8A1ED8" w14:textId="77777777" w:rsidR="00B24C34" w:rsidRPr="00B9314D" w:rsidRDefault="00B24C34" w:rsidP="00B24C34">
            <w:pPr>
              <w:spacing w:before="240" w:line="259" w:lineRule="auto"/>
              <w:jc w:val="both"/>
              <w:rPr>
                <w:b w:val="0"/>
                <w:bCs w:val="0"/>
                <w:sz w:val="20"/>
                <w:szCs w:val="20"/>
              </w:rPr>
            </w:pPr>
            <w:r w:rsidRPr="00B9314D">
              <w:rPr>
                <w:b w:val="0"/>
                <w:bCs w:val="0"/>
                <w:sz w:val="20"/>
                <w:szCs w:val="20"/>
              </w:rPr>
              <w:t>&lt;0.001</w:t>
            </w:r>
          </w:p>
        </w:tc>
      </w:tr>
    </w:tbl>
    <w:p w14:paraId="59F581D7" w14:textId="77777777" w:rsidR="00B24C34" w:rsidRPr="00B9314D" w:rsidRDefault="00B24C34" w:rsidP="00B9314D">
      <w:pPr>
        <w:spacing w:line="259" w:lineRule="auto"/>
        <w:jc w:val="both"/>
        <w:rPr>
          <w:i/>
          <w:iCs/>
        </w:rPr>
      </w:pPr>
      <w:r w:rsidRPr="00B9314D">
        <w:rPr>
          <w:i/>
          <w:iCs/>
        </w:rPr>
        <w:t xml:space="preserve">Correlation was determined using Pearson's correlation coefficient. Statistical significance was accepted at p &lt; 0.05. Negative (r) values indicate an inverse relationship with iron deficiency </w:t>
      </w:r>
      <w:proofErr w:type="spellStart"/>
      <w:r w:rsidRPr="00B9314D">
        <w:rPr>
          <w:i/>
          <w:iCs/>
        </w:rPr>
        <w:t>anaemia</w:t>
      </w:r>
      <w:proofErr w:type="spellEnd"/>
      <w:r w:rsidRPr="00B9314D">
        <w:rPr>
          <w:i/>
          <w:iCs/>
        </w:rPr>
        <w:t>, whereas positive (r) values indicate a direct relationship.</w:t>
      </w:r>
    </w:p>
    <w:p w14:paraId="3A830B6B" w14:textId="77777777" w:rsidR="00B24C34" w:rsidRPr="008A2FBD" w:rsidRDefault="00B24C34" w:rsidP="00B24C34">
      <w:pPr>
        <w:spacing w:before="240" w:line="259" w:lineRule="auto"/>
        <w:jc w:val="both"/>
        <w:rPr>
          <w:b/>
          <w:bCs/>
        </w:rPr>
      </w:pPr>
      <w:r w:rsidRPr="008A2FBD">
        <w:rPr>
          <w:b/>
          <w:bCs/>
        </w:rPr>
        <w:t xml:space="preserve">3.6 Binary Logistic Regression Analysis of Biochemical Predictors of Iron Deficiency </w:t>
      </w:r>
      <w:proofErr w:type="spellStart"/>
      <w:r w:rsidRPr="008A2FBD">
        <w:rPr>
          <w:b/>
          <w:bCs/>
        </w:rPr>
        <w:t>Anaemia</w:t>
      </w:r>
      <w:proofErr w:type="spellEnd"/>
    </w:p>
    <w:p w14:paraId="5059DA71" w14:textId="77777777" w:rsidR="00B24C34" w:rsidRPr="008A2FBD" w:rsidRDefault="00B24C34" w:rsidP="00B24C34">
      <w:pPr>
        <w:spacing w:before="240" w:line="259" w:lineRule="auto"/>
        <w:jc w:val="both"/>
      </w:pPr>
      <w:r w:rsidRPr="008A2FBD">
        <w:t xml:space="preserve">As presented in </w:t>
      </w:r>
      <w:r w:rsidRPr="008A2FBD">
        <w:rPr>
          <w:b/>
          <w:bCs/>
        </w:rPr>
        <w:t>Table 6</w:t>
      </w:r>
      <w:r w:rsidRPr="008A2FBD">
        <w:t xml:space="preserve">, all four biochemical parameters were identified as significant independent predictors of iron deficiency </w:t>
      </w:r>
      <w:proofErr w:type="spellStart"/>
      <w:r w:rsidRPr="008A2FBD">
        <w:t>anaemia</w:t>
      </w:r>
      <w:proofErr w:type="spellEnd"/>
      <w:r w:rsidRPr="008A2FBD">
        <w:t xml:space="preserve"> among the study participants. Serum ferritin exhibited the largest negative regression coefficient (β = −1.756) and the highest Wald χ² value (19.082), indicating that it was the strongest independent predictor of iron deficiency </w:t>
      </w:r>
      <w:proofErr w:type="spellStart"/>
      <w:r w:rsidRPr="008A2FBD">
        <w:t>anaemia</w:t>
      </w:r>
      <w:proofErr w:type="spellEnd"/>
      <w:r w:rsidRPr="008A2FBD">
        <w:t xml:space="preserve">. The adjusted odds ratio of 0.173 (95% CI: 0.079–0.361; </w:t>
      </w:r>
      <w:r w:rsidRPr="008A2FBD">
        <w:rPr>
          <w:i/>
          <w:iCs/>
        </w:rPr>
        <w:t>p</w:t>
      </w:r>
      <w:r w:rsidRPr="008A2FBD">
        <w:t xml:space="preserve"> &lt; 0.001) suggests that higher serum ferritin concentrations were associated with an approximately 82.7% reduction in the odds of having iron deficiency </w:t>
      </w:r>
      <w:proofErr w:type="spellStart"/>
      <w:r w:rsidRPr="008A2FBD">
        <w:t>anaemia</w:t>
      </w:r>
      <w:proofErr w:type="spellEnd"/>
      <w:r w:rsidRPr="008A2FBD">
        <w:t>.</w:t>
      </w:r>
    </w:p>
    <w:p w14:paraId="221E0156" w14:textId="77777777" w:rsidR="00B24C34" w:rsidRPr="008A2FBD" w:rsidRDefault="00B24C34" w:rsidP="00B24C34">
      <w:pPr>
        <w:spacing w:before="240" w:line="259" w:lineRule="auto"/>
        <w:jc w:val="both"/>
      </w:pPr>
      <w:proofErr w:type="spellStart"/>
      <w:r w:rsidRPr="008A2FBD">
        <w:t>Haemoglobin</w:t>
      </w:r>
      <w:proofErr w:type="spellEnd"/>
      <w:r w:rsidRPr="008A2FBD">
        <w:t xml:space="preserve"> was also a significant independent predictor (β = −1.284, Wald χ² = 16.307, Adjusted OR = 0.277, 95% CI: 0.149–0.543; </w:t>
      </w:r>
      <w:r w:rsidRPr="008A2FBD">
        <w:rPr>
          <w:i/>
          <w:iCs/>
        </w:rPr>
        <w:t>p</w:t>
      </w:r>
      <w:r w:rsidRPr="008A2FBD">
        <w:t xml:space="preserve"> &lt; 0.001). This finding indicates that an increase in </w:t>
      </w:r>
      <w:proofErr w:type="spellStart"/>
      <w:r w:rsidRPr="008A2FBD">
        <w:t>haemoglobin</w:t>
      </w:r>
      <w:proofErr w:type="spellEnd"/>
      <w:r w:rsidRPr="008A2FBD">
        <w:t xml:space="preserve"> concentration was associated with a 72.3% reduction in the likelihood of iron-deficiency </w:t>
      </w:r>
      <w:proofErr w:type="spellStart"/>
      <w:r w:rsidRPr="008A2FBD">
        <w:t>anaemia</w:t>
      </w:r>
      <w:proofErr w:type="spellEnd"/>
      <w:r w:rsidRPr="008A2FBD">
        <w:t xml:space="preserve">. Similarly, serum iron demonstrated a significant inverse association with iron deficiency </w:t>
      </w:r>
      <w:proofErr w:type="spellStart"/>
      <w:r w:rsidRPr="008A2FBD">
        <w:t>anaemia</w:t>
      </w:r>
      <w:proofErr w:type="spellEnd"/>
      <w:r w:rsidRPr="008A2FBD">
        <w:t xml:space="preserve"> (β = −0.621, Wald χ² = 6.124, Adjusted OR = 0.537, 95% CI: 0.328–0.891; </w:t>
      </w:r>
      <w:r w:rsidRPr="008A2FBD">
        <w:rPr>
          <w:i/>
          <w:iCs/>
        </w:rPr>
        <w:t>p</w:t>
      </w:r>
      <w:r w:rsidRPr="008A2FBD">
        <w:t xml:space="preserve"> = 0.013), indicating that higher serum iron levels reduced the odds of iron deficiency </w:t>
      </w:r>
      <w:proofErr w:type="spellStart"/>
      <w:r w:rsidRPr="008A2FBD">
        <w:t>anaemia</w:t>
      </w:r>
      <w:proofErr w:type="spellEnd"/>
      <w:r w:rsidRPr="008A2FBD">
        <w:t xml:space="preserve"> by approximately 46.3%.</w:t>
      </w:r>
    </w:p>
    <w:p w14:paraId="74260360" w14:textId="77777777" w:rsidR="00B24C34" w:rsidRPr="008A2FBD" w:rsidRDefault="00B24C34" w:rsidP="00B24C34">
      <w:pPr>
        <w:spacing w:before="240" w:line="259" w:lineRule="auto"/>
        <w:jc w:val="both"/>
      </w:pPr>
      <w:r w:rsidRPr="008A2FBD">
        <w:t xml:space="preserve">In contrast, total iron-binding capacity (TIBC) showed a positive regression coefficient (β = 0.845) and was significantly associated with iron deficiency </w:t>
      </w:r>
      <w:proofErr w:type="spellStart"/>
      <w:r w:rsidRPr="008A2FBD">
        <w:t>anaemia</w:t>
      </w:r>
      <w:proofErr w:type="spellEnd"/>
      <w:r w:rsidRPr="008A2FBD">
        <w:t xml:space="preserve"> (Wald χ² = 8.731, Adjusted OR = 2.328, 95% CI: 1.329–4.079; </w:t>
      </w:r>
      <w:r w:rsidRPr="008A2FBD">
        <w:rPr>
          <w:i/>
          <w:iCs/>
        </w:rPr>
        <w:t>p</w:t>
      </w:r>
      <w:r w:rsidRPr="008A2FBD">
        <w:t xml:space="preserve"> = 0.003). Participants with higher TIBC values had approximately 2.3 times higher odds of iron-deficiency </w:t>
      </w:r>
      <w:proofErr w:type="spellStart"/>
      <w:r w:rsidRPr="008A2FBD">
        <w:t>anaemia</w:t>
      </w:r>
      <w:proofErr w:type="spellEnd"/>
      <w:r w:rsidRPr="008A2FBD">
        <w:t xml:space="preserve"> compared with those with lower TIBC values. Overall, serum ferritin </w:t>
      </w:r>
      <w:r w:rsidRPr="008A2FBD">
        <w:lastRenderedPageBreak/>
        <w:t xml:space="preserve">emerged as the strongest biochemical predictor of iron deficiency </w:t>
      </w:r>
      <w:proofErr w:type="spellStart"/>
      <w:r w:rsidRPr="008A2FBD">
        <w:t>anaemia</w:t>
      </w:r>
      <w:proofErr w:type="spellEnd"/>
      <w:r w:rsidRPr="008A2FBD">
        <w:t xml:space="preserve">, followed by </w:t>
      </w:r>
      <w:proofErr w:type="spellStart"/>
      <w:r w:rsidRPr="008A2FBD">
        <w:t>haemoglobin</w:t>
      </w:r>
      <w:proofErr w:type="spellEnd"/>
      <w:r w:rsidRPr="008A2FBD">
        <w:t xml:space="preserve">, TIBC, and serum iron, based on the magnitude of the regression coefficients, Wald χ² statistics, and adjusted odds ratios. These findings demonstrate that all four biochemical parameters independently contributed to the prediction of iron deficiency </w:t>
      </w:r>
      <w:proofErr w:type="spellStart"/>
      <w:r w:rsidRPr="008A2FBD">
        <w:t>anaemia</w:t>
      </w:r>
      <w:proofErr w:type="spellEnd"/>
      <w:r w:rsidRPr="008A2FBD">
        <w:t xml:space="preserve"> among school-aged adolescent girls in Rivers State.</w:t>
      </w:r>
    </w:p>
    <w:p w14:paraId="715C707C" w14:textId="77777777" w:rsidR="00B24C34" w:rsidRPr="008A2FBD" w:rsidRDefault="00B24C34" w:rsidP="00B24C34">
      <w:pPr>
        <w:spacing w:before="240" w:line="259" w:lineRule="auto"/>
        <w:jc w:val="both"/>
      </w:pPr>
      <w:r w:rsidRPr="008A2FBD">
        <w:t xml:space="preserve">Serum ferritin emerged as the strongest predictor, demonstrating the highest Wald χ² value and the greatest contribution to predicting </w:t>
      </w:r>
      <w:proofErr w:type="spellStart"/>
      <w:r w:rsidRPr="008A2FBD">
        <w:t>anaemia</w:t>
      </w:r>
      <w:proofErr w:type="spellEnd"/>
      <w:r w:rsidRPr="008A2FBD">
        <w:t xml:space="preserve"> status. This finding </w:t>
      </w:r>
      <w:proofErr w:type="spellStart"/>
      <w:r w:rsidRPr="008A2FBD">
        <w:t>emphasises</w:t>
      </w:r>
      <w:proofErr w:type="spellEnd"/>
      <w:r w:rsidRPr="008A2FBD">
        <w:t xml:space="preserve"> the importance of assessing iron storage status, as depletion of iron stores precedes the development of severe </w:t>
      </w:r>
      <w:proofErr w:type="spellStart"/>
      <w:r w:rsidRPr="008A2FBD">
        <w:t>haematological</w:t>
      </w:r>
      <w:proofErr w:type="spellEnd"/>
      <w:r w:rsidRPr="008A2FBD">
        <w:t xml:space="preserve"> changes.</w:t>
      </w:r>
    </w:p>
    <w:p w14:paraId="02543392" w14:textId="77777777" w:rsidR="00B24C34" w:rsidRPr="008A2FBD" w:rsidRDefault="00B24C34" w:rsidP="00B24C34">
      <w:pPr>
        <w:spacing w:before="240" w:line="259" w:lineRule="auto"/>
        <w:jc w:val="both"/>
      </w:pPr>
      <w:r w:rsidRPr="008A2FBD">
        <w:t xml:space="preserve">The inverse association between serum ferritin and iron deficiency </w:t>
      </w:r>
      <w:proofErr w:type="spellStart"/>
      <w:r w:rsidRPr="008A2FBD">
        <w:t>anaemia</w:t>
      </w:r>
      <w:proofErr w:type="spellEnd"/>
      <w:r w:rsidRPr="008A2FBD">
        <w:t xml:space="preserve"> indicates that adolescents with lower ferritin concentrations had a higher probability of </w:t>
      </w:r>
      <w:proofErr w:type="spellStart"/>
      <w:r w:rsidRPr="008A2FBD">
        <w:t>anaemia</w:t>
      </w:r>
      <w:proofErr w:type="spellEnd"/>
      <w:r w:rsidRPr="008A2FBD">
        <w:t xml:space="preserve">. This finding aligns with previous reports identifying serum ferritin as the most reliable indicator of body iron stores and a sensitive biomarker for detecting iron deficiency before severe </w:t>
      </w:r>
      <w:proofErr w:type="spellStart"/>
      <w:r w:rsidRPr="008A2FBD">
        <w:t>anaemia</w:t>
      </w:r>
      <w:proofErr w:type="spellEnd"/>
      <w:r w:rsidRPr="008A2FBD">
        <w:t xml:space="preserve"> develops (Cançado, 2023; Leung et al., 2024). Furthermore, the World Health </w:t>
      </w:r>
      <w:proofErr w:type="spellStart"/>
      <w:r w:rsidRPr="008A2FBD">
        <w:t>Organisation</w:t>
      </w:r>
      <w:proofErr w:type="spellEnd"/>
      <w:r w:rsidRPr="008A2FBD">
        <w:t xml:space="preserve"> (2024) recommends using serum ferritin, alongside </w:t>
      </w:r>
      <w:proofErr w:type="spellStart"/>
      <w:r w:rsidRPr="008A2FBD">
        <w:t>haemoglobin</w:t>
      </w:r>
      <w:proofErr w:type="spellEnd"/>
      <w:r w:rsidRPr="008A2FBD">
        <w:t xml:space="preserve"> and other biochemical indicators, to assess iron status in individuals and populations at risk of iron deficiency.</w:t>
      </w:r>
    </w:p>
    <w:p w14:paraId="734B1884" w14:textId="77777777" w:rsidR="00B24C34" w:rsidRPr="008A2FBD" w:rsidRDefault="00B24C34" w:rsidP="00B24C34">
      <w:pPr>
        <w:spacing w:before="240" w:line="259" w:lineRule="auto"/>
        <w:jc w:val="both"/>
      </w:pPr>
      <w:proofErr w:type="spellStart"/>
      <w:r w:rsidRPr="008A2FBD">
        <w:t>Haemoglobin</w:t>
      </w:r>
      <w:proofErr w:type="spellEnd"/>
      <w:r w:rsidRPr="008A2FBD">
        <w:t xml:space="preserve"> was also a significant predictor of iron deficiency </w:t>
      </w:r>
      <w:proofErr w:type="spellStart"/>
      <w:r w:rsidRPr="008A2FBD">
        <w:t>anaemia</w:t>
      </w:r>
      <w:proofErr w:type="spellEnd"/>
      <w:r w:rsidRPr="008A2FBD">
        <w:t xml:space="preserve">. Although </w:t>
      </w:r>
      <w:proofErr w:type="spellStart"/>
      <w:r w:rsidRPr="008A2FBD">
        <w:t>haemoglobin</w:t>
      </w:r>
      <w:proofErr w:type="spellEnd"/>
      <w:r w:rsidRPr="008A2FBD">
        <w:t xml:space="preserve"> remains the primary indicator for diagnosing </w:t>
      </w:r>
      <w:proofErr w:type="spellStart"/>
      <w:r w:rsidRPr="008A2FBD">
        <w:t>anaemia</w:t>
      </w:r>
      <w:proofErr w:type="spellEnd"/>
      <w:r w:rsidRPr="008A2FBD">
        <w:t xml:space="preserve">, its concentration may be influenced by nutritional deficiencies, infections, inflammation, and inherited </w:t>
      </w:r>
      <w:proofErr w:type="spellStart"/>
      <w:r w:rsidRPr="008A2FBD">
        <w:t>haematological</w:t>
      </w:r>
      <w:proofErr w:type="spellEnd"/>
      <w:r w:rsidRPr="008A2FBD">
        <w:t xml:space="preserve"> disorders, making it insufficient to distinguish iron deficiency </w:t>
      </w:r>
      <w:proofErr w:type="spellStart"/>
      <w:r w:rsidRPr="008A2FBD">
        <w:t>anaemia</w:t>
      </w:r>
      <w:proofErr w:type="spellEnd"/>
      <w:r w:rsidRPr="008A2FBD">
        <w:t xml:space="preserve"> from other causes of </w:t>
      </w:r>
      <w:proofErr w:type="spellStart"/>
      <w:r w:rsidRPr="008A2FBD">
        <w:t>anaemia</w:t>
      </w:r>
      <w:proofErr w:type="spellEnd"/>
      <w:r w:rsidRPr="008A2FBD">
        <w:t xml:space="preserve"> when used in isolation (Cappellini &amp; Motta, 2015; World Health Organization, 2025). The significant predictive effect observed in this study therefore confirms the importance of interpreting </w:t>
      </w:r>
      <w:proofErr w:type="spellStart"/>
      <w:r w:rsidRPr="008A2FBD">
        <w:t>haemoglobin</w:t>
      </w:r>
      <w:proofErr w:type="spellEnd"/>
      <w:r w:rsidRPr="008A2FBD">
        <w:t xml:space="preserve"> alongside iron-related biomarkers for a more accurate diagnosis.</w:t>
      </w:r>
    </w:p>
    <w:p w14:paraId="22F86DCD" w14:textId="77777777" w:rsidR="00B24C34" w:rsidRDefault="00B24C34" w:rsidP="00B24C34">
      <w:pPr>
        <w:spacing w:before="240" w:line="259" w:lineRule="auto"/>
        <w:jc w:val="both"/>
      </w:pPr>
      <w:r w:rsidRPr="008A2FBD">
        <w:t xml:space="preserve">Serum iron significantly predicted iron deficiency </w:t>
      </w:r>
      <w:proofErr w:type="spellStart"/>
      <w:r w:rsidRPr="008A2FBD">
        <w:t>anaemia</w:t>
      </w:r>
      <w:proofErr w:type="spellEnd"/>
      <w:r w:rsidRPr="008A2FBD">
        <w:t xml:space="preserve">, further demonstrating the importance of adequate circulating iron availability in maintaining normal erythropoiesis and </w:t>
      </w:r>
      <w:proofErr w:type="spellStart"/>
      <w:r w:rsidRPr="008A2FBD">
        <w:t>haemoglobin</w:t>
      </w:r>
      <w:proofErr w:type="spellEnd"/>
      <w:r w:rsidRPr="008A2FBD">
        <w:t xml:space="preserve"> synthesis. Similar observations have been reported among adolescents and women of reproductive age, where reduced serum iron concentrations were associated with iron deficiency and </w:t>
      </w:r>
      <w:proofErr w:type="spellStart"/>
      <w:r w:rsidRPr="008A2FBD">
        <w:t>anaemia</w:t>
      </w:r>
      <w:proofErr w:type="spellEnd"/>
      <w:r w:rsidRPr="008A2FBD">
        <w:t xml:space="preserve"> (</w:t>
      </w:r>
      <w:proofErr w:type="spellStart"/>
      <w:r w:rsidRPr="008A2FBD">
        <w:t>Aabdien</w:t>
      </w:r>
      <w:proofErr w:type="spellEnd"/>
      <w:r w:rsidRPr="008A2FBD">
        <w:t xml:space="preserve"> et al., 2022; </w:t>
      </w:r>
      <w:proofErr w:type="spellStart"/>
      <w:r w:rsidRPr="008A2FBD">
        <w:t>Babah</w:t>
      </w:r>
      <w:proofErr w:type="spellEnd"/>
      <w:r w:rsidRPr="008A2FBD">
        <w:t xml:space="preserve"> et al., 2024). In contrast, total iron-binding capacity (TIBC) showed a positive predictive relationship with </w:t>
      </w:r>
      <w:proofErr w:type="spellStart"/>
      <w:r w:rsidRPr="008A2FBD">
        <w:t>anaemia</w:t>
      </w:r>
      <w:proofErr w:type="spellEnd"/>
      <w:r w:rsidRPr="008A2FBD">
        <w:t xml:space="preserve">, indicating that increased iron-binding capacity was associated with a higher likelihood of iron deficiency. This finding reflects the physiological response to depleted iron stores, whereby hepatic transferrin production increases to </w:t>
      </w:r>
      <w:proofErr w:type="spellStart"/>
      <w:r w:rsidRPr="008A2FBD">
        <w:t>maximise</w:t>
      </w:r>
      <w:proofErr w:type="spellEnd"/>
      <w:r w:rsidRPr="008A2FBD">
        <w:t xml:space="preserve"> iron transport and facilitate iron delivery to the bone marrow for erythropoiesis (Kulik-</w:t>
      </w:r>
      <w:proofErr w:type="spellStart"/>
      <w:r w:rsidRPr="008A2FBD">
        <w:t>Rechberger</w:t>
      </w:r>
      <w:proofErr w:type="spellEnd"/>
      <w:r w:rsidRPr="008A2FBD">
        <w:t xml:space="preserve"> &amp; Dubel, 2024; Tayal et al., 2025).</w:t>
      </w:r>
    </w:p>
    <w:p w14:paraId="4E3B687C" w14:textId="77777777" w:rsidR="00B9314D" w:rsidRDefault="00B9314D" w:rsidP="00B24C34">
      <w:pPr>
        <w:spacing w:before="240" w:line="259" w:lineRule="auto"/>
        <w:jc w:val="both"/>
      </w:pPr>
    </w:p>
    <w:p w14:paraId="65431565" w14:textId="77777777" w:rsidR="00B9314D" w:rsidRDefault="00B9314D" w:rsidP="00B24C34">
      <w:pPr>
        <w:spacing w:before="240" w:line="259" w:lineRule="auto"/>
        <w:jc w:val="both"/>
      </w:pPr>
    </w:p>
    <w:p w14:paraId="49B9F10C" w14:textId="77777777" w:rsidR="00B9314D" w:rsidRPr="008A2FBD" w:rsidRDefault="00B9314D" w:rsidP="00B24C34">
      <w:pPr>
        <w:spacing w:before="240" w:line="259" w:lineRule="auto"/>
        <w:jc w:val="both"/>
      </w:pPr>
    </w:p>
    <w:p w14:paraId="36A035DD" w14:textId="77777777" w:rsidR="00B9314D" w:rsidRDefault="00B9314D" w:rsidP="00B9314D">
      <w:pPr>
        <w:spacing w:line="259" w:lineRule="auto"/>
        <w:jc w:val="both"/>
      </w:pPr>
    </w:p>
    <w:p w14:paraId="2F9926F8" w14:textId="78F3A8D0" w:rsidR="00B24C34" w:rsidRPr="008A2FBD" w:rsidRDefault="00B24C34" w:rsidP="00B9314D">
      <w:pPr>
        <w:spacing w:line="259" w:lineRule="auto"/>
        <w:jc w:val="both"/>
      </w:pPr>
      <w:r w:rsidRPr="008A2FBD">
        <w:t xml:space="preserve">Table 6. Binary logistic regression analysis of biochemical predictors of iron deficiency </w:t>
      </w:r>
      <w:proofErr w:type="spellStart"/>
      <w:r w:rsidRPr="008A2FBD">
        <w:t>anaemia</w:t>
      </w:r>
      <w:proofErr w:type="spellEnd"/>
    </w:p>
    <w:tbl>
      <w:tblPr>
        <w:tblStyle w:val="PlainTable2"/>
        <w:tblW w:w="9222" w:type="dxa"/>
        <w:tblLook w:val="07A0" w:firstRow="1" w:lastRow="0" w:firstColumn="1" w:lastColumn="1" w:noHBand="1" w:noVBand="1"/>
      </w:tblPr>
      <w:tblGrid>
        <w:gridCol w:w="3193"/>
        <w:gridCol w:w="838"/>
        <w:gridCol w:w="720"/>
        <w:gridCol w:w="904"/>
        <w:gridCol w:w="1356"/>
        <w:gridCol w:w="1335"/>
        <w:gridCol w:w="876"/>
      </w:tblGrid>
      <w:tr w:rsidR="00B24C34" w:rsidRPr="00B9314D" w14:paraId="53AE7176" w14:textId="77777777" w:rsidTr="00B9314D">
        <w:trPr>
          <w:cnfStyle w:val="100000000000" w:firstRow="1" w:lastRow="0" w:firstColumn="0" w:lastColumn="0" w:oddVBand="0" w:evenVBand="0" w:oddHBand="0"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2178B53D" w14:textId="77777777" w:rsidR="00B24C34" w:rsidRPr="00B9314D" w:rsidRDefault="00B24C34" w:rsidP="00B9314D">
            <w:pPr>
              <w:spacing w:line="259" w:lineRule="auto"/>
              <w:jc w:val="both"/>
              <w:rPr>
                <w:b w:val="0"/>
                <w:bCs w:val="0"/>
                <w:i/>
                <w:iCs/>
                <w:sz w:val="20"/>
                <w:szCs w:val="20"/>
              </w:rPr>
            </w:pPr>
            <w:r w:rsidRPr="00B9314D">
              <w:rPr>
                <w:b w:val="0"/>
                <w:bCs w:val="0"/>
                <w:i/>
                <w:iCs/>
                <w:sz w:val="20"/>
                <w:szCs w:val="20"/>
              </w:rPr>
              <w:t>Variable</w:t>
            </w:r>
          </w:p>
        </w:tc>
        <w:tc>
          <w:tcPr>
            <w:tcW w:w="0" w:type="auto"/>
            <w:hideMark/>
          </w:tcPr>
          <w:p w14:paraId="2ECDA107" w14:textId="77777777" w:rsidR="00B24C34" w:rsidRPr="00B9314D"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B9314D">
              <w:rPr>
                <w:b w:val="0"/>
                <w:bCs w:val="0"/>
                <w:i/>
                <w:iCs/>
                <w:sz w:val="20"/>
                <w:szCs w:val="20"/>
              </w:rPr>
              <w:t>β</w:t>
            </w:r>
          </w:p>
        </w:tc>
        <w:tc>
          <w:tcPr>
            <w:tcW w:w="0" w:type="auto"/>
            <w:hideMark/>
          </w:tcPr>
          <w:p w14:paraId="21A76868" w14:textId="77777777" w:rsidR="00B24C34" w:rsidRPr="00B9314D"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B9314D">
              <w:rPr>
                <w:b w:val="0"/>
                <w:bCs w:val="0"/>
                <w:i/>
                <w:iCs/>
                <w:sz w:val="20"/>
                <w:szCs w:val="20"/>
              </w:rPr>
              <w:t>SE</w:t>
            </w:r>
          </w:p>
        </w:tc>
        <w:tc>
          <w:tcPr>
            <w:tcW w:w="0" w:type="auto"/>
            <w:hideMark/>
          </w:tcPr>
          <w:p w14:paraId="2E5D0F9C" w14:textId="77777777" w:rsidR="00B24C34" w:rsidRPr="00B9314D"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B9314D">
              <w:rPr>
                <w:b w:val="0"/>
                <w:bCs w:val="0"/>
                <w:i/>
                <w:iCs/>
                <w:sz w:val="20"/>
                <w:szCs w:val="20"/>
              </w:rPr>
              <w:t>Wald χ²</w:t>
            </w:r>
          </w:p>
        </w:tc>
        <w:tc>
          <w:tcPr>
            <w:tcW w:w="0" w:type="auto"/>
            <w:hideMark/>
          </w:tcPr>
          <w:p w14:paraId="432CA57E" w14:textId="77777777" w:rsidR="00B24C34" w:rsidRPr="00B9314D"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B9314D">
              <w:rPr>
                <w:b w:val="0"/>
                <w:bCs w:val="0"/>
                <w:i/>
                <w:iCs/>
                <w:sz w:val="20"/>
                <w:szCs w:val="20"/>
              </w:rPr>
              <w:t>Adjusted OR</w:t>
            </w:r>
          </w:p>
        </w:tc>
        <w:tc>
          <w:tcPr>
            <w:tcW w:w="0" w:type="auto"/>
            <w:hideMark/>
          </w:tcPr>
          <w:p w14:paraId="22D5BA1A" w14:textId="77777777" w:rsidR="00B24C34" w:rsidRPr="00B9314D"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B9314D">
              <w:rPr>
                <w:b w:val="0"/>
                <w:bCs w:val="0"/>
                <w:i/>
                <w:iCs/>
                <w:sz w:val="20"/>
                <w:szCs w:val="20"/>
              </w:rPr>
              <w:t>95% CI</w:t>
            </w:r>
          </w:p>
        </w:tc>
        <w:tc>
          <w:tcPr>
            <w:cnfStyle w:val="000100000000" w:firstRow="0" w:lastRow="0" w:firstColumn="0" w:lastColumn="1" w:oddVBand="0" w:evenVBand="0" w:oddHBand="0" w:evenHBand="0" w:firstRowFirstColumn="0" w:firstRowLastColumn="0" w:lastRowFirstColumn="0" w:lastRowLastColumn="0"/>
            <w:tcW w:w="0" w:type="auto"/>
            <w:hideMark/>
          </w:tcPr>
          <w:p w14:paraId="7C513D6D" w14:textId="77777777" w:rsidR="00B24C34" w:rsidRPr="00B9314D" w:rsidRDefault="00B24C34" w:rsidP="00B9314D">
            <w:pPr>
              <w:spacing w:line="259" w:lineRule="auto"/>
              <w:jc w:val="both"/>
              <w:rPr>
                <w:b w:val="0"/>
                <w:bCs w:val="0"/>
                <w:i/>
                <w:iCs/>
                <w:sz w:val="20"/>
                <w:szCs w:val="20"/>
              </w:rPr>
            </w:pPr>
            <w:r w:rsidRPr="00B9314D">
              <w:rPr>
                <w:b w:val="0"/>
                <w:bCs w:val="0"/>
                <w:i/>
                <w:iCs/>
                <w:sz w:val="20"/>
                <w:szCs w:val="20"/>
              </w:rPr>
              <w:t>p-value</w:t>
            </w:r>
          </w:p>
        </w:tc>
      </w:tr>
      <w:tr w:rsidR="00B24C34" w:rsidRPr="00B9314D" w14:paraId="0C826043" w14:textId="77777777" w:rsidTr="00B9314D">
        <w:trPr>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6643A73D" w14:textId="77777777" w:rsidR="00B24C34" w:rsidRPr="00B9314D" w:rsidRDefault="00B24C34" w:rsidP="00B9314D">
            <w:pPr>
              <w:spacing w:line="259" w:lineRule="auto"/>
              <w:jc w:val="both"/>
              <w:rPr>
                <w:b w:val="0"/>
                <w:bCs w:val="0"/>
                <w:i/>
                <w:iCs/>
                <w:sz w:val="20"/>
                <w:szCs w:val="20"/>
              </w:rPr>
            </w:pPr>
            <w:proofErr w:type="spellStart"/>
            <w:r w:rsidRPr="00B9314D">
              <w:rPr>
                <w:b w:val="0"/>
                <w:bCs w:val="0"/>
                <w:i/>
                <w:iCs/>
                <w:sz w:val="20"/>
                <w:szCs w:val="20"/>
              </w:rPr>
              <w:lastRenderedPageBreak/>
              <w:t>Haemoglobin</w:t>
            </w:r>
            <w:proofErr w:type="spellEnd"/>
          </w:p>
        </w:tc>
        <w:tc>
          <w:tcPr>
            <w:tcW w:w="0" w:type="auto"/>
            <w:hideMark/>
          </w:tcPr>
          <w:p w14:paraId="4C73B42A"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−1.284</w:t>
            </w:r>
          </w:p>
        </w:tc>
        <w:tc>
          <w:tcPr>
            <w:tcW w:w="0" w:type="auto"/>
            <w:hideMark/>
          </w:tcPr>
          <w:p w14:paraId="0DD38368"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0.318</w:t>
            </w:r>
          </w:p>
        </w:tc>
        <w:tc>
          <w:tcPr>
            <w:tcW w:w="0" w:type="auto"/>
            <w:hideMark/>
          </w:tcPr>
          <w:p w14:paraId="0664DF96"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16.307</w:t>
            </w:r>
          </w:p>
        </w:tc>
        <w:tc>
          <w:tcPr>
            <w:tcW w:w="0" w:type="auto"/>
            <w:hideMark/>
          </w:tcPr>
          <w:p w14:paraId="66E236CF"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0.277</w:t>
            </w:r>
          </w:p>
        </w:tc>
        <w:tc>
          <w:tcPr>
            <w:tcW w:w="0" w:type="auto"/>
            <w:hideMark/>
          </w:tcPr>
          <w:p w14:paraId="0F5DA1AE"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0.149–0.543</w:t>
            </w:r>
          </w:p>
        </w:tc>
        <w:tc>
          <w:tcPr>
            <w:cnfStyle w:val="000100000000" w:firstRow="0" w:lastRow="0" w:firstColumn="0" w:lastColumn="1" w:oddVBand="0" w:evenVBand="0" w:oddHBand="0" w:evenHBand="0" w:firstRowFirstColumn="0" w:firstRowLastColumn="0" w:lastRowFirstColumn="0" w:lastRowLastColumn="0"/>
            <w:tcW w:w="0" w:type="auto"/>
            <w:hideMark/>
          </w:tcPr>
          <w:p w14:paraId="16105B11" w14:textId="77777777" w:rsidR="00B24C34" w:rsidRPr="00B9314D" w:rsidRDefault="00B24C34" w:rsidP="00B9314D">
            <w:pPr>
              <w:spacing w:line="259" w:lineRule="auto"/>
              <w:jc w:val="both"/>
              <w:rPr>
                <w:b w:val="0"/>
                <w:bCs w:val="0"/>
                <w:i/>
                <w:iCs/>
                <w:sz w:val="20"/>
                <w:szCs w:val="20"/>
              </w:rPr>
            </w:pPr>
            <w:r w:rsidRPr="00B9314D">
              <w:rPr>
                <w:b w:val="0"/>
                <w:bCs w:val="0"/>
                <w:i/>
                <w:iCs/>
                <w:sz w:val="20"/>
                <w:szCs w:val="20"/>
              </w:rPr>
              <w:t>&lt;0.001</w:t>
            </w:r>
          </w:p>
        </w:tc>
      </w:tr>
      <w:tr w:rsidR="00B24C34" w:rsidRPr="00B9314D" w14:paraId="2623A905" w14:textId="77777777" w:rsidTr="00B9314D">
        <w:trPr>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00B3AFF4" w14:textId="77777777" w:rsidR="00B24C34" w:rsidRPr="00B9314D" w:rsidRDefault="00B24C34" w:rsidP="00B9314D">
            <w:pPr>
              <w:spacing w:line="259" w:lineRule="auto"/>
              <w:jc w:val="both"/>
              <w:rPr>
                <w:b w:val="0"/>
                <w:bCs w:val="0"/>
                <w:i/>
                <w:iCs/>
                <w:sz w:val="20"/>
                <w:szCs w:val="20"/>
              </w:rPr>
            </w:pPr>
            <w:r w:rsidRPr="00B9314D">
              <w:rPr>
                <w:b w:val="0"/>
                <w:bCs w:val="0"/>
                <w:i/>
                <w:iCs/>
                <w:sz w:val="20"/>
                <w:szCs w:val="20"/>
              </w:rPr>
              <w:t>Serum ferritin</w:t>
            </w:r>
          </w:p>
        </w:tc>
        <w:tc>
          <w:tcPr>
            <w:tcW w:w="0" w:type="auto"/>
            <w:hideMark/>
          </w:tcPr>
          <w:p w14:paraId="0871CD4E"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−1.756</w:t>
            </w:r>
          </w:p>
        </w:tc>
        <w:tc>
          <w:tcPr>
            <w:tcW w:w="0" w:type="auto"/>
            <w:hideMark/>
          </w:tcPr>
          <w:p w14:paraId="10DDDC84"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0.402</w:t>
            </w:r>
          </w:p>
        </w:tc>
        <w:tc>
          <w:tcPr>
            <w:tcW w:w="0" w:type="auto"/>
            <w:hideMark/>
          </w:tcPr>
          <w:p w14:paraId="2A617541"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19.082</w:t>
            </w:r>
          </w:p>
        </w:tc>
        <w:tc>
          <w:tcPr>
            <w:tcW w:w="0" w:type="auto"/>
            <w:hideMark/>
          </w:tcPr>
          <w:p w14:paraId="77DC10C5"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0.173</w:t>
            </w:r>
          </w:p>
        </w:tc>
        <w:tc>
          <w:tcPr>
            <w:tcW w:w="0" w:type="auto"/>
            <w:hideMark/>
          </w:tcPr>
          <w:p w14:paraId="507C4911"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0.079–0.361</w:t>
            </w:r>
          </w:p>
        </w:tc>
        <w:tc>
          <w:tcPr>
            <w:cnfStyle w:val="000100000000" w:firstRow="0" w:lastRow="0" w:firstColumn="0" w:lastColumn="1" w:oddVBand="0" w:evenVBand="0" w:oddHBand="0" w:evenHBand="0" w:firstRowFirstColumn="0" w:firstRowLastColumn="0" w:lastRowFirstColumn="0" w:lastRowLastColumn="0"/>
            <w:tcW w:w="0" w:type="auto"/>
            <w:hideMark/>
          </w:tcPr>
          <w:p w14:paraId="4B0BFE32" w14:textId="77777777" w:rsidR="00B24C34" w:rsidRPr="00B9314D" w:rsidRDefault="00B24C34" w:rsidP="00B9314D">
            <w:pPr>
              <w:spacing w:line="259" w:lineRule="auto"/>
              <w:jc w:val="both"/>
              <w:rPr>
                <w:b w:val="0"/>
                <w:bCs w:val="0"/>
                <w:i/>
                <w:iCs/>
                <w:sz w:val="20"/>
                <w:szCs w:val="20"/>
              </w:rPr>
            </w:pPr>
            <w:r w:rsidRPr="00B9314D">
              <w:rPr>
                <w:b w:val="0"/>
                <w:bCs w:val="0"/>
                <w:i/>
                <w:iCs/>
                <w:sz w:val="20"/>
                <w:szCs w:val="20"/>
              </w:rPr>
              <w:t>&lt;0.001</w:t>
            </w:r>
          </w:p>
        </w:tc>
      </w:tr>
      <w:tr w:rsidR="00B24C34" w:rsidRPr="00B9314D" w14:paraId="0272EF57" w14:textId="77777777" w:rsidTr="00B9314D">
        <w:trPr>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4117EB06" w14:textId="77777777" w:rsidR="00B24C34" w:rsidRPr="00B9314D" w:rsidRDefault="00B24C34" w:rsidP="00B9314D">
            <w:pPr>
              <w:spacing w:line="259" w:lineRule="auto"/>
              <w:jc w:val="both"/>
              <w:rPr>
                <w:b w:val="0"/>
                <w:bCs w:val="0"/>
                <w:i/>
                <w:iCs/>
                <w:sz w:val="20"/>
                <w:szCs w:val="20"/>
              </w:rPr>
            </w:pPr>
            <w:r w:rsidRPr="00B9314D">
              <w:rPr>
                <w:b w:val="0"/>
                <w:bCs w:val="0"/>
                <w:i/>
                <w:iCs/>
                <w:sz w:val="20"/>
                <w:szCs w:val="20"/>
              </w:rPr>
              <w:t>Serum iron</w:t>
            </w:r>
          </w:p>
        </w:tc>
        <w:tc>
          <w:tcPr>
            <w:tcW w:w="0" w:type="auto"/>
            <w:hideMark/>
          </w:tcPr>
          <w:p w14:paraId="4DA02696"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−0.621</w:t>
            </w:r>
          </w:p>
        </w:tc>
        <w:tc>
          <w:tcPr>
            <w:tcW w:w="0" w:type="auto"/>
            <w:hideMark/>
          </w:tcPr>
          <w:p w14:paraId="13F5276E"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0.251</w:t>
            </w:r>
          </w:p>
        </w:tc>
        <w:tc>
          <w:tcPr>
            <w:tcW w:w="0" w:type="auto"/>
            <w:hideMark/>
          </w:tcPr>
          <w:p w14:paraId="3EF65FC2"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6.124</w:t>
            </w:r>
          </w:p>
        </w:tc>
        <w:tc>
          <w:tcPr>
            <w:tcW w:w="0" w:type="auto"/>
            <w:hideMark/>
          </w:tcPr>
          <w:p w14:paraId="0CC4632E"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0.537</w:t>
            </w:r>
          </w:p>
        </w:tc>
        <w:tc>
          <w:tcPr>
            <w:tcW w:w="0" w:type="auto"/>
            <w:hideMark/>
          </w:tcPr>
          <w:p w14:paraId="651D9D0C"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0.328–0.891</w:t>
            </w:r>
          </w:p>
        </w:tc>
        <w:tc>
          <w:tcPr>
            <w:cnfStyle w:val="000100000000" w:firstRow="0" w:lastRow="0" w:firstColumn="0" w:lastColumn="1" w:oddVBand="0" w:evenVBand="0" w:oddHBand="0" w:evenHBand="0" w:firstRowFirstColumn="0" w:firstRowLastColumn="0" w:lastRowFirstColumn="0" w:lastRowLastColumn="0"/>
            <w:tcW w:w="0" w:type="auto"/>
            <w:hideMark/>
          </w:tcPr>
          <w:p w14:paraId="3C1EBE2F" w14:textId="77777777" w:rsidR="00B24C34" w:rsidRPr="00B9314D" w:rsidRDefault="00B24C34" w:rsidP="00B9314D">
            <w:pPr>
              <w:spacing w:line="259" w:lineRule="auto"/>
              <w:jc w:val="both"/>
              <w:rPr>
                <w:b w:val="0"/>
                <w:bCs w:val="0"/>
                <w:i/>
                <w:iCs/>
                <w:sz w:val="20"/>
                <w:szCs w:val="20"/>
              </w:rPr>
            </w:pPr>
            <w:r w:rsidRPr="00B9314D">
              <w:rPr>
                <w:b w:val="0"/>
                <w:bCs w:val="0"/>
                <w:i/>
                <w:iCs/>
                <w:sz w:val="20"/>
                <w:szCs w:val="20"/>
              </w:rPr>
              <w:t>0.013</w:t>
            </w:r>
          </w:p>
        </w:tc>
      </w:tr>
      <w:tr w:rsidR="00B24C34" w:rsidRPr="00B9314D" w14:paraId="5FEB23F0" w14:textId="77777777" w:rsidTr="00B9314D">
        <w:trPr>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0E547D0E" w14:textId="77777777" w:rsidR="00B24C34" w:rsidRPr="00B9314D" w:rsidRDefault="00B24C34" w:rsidP="00B9314D">
            <w:pPr>
              <w:spacing w:line="259" w:lineRule="auto"/>
              <w:jc w:val="both"/>
              <w:rPr>
                <w:b w:val="0"/>
                <w:bCs w:val="0"/>
                <w:i/>
                <w:iCs/>
                <w:sz w:val="20"/>
                <w:szCs w:val="20"/>
              </w:rPr>
            </w:pPr>
            <w:r w:rsidRPr="00B9314D">
              <w:rPr>
                <w:b w:val="0"/>
                <w:bCs w:val="0"/>
                <w:i/>
                <w:iCs/>
                <w:sz w:val="20"/>
                <w:szCs w:val="20"/>
              </w:rPr>
              <w:t>Total iron-binding capacity (TIBC)</w:t>
            </w:r>
          </w:p>
        </w:tc>
        <w:tc>
          <w:tcPr>
            <w:tcW w:w="0" w:type="auto"/>
            <w:hideMark/>
          </w:tcPr>
          <w:p w14:paraId="5A4E2827"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0.845</w:t>
            </w:r>
          </w:p>
        </w:tc>
        <w:tc>
          <w:tcPr>
            <w:tcW w:w="0" w:type="auto"/>
            <w:hideMark/>
          </w:tcPr>
          <w:p w14:paraId="03673524"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0.286</w:t>
            </w:r>
          </w:p>
        </w:tc>
        <w:tc>
          <w:tcPr>
            <w:tcW w:w="0" w:type="auto"/>
            <w:hideMark/>
          </w:tcPr>
          <w:p w14:paraId="296E58CE"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8.731</w:t>
            </w:r>
          </w:p>
        </w:tc>
        <w:tc>
          <w:tcPr>
            <w:tcW w:w="0" w:type="auto"/>
            <w:hideMark/>
          </w:tcPr>
          <w:p w14:paraId="0951AF8E"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2.328</w:t>
            </w:r>
          </w:p>
        </w:tc>
        <w:tc>
          <w:tcPr>
            <w:tcW w:w="0" w:type="auto"/>
            <w:hideMark/>
          </w:tcPr>
          <w:p w14:paraId="1DC89076" w14:textId="77777777" w:rsidR="00B24C34" w:rsidRPr="00B9314D"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B9314D">
              <w:rPr>
                <w:i/>
                <w:iCs/>
                <w:sz w:val="20"/>
                <w:szCs w:val="20"/>
              </w:rPr>
              <w:t>1.329–4.079</w:t>
            </w:r>
          </w:p>
        </w:tc>
        <w:tc>
          <w:tcPr>
            <w:cnfStyle w:val="000100000000" w:firstRow="0" w:lastRow="0" w:firstColumn="0" w:lastColumn="1" w:oddVBand="0" w:evenVBand="0" w:oddHBand="0" w:evenHBand="0" w:firstRowFirstColumn="0" w:firstRowLastColumn="0" w:lastRowFirstColumn="0" w:lastRowLastColumn="0"/>
            <w:tcW w:w="0" w:type="auto"/>
            <w:hideMark/>
          </w:tcPr>
          <w:p w14:paraId="325AC959" w14:textId="77777777" w:rsidR="00B24C34" w:rsidRPr="00B9314D" w:rsidRDefault="00B24C34" w:rsidP="00B9314D">
            <w:pPr>
              <w:spacing w:line="259" w:lineRule="auto"/>
              <w:jc w:val="both"/>
              <w:rPr>
                <w:b w:val="0"/>
                <w:bCs w:val="0"/>
                <w:i/>
                <w:iCs/>
                <w:sz w:val="20"/>
                <w:szCs w:val="20"/>
              </w:rPr>
            </w:pPr>
            <w:r w:rsidRPr="00B9314D">
              <w:rPr>
                <w:b w:val="0"/>
                <w:bCs w:val="0"/>
                <w:i/>
                <w:iCs/>
                <w:sz w:val="20"/>
                <w:szCs w:val="20"/>
              </w:rPr>
              <w:t>0.003</w:t>
            </w:r>
          </w:p>
        </w:tc>
      </w:tr>
    </w:tbl>
    <w:p w14:paraId="5ACE8866" w14:textId="77777777" w:rsidR="00B24C34" w:rsidRPr="008A2FBD" w:rsidRDefault="00B24C34" w:rsidP="00B9314D">
      <w:pPr>
        <w:spacing w:line="259" w:lineRule="auto"/>
        <w:jc w:val="both"/>
        <w:rPr>
          <w:i/>
          <w:iCs/>
        </w:rPr>
      </w:pPr>
      <w:r w:rsidRPr="008A2FBD">
        <w:rPr>
          <w:i/>
          <w:iCs/>
        </w:rPr>
        <w:t xml:space="preserve">Dependent variable: Iron deficiency </w:t>
      </w:r>
      <w:proofErr w:type="spellStart"/>
      <w:r w:rsidRPr="008A2FBD">
        <w:rPr>
          <w:i/>
          <w:iCs/>
        </w:rPr>
        <w:t>anaemia</w:t>
      </w:r>
      <w:proofErr w:type="spellEnd"/>
      <w:r w:rsidRPr="008A2FBD">
        <w:rPr>
          <w:i/>
          <w:iCs/>
        </w:rPr>
        <w:t xml:space="preserve"> status (Yes = 1; No = 0). β = Regression coefficient; SE = Standard error; Wald χ² = Wald chi-square statistic; OR = Odds ratio; CI = Confidence interval. Statistical significance was set at p &lt; 0.05.</w:t>
      </w:r>
    </w:p>
    <w:p w14:paraId="4053A592" w14:textId="77777777" w:rsidR="00B24C34" w:rsidRPr="008A2FBD" w:rsidRDefault="00B24C34" w:rsidP="00B24C34">
      <w:pPr>
        <w:spacing w:before="240" w:line="259" w:lineRule="auto"/>
        <w:jc w:val="both"/>
        <w:rPr>
          <w:b/>
          <w:bCs/>
        </w:rPr>
      </w:pPr>
      <w:r w:rsidRPr="008A2FBD">
        <w:rPr>
          <w:b/>
          <w:bCs/>
        </w:rPr>
        <w:t>4.</w:t>
      </w:r>
      <w:r>
        <w:rPr>
          <w:b/>
          <w:bCs/>
        </w:rPr>
        <w:t>0</w:t>
      </w:r>
      <w:r w:rsidRPr="008A2FBD">
        <w:rPr>
          <w:b/>
          <w:bCs/>
        </w:rPr>
        <w:t xml:space="preserve"> PUBLIC HEALTH IMPLICATIONS</w:t>
      </w:r>
    </w:p>
    <w:p w14:paraId="640396D2" w14:textId="77777777" w:rsidR="00B24C34" w:rsidRPr="008A2FBD" w:rsidRDefault="00B24C34" w:rsidP="00B24C34">
      <w:pPr>
        <w:spacing w:before="240" w:line="259" w:lineRule="auto"/>
        <w:jc w:val="both"/>
      </w:pPr>
      <w:r w:rsidRPr="008A2FBD">
        <w:t xml:space="preserve">The findings of this study have important public health implications, as iron deficiency </w:t>
      </w:r>
      <w:proofErr w:type="spellStart"/>
      <w:r w:rsidRPr="008A2FBD">
        <w:t>anaemia</w:t>
      </w:r>
      <w:proofErr w:type="spellEnd"/>
      <w:r w:rsidRPr="008A2FBD">
        <w:t xml:space="preserve"> remains a major public health concern among adolescent girls, particularly in low- and middle-income countries where nutritional deficiencies and infectious diseases are prevalent (World Health </w:t>
      </w:r>
      <w:proofErr w:type="spellStart"/>
      <w:r w:rsidRPr="008A2FBD">
        <w:t>Organisation</w:t>
      </w:r>
      <w:proofErr w:type="spellEnd"/>
      <w:r w:rsidRPr="008A2FBD">
        <w:t xml:space="preserve">, 2025; Wiafe et al., 2023). The identification of reduced </w:t>
      </w:r>
      <w:proofErr w:type="spellStart"/>
      <w:r w:rsidRPr="008A2FBD">
        <w:t>haemoglobin</w:t>
      </w:r>
      <w:proofErr w:type="spellEnd"/>
      <w:r w:rsidRPr="008A2FBD">
        <w:t xml:space="preserve">, serum ferritin, and serum iron concentrations, alongside elevated total iron-binding capacity (TIBC), highlights the need for comprehensive screening strategies that extend beyond </w:t>
      </w:r>
      <w:proofErr w:type="spellStart"/>
      <w:r w:rsidRPr="008A2FBD">
        <w:t>haemoglobin</w:t>
      </w:r>
      <w:proofErr w:type="spellEnd"/>
      <w:r w:rsidRPr="008A2FBD">
        <w:t xml:space="preserve"> assessment alone. </w:t>
      </w:r>
    </w:p>
    <w:p w14:paraId="78BDECBF" w14:textId="77777777" w:rsidR="00B24C34" w:rsidRPr="008A2FBD" w:rsidRDefault="00B24C34" w:rsidP="00B24C34">
      <w:pPr>
        <w:spacing w:before="240" w:line="259" w:lineRule="auto"/>
        <w:jc w:val="both"/>
      </w:pPr>
      <w:r w:rsidRPr="008A2FBD">
        <w:t xml:space="preserve">The observed prevalence of iron deficiency </w:t>
      </w:r>
      <w:proofErr w:type="spellStart"/>
      <w:r w:rsidRPr="008A2FBD">
        <w:t>anaemia</w:t>
      </w:r>
      <w:proofErr w:type="spellEnd"/>
      <w:r w:rsidRPr="008A2FBD">
        <w:t xml:space="preserve"> among adolescent girls further underscores the vulnerability of this population, given the increased iron requirements associated with rapid growth, the onset of menstruation, and inadequate dietary iron intake (Das et al., 2017; Munro et al., 2023). If left undetected or untreated, iron deficiency </w:t>
      </w:r>
      <w:proofErr w:type="spellStart"/>
      <w:r w:rsidRPr="008A2FBD">
        <w:t>anaemia</w:t>
      </w:r>
      <w:proofErr w:type="spellEnd"/>
      <w:r w:rsidRPr="008A2FBD">
        <w:t xml:space="preserve"> may impair cognitive function, reduce academic performance, diminish physical capacity, and adversely affect future maternal and reproductive health outcomes (Samson et al., 2022; Yeboah et al., 2024). These findings therefore </w:t>
      </w:r>
      <w:proofErr w:type="spellStart"/>
      <w:r w:rsidRPr="008A2FBD">
        <w:t>emphasise</w:t>
      </w:r>
      <w:proofErr w:type="spellEnd"/>
      <w:r w:rsidRPr="008A2FBD">
        <w:t xml:space="preserve"> the need to strengthen adolescent health </w:t>
      </w:r>
      <w:proofErr w:type="spellStart"/>
      <w:r w:rsidRPr="008A2FBD">
        <w:t>programmes</w:t>
      </w:r>
      <w:proofErr w:type="spellEnd"/>
      <w:r w:rsidRPr="008A2FBD">
        <w:t xml:space="preserve"> through routine iron supplementation, nutrition education that promotes iron-rich, diversified diets, menstrual health education, malaria prevention, and periodic deworming where appropriate.</w:t>
      </w:r>
    </w:p>
    <w:p w14:paraId="29306242" w14:textId="77777777" w:rsidR="00B24C34" w:rsidRPr="008A2FBD" w:rsidRDefault="00B24C34" w:rsidP="00B24C34">
      <w:pPr>
        <w:spacing w:before="240" w:line="259" w:lineRule="auto"/>
        <w:jc w:val="both"/>
      </w:pPr>
      <w:r w:rsidRPr="008A2FBD">
        <w:t xml:space="preserve">The findings also support integrating </w:t>
      </w:r>
      <w:proofErr w:type="spellStart"/>
      <w:r w:rsidRPr="008A2FBD">
        <w:t>anaemia</w:t>
      </w:r>
      <w:proofErr w:type="spellEnd"/>
      <w:r w:rsidRPr="008A2FBD">
        <w:t xml:space="preserve"> prevention and control strategies into existing school health services in Rivers State. Effective implementation will require collaboration among healthcare providers, educational institutions, parents, community leaders, and relevant government agencies to improve awareness, expand access to laboratory diagnostic services, and ensure timely management of affected adolescents. Such multisectoral interventions have the potential to reduce the burden of iron deficiency </w:t>
      </w:r>
      <w:proofErr w:type="spellStart"/>
      <w:r w:rsidRPr="008A2FBD">
        <w:t>anaemia</w:t>
      </w:r>
      <w:proofErr w:type="spellEnd"/>
      <w:r w:rsidRPr="008A2FBD">
        <w:t xml:space="preserve"> and improve the health, educational attainment, and long-term productivity of adolescent girls.</w:t>
      </w:r>
    </w:p>
    <w:p w14:paraId="40365605" w14:textId="77777777" w:rsidR="00B24C34" w:rsidRPr="008A2FBD" w:rsidRDefault="00B24C34" w:rsidP="00B24C34">
      <w:pPr>
        <w:spacing w:before="240" w:line="259" w:lineRule="auto"/>
        <w:jc w:val="both"/>
        <w:rPr>
          <w:b/>
          <w:bCs/>
        </w:rPr>
      </w:pPr>
      <w:r w:rsidRPr="008A2FBD">
        <w:rPr>
          <w:b/>
          <w:bCs/>
        </w:rPr>
        <w:t>5.0 CONCLUSION</w:t>
      </w:r>
    </w:p>
    <w:p w14:paraId="7F8EC1B3" w14:textId="77777777" w:rsidR="00B24C34" w:rsidRPr="008A2FBD" w:rsidRDefault="00B24C34" w:rsidP="00B24C34">
      <w:pPr>
        <w:spacing w:before="240" w:line="259" w:lineRule="auto"/>
        <w:jc w:val="both"/>
      </w:pPr>
      <w:r w:rsidRPr="008A2FBD">
        <w:lastRenderedPageBreak/>
        <w:t xml:space="preserve">This study assessed the prevalence of iron deficiency </w:t>
      </w:r>
      <w:proofErr w:type="spellStart"/>
      <w:r w:rsidRPr="008A2FBD">
        <w:t>anaemia</w:t>
      </w:r>
      <w:proofErr w:type="spellEnd"/>
      <w:r w:rsidRPr="008A2FBD">
        <w:t xml:space="preserve"> and evaluated its biochemical predictors among secondary school girls in Rivers State, Nigeria. The findings revealed that iron deficiency </w:t>
      </w:r>
      <w:proofErr w:type="spellStart"/>
      <w:r w:rsidRPr="008A2FBD">
        <w:t>anaemia</w:t>
      </w:r>
      <w:proofErr w:type="spellEnd"/>
      <w:r w:rsidRPr="008A2FBD">
        <w:t xml:space="preserve"> affected 24.8% of the participants, indicating that approximately one in four adolescent girls was </w:t>
      </w:r>
      <w:proofErr w:type="spellStart"/>
      <w:r w:rsidRPr="008A2FBD">
        <w:t>anaemic</w:t>
      </w:r>
      <w:proofErr w:type="spellEnd"/>
      <w:r w:rsidRPr="008A2FBD">
        <w:t xml:space="preserve"> and confirming that iron deficiency </w:t>
      </w:r>
      <w:proofErr w:type="spellStart"/>
      <w:r w:rsidRPr="008A2FBD">
        <w:t>anaemia</w:t>
      </w:r>
      <w:proofErr w:type="spellEnd"/>
      <w:r w:rsidRPr="008A2FBD">
        <w:t xml:space="preserve"> remains a moderate public health concern within the study population.</w:t>
      </w:r>
    </w:p>
    <w:p w14:paraId="22A9DF99" w14:textId="77777777" w:rsidR="00B24C34" w:rsidRPr="008A2FBD" w:rsidRDefault="00B24C34" w:rsidP="00B24C34">
      <w:pPr>
        <w:spacing w:before="240" w:line="259" w:lineRule="auto"/>
        <w:jc w:val="both"/>
      </w:pPr>
      <w:r w:rsidRPr="008A2FBD">
        <w:t xml:space="preserve">Secondary school girls with iron deficiency </w:t>
      </w:r>
      <w:proofErr w:type="spellStart"/>
      <w:r w:rsidRPr="008A2FBD">
        <w:t>anaemia</w:t>
      </w:r>
      <w:proofErr w:type="spellEnd"/>
      <w:r w:rsidRPr="008A2FBD">
        <w:t xml:space="preserve"> had significantly lower </w:t>
      </w:r>
      <w:proofErr w:type="spellStart"/>
      <w:r w:rsidRPr="008A2FBD">
        <w:t>haemoglobin</w:t>
      </w:r>
      <w:proofErr w:type="spellEnd"/>
      <w:r w:rsidRPr="008A2FBD">
        <w:t>, serum ferritin, and serum iron concentrations, while total iron-binding capacity (TIBC) was significantly higher than in non-</w:t>
      </w:r>
      <w:proofErr w:type="spellStart"/>
      <w:r w:rsidRPr="008A2FBD">
        <w:t>anaemic</w:t>
      </w:r>
      <w:proofErr w:type="spellEnd"/>
      <w:r w:rsidRPr="008A2FBD">
        <w:t xml:space="preserve"> participants. Furthermore, </w:t>
      </w:r>
      <w:proofErr w:type="spellStart"/>
      <w:r w:rsidRPr="008A2FBD">
        <w:t>haemoglobin</w:t>
      </w:r>
      <w:proofErr w:type="spellEnd"/>
      <w:r w:rsidRPr="008A2FBD">
        <w:t xml:space="preserve">, serum ferritin, and serum iron demonstrated significant negative correlations with iron deficiency </w:t>
      </w:r>
      <w:proofErr w:type="spellStart"/>
      <w:r w:rsidRPr="008A2FBD">
        <w:t>anaemia</w:t>
      </w:r>
      <w:proofErr w:type="spellEnd"/>
      <w:r w:rsidRPr="008A2FBD">
        <w:t xml:space="preserve">, whereas TIBC showed a significant positive correlation. Binary logistic regression analysis established that all four biochemical parameters independently predicted iron deficiency </w:t>
      </w:r>
      <w:proofErr w:type="spellStart"/>
      <w:r w:rsidRPr="008A2FBD">
        <w:t>anaemia</w:t>
      </w:r>
      <w:proofErr w:type="spellEnd"/>
      <w:r w:rsidRPr="008A2FBD">
        <w:t xml:space="preserve">, with serum ferritin emerging as the strongest predictor, followed by </w:t>
      </w:r>
      <w:proofErr w:type="spellStart"/>
      <w:r w:rsidRPr="008A2FBD">
        <w:t>haemoglobin</w:t>
      </w:r>
      <w:proofErr w:type="spellEnd"/>
      <w:r w:rsidRPr="008A2FBD">
        <w:t>, TIBC, and serum iron.</w:t>
      </w:r>
    </w:p>
    <w:p w14:paraId="69F3B5E3" w14:textId="77777777" w:rsidR="00B24C34" w:rsidRPr="008A2FBD" w:rsidRDefault="00B24C34" w:rsidP="00B24C34">
      <w:pPr>
        <w:spacing w:before="240" w:line="259" w:lineRule="auto"/>
        <w:jc w:val="both"/>
      </w:pPr>
      <w:r w:rsidRPr="008A2FBD">
        <w:t xml:space="preserve">Overall, the findings demonstrate that iron deficiency </w:t>
      </w:r>
      <w:proofErr w:type="spellStart"/>
      <w:r w:rsidRPr="008A2FBD">
        <w:t>anaemia</w:t>
      </w:r>
      <w:proofErr w:type="spellEnd"/>
      <w:r w:rsidRPr="008A2FBD">
        <w:t xml:space="preserve"> among adolescent secondary school girls in secondary school is closely associated with alterations in biochemical markers of iron metabolism. The study highlights the importance of assessing serum ferritin, serum iron, and TIBC alongside </w:t>
      </w:r>
      <w:proofErr w:type="spellStart"/>
      <w:r w:rsidRPr="008A2FBD">
        <w:t>haemoglobin</w:t>
      </w:r>
      <w:proofErr w:type="spellEnd"/>
      <w:r w:rsidRPr="008A2FBD">
        <w:t xml:space="preserve"> to accurately detect and evaluate iron deficiency </w:t>
      </w:r>
      <w:proofErr w:type="spellStart"/>
      <w:r w:rsidRPr="008A2FBD">
        <w:t>anaemia</w:t>
      </w:r>
      <w:proofErr w:type="spellEnd"/>
      <w:r w:rsidRPr="008A2FBD">
        <w:t xml:space="preserve">.                                       Early identification through comprehensive biochemical assessment, combined with appropriate nutritional, educational, and public health interventions, will help reduce the burden of iron deficiency </w:t>
      </w:r>
      <w:proofErr w:type="spellStart"/>
      <w:r w:rsidRPr="008A2FBD">
        <w:t>anaemia</w:t>
      </w:r>
      <w:proofErr w:type="spellEnd"/>
      <w:r w:rsidRPr="008A2FBD">
        <w:t xml:space="preserve"> and improve the health, growth, academic performance, and future reproductive outcomes of adolescent girls in Rivers State and similar settings.</w:t>
      </w:r>
    </w:p>
    <w:p w14:paraId="4595C657" w14:textId="77777777" w:rsidR="00B24C34" w:rsidRPr="008A2FBD" w:rsidRDefault="00B24C34" w:rsidP="00B24C34">
      <w:pPr>
        <w:spacing w:before="240" w:line="259" w:lineRule="auto"/>
        <w:jc w:val="both"/>
        <w:rPr>
          <w:b/>
          <w:bCs/>
        </w:rPr>
      </w:pPr>
      <w:r w:rsidRPr="008A2FBD">
        <w:rPr>
          <w:b/>
          <w:bCs/>
        </w:rPr>
        <w:t>6.</w:t>
      </w:r>
      <w:r>
        <w:rPr>
          <w:b/>
          <w:bCs/>
        </w:rPr>
        <w:t>0</w:t>
      </w:r>
      <w:r w:rsidRPr="008A2FBD">
        <w:rPr>
          <w:b/>
          <w:bCs/>
        </w:rPr>
        <w:t xml:space="preserve"> RECOMMENDATIONS</w:t>
      </w:r>
    </w:p>
    <w:p w14:paraId="1DE6E1A2" w14:textId="77777777" w:rsidR="00B24C34" w:rsidRPr="008A2FBD" w:rsidRDefault="00B24C34" w:rsidP="00B24C34">
      <w:pPr>
        <w:spacing w:before="240" w:line="259" w:lineRule="auto"/>
        <w:jc w:val="both"/>
      </w:pPr>
      <w:r w:rsidRPr="008A2FBD">
        <w:t>Based on the findings of this study, the following recommendations are proposed:</w:t>
      </w:r>
    </w:p>
    <w:p w14:paraId="3D6AB827" w14:textId="77777777" w:rsidR="00B24C34" w:rsidRPr="008A2FBD" w:rsidRDefault="00B24C34" w:rsidP="00B24C34">
      <w:pPr>
        <w:numPr>
          <w:ilvl w:val="0"/>
          <w:numId w:val="32"/>
        </w:numPr>
        <w:spacing w:before="240" w:after="4" w:line="259" w:lineRule="auto"/>
        <w:jc w:val="both"/>
      </w:pPr>
      <w:r w:rsidRPr="008A2FBD">
        <w:t xml:space="preserve">Routine school-based screening </w:t>
      </w:r>
      <w:proofErr w:type="spellStart"/>
      <w:r w:rsidRPr="008A2FBD">
        <w:t>programmes</w:t>
      </w:r>
      <w:proofErr w:type="spellEnd"/>
      <w:r w:rsidRPr="008A2FBD">
        <w:t xml:space="preserve"> should be implemented in secondary schools in Rivers State to identify adolescent girls at risk of iron deficiency </w:t>
      </w:r>
      <w:proofErr w:type="spellStart"/>
      <w:r w:rsidRPr="008A2FBD">
        <w:t>anaemia</w:t>
      </w:r>
      <w:proofErr w:type="spellEnd"/>
      <w:r w:rsidRPr="008A2FBD">
        <w:t xml:space="preserve"> through </w:t>
      </w:r>
      <w:proofErr w:type="spellStart"/>
      <w:r w:rsidRPr="008A2FBD">
        <w:t>haemoglobin</w:t>
      </w:r>
      <w:proofErr w:type="spellEnd"/>
      <w:r w:rsidRPr="008A2FBD">
        <w:t xml:space="preserve"> and iron status assessment.</w:t>
      </w:r>
    </w:p>
    <w:p w14:paraId="422781C4" w14:textId="77777777" w:rsidR="00B24C34" w:rsidRPr="008A2FBD" w:rsidRDefault="00B24C34" w:rsidP="00B24C34">
      <w:pPr>
        <w:numPr>
          <w:ilvl w:val="0"/>
          <w:numId w:val="32"/>
        </w:numPr>
        <w:spacing w:before="240" w:after="4" w:line="259" w:lineRule="auto"/>
        <w:jc w:val="both"/>
      </w:pPr>
      <w:r w:rsidRPr="008A2FBD">
        <w:t xml:space="preserve">Iron supplementation </w:t>
      </w:r>
      <w:proofErr w:type="spellStart"/>
      <w:r w:rsidRPr="008A2FBD">
        <w:t>programmes</w:t>
      </w:r>
      <w:proofErr w:type="spellEnd"/>
      <w:r w:rsidRPr="008A2FBD">
        <w:t xml:space="preserve"> should be strengthened among adolescent girls, particularly those with menstrual-related iron loss and reduced iron stores.</w:t>
      </w:r>
    </w:p>
    <w:p w14:paraId="00AA0EA1" w14:textId="77777777" w:rsidR="00B24C34" w:rsidRPr="008A2FBD" w:rsidRDefault="00B24C34" w:rsidP="00B24C34">
      <w:pPr>
        <w:numPr>
          <w:ilvl w:val="0"/>
          <w:numId w:val="32"/>
        </w:numPr>
        <w:spacing w:before="240" w:after="4" w:line="259" w:lineRule="auto"/>
        <w:jc w:val="both"/>
      </w:pPr>
      <w:r w:rsidRPr="008A2FBD">
        <w:t xml:space="preserve">Health education </w:t>
      </w:r>
      <w:proofErr w:type="spellStart"/>
      <w:r w:rsidRPr="008A2FBD">
        <w:t>programmes</w:t>
      </w:r>
      <w:proofErr w:type="spellEnd"/>
      <w:r w:rsidRPr="008A2FBD">
        <w:t xml:space="preserve"> should be introduced in schools to improve awareness of </w:t>
      </w:r>
      <w:proofErr w:type="spellStart"/>
      <w:r w:rsidRPr="008A2FBD">
        <w:t>anaemia</w:t>
      </w:r>
      <w:proofErr w:type="spellEnd"/>
      <w:r w:rsidRPr="008A2FBD">
        <w:t xml:space="preserve"> prevention, menstrual health management, and the importance of consuming iron-rich foods.</w:t>
      </w:r>
    </w:p>
    <w:p w14:paraId="16FFE279" w14:textId="77777777" w:rsidR="00B24C34" w:rsidRPr="008A2FBD" w:rsidRDefault="00B24C34" w:rsidP="00B24C34">
      <w:pPr>
        <w:numPr>
          <w:ilvl w:val="0"/>
          <w:numId w:val="32"/>
        </w:numPr>
        <w:spacing w:before="240" w:after="4" w:line="259" w:lineRule="auto"/>
        <w:jc w:val="both"/>
      </w:pPr>
      <w:r w:rsidRPr="008A2FBD">
        <w:t xml:space="preserve">Integrated </w:t>
      </w:r>
      <w:proofErr w:type="spellStart"/>
      <w:r w:rsidRPr="008A2FBD">
        <w:t>anaemia</w:t>
      </w:r>
      <w:proofErr w:type="spellEnd"/>
      <w:r w:rsidRPr="008A2FBD">
        <w:t xml:space="preserve"> control strategies involving iron supplementation, malaria prevention, deworming, and improved access to healthcare services should be promoted among adolescents.</w:t>
      </w:r>
    </w:p>
    <w:p w14:paraId="71A00755" w14:textId="2125965E" w:rsidR="00B24C34" w:rsidRDefault="00B24C34" w:rsidP="00B24C34">
      <w:pPr>
        <w:numPr>
          <w:ilvl w:val="0"/>
          <w:numId w:val="32"/>
        </w:numPr>
        <w:spacing w:before="240" w:after="4" w:line="259" w:lineRule="auto"/>
        <w:jc w:val="both"/>
      </w:pPr>
      <w:r w:rsidRPr="008A2FBD">
        <w:t xml:space="preserve">Further studies involving larger populations and additional biochemical markers, such as transferrin saturation, soluble transferrin receptor, and inflammatory markers, are recommended to provide a more comprehensive understanding of iron deficiency </w:t>
      </w:r>
      <w:proofErr w:type="spellStart"/>
      <w:r w:rsidRPr="008A2FBD">
        <w:t>anaemia</w:t>
      </w:r>
      <w:proofErr w:type="spellEnd"/>
      <w:r w:rsidRPr="008A2FBD">
        <w:t xml:space="preserve"> among adolescents.</w:t>
      </w:r>
    </w:p>
    <w:p w14:paraId="3A066A2B" w14:textId="00E2AEB2" w:rsidR="003873DB" w:rsidRDefault="003873DB" w:rsidP="003873DB">
      <w:pPr>
        <w:spacing w:before="240" w:after="4" w:line="259" w:lineRule="auto"/>
        <w:jc w:val="both"/>
      </w:pPr>
    </w:p>
    <w:p w14:paraId="32CDE5E6" w14:textId="77777777" w:rsidR="003873DB" w:rsidRPr="004D3A80" w:rsidRDefault="003873DB" w:rsidP="003873DB">
      <w:pPr>
        <w:spacing w:before="100" w:beforeAutospacing="1" w:after="100" w:afterAutospacing="1"/>
        <w:rPr>
          <w:rFonts w:ascii="Times New Roman" w:hAnsi="Times New Roman"/>
          <w:sz w:val="24"/>
          <w:szCs w:val="24"/>
        </w:rPr>
      </w:pPr>
      <w:r w:rsidRPr="004D3A80">
        <w:rPr>
          <w:rFonts w:ascii="Times New Roman" w:hAnsi="Times New Roman"/>
          <w:b/>
          <w:bCs/>
          <w:sz w:val="24"/>
          <w:szCs w:val="24"/>
        </w:rPr>
        <w:t>Limitations</w:t>
      </w:r>
      <w:r w:rsidRPr="004D3A80">
        <w:rPr>
          <w:rFonts w:ascii="Times New Roman" w:hAnsi="Times New Roman"/>
          <w:sz w:val="24"/>
          <w:szCs w:val="24"/>
        </w:rPr>
        <w:br/>
        <w:t xml:space="preserve">The cross-sectional design limits causal interpretation. The study did not assess dietary iron </w:t>
      </w:r>
      <w:r w:rsidRPr="004D3A80">
        <w:rPr>
          <w:rFonts w:ascii="Times New Roman" w:hAnsi="Times New Roman"/>
          <w:sz w:val="24"/>
          <w:szCs w:val="24"/>
        </w:rPr>
        <w:lastRenderedPageBreak/>
        <w:t>intake, helminth infection, inflammatory markers, transferrin saturation, or soluble transferrin receptor. Ferritin interpretation may be affected by infection or inflammation, particularly because recent malaria was reported by some participants. The study was limited to selected schools in Rivers State, so findings may not represent all adolescent girls in Nigeria.</w:t>
      </w:r>
    </w:p>
    <w:p w14:paraId="30F53C8B" w14:textId="77777777" w:rsidR="003873DB" w:rsidRPr="000839CE" w:rsidRDefault="003873DB" w:rsidP="003873DB">
      <w:pPr>
        <w:rPr>
          <w:rFonts w:ascii="Times New Roman" w:hAnsi="Times New Roman"/>
          <w:b/>
        </w:rPr>
      </w:pPr>
      <w:bookmarkStart w:id="3" w:name="_Hlk234486585"/>
      <w:bookmarkStart w:id="4" w:name="_Hlk234075571"/>
      <w:bookmarkStart w:id="5" w:name="_Hlk232755622"/>
      <w:r w:rsidRPr="000839CE">
        <w:rPr>
          <w:rFonts w:ascii="Times New Roman" w:hAnsi="Times New Roman"/>
          <w:b/>
        </w:rPr>
        <w:t>Declaration of AI Use</w:t>
      </w:r>
    </w:p>
    <w:p w14:paraId="4B20795C" w14:textId="77777777" w:rsidR="003873DB" w:rsidRPr="000839CE" w:rsidRDefault="003873DB" w:rsidP="003873DB">
      <w:pPr>
        <w:rPr>
          <w:rFonts w:ascii="Times New Roman" w:hAnsi="Times New Roman"/>
        </w:rPr>
      </w:pPr>
      <w:bookmarkStart w:id="6" w:name="_Hlk234486575"/>
      <w:bookmarkEnd w:id="3"/>
    </w:p>
    <w:p w14:paraId="37DCA899" w14:textId="77777777" w:rsidR="003873DB" w:rsidRPr="000839CE" w:rsidRDefault="003873DB" w:rsidP="003873DB">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4"/>
      <w:r w:rsidRPr="00C56790">
        <w:rPr>
          <w:rFonts w:ascii="Times New Roman" w:hAnsi="Times New Roman"/>
        </w:rPr>
        <w:t>.</w:t>
      </w:r>
    </w:p>
    <w:bookmarkEnd w:id="5"/>
    <w:bookmarkEnd w:id="6"/>
    <w:p w14:paraId="13549611" w14:textId="77777777" w:rsidR="003873DB" w:rsidRPr="008A2FBD" w:rsidRDefault="003873DB" w:rsidP="003873DB">
      <w:pPr>
        <w:spacing w:before="240" w:after="4" w:line="259" w:lineRule="auto"/>
        <w:jc w:val="both"/>
      </w:pPr>
    </w:p>
    <w:p w14:paraId="478AE8CB" w14:textId="77777777" w:rsidR="00B24C34" w:rsidRPr="008A2FBD" w:rsidRDefault="00B24C34" w:rsidP="00B24C34">
      <w:pPr>
        <w:spacing w:before="240" w:line="259" w:lineRule="auto"/>
        <w:jc w:val="both"/>
        <w:rPr>
          <w:b/>
          <w:bCs/>
        </w:rPr>
      </w:pPr>
      <w:bookmarkStart w:id="7" w:name="_Hlk235234331"/>
      <w:bookmarkEnd w:id="2"/>
      <w:r w:rsidRPr="008A2FBD">
        <w:rPr>
          <w:b/>
          <w:bCs/>
        </w:rPr>
        <w:t>CONSENT</w:t>
      </w:r>
    </w:p>
    <w:p w14:paraId="37117E73" w14:textId="77777777" w:rsidR="00B24C34" w:rsidRPr="008A2FBD" w:rsidRDefault="00B24C34" w:rsidP="00B24C34">
      <w:pPr>
        <w:spacing w:before="240" w:line="259" w:lineRule="auto"/>
        <w:jc w:val="both"/>
      </w:pPr>
      <w:r w:rsidRPr="008A2FBD">
        <w:t>Written informed consent was obtained from the parents/guardians of all participants, while assent was obtained from the adolescent girls before participation in the study. The participants were informed about the objectives, procedures, and voluntary nature of the research. Confidentiality and anonymity of participants’ information were strictly maintained throughout the study, and the collected data were used solely for research purposes. A copy of the consent documentation is available for review by the Editorial Office upon request.</w:t>
      </w:r>
    </w:p>
    <w:p w14:paraId="352CDF4A" w14:textId="77777777" w:rsidR="00B24C34" w:rsidRPr="008A2FBD" w:rsidRDefault="00B24C34" w:rsidP="00B24C34">
      <w:pPr>
        <w:spacing w:before="240" w:line="259" w:lineRule="auto"/>
        <w:jc w:val="both"/>
        <w:rPr>
          <w:b/>
          <w:bCs/>
        </w:rPr>
      </w:pPr>
      <w:r w:rsidRPr="008A2FBD">
        <w:rPr>
          <w:b/>
          <w:bCs/>
        </w:rPr>
        <w:t>ETHICAL CONSIDERATION</w:t>
      </w:r>
    </w:p>
    <w:p w14:paraId="157EE7BC" w14:textId="77777777" w:rsidR="00B24C34" w:rsidRPr="008A2FBD" w:rsidRDefault="00B24C34" w:rsidP="00B24C34">
      <w:pPr>
        <w:spacing w:before="240" w:line="259" w:lineRule="auto"/>
        <w:jc w:val="both"/>
      </w:pPr>
      <w:r>
        <w:t xml:space="preserve">Ethical approval for the study was obtained from the Research Ethics Committee of Ignatius </w:t>
      </w:r>
      <w:proofErr w:type="spellStart"/>
      <w:r>
        <w:t>Ajuru</w:t>
      </w:r>
      <w:proofErr w:type="spellEnd"/>
      <w:r>
        <w:t xml:space="preserve"> University of Education, </w:t>
      </w:r>
      <w:proofErr w:type="spellStart"/>
      <w:r>
        <w:t>Rumuolumeni</w:t>
      </w:r>
      <w:proofErr w:type="spellEnd"/>
      <w:r>
        <w:t>, Port Harcourt, Rivers State, Nigeria, before the research commenced. Permission was also obtained from the Rivers State Ministry of Education and the authorities of the selected secondary schools. The purpose, procedures, potential benefits, and possible risks of the study were explained to participants, their parents/guardians, and school authorities. Written informed consent was obtained from parents/guardians, and assent was obtained from adolescent participants before enrolment in the study. Participation was voluntary, and participants were informed of their right to withdraw from the study at any time without consequences. The confidentiality and anonymity of participants’ personal information were strictly maintained throughout the research process. All laboratory investigations were conducted using coded samples, and the collected data were used solely for research purposes. The study was conducted in accordance with the ethical principles outlined in the Declaration of Helsinki for research involving human participants.</w:t>
      </w:r>
    </w:p>
    <w:bookmarkEnd w:id="7"/>
    <w:p w14:paraId="408CE692" w14:textId="77777777" w:rsidR="00B24C34" w:rsidRPr="008A2FBD" w:rsidRDefault="00B24C34" w:rsidP="00B24C34">
      <w:pPr>
        <w:spacing w:before="240" w:line="259" w:lineRule="auto"/>
        <w:jc w:val="both"/>
        <w:rPr>
          <w:b/>
          <w:bCs/>
        </w:rPr>
      </w:pPr>
      <w:r w:rsidRPr="008A2FBD">
        <w:rPr>
          <w:b/>
          <w:bCs/>
        </w:rPr>
        <w:t>REFERENCES</w:t>
      </w:r>
    </w:p>
    <w:p w14:paraId="78764F9E" w14:textId="77777777" w:rsidR="00B24C34" w:rsidRPr="008A2FBD" w:rsidRDefault="00B24C34" w:rsidP="00B24C34">
      <w:pPr>
        <w:spacing w:before="240" w:line="259" w:lineRule="auto"/>
        <w:ind w:left="851" w:hanging="851"/>
        <w:jc w:val="both"/>
      </w:pPr>
      <w:proofErr w:type="spellStart"/>
      <w:r w:rsidRPr="008A2FBD">
        <w:t>Aabdien</w:t>
      </w:r>
      <w:proofErr w:type="spellEnd"/>
      <w:r w:rsidRPr="008A2FBD">
        <w:t>, M., Al Kaabi, N., Al-Kohji, S. M. S., &amp; Selim, N. (2022). Epidemiology of iron deficiency among adolescents aged 10–19 years in Qatar: a cross-sectional study. </w:t>
      </w:r>
      <w:r w:rsidRPr="008A2FBD">
        <w:rPr>
          <w:i/>
          <w:iCs/>
        </w:rPr>
        <w:t>BMJ open</w:t>
      </w:r>
      <w:r w:rsidRPr="008A2FBD">
        <w:t>, </w:t>
      </w:r>
      <w:r w:rsidRPr="008A2FBD">
        <w:rPr>
          <w:i/>
          <w:iCs/>
        </w:rPr>
        <w:t>12</w:t>
      </w:r>
      <w:r w:rsidRPr="008A2FBD">
        <w:t xml:space="preserve">(12), e061666. </w:t>
      </w:r>
      <w:hyperlink r:id="rId14" w:history="1">
        <w:r w:rsidRPr="008A2FBD">
          <w:rPr>
            <w:rStyle w:val="Hyperlink"/>
          </w:rPr>
          <w:t>https://doi.org/10.1136/bmjopen-2022-061666</w:t>
        </w:r>
      </w:hyperlink>
    </w:p>
    <w:p w14:paraId="6DD965C5" w14:textId="77777777" w:rsidR="00B24C34" w:rsidRPr="008A2FBD" w:rsidRDefault="00B24C34" w:rsidP="00B24C34">
      <w:pPr>
        <w:spacing w:before="240" w:line="259" w:lineRule="auto"/>
        <w:ind w:left="851" w:hanging="851"/>
        <w:jc w:val="both"/>
      </w:pPr>
      <w:r w:rsidRPr="008A2FBD">
        <w:t xml:space="preserve">Ahmad, S., Ullah, N., Musa, B., Raza, A., Rehman, K., &amp; Hayat, R. (2026). Dominance of Iron Deficiency Anemia among Adolescent Females in OPD of Hayatabad Medical Complex, Peshawar, </w:t>
      </w:r>
      <w:r w:rsidRPr="008A2FBD">
        <w:lastRenderedPageBreak/>
        <w:t>Pakistan. </w:t>
      </w:r>
      <w:r w:rsidRPr="008A2FBD">
        <w:rPr>
          <w:i/>
          <w:iCs/>
        </w:rPr>
        <w:t>The Healer Journal of Physiotherapy and Rehabilitation Sciences</w:t>
      </w:r>
      <w:r w:rsidRPr="008A2FBD">
        <w:t>, </w:t>
      </w:r>
      <w:r w:rsidRPr="008A2FBD">
        <w:rPr>
          <w:i/>
          <w:iCs/>
        </w:rPr>
        <w:t>6</w:t>
      </w:r>
      <w:r w:rsidRPr="008A2FBD">
        <w:t xml:space="preserve">(1), 100-106. </w:t>
      </w:r>
      <w:hyperlink r:id="rId15" w:history="1">
        <w:r w:rsidRPr="008A2FBD">
          <w:rPr>
            <w:rStyle w:val="Hyperlink"/>
          </w:rPr>
          <w:t>https://doi.org/10.55735/qybbh562</w:t>
        </w:r>
      </w:hyperlink>
    </w:p>
    <w:p w14:paraId="48221CB2" w14:textId="77777777" w:rsidR="00B24C34" w:rsidRPr="008A2FBD" w:rsidRDefault="00B24C34" w:rsidP="00B24C34">
      <w:pPr>
        <w:spacing w:before="240" w:line="259" w:lineRule="auto"/>
        <w:ind w:left="851" w:hanging="851"/>
        <w:jc w:val="both"/>
      </w:pPr>
      <w:proofErr w:type="spellStart"/>
      <w:r w:rsidRPr="008A2FBD">
        <w:t>Airovna</w:t>
      </w:r>
      <w:proofErr w:type="spellEnd"/>
      <w:r w:rsidRPr="008A2FBD">
        <w:t>, A. A. (2026). Risk Factors for Obstetric and Perinatal Complications in First Pregnancy. </w:t>
      </w:r>
      <w:r w:rsidRPr="008A2FBD">
        <w:rPr>
          <w:i/>
          <w:iCs/>
        </w:rPr>
        <w:t>Egyptian Medical Journal of the National Research Center (Online)</w:t>
      </w:r>
      <w:r w:rsidRPr="008A2FBD">
        <w:t>, </w:t>
      </w:r>
      <w:r w:rsidRPr="008A2FBD">
        <w:rPr>
          <w:i/>
          <w:iCs/>
        </w:rPr>
        <w:t>4</w:t>
      </w:r>
      <w:r w:rsidRPr="008A2FBD">
        <w:t xml:space="preserve">(6), 370-374. </w:t>
      </w:r>
      <w:hyperlink r:id="rId16" w:history="1">
        <w:r w:rsidRPr="008A2FBD">
          <w:rPr>
            <w:rStyle w:val="Hyperlink"/>
          </w:rPr>
          <w:t>http://www.mjnrc.com/index.php/emjn/article/view/194</w:t>
        </w:r>
      </w:hyperlink>
      <w:r w:rsidRPr="008A2FBD">
        <w:t xml:space="preserve"> </w:t>
      </w:r>
    </w:p>
    <w:p w14:paraId="5FB3A251" w14:textId="77777777" w:rsidR="00B24C34" w:rsidRPr="008A2FBD" w:rsidRDefault="00B24C34" w:rsidP="00B24C34">
      <w:pPr>
        <w:spacing w:before="240" w:line="259" w:lineRule="auto"/>
        <w:ind w:left="851" w:hanging="851"/>
        <w:jc w:val="both"/>
      </w:pPr>
      <w:proofErr w:type="spellStart"/>
      <w:r w:rsidRPr="008A2FBD">
        <w:t>Alaofè</w:t>
      </w:r>
      <w:proofErr w:type="spellEnd"/>
      <w:r w:rsidRPr="008A2FBD">
        <w:t xml:space="preserve">, H., Burney, J., Naylor, R., &amp; Taren, D. (2017). Prevalence of </w:t>
      </w:r>
      <w:proofErr w:type="spellStart"/>
      <w:r w:rsidRPr="008A2FBD">
        <w:t>anaemia</w:t>
      </w:r>
      <w:proofErr w:type="spellEnd"/>
      <w:r w:rsidRPr="008A2FBD">
        <w:t xml:space="preserve">, deficiencies of iron and vitamin A and their determinants in rural women and young children: a cross-sectional study in </w:t>
      </w:r>
      <w:proofErr w:type="spellStart"/>
      <w:r w:rsidRPr="008A2FBD">
        <w:t>Kalalé</w:t>
      </w:r>
      <w:proofErr w:type="spellEnd"/>
      <w:r w:rsidRPr="008A2FBD">
        <w:t xml:space="preserve"> district of northern Benin. </w:t>
      </w:r>
      <w:r w:rsidRPr="008A2FBD">
        <w:rPr>
          <w:i/>
          <w:iCs/>
        </w:rPr>
        <w:t>Public health nutrition</w:t>
      </w:r>
      <w:r w:rsidRPr="008A2FBD">
        <w:t>, </w:t>
      </w:r>
      <w:r w:rsidRPr="008A2FBD">
        <w:rPr>
          <w:i/>
          <w:iCs/>
        </w:rPr>
        <w:t>20</w:t>
      </w:r>
      <w:r w:rsidRPr="008A2FBD">
        <w:t>(7), 1203-1213.</w:t>
      </w:r>
    </w:p>
    <w:p w14:paraId="0966EC79" w14:textId="77777777" w:rsidR="00B24C34" w:rsidRPr="008A2FBD" w:rsidRDefault="00B24C34" w:rsidP="00B24C34">
      <w:pPr>
        <w:spacing w:before="240" w:line="259" w:lineRule="auto"/>
        <w:ind w:left="851" w:hanging="851"/>
        <w:jc w:val="both"/>
      </w:pPr>
      <w:r w:rsidRPr="008A2FBD">
        <w:t xml:space="preserve">Alomari, D. Z., &amp; </w:t>
      </w:r>
      <w:proofErr w:type="spellStart"/>
      <w:r w:rsidRPr="008A2FBD">
        <w:t>Alghwairy</w:t>
      </w:r>
      <w:proofErr w:type="spellEnd"/>
      <w:r w:rsidRPr="008A2FBD">
        <w:t>, H. (2026). Prevalence of anemia and its association with body mass index among adolescent schoolgirls in Zarqa, Jordan. </w:t>
      </w:r>
      <w:r w:rsidRPr="008A2FBD">
        <w:rPr>
          <w:i/>
          <w:iCs/>
        </w:rPr>
        <w:t>BMC nutrition</w:t>
      </w:r>
      <w:r w:rsidRPr="008A2FBD">
        <w:t>, </w:t>
      </w:r>
      <w:r w:rsidRPr="008A2FBD">
        <w:rPr>
          <w:i/>
          <w:iCs/>
        </w:rPr>
        <w:t>12</w:t>
      </w:r>
      <w:r w:rsidRPr="008A2FBD">
        <w:t xml:space="preserve">(1), 78. </w:t>
      </w:r>
      <w:hyperlink r:id="rId17" w:history="1">
        <w:r w:rsidRPr="008A2FBD">
          <w:rPr>
            <w:rStyle w:val="Hyperlink"/>
          </w:rPr>
          <w:t>https://doi.org/10.1186/s40795-026-01297-1</w:t>
        </w:r>
      </w:hyperlink>
    </w:p>
    <w:p w14:paraId="4C8A98C6" w14:textId="77777777" w:rsidR="00B24C34" w:rsidRPr="008A2FBD" w:rsidRDefault="00B24C34" w:rsidP="00B24C34">
      <w:pPr>
        <w:spacing w:before="240" w:line="259" w:lineRule="auto"/>
        <w:ind w:left="851" w:hanging="851"/>
        <w:jc w:val="both"/>
      </w:pPr>
      <w:proofErr w:type="spellStart"/>
      <w:r w:rsidRPr="008A2FBD">
        <w:t>Azinge</w:t>
      </w:r>
      <w:proofErr w:type="spellEnd"/>
      <w:r w:rsidRPr="008A2FBD">
        <w:t xml:space="preserve">, I. E., Ogunyemi, A., </w:t>
      </w:r>
      <w:proofErr w:type="spellStart"/>
      <w:r w:rsidRPr="008A2FBD">
        <w:t>Ogamba</w:t>
      </w:r>
      <w:proofErr w:type="spellEnd"/>
      <w:r w:rsidRPr="008A2FBD">
        <w:t>, C. F., &amp; Jimoh, R. O. (2023). Prevalence of anemia and associated factors among adults in a select population in Lagos, Southwest Nigeria. </w:t>
      </w:r>
      <w:r w:rsidRPr="008A2FBD">
        <w:rPr>
          <w:i/>
          <w:iCs/>
        </w:rPr>
        <w:t>Journal of Public Health in Africa</w:t>
      </w:r>
      <w:r w:rsidRPr="008A2FBD">
        <w:t>, </w:t>
      </w:r>
      <w:r w:rsidRPr="008A2FBD">
        <w:rPr>
          <w:i/>
          <w:iCs/>
        </w:rPr>
        <w:t>14</w:t>
      </w:r>
      <w:r w:rsidRPr="008A2FBD">
        <w:t xml:space="preserve">(4), 2224. </w:t>
      </w:r>
      <w:hyperlink r:id="rId18" w:history="1">
        <w:r w:rsidRPr="008A2FBD">
          <w:rPr>
            <w:rStyle w:val="Hyperlink"/>
          </w:rPr>
          <w:t>https://doi.org/10.4081/jphia.2023.2224</w:t>
        </w:r>
      </w:hyperlink>
    </w:p>
    <w:p w14:paraId="7C13D452" w14:textId="77777777" w:rsidR="00B24C34" w:rsidRPr="008A2FBD" w:rsidRDefault="00B24C34" w:rsidP="00B24C34">
      <w:pPr>
        <w:spacing w:before="240" w:line="259" w:lineRule="auto"/>
        <w:ind w:left="851" w:hanging="851"/>
        <w:jc w:val="both"/>
      </w:pPr>
      <w:proofErr w:type="spellStart"/>
      <w:r w:rsidRPr="008A2FBD">
        <w:t>Babah</w:t>
      </w:r>
      <w:proofErr w:type="spellEnd"/>
      <w:r w:rsidRPr="008A2FBD">
        <w:t xml:space="preserve">, O. A., </w:t>
      </w:r>
      <w:proofErr w:type="spellStart"/>
      <w:r w:rsidRPr="008A2FBD">
        <w:t>Akinajo</w:t>
      </w:r>
      <w:proofErr w:type="spellEnd"/>
      <w:r w:rsidRPr="008A2FBD">
        <w:t xml:space="preserve">, O. R., </w:t>
      </w:r>
      <w:proofErr w:type="spellStart"/>
      <w:r w:rsidRPr="008A2FBD">
        <w:t>Beňová</w:t>
      </w:r>
      <w:proofErr w:type="spellEnd"/>
      <w:r w:rsidRPr="008A2FBD">
        <w:t xml:space="preserve">, L., Hanson, C., Abioye, A. I., </w:t>
      </w:r>
      <w:proofErr w:type="spellStart"/>
      <w:r w:rsidRPr="008A2FBD">
        <w:t>Adaramoye</w:t>
      </w:r>
      <w:proofErr w:type="spellEnd"/>
      <w:r w:rsidRPr="008A2FBD">
        <w:t xml:space="preserve">, V. O., ... &amp; Larsson, E. C. (2024). Prevalence of and risk factors for iron deficiency among pregnant women with moderate or severe </w:t>
      </w:r>
      <w:proofErr w:type="spellStart"/>
      <w:r w:rsidRPr="008A2FBD">
        <w:t>anaemia</w:t>
      </w:r>
      <w:proofErr w:type="spellEnd"/>
      <w:r w:rsidRPr="008A2FBD">
        <w:t xml:space="preserve"> in Nigeria: a cross-sectional study. </w:t>
      </w:r>
      <w:r w:rsidRPr="008A2FBD">
        <w:rPr>
          <w:i/>
          <w:iCs/>
        </w:rPr>
        <w:t>BMC pregnancy and childbirth</w:t>
      </w:r>
      <w:r w:rsidRPr="008A2FBD">
        <w:t>, </w:t>
      </w:r>
      <w:r w:rsidRPr="008A2FBD">
        <w:rPr>
          <w:i/>
          <w:iCs/>
        </w:rPr>
        <w:t>24</w:t>
      </w:r>
      <w:r w:rsidRPr="008A2FBD">
        <w:t xml:space="preserve">(1), 39. </w:t>
      </w:r>
      <w:hyperlink r:id="rId19" w:history="1">
        <w:r w:rsidRPr="008A2FBD">
          <w:rPr>
            <w:rStyle w:val="Hyperlink"/>
          </w:rPr>
          <w:t>https://doi.org/10.1186/s12884-023-06169-1</w:t>
        </w:r>
      </w:hyperlink>
    </w:p>
    <w:p w14:paraId="1FC53950" w14:textId="77777777" w:rsidR="00B24C34" w:rsidRPr="008A2FBD" w:rsidRDefault="00B24C34" w:rsidP="00B24C34">
      <w:pPr>
        <w:spacing w:before="240" w:line="259" w:lineRule="auto"/>
        <w:ind w:left="851" w:hanging="851"/>
        <w:jc w:val="both"/>
      </w:pPr>
      <w:r w:rsidRPr="008A2FBD">
        <w:t>Cançado, R. D. (2023). Iron deficiency anemia in women: pathophysiological, diagnosis, and practical management. </w:t>
      </w:r>
      <w:r w:rsidRPr="008A2FBD">
        <w:rPr>
          <w:i/>
          <w:iCs/>
        </w:rPr>
        <w:t xml:space="preserve">Revista da </w:t>
      </w:r>
      <w:proofErr w:type="spellStart"/>
      <w:r w:rsidRPr="008A2FBD">
        <w:rPr>
          <w:i/>
          <w:iCs/>
        </w:rPr>
        <w:t>Associação</w:t>
      </w:r>
      <w:proofErr w:type="spellEnd"/>
      <w:r w:rsidRPr="008A2FBD">
        <w:rPr>
          <w:i/>
          <w:iCs/>
        </w:rPr>
        <w:t xml:space="preserve"> </w:t>
      </w:r>
      <w:proofErr w:type="spellStart"/>
      <w:r w:rsidRPr="008A2FBD">
        <w:rPr>
          <w:i/>
          <w:iCs/>
        </w:rPr>
        <w:t>Médica</w:t>
      </w:r>
      <w:proofErr w:type="spellEnd"/>
      <w:r w:rsidRPr="008A2FBD">
        <w:rPr>
          <w:i/>
          <w:iCs/>
        </w:rPr>
        <w:t xml:space="preserve"> Brasileira</w:t>
      </w:r>
      <w:r w:rsidRPr="008A2FBD">
        <w:t>, </w:t>
      </w:r>
      <w:r w:rsidRPr="008A2FBD">
        <w:rPr>
          <w:i/>
          <w:iCs/>
        </w:rPr>
        <w:t>69</w:t>
      </w:r>
      <w:r w:rsidRPr="008A2FBD">
        <w:t xml:space="preserve">(suppl 1), e2023S112. </w:t>
      </w:r>
      <w:hyperlink r:id="rId20" w:history="1">
        <w:r w:rsidRPr="008A2FBD">
          <w:rPr>
            <w:rStyle w:val="Hyperlink"/>
          </w:rPr>
          <w:t>https://doi.org/10.1590/1806-9282.2023S112</w:t>
        </w:r>
      </w:hyperlink>
      <w:r w:rsidRPr="008A2FBD">
        <w:t>.</w:t>
      </w:r>
    </w:p>
    <w:p w14:paraId="6C347EB6" w14:textId="77777777" w:rsidR="00B24C34" w:rsidRPr="008A2FBD" w:rsidRDefault="00B24C34" w:rsidP="00B24C34">
      <w:pPr>
        <w:spacing w:before="240" w:line="259" w:lineRule="auto"/>
        <w:ind w:left="851" w:hanging="851"/>
        <w:jc w:val="both"/>
      </w:pPr>
      <w:r w:rsidRPr="008A2FBD">
        <w:t xml:space="preserve">Cappellini, M. D., &amp; Motta, I. (2015). Anemia in Clinical Practice-Definition and Classification: Does Hemoglobin Change </w:t>
      </w:r>
      <w:proofErr w:type="gramStart"/>
      <w:r w:rsidRPr="008A2FBD">
        <w:t>With</w:t>
      </w:r>
      <w:proofErr w:type="gramEnd"/>
      <w:r w:rsidRPr="008A2FBD">
        <w:t xml:space="preserve"> </w:t>
      </w:r>
      <w:proofErr w:type="gramStart"/>
      <w:r w:rsidRPr="008A2FBD">
        <w:t>Aging?.</w:t>
      </w:r>
      <w:proofErr w:type="gramEnd"/>
      <w:r w:rsidRPr="008A2FBD">
        <w:t> </w:t>
      </w:r>
      <w:r w:rsidRPr="008A2FBD">
        <w:rPr>
          <w:i/>
          <w:iCs/>
        </w:rPr>
        <w:t>Seminars in hematology</w:t>
      </w:r>
      <w:r w:rsidRPr="008A2FBD">
        <w:t>, </w:t>
      </w:r>
      <w:r w:rsidRPr="008A2FBD">
        <w:rPr>
          <w:i/>
          <w:iCs/>
        </w:rPr>
        <w:t>52</w:t>
      </w:r>
      <w:r w:rsidRPr="008A2FBD">
        <w:t xml:space="preserve">(4), 261–269. </w:t>
      </w:r>
      <w:hyperlink r:id="rId21" w:history="1">
        <w:r w:rsidRPr="008A2FBD">
          <w:rPr>
            <w:rStyle w:val="Hyperlink"/>
          </w:rPr>
          <w:t>https://doi.org/10.1053/j.seminhematol.2015.07.006</w:t>
        </w:r>
      </w:hyperlink>
    </w:p>
    <w:p w14:paraId="34EE055A" w14:textId="77777777" w:rsidR="00B24C34" w:rsidRPr="008A2FBD" w:rsidRDefault="00B24C34" w:rsidP="00B24C34">
      <w:pPr>
        <w:spacing w:before="240" w:line="259" w:lineRule="auto"/>
        <w:ind w:left="851" w:hanging="851"/>
        <w:jc w:val="both"/>
      </w:pPr>
      <w:r w:rsidRPr="008A2FBD">
        <w:t>Cooke, A. G., McCavit, T. L., Buchanan, G. R., &amp; Powers, J. M. (2017). Iron deficiency anemia in adolescents who present with heavy menstrual bleeding. </w:t>
      </w:r>
      <w:r w:rsidRPr="008A2FBD">
        <w:rPr>
          <w:i/>
          <w:iCs/>
        </w:rPr>
        <w:t>Journal of pediatric and adolescent gynecology</w:t>
      </w:r>
      <w:r w:rsidRPr="008A2FBD">
        <w:t>, </w:t>
      </w:r>
      <w:r w:rsidRPr="008A2FBD">
        <w:rPr>
          <w:i/>
          <w:iCs/>
        </w:rPr>
        <w:t>30</w:t>
      </w:r>
      <w:r w:rsidRPr="008A2FBD">
        <w:t>(2), 247-250.</w:t>
      </w:r>
    </w:p>
    <w:p w14:paraId="2A5023A4" w14:textId="77777777" w:rsidR="00B24C34" w:rsidRPr="008A2FBD" w:rsidRDefault="00B24C34" w:rsidP="00B24C34">
      <w:pPr>
        <w:spacing w:before="240" w:line="259" w:lineRule="auto"/>
        <w:ind w:left="851" w:hanging="851"/>
        <w:jc w:val="both"/>
      </w:pPr>
      <w:r w:rsidRPr="008A2FBD">
        <w:t>Das, J. K., Salam, R. A., Thornburg, K. L., Prentice, A. M., Campisi, S., Lassi, Z. S., ... &amp; Bhutta, Z. A. (2017). Nutrition in adolescents: physiology, metabolism, and nutritional needs. </w:t>
      </w:r>
      <w:r w:rsidRPr="008A2FBD">
        <w:rPr>
          <w:i/>
          <w:iCs/>
        </w:rPr>
        <w:t xml:space="preserve">Annals of the </w:t>
      </w:r>
      <w:proofErr w:type="gramStart"/>
      <w:r w:rsidRPr="008A2FBD">
        <w:rPr>
          <w:i/>
          <w:iCs/>
        </w:rPr>
        <w:t>new York</w:t>
      </w:r>
      <w:proofErr w:type="gramEnd"/>
      <w:r w:rsidRPr="008A2FBD">
        <w:rPr>
          <w:i/>
          <w:iCs/>
        </w:rPr>
        <w:t xml:space="preserve"> Academy of Sciences</w:t>
      </w:r>
      <w:r w:rsidRPr="008A2FBD">
        <w:t>, </w:t>
      </w:r>
      <w:r w:rsidRPr="008A2FBD">
        <w:rPr>
          <w:i/>
          <w:iCs/>
        </w:rPr>
        <w:t>1393</w:t>
      </w:r>
      <w:r w:rsidRPr="008A2FBD">
        <w:t>(1), 21-33.</w:t>
      </w:r>
    </w:p>
    <w:p w14:paraId="5F740B2A" w14:textId="77777777" w:rsidR="00B24C34" w:rsidRPr="008A2FBD" w:rsidRDefault="00B24C34" w:rsidP="00B24C34">
      <w:pPr>
        <w:spacing w:before="240" w:line="259" w:lineRule="auto"/>
        <w:ind w:left="851" w:hanging="851"/>
        <w:jc w:val="both"/>
      </w:pPr>
      <w:r w:rsidRPr="008A2FBD">
        <w:t xml:space="preserve">Gebremichael, B., Rediet, K., &amp; Teshome, M. S. (2022). Anemia and Associated Factors among Adolescent Girls Attending High School in Mizan Aman Town, Bench </w:t>
      </w:r>
      <w:proofErr w:type="spellStart"/>
      <w:r w:rsidRPr="008A2FBD">
        <w:t>Sheko</w:t>
      </w:r>
      <w:proofErr w:type="spellEnd"/>
      <w:r w:rsidRPr="008A2FBD">
        <w:t xml:space="preserve"> Zone, Southwest Ethiopia, 2020. </w:t>
      </w:r>
      <w:r w:rsidRPr="008A2FBD">
        <w:rPr>
          <w:i/>
          <w:iCs/>
        </w:rPr>
        <w:t>EC Pharmacology and Toxicology</w:t>
      </w:r>
      <w:r w:rsidRPr="008A2FBD">
        <w:t>, </w:t>
      </w:r>
      <w:r w:rsidRPr="008A2FBD">
        <w:rPr>
          <w:i/>
          <w:iCs/>
        </w:rPr>
        <w:t>10</w:t>
      </w:r>
      <w:r w:rsidRPr="008A2FBD">
        <w:t xml:space="preserve">, 14-27. </w:t>
      </w:r>
      <w:hyperlink r:id="rId22" w:history="1">
        <w:r w:rsidRPr="008A2FBD">
          <w:rPr>
            <w:rStyle w:val="Hyperlink"/>
          </w:rPr>
          <w:t>https://ecronicon.net/assets/ecpt/pdf/ECPT-10-00688.pdf</w:t>
        </w:r>
      </w:hyperlink>
      <w:r w:rsidRPr="008A2FBD">
        <w:t xml:space="preserve"> </w:t>
      </w:r>
    </w:p>
    <w:p w14:paraId="01DD3A21" w14:textId="77777777" w:rsidR="00B24C34" w:rsidRPr="008A2FBD" w:rsidRDefault="00B24C34" w:rsidP="00B24C34">
      <w:pPr>
        <w:spacing w:before="240" w:line="259" w:lineRule="auto"/>
        <w:ind w:left="851" w:hanging="851"/>
        <w:jc w:val="both"/>
      </w:pPr>
      <w:r w:rsidRPr="008A2FBD">
        <w:t>Gore, M. N., Drozd, M. E., &amp; Patil, R. S. (2024). Anemia prevalence and socioeconomic status among adolescent girls in rural Western India: a cross-sectional study. </w:t>
      </w:r>
      <w:r w:rsidRPr="008A2FBD">
        <w:rPr>
          <w:i/>
          <w:iCs/>
        </w:rPr>
        <w:t>Ethiopian journal of health sciences</w:t>
      </w:r>
      <w:r w:rsidRPr="008A2FBD">
        <w:t>, </w:t>
      </w:r>
      <w:r w:rsidRPr="008A2FBD">
        <w:rPr>
          <w:i/>
          <w:iCs/>
        </w:rPr>
        <w:t>34</w:t>
      </w:r>
      <w:r w:rsidRPr="008A2FBD">
        <w:t xml:space="preserve">(1), 57. </w:t>
      </w:r>
    </w:p>
    <w:p w14:paraId="1F0BBEBC" w14:textId="77777777" w:rsidR="00B24C34" w:rsidRPr="008A2FBD" w:rsidRDefault="00B24C34" w:rsidP="00B24C34">
      <w:pPr>
        <w:spacing w:before="240" w:line="259" w:lineRule="auto"/>
        <w:ind w:left="851" w:hanging="851"/>
        <w:jc w:val="both"/>
      </w:pPr>
      <w:r w:rsidRPr="008A2FBD">
        <w:lastRenderedPageBreak/>
        <w:t>Itzkovich, M., Neuberger, A., Harris, I., Yahav, D., Paul, M., &amp; Gilboa, M. (2026). Oral iron supplements for children in malaria</w:t>
      </w:r>
      <w:r w:rsidRPr="008A2FBD">
        <w:rPr>
          <w:rFonts w:ascii="Cambria Math" w:hAnsi="Cambria Math" w:cs="Cambria Math"/>
        </w:rPr>
        <w:t>‐</w:t>
      </w:r>
      <w:r w:rsidRPr="008A2FBD">
        <w:t>endemic areas. </w:t>
      </w:r>
      <w:r w:rsidRPr="008A2FBD">
        <w:rPr>
          <w:i/>
          <w:iCs/>
        </w:rPr>
        <w:t>Cochrane Database of Systematic Reviews</w:t>
      </w:r>
      <w:r w:rsidRPr="008A2FBD">
        <w:t xml:space="preserve">, (1). </w:t>
      </w:r>
      <w:hyperlink r:id="rId23" w:history="1">
        <w:r w:rsidRPr="008A2FBD">
          <w:rPr>
            <w:rStyle w:val="Hyperlink"/>
          </w:rPr>
          <w:t>https://doi.org/10.1002%2F14651858.CD006589.pub5</w:t>
        </w:r>
      </w:hyperlink>
    </w:p>
    <w:p w14:paraId="20A0F55D" w14:textId="77777777" w:rsidR="00B24C34" w:rsidRPr="008A2FBD" w:rsidRDefault="00B24C34" w:rsidP="00B24C34">
      <w:pPr>
        <w:spacing w:before="240" w:line="259" w:lineRule="auto"/>
        <w:ind w:left="851" w:hanging="851"/>
        <w:jc w:val="both"/>
      </w:pPr>
      <w:r w:rsidRPr="008A2FBD">
        <w:t xml:space="preserve">Joshi, K., Bakshi, H., Kadri, A. M., Agarwal, A., Vala, A., </w:t>
      </w:r>
      <w:proofErr w:type="spellStart"/>
      <w:r w:rsidRPr="008A2FBD">
        <w:t>Dholariya</w:t>
      </w:r>
      <w:proofErr w:type="spellEnd"/>
      <w:r w:rsidRPr="008A2FBD">
        <w:t>, S., ... &amp; Goswami, P. (2026). Factors associated with anemia among adolescent girls in Western India: insights from a multi-centric cross-sectional study. </w:t>
      </w:r>
      <w:r w:rsidRPr="008A2FBD">
        <w:rPr>
          <w:i/>
          <w:iCs/>
        </w:rPr>
        <w:t>Frontiers in Global Women's Health</w:t>
      </w:r>
      <w:r w:rsidRPr="008A2FBD">
        <w:t>, </w:t>
      </w:r>
      <w:r w:rsidRPr="008A2FBD">
        <w:rPr>
          <w:i/>
          <w:iCs/>
        </w:rPr>
        <w:t>7</w:t>
      </w:r>
      <w:r w:rsidRPr="008A2FBD">
        <w:t xml:space="preserve">, 1793809. </w:t>
      </w:r>
      <w:hyperlink r:id="rId24" w:history="1">
        <w:r w:rsidRPr="008A2FBD">
          <w:rPr>
            <w:rStyle w:val="Hyperlink"/>
          </w:rPr>
          <w:t>https://doi.org/10.3389/fgwh.2026.1793809</w:t>
        </w:r>
      </w:hyperlink>
    </w:p>
    <w:p w14:paraId="59F1AAB4" w14:textId="77777777" w:rsidR="00B24C34" w:rsidRPr="008A2FBD" w:rsidRDefault="00B24C34" w:rsidP="00B24C34">
      <w:pPr>
        <w:spacing w:before="240" w:line="259" w:lineRule="auto"/>
        <w:ind w:left="851" w:hanging="851"/>
        <w:jc w:val="both"/>
      </w:pPr>
      <w:r w:rsidRPr="008A2FBD">
        <w:t xml:space="preserve">Khadeejah, A. K., &amp; </w:t>
      </w:r>
      <w:proofErr w:type="spellStart"/>
      <w:r w:rsidRPr="008A2FBD">
        <w:t>Abdulrraziq</w:t>
      </w:r>
      <w:proofErr w:type="spellEnd"/>
      <w:r w:rsidRPr="008A2FBD">
        <w:t>, R. (2026). Prevalence and Determinants of Iron Deficiency Anemia Among School-Aged Children in Tobruk, Libya: A Community-Based Cross-Sectional Study. </w:t>
      </w:r>
      <w:r w:rsidRPr="008A2FBD">
        <w:rPr>
          <w:i/>
          <w:iCs/>
        </w:rPr>
        <w:t>Libyan Medical Journal</w:t>
      </w:r>
      <w:r w:rsidRPr="008A2FBD">
        <w:t xml:space="preserve">, 317-321. </w:t>
      </w:r>
      <w:hyperlink r:id="rId25" w:history="1">
        <w:r w:rsidRPr="008A2FBD">
          <w:rPr>
            <w:rStyle w:val="Hyperlink"/>
          </w:rPr>
          <w:t>https://doi.org/10.69667/lmj.26602</w:t>
        </w:r>
      </w:hyperlink>
    </w:p>
    <w:p w14:paraId="272EA4E4" w14:textId="77777777" w:rsidR="00B24C34" w:rsidRPr="008A2FBD" w:rsidRDefault="00B24C34" w:rsidP="00B24C34">
      <w:pPr>
        <w:spacing w:before="240" w:line="259" w:lineRule="auto"/>
        <w:ind w:left="851" w:hanging="851"/>
        <w:jc w:val="both"/>
      </w:pPr>
      <w:r w:rsidRPr="008A2FBD">
        <w:t>Kulik-</w:t>
      </w:r>
      <w:proofErr w:type="spellStart"/>
      <w:r w:rsidRPr="008A2FBD">
        <w:t>Rechberger</w:t>
      </w:r>
      <w:proofErr w:type="spellEnd"/>
      <w:r w:rsidRPr="008A2FBD">
        <w:t xml:space="preserve">, B., &amp; Dubel, M. (2024). Iron deficiency, iron deficiency </w:t>
      </w:r>
      <w:proofErr w:type="spellStart"/>
      <w:r w:rsidRPr="008A2FBD">
        <w:t>anaemia</w:t>
      </w:r>
      <w:proofErr w:type="spellEnd"/>
      <w:r w:rsidRPr="008A2FBD">
        <w:t xml:space="preserve"> and </w:t>
      </w:r>
      <w:proofErr w:type="spellStart"/>
      <w:r w:rsidRPr="008A2FBD">
        <w:t>anaemia</w:t>
      </w:r>
      <w:proofErr w:type="spellEnd"/>
      <w:r w:rsidRPr="008A2FBD">
        <w:t xml:space="preserve"> of inflammation–an overview. </w:t>
      </w:r>
      <w:r w:rsidRPr="008A2FBD">
        <w:rPr>
          <w:i/>
          <w:iCs/>
        </w:rPr>
        <w:t>Annals of Agricultural and Environmental Medicine</w:t>
      </w:r>
      <w:r w:rsidRPr="008A2FBD">
        <w:t>, </w:t>
      </w:r>
      <w:r w:rsidRPr="008A2FBD">
        <w:rPr>
          <w:i/>
          <w:iCs/>
        </w:rPr>
        <w:t>31</w:t>
      </w:r>
      <w:r w:rsidRPr="008A2FBD">
        <w:t>(1), 151-157.</w:t>
      </w:r>
    </w:p>
    <w:p w14:paraId="43788F14" w14:textId="77777777" w:rsidR="00B24C34" w:rsidRPr="008A2FBD" w:rsidRDefault="00B24C34" w:rsidP="00B24C34">
      <w:pPr>
        <w:spacing w:before="240" w:line="259" w:lineRule="auto"/>
        <w:ind w:left="851" w:hanging="851"/>
        <w:jc w:val="both"/>
      </w:pPr>
      <w:r w:rsidRPr="008A2FBD">
        <w:t xml:space="preserve">Kundu, S., Alam, S. S., Mia, M. A. T., </w:t>
      </w:r>
      <w:proofErr w:type="spellStart"/>
      <w:r w:rsidRPr="008A2FBD">
        <w:t>Hossan</w:t>
      </w:r>
      <w:proofErr w:type="spellEnd"/>
      <w:r w:rsidRPr="008A2FBD">
        <w:t>, T., Hider, P., Khalil, M. I., ... &amp; Islam, M. A. (2023). Prevalence of anemia among children and adolescents of Bangladesh: a systematic review and meta-analysis. </w:t>
      </w:r>
      <w:r w:rsidRPr="008A2FBD">
        <w:rPr>
          <w:i/>
          <w:iCs/>
        </w:rPr>
        <w:t>International Journal of Environmental Research and Public Health</w:t>
      </w:r>
      <w:r w:rsidRPr="008A2FBD">
        <w:t>, </w:t>
      </w:r>
      <w:r w:rsidRPr="008A2FBD">
        <w:rPr>
          <w:i/>
          <w:iCs/>
        </w:rPr>
        <w:t>20</w:t>
      </w:r>
      <w:r w:rsidRPr="008A2FBD">
        <w:t>(3), 1786.</w:t>
      </w:r>
    </w:p>
    <w:p w14:paraId="0315BA5A" w14:textId="77777777" w:rsidR="00B24C34" w:rsidRPr="008A2FBD" w:rsidRDefault="00B24C34" w:rsidP="00B24C34">
      <w:pPr>
        <w:spacing w:before="240" w:line="259" w:lineRule="auto"/>
        <w:ind w:left="851" w:hanging="851"/>
        <w:jc w:val="both"/>
      </w:pPr>
      <w:r w:rsidRPr="008A2FBD">
        <w:t>Leung, A. K., Lam, J. M., Wong, A. H., Hon, K. L., &amp; Li, X. (2024). Iron deficiency anemia: an updated review. </w:t>
      </w:r>
      <w:r w:rsidRPr="008A2FBD">
        <w:rPr>
          <w:i/>
          <w:iCs/>
        </w:rPr>
        <w:t>Current pediatric reviews</w:t>
      </w:r>
      <w:r w:rsidRPr="008A2FBD">
        <w:t>, </w:t>
      </w:r>
      <w:r w:rsidRPr="008A2FBD">
        <w:rPr>
          <w:i/>
          <w:iCs/>
        </w:rPr>
        <w:t>20</w:t>
      </w:r>
      <w:r w:rsidRPr="008A2FBD">
        <w:t xml:space="preserve">(3), 339-356. </w:t>
      </w:r>
      <w:hyperlink r:id="rId26" w:history="1">
        <w:r w:rsidRPr="008A2FBD">
          <w:rPr>
            <w:rStyle w:val="Hyperlink"/>
          </w:rPr>
          <w:t>https://doi.org/10.2174/1573396320666230727102042</w:t>
        </w:r>
      </w:hyperlink>
    </w:p>
    <w:p w14:paraId="739AB821" w14:textId="77777777" w:rsidR="00B24C34" w:rsidRPr="008A2FBD" w:rsidRDefault="00B24C34" w:rsidP="00B24C34">
      <w:pPr>
        <w:spacing w:before="240" w:line="259" w:lineRule="auto"/>
        <w:ind w:left="851" w:hanging="851"/>
        <w:jc w:val="both"/>
      </w:pPr>
      <w:r w:rsidRPr="008A2FBD">
        <w:t>Mankelkl, G., &amp; Kinfe, B. (2024). Factors associated with anemia among reproductive age women in Nigeria; evidenced by the Nigeria malaria indicators survey: spatial and multilevel model analysis. </w:t>
      </w:r>
      <w:r w:rsidRPr="008A2FBD">
        <w:rPr>
          <w:i/>
          <w:iCs/>
        </w:rPr>
        <w:t>Contraception and reproductive medicine</w:t>
      </w:r>
      <w:r w:rsidRPr="008A2FBD">
        <w:t>, </w:t>
      </w:r>
      <w:r w:rsidRPr="008A2FBD">
        <w:rPr>
          <w:i/>
          <w:iCs/>
        </w:rPr>
        <w:t>9</w:t>
      </w:r>
      <w:r w:rsidRPr="008A2FBD">
        <w:t xml:space="preserve">(1), 12. </w:t>
      </w:r>
      <w:hyperlink r:id="rId27" w:history="1">
        <w:r w:rsidRPr="008A2FBD">
          <w:rPr>
            <w:rStyle w:val="Hyperlink"/>
          </w:rPr>
          <w:t>https://doi.org/10.1186/s40834-024-00275-x</w:t>
        </w:r>
      </w:hyperlink>
    </w:p>
    <w:p w14:paraId="1196B4FE" w14:textId="77777777" w:rsidR="00B24C34" w:rsidRPr="008A2FBD" w:rsidRDefault="00B24C34" w:rsidP="00B24C34">
      <w:pPr>
        <w:spacing w:before="240" w:line="259" w:lineRule="auto"/>
        <w:ind w:left="851" w:hanging="851"/>
        <w:jc w:val="both"/>
      </w:pPr>
      <w:r w:rsidRPr="008A2FBD">
        <w:t xml:space="preserve">Munro, M. G., Mast, A. E., Powers, J. M., </w:t>
      </w:r>
      <w:proofErr w:type="spellStart"/>
      <w:r w:rsidRPr="008A2FBD">
        <w:t>Kouides</w:t>
      </w:r>
      <w:proofErr w:type="spellEnd"/>
      <w:r w:rsidRPr="008A2FBD">
        <w:t xml:space="preserve">, P. A., O’Brien, S. H., Richards, T., ... &amp; Levy, B. S. (2023). The relationship between heavy menstrual bleeding, iron deficiency, and iron deficiency </w:t>
      </w:r>
      <w:proofErr w:type="spellStart"/>
      <w:r w:rsidRPr="008A2FBD">
        <w:t>anaemia</w:t>
      </w:r>
      <w:proofErr w:type="spellEnd"/>
      <w:r w:rsidRPr="008A2FBD">
        <w:t>. </w:t>
      </w:r>
      <w:r w:rsidRPr="008A2FBD">
        <w:rPr>
          <w:i/>
          <w:iCs/>
        </w:rPr>
        <w:t xml:space="preserve">American journal of obstetrics and </w:t>
      </w:r>
      <w:proofErr w:type="spellStart"/>
      <w:r w:rsidRPr="008A2FBD">
        <w:rPr>
          <w:i/>
          <w:iCs/>
        </w:rPr>
        <w:t>gynaecology</w:t>
      </w:r>
      <w:proofErr w:type="spellEnd"/>
      <w:r w:rsidRPr="008A2FBD">
        <w:t>, </w:t>
      </w:r>
      <w:r w:rsidRPr="008A2FBD">
        <w:rPr>
          <w:i/>
          <w:iCs/>
        </w:rPr>
        <w:t>229</w:t>
      </w:r>
      <w:r w:rsidRPr="008A2FBD">
        <w:t>(1), 1–9. https://doi.org/10.1016/j.ajog.2023.01.017</w:t>
      </w:r>
    </w:p>
    <w:p w14:paraId="5DAA2726" w14:textId="77777777" w:rsidR="00B24C34" w:rsidRPr="008A2FBD" w:rsidRDefault="00B24C34" w:rsidP="00B24C34">
      <w:pPr>
        <w:spacing w:before="240" w:line="259" w:lineRule="auto"/>
        <w:ind w:left="851" w:hanging="851"/>
        <w:jc w:val="both"/>
      </w:pPr>
      <w:r w:rsidRPr="008A2FBD">
        <w:t>Nhial, B. C., &amp; Alemu, C. (2025). Anemia and Associated Factors Among Adolescent Girls in Weekly Iron and Folic Acid Supplementation Schools Versus Non</w:t>
      </w:r>
      <w:r w:rsidRPr="008A2FBD">
        <w:rPr>
          <w:rFonts w:ascii="Cambria Math" w:hAnsi="Cambria Math" w:cs="Cambria Math"/>
        </w:rPr>
        <w:t>‐</w:t>
      </w:r>
      <w:r w:rsidRPr="008A2FBD">
        <w:t xml:space="preserve">Implemented Schools in Gog and </w:t>
      </w:r>
      <w:proofErr w:type="spellStart"/>
      <w:r w:rsidRPr="008A2FBD">
        <w:t>Abobo</w:t>
      </w:r>
      <w:proofErr w:type="spellEnd"/>
      <w:r w:rsidRPr="008A2FBD">
        <w:t xml:space="preserve"> Woreda, Southwest Ethiopia: A Comparative Cross</w:t>
      </w:r>
      <w:r w:rsidRPr="008A2FBD">
        <w:rPr>
          <w:rFonts w:ascii="Cambria Math" w:hAnsi="Cambria Math" w:cs="Cambria Math"/>
        </w:rPr>
        <w:t>‐</w:t>
      </w:r>
      <w:r w:rsidRPr="008A2FBD">
        <w:t>Sectional Study. </w:t>
      </w:r>
      <w:r w:rsidRPr="008A2FBD">
        <w:rPr>
          <w:i/>
          <w:iCs/>
        </w:rPr>
        <w:t>Health science reports</w:t>
      </w:r>
      <w:r w:rsidRPr="008A2FBD">
        <w:t>, </w:t>
      </w:r>
      <w:r w:rsidRPr="008A2FBD">
        <w:rPr>
          <w:i/>
          <w:iCs/>
        </w:rPr>
        <w:t>8</w:t>
      </w:r>
      <w:r w:rsidRPr="008A2FBD">
        <w:t>(9), e71247.</w:t>
      </w:r>
    </w:p>
    <w:p w14:paraId="63ACC374" w14:textId="77777777" w:rsidR="00B24C34" w:rsidRPr="008A2FBD" w:rsidRDefault="00B24C34" w:rsidP="00B24C34">
      <w:pPr>
        <w:spacing w:before="240" w:line="259" w:lineRule="auto"/>
        <w:ind w:left="851" w:hanging="851"/>
        <w:jc w:val="both"/>
      </w:pPr>
      <w:r w:rsidRPr="008A2FBD">
        <w:t xml:space="preserve">Nwobodo, E., </w:t>
      </w:r>
      <w:proofErr w:type="spellStart"/>
      <w:r w:rsidRPr="008A2FBD">
        <w:t>Afuberoh</w:t>
      </w:r>
      <w:proofErr w:type="spellEnd"/>
      <w:r w:rsidRPr="008A2FBD">
        <w:t xml:space="preserve">, F. C., </w:t>
      </w:r>
      <w:proofErr w:type="spellStart"/>
      <w:r w:rsidRPr="008A2FBD">
        <w:t>Umekesiobi</w:t>
      </w:r>
      <w:proofErr w:type="spellEnd"/>
      <w:r w:rsidRPr="008A2FBD">
        <w:t xml:space="preserve">, C. J., Okoye, O. F., &amp; </w:t>
      </w:r>
      <w:proofErr w:type="spellStart"/>
      <w:r w:rsidRPr="008A2FBD">
        <w:t>Anyaogu</w:t>
      </w:r>
      <w:proofErr w:type="spellEnd"/>
      <w:r w:rsidRPr="008A2FBD">
        <w:t xml:space="preserve">, C. C. (2026). Prevalence and Risk Factors of </w:t>
      </w:r>
      <w:proofErr w:type="spellStart"/>
      <w:r w:rsidRPr="008A2FBD">
        <w:t>Anaemia</w:t>
      </w:r>
      <w:proofErr w:type="spellEnd"/>
      <w:r w:rsidRPr="008A2FBD">
        <w:t xml:space="preserve"> among Female Students of Nnamdi Azikiwe College of Health Sciences, </w:t>
      </w:r>
      <w:proofErr w:type="spellStart"/>
      <w:r w:rsidRPr="008A2FBD">
        <w:t>Okofia</w:t>
      </w:r>
      <w:proofErr w:type="spellEnd"/>
      <w:r w:rsidRPr="008A2FBD">
        <w:t>, Nnewi, Nigeria. </w:t>
      </w:r>
      <w:r w:rsidRPr="008A2FBD">
        <w:rPr>
          <w:i/>
          <w:iCs/>
        </w:rPr>
        <w:t>Open Journal of Medical Research (ISSN: 2734-2093</w:t>
      </w:r>
      <w:proofErr w:type="gramStart"/>
      <w:r w:rsidRPr="008A2FBD">
        <w:rPr>
          <w:i/>
          <w:iCs/>
        </w:rPr>
        <w:t>) </w:t>
      </w:r>
      <w:r w:rsidRPr="008A2FBD">
        <w:t>,</w:t>
      </w:r>
      <w:proofErr w:type="gramEnd"/>
      <w:r w:rsidRPr="008A2FBD">
        <w:t> </w:t>
      </w:r>
      <w:r w:rsidRPr="008A2FBD">
        <w:rPr>
          <w:i/>
          <w:iCs/>
        </w:rPr>
        <w:t>7</w:t>
      </w:r>
      <w:r w:rsidRPr="008A2FBD">
        <w:t xml:space="preserve">(1), 26-33. </w:t>
      </w:r>
      <w:hyperlink r:id="rId28" w:history="1">
        <w:r w:rsidRPr="008A2FBD">
          <w:rPr>
            <w:rStyle w:val="Hyperlink"/>
          </w:rPr>
          <w:t>https://doi.org/10.52417/ojmr.v7i1.1134</w:t>
        </w:r>
      </w:hyperlink>
    </w:p>
    <w:p w14:paraId="75D3337F" w14:textId="77777777" w:rsidR="00B24C34" w:rsidRPr="008A2FBD" w:rsidRDefault="00B24C34" w:rsidP="00B24C34">
      <w:pPr>
        <w:spacing w:before="240" w:line="259" w:lineRule="auto"/>
        <w:ind w:left="851" w:hanging="851"/>
        <w:jc w:val="both"/>
      </w:pPr>
      <w:proofErr w:type="spellStart"/>
      <w:r w:rsidRPr="008A2FBD">
        <w:t>Obeagu</w:t>
      </w:r>
      <w:proofErr w:type="spellEnd"/>
      <w:r w:rsidRPr="008A2FBD">
        <w:t xml:space="preserve">, G. U., </w:t>
      </w:r>
      <w:proofErr w:type="spellStart"/>
      <w:r w:rsidRPr="008A2FBD">
        <w:t>Altraide</w:t>
      </w:r>
      <w:proofErr w:type="spellEnd"/>
      <w:r w:rsidRPr="008A2FBD">
        <w:t xml:space="preserve">, B. O., &amp; </w:t>
      </w:r>
      <w:proofErr w:type="spellStart"/>
      <w:r w:rsidRPr="008A2FBD">
        <w:t>Obeagu</w:t>
      </w:r>
      <w:proofErr w:type="spellEnd"/>
      <w:r w:rsidRPr="008A2FBD">
        <w:t>, E. I. (2026). Estimation of prevalence and complications of iron deficiency anemia in pregnancy at Obio-Akpor, Rivers State, Nigeria from 2019 to 2023. </w:t>
      </w:r>
      <w:r w:rsidRPr="008A2FBD">
        <w:rPr>
          <w:i/>
          <w:iCs/>
        </w:rPr>
        <w:t>Medicine</w:t>
      </w:r>
      <w:r w:rsidRPr="008A2FBD">
        <w:t>, </w:t>
      </w:r>
      <w:r w:rsidRPr="008A2FBD">
        <w:rPr>
          <w:i/>
          <w:iCs/>
        </w:rPr>
        <w:t>105</w:t>
      </w:r>
      <w:r w:rsidRPr="008A2FBD">
        <w:t xml:space="preserve">(7), e47666. </w:t>
      </w:r>
      <w:hyperlink r:id="rId29" w:history="1">
        <w:r w:rsidRPr="008A2FBD">
          <w:rPr>
            <w:rStyle w:val="Hyperlink"/>
          </w:rPr>
          <w:t>https://doi.org/10.1097/MD.0000000000047666</w:t>
        </w:r>
      </w:hyperlink>
      <w:r w:rsidRPr="008A2FBD">
        <w:t xml:space="preserve">.  </w:t>
      </w:r>
    </w:p>
    <w:p w14:paraId="426B80BA" w14:textId="77777777" w:rsidR="00B24C34" w:rsidRPr="008A2FBD" w:rsidRDefault="00B24C34" w:rsidP="00B24C34">
      <w:pPr>
        <w:spacing w:before="240" w:line="259" w:lineRule="auto"/>
        <w:ind w:left="851" w:hanging="851"/>
        <w:jc w:val="both"/>
      </w:pPr>
      <w:proofErr w:type="spellStart"/>
      <w:r w:rsidRPr="008A2FBD">
        <w:lastRenderedPageBreak/>
        <w:t>Olumakaiye</w:t>
      </w:r>
      <w:proofErr w:type="spellEnd"/>
      <w:r w:rsidRPr="008A2FBD">
        <w:t>, M. F. (2013). Adolescent girls with low dietary diversity score are predisposed to iron deficiency in southwestern Nigeria. </w:t>
      </w:r>
      <w:r w:rsidRPr="008A2FBD">
        <w:rPr>
          <w:i/>
          <w:iCs/>
        </w:rPr>
        <w:t>ICAN: Infant, Child, &amp; Adolescent Nutrition</w:t>
      </w:r>
      <w:r w:rsidRPr="008A2FBD">
        <w:t>, </w:t>
      </w:r>
      <w:r w:rsidRPr="008A2FBD">
        <w:rPr>
          <w:i/>
          <w:iCs/>
        </w:rPr>
        <w:t>5</w:t>
      </w:r>
      <w:r w:rsidRPr="008A2FBD">
        <w:t xml:space="preserve">(2), 85-91. </w:t>
      </w:r>
      <w:hyperlink r:id="rId30" w:history="1">
        <w:r w:rsidRPr="008A2FBD">
          <w:rPr>
            <w:rStyle w:val="Hyperlink"/>
          </w:rPr>
          <w:t>https://doi.org/10.1177/1941406413475661</w:t>
        </w:r>
      </w:hyperlink>
    </w:p>
    <w:p w14:paraId="3136477F" w14:textId="77777777" w:rsidR="00B24C34" w:rsidRPr="008A2FBD" w:rsidRDefault="00B24C34" w:rsidP="00B24C34">
      <w:pPr>
        <w:spacing w:before="240" w:line="259" w:lineRule="auto"/>
        <w:ind w:left="851" w:hanging="851"/>
        <w:jc w:val="both"/>
      </w:pPr>
      <w:r w:rsidRPr="008A2FBD">
        <w:t xml:space="preserve">Pipoyan, D., Stepanyan, S., </w:t>
      </w:r>
      <w:proofErr w:type="spellStart"/>
      <w:r w:rsidRPr="008A2FBD">
        <w:t>Beglaryan</w:t>
      </w:r>
      <w:proofErr w:type="spellEnd"/>
      <w:r w:rsidRPr="008A2FBD">
        <w:t>, M., &amp; Mantovani, A. (2023). Assessment of Heme and non-heme iron intake and its dietary sources among adults in Armenia. </w:t>
      </w:r>
      <w:r w:rsidRPr="008A2FBD">
        <w:rPr>
          <w:i/>
          <w:iCs/>
        </w:rPr>
        <w:t>Nutrients</w:t>
      </w:r>
      <w:r w:rsidRPr="008A2FBD">
        <w:t>, </w:t>
      </w:r>
      <w:r w:rsidRPr="008A2FBD">
        <w:rPr>
          <w:i/>
          <w:iCs/>
        </w:rPr>
        <w:t>15</w:t>
      </w:r>
      <w:r w:rsidRPr="008A2FBD">
        <w:t xml:space="preserve">(7), 1643. </w:t>
      </w:r>
      <w:hyperlink r:id="rId31" w:history="1">
        <w:r w:rsidRPr="008A2FBD">
          <w:rPr>
            <w:rStyle w:val="Hyperlink"/>
          </w:rPr>
          <w:t>https://doi.org/10.3390/nu15071643</w:t>
        </w:r>
      </w:hyperlink>
    </w:p>
    <w:p w14:paraId="0A61AA82" w14:textId="77777777" w:rsidR="00B24C34" w:rsidRPr="008A2FBD" w:rsidRDefault="00B24C34" w:rsidP="00B24C34">
      <w:pPr>
        <w:spacing w:before="240" w:line="259" w:lineRule="auto"/>
        <w:ind w:left="851" w:hanging="851"/>
        <w:jc w:val="both"/>
      </w:pPr>
      <w:r w:rsidRPr="008A2FBD">
        <w:t xml:space="preserve">Putri, H. F., Pratiwi, C. S., &amp; </w:t>
      </w:r>
      <w:proofErr w:type="spellStart"/>
      <w:r w:rsidRPr="008A2FBD">
        <w:t>Ismarwati</w:t>
      </w:r>
      <w:proofErr w:type="spellEnd"/>
      <w:r w:rsidRPr="008A2FBD">
        <w:t xml:space="preserve">, I. (2026). Nutrition Patterns and Iron Supplementation in the Prevention of </w:t>
      </w:r>
      <w:proofErr w:type="spellStart"/>
      <w:r w:rsidRPr="008A2FBD">
        <w:t>Anaemia</w:t>
      </w:r>
      <w:proofErr w:type="spellEnd"/>
      <w:r w:rsidRPr="008A2FBD">
        <w:t xml:space="preserve"> in Adolescent Girls. </w:t>
      </w:r>
      <w:proofErr w:type="spellStart"/>
      <w:r w:rsidRPr="008A2FBD">
        <w:rPr>
          <w:i/>
          <w:iCs/>
        </w:rPr>
        <w:t>Jurnal</w:t>
      </w:r>
      <w:proofErr w:type="spellEnd"/>
      <w:r w:rsidRPr="008A2FBD">
        <w:rPr>
          <w:i/>
          <w:iCs/>
        </w:rPr>
        <w:t xml:space="preserve"> </w:t>
      </w:r>
      <w:proofErr w:type="spellStart"/>
      <w:r w:rsidRPr="008A2FBD">
        <w:rPr>
          <w:i/>
          <w:iCs/>
        </w:rPr>
        <w:t>Manajemen</w:t>
      </w:r>
      <w:proofErr w:type="spellEnd"/>
      <w:r w:rsidRPr="008A2FBD">
        <w:rPr>
          <w:i/>
          <w:iCs/>
        </w:rPr>
        <w:t xml:space="preserve"> </w:t>
      </w:r>
      <w:proofErr w:type="spellStart"/>
      <w:r w:rsidRPr="008A2FBD">
        <w:rPr>
          <w:i/>
          <w:iCs/>
        </w:rPr>
        <w:t>Informasi</w:t>
      </w:r>
      <w:proofErr w:type="spellEnd"/>
      <w:r w:rsidRPr="008A2FBD">
        <w:rPr>
          <w:i/>
          <w:iCs/>
        </w:rPr>
        <w:t xml:space="preserve"> Kesehatan (Health Information Management)</w:t>
      </w:r>
      <w:r w:rsidRPr="008A2FBD">
        <w:t>, </w:t>
      </w:r>
      <w:r w:rsidRPr="008A2FBD">
        <w:rPr>
          <w:i/>
          <w:iCs/>
        </w:rPr>
        <w:t>11</w:t>
      </w:r>
      <w:r w:rsidRPr="008A2FBD">
        <w:t xml:space="preserve">(1), 251-265. </w:t>
      </w:r>
      <w:hyperlink r:id="rId32" w:history="1">
        <w:r w:rsidRPr="008A2FBD">
          <w:rPr>
            <w:rStyle w:val="Hyperlink"/>
          </w:rPr>
          <w:t>https://doi.org/10.51851/jmis.v11i1.1013</w:t>
        </w:r>
      </w:hyperlink>
    </w:p>
    <w:p w14:paraId="5FD6E8C2" w14:textId="77777777" w:rsidR="00B24C34" w:rsidRPr="008A2FBD" w:rsidRDefault="00B24C34" w:rsidP="00B24C34">
      <w:pPr>
        <w:spacing w:before="240" w:line="259" w:lineRule="auto"/>
        <w:ind w:left="851" w:hanging="851"/>
        <w:jc w:val="both"/>
      </w:pPr>
      <w:r w:rsidRPr="008A2FBD">
        <w:t xml:space="preserve">Rathi, N., &amp; Bahmani, S. (2026). Impact Of Diet and Nutrition on The Health of Rural and Urban Adolescent Girls with Reference to Their </w:t>
      </w:r>
      <w:proofErr w:type="spellStart"/>
      <w:r w:rsidRPr="008A2FBD">
        <w:t>Haemoglobin</w:t>
      </w:r>
      <w:proofErr w:type="spellEnd"/>
      <w:r w:rsidRPr="008A2FBD">
        <w:t xml:space="preserve"> Level. </w:t>
      </w:r>
      <w:r w:rsidRPr="008A2FBD">
        <w:rPr>
          <w:i/>
          <w:iCs/>
        </w:rPr>
        <w:t>International Journal of Aquatic Research and Environmental Studies</w:t>
      </w:r>
      <w:r w:rsidRPr="008A2FBD">
        <w:t>, </w:t>
      </w:r>
      <w:r w:rsidRPr="008A2FBD">
        <w:rPr>
          <w:i/>
          <w:iCs/>
        </w:rPr>
        <w:t>6</w:t>
      </w:r>
      <w:r w:rsidRPr="008A2FBD">
        <w:t xml:space="preserve">(S2), 106-112. </w:t>
      </w:r>
      <w:hyperlink r:id="rId33" w:history="1">
        <w:r w:rsidRPr="008A2FBD">
          <w:rPr>
            <w:rStyle w:val="Hyperlink"/>
          </w:rPr>
          <w:t>https://doi.org/10.70102/IJARES/V6S2/6-S2-571</w:t>
        </w:r>
      </w:hyperlink>
    </w:p>
    <w:p w14:paraId="52AC48C5" w14:textId="77777777" w:rsidR="00B24C34" w:rsidRPr="008A2FBD" w:rsidRDefault="00B24C34" w:rsidP="00B24C34">
      <w:pPr>
        <w:spacing w:before="240" w:line="259" w:lineRule="auto"/>
        <w:ind w:left="851" w:hanging="851"/>
        <w:jc w:val="both"/>
      </w:pPr>
      <w:r w:rsidRPr="008A2FBD">
        <w:t xml:space="preserve">Samson, K. L., Fischer, J. A., &amp; Roche, M. L. (2022). Iron status, </w:t>
      </w:r>
      <w:proofErr w:type="spellStart"/>
      <w:r w:rsidRPr="008A2FBD">
        <w:t>anaemia</w:t>
      </w:r>
      <w:proofErr w:type="spellEnd"/>
      <w:r w:rsidRPr="008A2FBD">
        <w:t>, and iron interventions and their associations with cognitive and academic performance in adolescents: a systematic review. </w:t>
      </w:r>
      <w:r w:rsidRPr="008A2FBD">
        <w:rPr>
          <w:i/>
          <w:iCs/>
        </w:rPr>
        <w:t>Nutrients</w:t>
      </w:r>
      <w:r w:rsidRPr="008A2FBD">
        <w:t>, </w:t>
      </w:r>
      <w:r w:rsidRPr="008A2FBD">
        <w:rPr>
          <w:i/>
          <w:iCs/>
        </w:rPr>
        <w:t>14</w:t>
      </w:r>
      <w:r w:rsidRPr="008A2FBD">
        <w:t xml:space="preserve">(1), 224. </w:t>
      </w:r>
      <w:hyperlink r:id="rId34" w:history="1">
        <w:r w:rsidRPr="008A2FBD">
          <w:rPr>
            <w:rStyle w:val="Hyperlink"/>
          </w:rPr>
          <w:t>https://doi.org/10.3390/nu14010224</w:t>
        </w:r>
      </w:hyperlink>
      <w:r w:rsidRPr="008A2FBD">
        <w:t xml:space="preserve"> </w:t>
      </w:r>
    </w:p>
    <w:p w14:paraId="367095CB" w14:textId="77777777" w:rsidR="00B24C34" w:rsidRPr="008A2FBD" w:rsidRDefault="00B24C34" w:rsidP="00B24C34">
      <w:pPr>
        <w:spacing w:before="240" w:line="259" w:lineRule="auto"/>
        <w:ind w:left="851" w:hanging="851"/>
        <w:jc w:val="both"/>
      </w:pPr>
      <w:r w:rsidRPr="008A2FBD">
        <w:t xml:space="preserve">Tayal, A., Kaur, J., Sadeghi, P., &amp; </w:t>
      </w:r>
      <w:proofErr w:type="spellStart"/>
      <w:r w:rsidRPr="008A2FBD">
        <w:t>Maitta</w:t>
      </w:r>
      <w:proofErr w:type="spellEnd"/>
      <w:r w:rsidRPr="008A2FBD">
        <w:t>, R. W. (2025). Molecular Mechanisms of Iron Metabolism and Overload. </w:t>
      </w:r>
      <w:r w:rsidRPr="008A2FBD">
        <w:rPr>
          <w:i/>
          <w:iCs/>
        </w:rPr>
        <w:t>Biomedicines</w:t>
      </w:r>
      <w:r w:rsidRPr="008A2FBD">
        <w:t>, </w:t>
      </w:r>
      <w:r w:rsidRPr="008A2FBD">
        <w:rPr>
          <w:i/>
          <w:iCs/>
        </w:rPr>
        <w:t>13</w:t>
      </w:r>
      <w:r w:rsidRPr="008A2FBD">
        <w:t>(9), 2067. https://doi.org/10.3390/biomedicines13092067</w:t>
      </w:r>
    </w:p>
    <w:p w14:paraId="182F59A0" w14:textId="77777777" w:rsidR="00B24C34" w:rsidRPr="008A2FBD" w:rsidRDefault="00B24C34" w:rsidP="00B24C34">
      <w:pPr>
        <w:spacing w:before="240" w:line="259" w:lineRule="auto"/>
        <w:ind w:left="851" w:hanging="851"/>
        <w:jc w:val="both"/>
      </w:pPr>
      <w:r w:rsidRPr="008A2FBD">
        <w:t xml:space="preserve">Tesfaye, A., </w:t>
      </w:r>
      <w:proofErr w:type="spellStart"/>
      <w:r w:rsidRPr="008A2FBD">
        <w:t>Gerbaba</w:t>
      </w:r>
      <w:proofErr w:type="spellEnd"/>
      <w:r w:rsidRPr="008A2FBD">
        <w:t>, M., Tamiru, D., &amp; Belachew, T. (2024). Inadequate dietary diversity practices and associated factors among pregnant adolescents in the West Arsi Zone, Central Ethiopia: a community-based cross-sectional study. </w:t>
      </w:r>
      <w:r w:rsidRPr="008A2FBD">
        <w:rPr>
          <w:i/>
          <w:iCs/>
        </w:rPr>
        <w:t>Scientific Reports</w:t>
      </w:r>
      <w:r w:rsidRPr="008A2FBD">
        <w:t>, </w:t>
      </w:r>
      <w:r w:rsidRPr="008A2FBD">
        <w:rPr>
          <w:i/>
          <w:iCs/>
        </w:rPr>
        <w:t>14</w:t>
      </w:r>
      <w:r w:rsidRPr="008A2FBD">
        <w:t xml:space="preserve">(1), 2871. </w:t>
      </w:r>
      <w:hyperlink r:id="rId35" w:history="1">
        <w:r w:rsidRPr="008A2FBD">
          <w:rPr>
            <w:rStyle w:val="Hyperlink"/>
          </w:rPr>
          <w:t>https://doi.org/10.1038/s41598-024-53467-5</w:t>
        </w:r>
      </w:hyperlink>
      <w:r w:rsidRPr="008A2FBD">
        <w:t xml:space="preserve"> </w:t>
      </w:r>
    </w:p>
    <w:p w14:paraId="6B8E1089" w14:textId="77777777" w:rsidR="00B24C34" w:rsidRPr="008A2FBD" w:rsidRDefault="00B24C34" w:rsidP="00B24C34">
      <w:pPr>
        <w:spacing w:before="240" w:line="259" w:lineRule="auto"/>
        <w:ind w:left="851" w:hanging="851"/>
        <w:jc w:val="both"/>
      </w:pPr>
      <w:r w:rsidRPr="008A2FBD">
        <w:t xml:space="preserve">White, N. J. (2018). </w:t>
      </w:r>
      <w:proofErr w:type="spellStart"/>
      <w:r w:rsidRPr="008A2FBD">
        <w:t>Anaemia</w:t>
      </w:r>
      <w:proofErr w:type="spellEnd"/>
      <w:r w:rsidRPr="008A2FBD">
        <w:t xml:space="preserve"> and malaria. </w:t>
      </w:r>
      <w:r w:rsidRPr="008A2FBD">
        <w:rPr>
          <w:i/>
          <w:iCs/>
        </w:rPr>
        <w:t>Malaria journal</w:t>
      </w:r>
      <w:r w:rsidRPr="008A2FBD">
        <w:t>, </w:t>
      </w:r>
      <w:r w:rsidRPr="008A2FBD">
        <w:rPr>
          <w:i/>
          <w:iCs/>
        </w:rPr>
        <w:t>17</w:t>
      </w:r>
      <w:r w:rsidRPr="008A2FBD">
        <w:t xml:space="preserve">(1), 371. </w:t>
      </w:r>
      <w:hyperlink r:id="rId36" w:history="1">
        <w:r w:rsidRPr="008A2FBD">
          <w:rPr>
            <w:rStyle w:val="Hyperlink"/>
          </w:rPr>
          <w:t>https://doi.org/10.1186/s12936-018-2509-9</w:t>
        </w:r>
      </w:hyperlink>
    </w:p>
    <w:p w14:paraId="441D4790" w14:textId="77777777" w:rsidR="00B24C34" w:rsidRPr="008A2FBD" w:rsidRDefault="00B24C34" w:rsidP="00B24C34">
      <w:pPr>
        <w:spacing w:before="240" w:line="259" w:lineRule="auto"/>
        <w:ind w:left="851" w:hanging="851"/>
        <w:jc w:val="both"/>
      </w:pPr>
      <w:r w:rsidRPr="008A2FBD">
        <w:t xml:space="preserve">Wiafe, M. A., </w:t>
      </w:r>
      <w:proofErr w:type="spellStart"/>
      <w:r w:rsidRPr="008A2FBD">
        <w:t>Ayenu</w:t>
      </w:r>
      <w:proofErr w:type="spellEnd"/>
      <w:r w:rsidRPr="008A2FBD">
        <w:t>, J., &amp; Eli-</w:t>
      </w:r>
      <w:proofErr w:type="spellStart"/>
      <w:r w:rsidRPr="008A2FBD">
        <w:t>Cophie</w:t>
      </w:r>
      <w:proofErr w:type="spellEnd"/>
      <w:r w:rsidRPr="008A2FBD">
        <w:t xml:space="preserve">, D. (2023). A review of the risk factors for iron deficiency </w:t>
      </w:r>
      <w:proofErr w:type="spellStart"/>
      <w:r w:rsidRPr="008A2FBD">
        <w:t>anaemia</w:t>
      </w:r>
      <w:proofErr w:type="spellEnd"/>
      <w:r w:rsidRPr="008A2FBD">
        <w:t xml:space="preserve"> among adolescents in developing countries. </w:t>
      </w:r>
      <w:proofErr w:type="spellStart"/>
      <w:r w:rsidRPr="008A2FBD">
        <w:rPr>
          <w:i/>
          <w:iCs/>
        </w:rPr>
        <w:t>Anaemia</w:t>
      </w:r>
      <w:proofErr w:type="spellEnd"/>
      <w:r w:rsidRPr="008A2FBD">
        <w:t>, </w:t>
      </w:r>
      <w:r w:rsidRPr="008A2FBD">
        <w:rPr>
          <w:i/>
          <w:iCs/>
        </w:rPr>
        <w:t>2023</w:t>
      </w:r>
      <w:r w:rsidRPr="008A2FBD">
        <w:t>(1), 6406286. https://doi.org/10.1155/2023/6406286</w:t>
      </w:r>
    </w:p>
    <w:p w14:paraId="324F3974" w14:textId="77777777" w:rsidR="00B24C34" w:rsidRPr="008A2FBD" w:rsidRDefault="00B24C34" w:rsidP="00B24C34">
      <w:pPr>
        <w:spacing w:before="240" w:line="259" w:lineRule="auto"/>
        <w:ind w:left="851" w:hanging="851"/>
        <w:jc w:val="both"/>
      </w:pPr>
      <w:r w:rsidRPr="008A2FBD">
        <w:t>World Health Organization. (2024). </w:t>
      </w:r>
      <w:r w:rsidRPr="008A2FBD">
        <w:rPr>
          <w:i/>
          <w:iCs/>
        </w:rPr>
        <w:t xml:space="preserve">Guideline on </w:t>
      </w:r>
      <w:proofErr w:type="spellStart"/>
      <w:r w:rsidRPr="008A2FBD">
        <w:rPr>
          <w:i/>
          <w:iCs/>
        </w:rPr>
        <w:t>haemoglobin</w:t>
      </w:r>
      <w:proofErr w:type="spellEnd"/>
      <w:r w:rsidRPr="008A2FBD">
        <w:rPr>
          <w:i/>
          <w:iCs/>
        </w:rPr>
        <w:t xml:space="preserve"> cutoffs to define </w:t>
      </w:r>
      <w:proofErr w:type="spellStart"/>
      <w:r w:rsidRPr="008A2FBD">
        <w:rPr>
          <w:i/>
          <w:iCs/>
        </w:rPr>
        <w:t>anaemia</w:t>
      </w:r>
      <w:proofErr w:type="spellEnd"/>
      <w:r w:rsidRPr="008A2FBD">
        <w:rPr>
          <w:i/>
          <w:iCs/>
        </w:rPr>
        <w:t xml:space="preserve"> in individuals and populations</w:t>
      </w:r>
      <w:r w:rsidRPr="008A2FBD">
        <w:t>. World Health Organization.</w:t>
      </w:r>
    </w:p>
    <w:p w14:paraId="245BDE53" w14:textId="77777777" w:rsidR="00B24C34" w:rsidRPr="008A2FBD" w:rsidRDefault="00B24C34" w:rsidP="00B24C34">
      <w:pPr>
        <w:spacing w:before="240" w:line="259" w:lineRule="auto"/>
        <w:ind w:left="851" w:hanging="851"/>
        <w:jc w:val="both"/>
      </w:pPr>
      <w:r w:rsidRPr="008A2FBD">
        <w:t xml:space="preserve">World Health Organization. (2025, February 10). </w:t>
      </w:r>
      <w:proofErr w:type="spellStart"/>
      <w:r w:rsidRPr="008A2FBD">
        <w:rPr>
          <w:i/>
          <w:iCs/>
        </w:rPr>
        <w:t>Anaemia</w:t>
      </w:r>
      <w:proofErr w:type="spellEnd"/>
      <w:r w:rsidRPr="008A2FBD">
        <w:t xml:space="preserve">. </w:t>
      </w:r>
      <w:hyperlink r:id="rId37" w:tgtFrame="_new" w:history="1">
        <w:r w:rsidRPr="008A2FBD">
          <w:rPr>
            <w:rStyle w:val="Hyperlink"/>
          </w:rPr>
          <w:t>https://www.who.int/news-room/fact-sheets/detail/anaemia</w:t>
        </w:r>
      </w:hyperlink>
    </w:p>
    <w:p w14:paraId="736CDF0E" w14:textId="77777777" w:rsidR="00B24C34" w:rsidRPr="008A2FBD" w:rsidRDefault="00B24C34" w:rsidP="00B24C34">
      <w:pPr>
        <w:spacing w:before="240" w:line="259" w:lineRule="auto"/>
        <w:ind w:left="851" w:hanging="851"/>
        <w:jc w:val="both"/>
      </w:pPr>
      <w:r w:rsidRPr="008A2FBD">
        <w:t>Yang, J., Li, Q., Feng, Y., &amp; Zeng, Y. (2023). Iron Deficiency and Iron Deficiency Anemia: Potential Risk Factors in Bone Loss. </w:t>
      </w:r>
      <w:r w:rsidRPr="008A2FBD">
        <w:rPr>
          <w:i/>
          <w:iCs/>
        </w:rPr>
        <w:t>International Journal of Molecular Sciences</w:t>
      </w:r>
      <w:r w:rsidRPr="008A2FBD">
        <w:t>, </w:t>
      </w:r>
      <w:r w:rsidRPr="008A2FBD">
        <w:rPr>
          <w:i/>
          <w:iCs/>
        </w:rPr>
        <w:t>24</w:t>
      </w:r>
      <w:r w:rsidRPr="008A2FBD">
        <w:t xml:space="preserve">(8), 6891. </w:t>
      </w:r>
      <w:hyperlink r:id="rId38" w:history="1">
        <w:r w:rsidRPr="008A2FBD">
          <w:rPr>
            <w:rStyle w:val="Hyperlink"/>
          </w:rPr>
          <w:t>https://doi.org/10.3390/ijms24086891</w:t>
        </w:r>
      </w:hyperlink>
    </w:p>
    <w:p w14:paraId="32B6122D" w14:textId="77777777" w:rsidR="00B24C34" w:rsidRPr="008A2FBD" w:rsidRDefault="00B24C34" w:rsidP="00B24C34">
      <w:pPr>
        <w:spacing w:before="240" w:line="259" w:lineRule="auto"/>
        <w:ind w:left="851" w:hanging="851"/>
        <w:jc w:val="both"/>
      </w:pPr>
      <w:r w:rsidRPr="008A2FBD">
        <w:t xml:space="preserve">Yeboah, F. A., </w:t>
      </w:r>
      <w:proofErr w:type="spellStart"/>
      <w:r w:rsidRPr="008A2FBD">
        <w:t>Bioh</w:t>
      </w:r>
      <w:proofErr w:type="spellEnd"/>
      <w:r w:rsidRPr="008A2FBD">
        <w:t xml:space="preserve">, J., </w:t>
      </w:r>
      <w:proofErr w:type="spellStart"/>
      <w:r w:rsidRPr="008A2FBD">
        <w:t>Amoani</w:t>
      </w:r>
      <w:proofErr w:type="spellEnd"/>
      <w:r w:rsidRPr="008A2FBD">
        <w:t xml:space="preserve">, B., </w:t>
      </w:r>
      <w:proofErr w:type="spellStart"/>
      <w:r w:rsidRPr="008A2FBD">
        <w:t>Effah</w:t>
      </w:r>
      <w:proofErr w:type="spellEnd"/>
      <w:r w:rsidRPr="008A2FBD">
        <w:t xml:space="preserve">, A., </w:t>
      </w:r>
      <w:proofErr w:type="spellStart"/>
      <w:r w:rsidRPr="008A2FBD">
        <w:t>Senu</w:t>
      </w:r>
      <w:proofErr w:type="spellEnd"/>
      <w:r w:rsidRPr="008A2FBD">
        <w:t>, E., Mensah, O. S. O., ... &amp; Sakyi, S. A. (2024). Iron deficiency anemia and its association with cognitive function among adolescents in the Ashanti Region-Ghana. </w:t>
      </w:r>
      <w:r w:rsidRPr="008A2FBD">
        <w:rPr>
          <w:i/>
          <w:iCs/>
        </w:rPr>
        <w:t>BMC public health</w:t>
      </w:r>
      <w:r w:rsidRPr="008A2FBD">
        <w:t>, </w:t>
      </w:r>
      <w:r w:rsidRPr="008A2FBD">
        <w:rPr>
          <w:i/>
          <w:iCs/>
        </w:rPr>
        <w:t>24</w:t>
      </w:r>
      <w:r w:rsidRPr="008A2FBD">
        <w:t xml:space="preserve">(1), 3209. </w:t>
      </w:r>
      <w:hyperlink r:id="rId39" w:history="1">
        <w:r w:rsidRPr="008A2FBD">
          <w:rPr>
            <w:rStyle w:val="Hyperlink"/>
          </w:rPr>
          <w:t>https://doi.org/10.1186/s12889-024-20640-4</w:t>
        </w:r>
      </w:hyperlink>
      <w:r w:rsidRPr="008A2FBD">
        <w:t xml:space="preserve"> </w:t>
      </w:r>
    </w:p>
    <w:p w14:paraId="0DE40604" w14:textId="77777777" w:rsidR="00B24C34" w:rsidRPr="008A2FBD" w:rsidRDefault="00B24C34" w:rsidP="00B24C34">
      <w:pPr>
        <w:spacing w:before="240" w:line="259" w:lineRule="auto"/>
        <w:ind w:left="851" w:hanging="851"/>
        <w:jc w:val="both"/>
      </w:pPr>
      <w:r w:rsidRPr="008A2FBD">
        <w:lastRenderedPageBreak/>
        <w:t xml:space="preserve">Zegeye, A. F., </w:t>
      </w:r>
      <w:proofErr w:type="spellStart"/>
      <w:r w:rsidRPr="008A2FBD">
        <w:t>Wassie</w:t>
      </w:r>
      <w:proofErr w:type="spellEnd"/>
      <w:r w:rsidRPr="008A2FBD">
        <w:t xml:space="preserve">, M., Tamir, T. T., </w:t>
      </w:r>
      <w:proofErr w:type="spellStart"/>
      <w:r w:rsidRPr="008A2FBD">
        <w:t>Tekeba</w:t>
      </w:r>
      <w:proofErr w:type="spellEnd"/>
      <w:r w:rsidRPr="008A2FBD">
        <w:t xml:space="preserve">, B., Mekonen, E. G., Zeleke, G. A., &amp; </w:t>
      </w:r>
      <w:proofErr w:type="spellStart"/>
      <w:r w:rsidRPr="008A2FBD">
        <w:t>Gebrehana</w:t>
      </w:r>
      <w:proofErr w:type="spellEnd"/>
      <w:r w:rsidRPr="008A2FBD">
        <w:t>, D. A. (2025). Malaria-anemia comorbidity and its determinants among pregnant women in high- and moderate-malaria-risk countries in Sub-Saharan Africa. </w:t>
      </w:r>
      <w:r w:rsidRPr="008A2FBD">
        <w:rPr>
          <w:i/>
          <w:iCs/>
        </w:rPr>
        <w:t>Infectious diseases of poverty</w:t>
      </w:r>
      <w:r w:rsidRPr="008A2FBD">
        <w:t>, </w:t>
      </w:r>
      <w:r w:rsidRPr="008A2FBD">
        <w:rPr>
          <w:i/>
          <w:iCs/>
        </w:rPr>
        <w:t>14</w:t>
      </w:r>
      <w:r w:rsidRPr="008A2FBD">
        <w:t xml:space="preserve">(1), 86. </w:t>
      </w:r>
      <w:hyperlink r:id="rId40" w:history="1">
        <w:r w:rsidRPr="008A2FBD">
          <w:rPr>
            <w:rStyle w:val="Hyperlink"/>
          </w:rPr>
          <w:t>https://doi.org/10.1186/s40249-025-01357-x</w:t>
        </w:r>
      </w:hyperlink>
    </w:p>
    <w:p w14:paraId="7FC78DBB" w14:textId="77777777" w:rsidR="00B24C34" w:rsidRPr="008A2FBD" w:rsidRDefault="00B24C34" w:rsidP="00B24C34">
      <w:pPr>
        <w:spacing w:before="240" w:line="259" w:lineRule="auto"/>
        <w:rPr>
          <w:iCs/>
        </w:rPr>
      </w:pPr>
    </w:p>
    <w:p w14:paraId="475A6969" w14:textId="77777777" w:rsidR="00B24C34" w:rsidRPr="00FB3A86" w:rsidRDefault="00B24C34" w:rsidP="00441B6F">
      <w:pPr>
        <w:pStyle w:val="Body"/>
        <w:spacing w:after="0"/>
        <w:rPr>
          <w:rFonts w:ascii="Arial" w:hAnsi="Arial" w:cs="Arial"/>
        </w:rPr>
      </w:pPr>
    </w:p>
    <w:p w14:paraId="4DBFF28B" w14:textId="77777777" w:rsidR="00B24C34" w:rsidRPr="00FB3A86" w:rsidRDefault="00B24C34" w:rsidP="00441B6F">
      <w:pPr>
        <w:pStyle w:val="AbstHead"/>
        <w:spacing w:after="0"/>
        <w:jc w:val="both"/>
        <w:rPr>
          <w:rFonts w:ascii="Arial" w:hAnsi="Arial" w:cs="Arial"/>
        </w:rPr>
      </w:pPr>
    </w:p>
    <w:sectPr w:rsidR="00B24C34" w:rsidRPr="00FB3A86" w:rsidSect="005266B5">
      <w:type w:val="continuous"/>
      <w:pgSz w:w="12240" w:h="15840"/>
      <w:pgMar w:top="1440" w:right="1041"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DBB97" w14:textId="77777777" w:rsidR="00FB6A99" w:rsidRDefault="00FB6A99" w:rsidP="00C37E61">
      <w:r>
        <w:separator/>
      </w:r>
    </w:p>
  </w:endnote>
  <w:endnote w:type="continuationSeparator" w:id="0">
    <w:p w14:paraId="4E9503B9" w14:textId="77777777" w:rsidR="00FB6A99" w:rsidRDefault="00FB6A99"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C184" w14:textId="77777777" w:rsidR="005266B5" w:rsidRDefault="00526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24FD" w14:textId="2C955CFD" w:rsidR="00C37E61" w:rsidRPr="0065152A" w:rsidRDefault="007B3490" w:rsidP="0065152A">
    <w:pPr>
      <w:pStyle w:val="Footer"/>
    </w:pPr>
    <w:r w:rsidRPr="0065152A">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0A60" w14:textId="11D5459D" w:rsidR="00754C9A" w:rsidRPr="005266B5" w:rsidRDefault="00754C9A" w:rsidP="00526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A2980" w14:textId="77777777" w:rsidR="00FB6A99" w:rsidRDefault="00FB6A99" w:rsidP="00C37E61">
      <w:r>
        <w:separator/>
      </w:r>
    </w:p>
  </w:footnote>
  <w:footnote w:type="continuationSeparator" w:id="0">
    <w:p w14:paraId="4569C6B3" w14:textId="77777777" w:rsidR="00FB6A99" w:rsidRDefault="00FB6A99"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E2E7" w14:textId="58085942" w:rsidR="005266B5" w:rsidRDefault="005266B5">
    <w:pPr>
      <w:pStyle w:val="Header"/>
    </w:pPr>
    <w:r>
      <w:rPr>
        <w:noProof/>
      </w:rPr>
      <w:pict w14:anchorId="0F981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771829" o:spid="_x0000_s1026" type="#_x0000_t136" style="position:absolute;margin-left:0;margin-top:0;width:582.65pt;height:64.7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2764" w14:textId="644A4F68" w:rsidR="005266B5" w:rsidRDefault="005266B5">
    <w:pPr>
      <w:pStyle w:val="Header"/>
    </w:pPr>
    <w:r>
      <w:rPr>
        <w:noProof/>
      </w:rPr>
      <w:pict w14:anchorId="1C1EC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771830" o:spid="_x0000_s1027" type="#_x0000_t136" style="position:absolute;margin-left:0;margin-top:0;width:582.65pt;height:64.7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7E93" w14:textId="0D76518A" w:rsidR="00296529" w:rsidRPr="00296529" w:rsidRDefault="005266B5" w:rsidP="00296529">
    <w:pPr>
      <w:ind w:left="2160"/>
      <w:jc w:val="center"/>
      <w:rPr>
        <w:rFonts w:ascii="Times New Roman" w:eastAsia="Calibri" w:hAnsi="Times New Roman"/>
        <w:i/>
        <w:sz w:val="18"/>
        <w:szCs w:val="22"/>
      </w:rPr>
    </w:pPr>
    <w:r>
      <w:rPr>
        <w:noProof/>
      </w:rPr>
      <w:pict w14:anchorId="512ED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771828" o:spid="_x0000_s1025" type="#_x0000_t136" style="position:absolute;left:0;text-align:left;margin-left:0;margin-top:0;width:582.65pt;height:64.7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320D0E6"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7CFAFF5D"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4237DA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0978A98"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0AC9B6B"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8D34C89"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A1DB4"/>
    <w:multiLevelType w:val="multilevel"/>
    <w:tmpl w:val="7F38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9E3660E"/>
    <w:multiLevelType w:val="multilevel"/>
    <w:tmpl w:val="D5D4C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26518697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10208050">
    <w:abstractNumId w:val="17"/>
  </w:num>
  <w:num w:numId="3" w16cid:durableId="798762034">
    <w:abstractNumId w:val="25"/>
  </w:num>
  <w:num w:numId="4" w16cid:durableId="119866576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69798953">
    <w:abstractNumId w:val="8"/>
  </w:num>
  <w:num w:numId="6" w16cid:durableId="726614291">
    <w:abstractNumId w:val="7"/>
  </w:num>
  <w:num w:numId="7" w16cid:durableId="1354333941">
    <w:abstractNumId w:val="2"/>
  </w:num>
  <w:num w:numId="8" w16cid:durableId="953901980">
    <w:abstractNumId w:val="13"/>
  </w:num>
  <w:num w:numId="9" w16cid:durableId="1145046171">
    <w:abstractNumId w:val="27"/>
  </w:num>
  <w:num w:numId="10" w16cid:durableId="317922413">
    <w:abstractNumId w:val="3"/>
  </w:num>
  <w:num w:numId="11" w16cid:durableId="1537693375">
    <w:abstractNumId w:val="20"/>
  </w:num>
  <w:num w:numId="12" w16cid:durableId="513807237">
    <w:abstractNumId w:val="4"/>
  </w:num>
  <w:num w:numId="13" w16cid:durableId="1441799776">
    <w:abstractNumId w:val="19"/>
  </w:num>
  <w:num w:numId="14" w16cid:durableId="1609661338">
    <w:abstractNumId w:val="9"/>
  </w:num>
  <w:num w:numId="15" w16cid:durableId="51971981">
    <w:abstractNumId w:val="23"/>
  </w:num>
  <w:num w:numId="16" w16cid:durableId="263615415">
    <w:abstractNumId w:val="6"/>
  </w:num>
  <w:num w:numId="17" w16cid:durableId="1665933822">
    <w:abstractNumId w:val="24"/>
  </w:num>
  <w:num w:numId="18" w16cid:durableId="837767162">
    <w:abstractNumId w:val="15"/>
  </w:num>
  <w:num w:numId="19" w16cid:durableId="1854876873">
    <w:abstractNumId w:val="30"/>
  </w:num>
  <w:num w:numId="20" w16cid:durableId="552692053">
    <w:abstractNumId w:val="12"/>
  </w:num>
  <w:num w:numId="21" w16cid:durableId="283776764">
    <w:abstractNumId w:val="10"/>
  </w:num>
  <w:num w:numId="22" w16cid:durableId="1110471117">
    <w:abstractNumId w:val="14"/>
  </w:num>
  <w:num w:numId="23" w16cid:durableId="845368992">
    <w:abstractNumId w:val="21"/>
  </w:num>
  <w:num w:numId="24" w16cid:durableId="232743399">
    <w:abstractNumId w:val="28"/>
  </w:num>
  <w:num w:numId="25" w16cid:durableId="676612026">
    <w:abstractNumId w:val="5"/>
  </w:num>
  <w:num w:numId="26" w16cid:durableId="1706979110">
    <w:abstractNumId w:val="18"/>
  </w:num>
  <w:num w:numId="27" w16cid:durableId="47193953">
    <w:abstractNumId w:val="22"/>
  </w:num>
  <w:num w:numId="28" w16cid:durableId="843276688">
    <w:abstractNumId w:val="29"/>
  </w:num>
  <w:num w:numId="29" w16cid:durableId="1687829240">
    <w:abstractNumId w:val="26"/>
  </w:num>
  <w:num w:numId="30" w16cid:durableId="856698706">
    <w:abstractNumId w:val="11"/>
  </w:num>
  <w:num w:numId="31" w16cid:durableId="221329351">
    <w:abstractNumId w:val="16"/>
  </w:num>
  <w:num w:numId="32" w16cid:durableId="1201866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D42FA"/>
    <w:rsid w:val="000D689F"/>
    <w:rsid w:val="000E7B7B"/>
    <w:rsid w:val="000E7D62"/>
    <w:rsid w:val="00103357"/>
    <w:rsid w:val="00123C9F"/>
    <w:rsid w:val="00126190"/>
    <w:rsid w:val="00130F17"/>
    <w:rsid w:val="001320BF"/>
    <w:rsid w:val="0015130E"/>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75CC4"/>
    <w:rsid w:val="00283105"/>
    <w:rsid w:val="00284C4C"/>
    <w:rsid w:val="00287E68"/>
    <w:rsid w:val="00296529"/>
    <w:rsid w:val="002B27FB"/>
    <w:rsid w:val="002B685A"/>
    <w:rsid w:val="002C57D2"/>
    <w:rsid w:val="002E0D56"/>
    <w:rsid w:val="00315186"/>
    <w:rsid w:val="0033343E"/>
    <w:rsid w:val="003512C2"/>
    <w:rsid w:val="00371FB6"/>
    <w:rsid w:val="003763C1"/>
    <w:rsid w:val="00376BBE"/>
    <w:rsid w:val="003873DB"/>
    <w:rsid w:val="0039224F"/>
    <w:rsid w:val="003A43A4"/>
    <w:rsid w:val="003A7E18"/>
    <w:rsid w:val="003C4C86"/>
    <w:rsid w:val="003C6258"/>
    <w:rsid w:val="003C69B5"/>
    <w:rsid w:val="003E2904"/>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266B5"/>
    <w:rsid w:val="0053056E"/>
    <w:rsid w:val="00554FDA"/>
    <w:rsid w:val="005C784C"/>
    <w:rsid w:val="005D17F6"/>
    <w:rsid w:val="005E5539"/>
    <w:rsid w:val="00602BF5"/>
    <w:rsid w:val="00617FDD"/>
    <w:rsid w:val="00633614"/>
    <w:rsid w:val="00633F68"/>
    <w:rsid w:val="00636EB2"/>
    <w:rsid w:val="006375B8"/>
    <w:rsid w:val="0065152A"/>
    <w:rsid w:val="0066510A"/>
    <w:rsid w:val="00673F9F"/>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4E4B"/>
    <w:rsid w:val="0077749E"/>
    <w:rsid w:val="00790ADA"/>
    <w:rsid w:val="007B3490"/>
    <w:rsid w:val="007D2288"/>
    <w:rsid w:val="007E088F"/>
    <w:rsid w:val="007F7B32"/>
    <w:rsid w:val="00804BC2"/>
    <w:rsid w:val="0081431A"/>
    <w:rsid w:val="00825462"/>
    <w:rsid w:val="0083216F"/>
    <w:rsid w:val="00860000"/>
    <w:rsid w:val="00863BD3"/>
    <w:rsid w:val="008641ED"/>
    <w:rsid w:val="00866642"/>
    <w:rsid w:val="00866D66"/>
    <w:rsid w:val="008671C6"/>
    <w:rsid w:val="00875803"/>
    <w:rsid w:val="008B459E"/>
    <w:rsid w:val="008E13AE"/>
    <w:rsid w:val="008E1506"/>
    <w:rsid w:val="008E710C"/>
    <w:rsid w:val="008F69D6"/>
    <w:rsid w:val="00902823"/>
    <w:rsid w:val="00915CA6"/>
    <w:rsid w:val="00927834"/>
    <w:rsid w:val="009500A6"/>
    <w:rsid w:val="00955CFA"/>
    <w:rsid w:val="00957C18"/>
    <w:rsid w:val="009659BA"/>
    <w:rsid w:val="00983040"/>
    <w:rsid w:val="00990005"/>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62F7F"/>
    <w:rsid w:val="00A94063"/>
    <w:rsid w:val="00AA6219"/>
    <w:rsid w:val="00AA74E0"/>
    <w:rsid w:val="00AB703F"/>
    <w:rsid w:val="00AC6BB8"/>
    <w:rsid w:val="00AE008F"/>
    <w:rsid w:val="00B01FCD"/>
    <w:rsid w:val="00B1776C"/>
    <w:rsid w:val="00B24C34"/>
    <w:rsid w:val="00B52583"/>
    <w:rsid w:val="00B52896"/>
    <w:rsid w:val="00B9314D"/>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A0C0A"/>
    <w:rsid w:val="00FB3A86"/>
    <w:rsid w:val="00FB6A99"/>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1951C"/>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table" w:styleId="PlainTable2">
    <w:name w:val="Plain Table 2"/>
    <w:basedOn w:val="TableNormal"/>
    <w:uiPriority w:val="42"/>
    <w:rsid w:val="00B24C34"/>
    <w:rPr>
      <w:rFonts w:asciiTheme="minorHAnsi" w:eastAsiaTheme="minorHAnsi" w:hAnsiTheme="minorHAnsi" w:cstheme="minorBidi"/>
      <w:kern w:val="2"/>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88192910">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03142031">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4081/jphia.2023.2224" TargetMode="External"/><Relationship Id="rId26" Type="http://schemas.openxmlformats.org/officeDocument/2006/relationships/hyperlink" Target="https://doi.org/10.2174/1573396320666230727102042" TargetMode="External"/><Relationship Id="rId39" Type="http://schemas.openxmlformats.org/officeDocument/2006/relationships/hyperlink" Target="https://doi.org/10.1186/s12889-024-20640-4" TargetMode="External"/><Relationship Id="rId21" Type="http://schemas.openxmlformats.org/officeDocument/2006/relationships/hyperlink" Target="https://doi.org/10.1053/j.seminhematol.2015.07.006" TargetMode="External"/><Relationship Id="rId34" Type="http://schemas.openxmlformats.org/officeDocument/2006/relationships/hyperlink" Target="https://doi.org/10.3390/nu14010224"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jnrc.com/index.php/emjn/article/view/194" TargetMode="External"/><Relationship Id="rId20" Type="http://schemas.openxmlformats.org/officeDocument/2006/relationships/hyperlink" Target="https://doi.org/10.1590/1806-9282.2023S112" TargetMode="External"/><Relationship Id="rId29" Type="http://schemas.openxmlformats.org/officeDocument/2006/relationships/hyperlink" Target="https://doi.org/10.1097/MD.000000000004766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389/fgwh.2026.1793809" TargetMode="External"/><Relationship Id="rId32" Type="http://schemas.openxmlformats.org/officeDocument/2006/relationships/hyperlink" Target="https://doi.org/10.51851/jmis.v11i1.1013" TargetMode="External"/><Relationship Id="rId37" Type="http://schemas.openxmlformats.org/officeDocument/2006/relationships/hyperlink" Target="https://www.who.int/news-room/fact-sheets/detail/anaemia" TargetMode="External"/><Relationship Id="rId40" Type="http://schemas.openxmlformats.org/officeDocument/2006/relationships/hyperlink" Target="https://doi.org/10.1186/s40249-025-01357-x" TargetMode="External"/><Relationship Id="rId5" Type="http://schemas.openxmlformats.org/officeDocument/2006/relationships/webSettings" Target="webSettings.xml"/><Relationship Id="rId15" Type="http://schemas.openxmlformats.org/officeDocument/2006/relationships/hyperlink" Target="https://doi.org/10.55735/qybbh562" TargetMode="External"/><Relationship Id="rId23" Type="http://schemas.openxmlformats.org/officeDocument/2006/relationships/hyperlink" Target="https://doi.org/10.1002%2F14651858.CD006589.pub5" TargetMode="External"/><Relationship Id="rId28" Type="http://schemas.openxmlformats.org/officeDocument/2006/relationships/hyperlink" Target="https://doi.org/10.52417/ojmr.v7i1.1134" TargetMode="External"/><Relationship Id="rId36" Type="http://schemas.openxmlformats.org/officeDocument/2006/relationships/hyperlink" Target="https://doi.org/10.1186/s12936-018-2509-9" TargetMode="External"/><Relationship Id="rId10" Type="http://schemas.openxmlformats.org/officeDocument/2006/relationships/footer" Target="footer1.xml"/><Relationship Id="rId19" Type="http://schemas.openxmlformats.org/officeDocument/2006/relationships/hyperlink" Target="https://doi.org/10.1186/s12884-023-06169-1" TargetMode="External"/><Relationship Id="rId31" Type="http://schemas.openxmlformats.org/officeDocument/2006/relationships/hyperlink" Target="https://doi.org/10.3390/nu1507164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36/bmjopen-2022-061666" TargetMode="External"/><Relationship Id="rId22" Type="http://schemas.openxmlformats.org/officeDocument/2006/relationships/hyperlink" Target="https://ecronicon.net/assets/ecpt/pdf/ECPT-10-00688.pdf" TargetMode="External"/><Relationship Id="rId27" Type="http://schemas.openxmlformats.org/officeDocument/2006/relationships/hyperlink" Target="https://doi.org/10.1186/s40834-024-00275-x" TargetMode="External"/><Relationship Id="rId30" Type="http://schemas.openxmlformats.org/officeDocument/2006/relationships/hyperlink" Target="https://doi.org/10.1177/1941406413475661" TargetMode="External"/><Relationship Id="rId35" Type="http://schemas.openxmlformats.org/officeDocument/2006/relationships/hyperlink" Target="https://doi.org/10.1038/s41598-024-53467-5"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1186/s40795-026-01297-1" TargetMode="External"/><Relationship Id="rId25" Type="http://schemas.openxmlformats.org/officeDocument/2006/relationships/hyperlink" Target="https://doi.org/10.69667/lmj.26602" TargetMode="External"/><Relationship Id="rId33" Type="http://schemas.openxmlformats.org/officeDocument/2006/relationships/hyperlink" Target="https://doi.org/10.70102/IJARES/V6S2/6-S2-571" TargetMode="External"/><Relationship Id="rId38" Type="http://schemas.openxmlformats.org/officeDocument/2006/relationships/hyperlink" Target="https://doi.org/10.3390/ijms240868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10B8E-0333-4980-8D96-F39653B6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8</TotalTime>
  <Pages>19</Pages>
  <Words>8060</Words>
  <Characters>45947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53900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7</cp:revision>
  <cp:lastPrinted>1999-07-06T11:00:00Z</cp:lastPrinted>
  <dcterms:created xsi:type="dcterms:W3CDTF">2026-07-20T14:14:00Z</dcterms:created>
  <dcterms:modified xsi:type="dcterms:W3CDTF">2026-07-21T08:00:00Z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acef4a0b-e5c3-4a85-a7a3-3a72e426286e</vt:lpwstr>
  </property>
</Properties>
</file>