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BBBB6" w14:textId="77777777" w:rsidR="008721B8" w:rsidRDefault="008B314A">
      <w:pPr>
        <w:spacing w:after="320" w:line="360" w:lineRule="auto"/>
        <w:jc w:val="center"/>
        <w:rPr>
          <w:b/>
          <w:bCs/>
          <w:sz w:val="30"/>
          <w:szCs w:val="30"/>
        </w:rPr>
      </w:pPr>
      <w:r>
        <w:rPr>
          <w:b/>
          <w:bCs/>
          <w:sz w:val="30"/>
          <w:szCs w:val="30"/>
        </w:rPr>
        <w:t>Phased Financing, Project Governance and Project Sustainability in Donor-Funded Non-Governmental Organisations: A Critical Desk Review of the Kenyan Evidence</w:t>
      </w:r>
    </w:p>
    <w:p w14:paraId="479BA36A" w14:textId="77777777" w:rsidR="00DA4FE1" w:rsidRDefault="00DA4FE1">
      <w:pPr>
        <w:spacing w:after="320" w:line="360" w:lineRule="auto"/>
        <w:jc w:val="center"/>
      </w:pPr>
    </w:p>
    <w:p w14:paraId="022D371F" w14:textId="77777777" w:rsidR="008721B8" w:rsidRDefault="008B314A">
      <w:pPr>
        <w:pStyle w:val="Heading1"/>
        <w:spacing w:before="280" w:after="160"/>
      </w:pPr>
      <w:r>
        <w:rPr>
          <w:b/>
          <w:bCs/>
          <w:color w:val="000000"/>
          <w:sz w:val="24"/>
          <w:szCs w:val="24"/>
        </w:rPr>
        <w:t>Abstract</w:t>
      </w:r>
    </w:p>
    <w:p w14:paraId="1BA8595C" w14:textId="77777777" w:rsidR="008721B8" w:rsidRDefault="008B314A">
      <w:pPr>
        <w:spacing w:after="160" w:line="360" w:lineRule="auto"/>
        <w:jc w:val="both"/>
      </w:pPr>
      <w:r>
        <w:rPr>
          <w:sz w:val="22"/>
          <w:szCs w:val="22"/>
        </w:rPr>
        <w:t>Donor-funded non-governmental organisations in Kenya operate under financing arrangements that are almost universally phased: grants are divided into tranches, disbursement is tied to milestones, reporting cycles and expenditure verification, and continuation beyond an initial period is contingent rather than assured. The consequences of this architecture for how projects are governed and for whether their benefits persist after external funding ends have been examined in scattered literatures that rarely speak to one another. This critical narrative review draws together evidence from project governance research, nonprofit financial management, aid effectiveness economics, and health and water systems research in order to assess what can defensibly be claimed about the relationship between phased financing, project governance and project sustainability in the Kenyan non-governmental sector, and what remains unresolved. Literature was identified through bibliographic and full-text scholarly indexes and citation tracing, with a search period extending from 1998 to 9 June 2026, supplemented by foundational earlier work. The synthesis identifies four persistent problems. Definitions of sustainability remain unstable, so that continuation of an organisation, of a service and of a benefit stream are frequently conflated. The mechanisms through which tranche-based disbursement shapes governance behaviour are theorised in several incompatible ways, and the empirical literature seldom tests between them. Evidence that revenue diversification protects organisational survival is inconsistent, and the sub-Saharan findings diverge from the aggregate pattern reported in meta-analytic work. The Kenyan evidence base is dominated by small cross-sectional survey studies with weak measurement of both governance and sustainability, published largely outside indexed scholarly channels, which limits what can be concluded about causal direction. The review argues that phased financing is best understood not as a single instrument but as a family of contracting arrangements whose governance effects depend on the length of the horizon signalled, the reversibility of the funding decision, and the degree to which control rights are shared. Research priorities are set out that emphasise longitudinal designs, measurement of post-funding benefit persistence rather than organisational survival, and the study of governance as an observable practice rather than a self-reported attribute.</w:t>
      </w:r>
    </w:p>
    <w:p w14:paraId="2478E1A3" w14:textId="77777777" w:rsidR="008721B8" w:rsidRDefault="008B314A">
      <w:pPr>
        <w:pStyle w:val="Heading1"/>
        <w:spacing w:before="280" w:after="160"/>
      </w:pPr>
      <w:r>
        <w:rPr>
          <w:b/>
          <w:bCs/>
          <w:color w:val="000000"/>
          <w:sz w:val="24"/>
          <w:szCs w:val="24"/>
        </w:rPr>
        <w:t>Keywords</w:t>
      </w:r>
    </w:p>
    <w:p w14:paraId="4C74F212" w14:textId="77777777" w:rsidR="008721B8" w:rsidRDefault="008B314A">
      <w:pPr>
        <w:spacing w:after="160" w:line="360" w:lineRule="auto"/>
        <w:jc w:val="both"/>
      </w:pPr>
      <w:r>
        <w:rPr>
          <w:sz w:val="22"/>
          <w:szCs w:val="22"/>
        </w:rPr>
        <w:t>aid transition; donor dependence; non-governmental organisations; project governance; project sustainability; resource dependence; tranche-based disbursement; Kenya</w:t>
      </w:r>
    </w:p>
    <w:p w14:paraId="3D777DCC" w14:textId="77777777" w:rsidR="008721B8" w:rsidRDefault="008B314A">
      <w:pPr>
        <w:pStyle w:val="Heading1"/>
        <w:spacing w:before="280" w:after="160"/>
      </w:pPr>
      <w:r>
        <w:rPr>
          <w:b/>
          <w:bCs/>
          <w:color w:val="000000"/>
          <w:sz w:val="24"/>
          <w:szCs w:val="24"/>
        </w:rPr>
        <w:lastRenderedPageBreak/>
        <w:t>1. Introduction</w:t>
      </w:r>
    </w:p>
    <w:p w14:paraId="2C21CC1C" w14:textId="77777777" w:rsidR="008721B8" w:rsidRDefault="008B314A">
      <w:pPr>
        <w:spacing w:after="160" w:line="360" w:lineRule="auto"/>
        <w:jc w:val="both"/>
      </w:pPr>
      <w:r>
        <w:rPr>
          <w:sz w:val="22"/>
          <w:szCs w:val="22"/>
        </w:rPr>
        <w:t>Non-governmental organisations deliver a substantial share of health, water, education, agricultural extension and social protection services across sub-Saharan Africa, and in Kenya they are woven into service delivery arrangements at both national and county level. The resources that sustain this work originate largely outside the country and arrive through instruments that are, almost without exception, time-bound and conditional. A grant agreement typically specifies a project period, an approved budget, a disbursement schedule keyed to reporting or verification events, and a set of conditions whose satisfaction determines whether the next payment is released. Continuation beyond the agreed period is a separate decision, taken by the funder, on criteria that the implementing organisation only partly controls. This arrangement is so ordinary that it is rarely examined as an object of analysis in its own right, yet it structures almost everything about how projects are planned, staffed, governed and wound down.</w:t>
      </w:r>
    </w:p>
    <w:p w14:paraId="27A00F36" w14:textId="77777777" w:rsidR="008721B8" w:rsidRDefault="008B314A">
      <w:pPr>
        <w:spacing w:after="160" w:line="360" w:lineRule="auto"/>
        <w:jc w:val="both"/>
      </w:pPr>
      <w:r>
        <w:rPr>
          <w:sz w:val="22"/>
          <w:szCs w:val="22"/>
        </w:rPr>
        <w:t>The term used here for this arrangement is phased financing. It denotes the division of a funding commitment into sequential increments whose release depends on the satisfaction of prior conditions, and it encompasses tranche-based disbursement within a single agreement, bridge or extension funding between agreements, staged scale-up from pilot to expansion, and formal graduation or transition arrangements in which external support is progressively replaced by domestic resources. These instruments differ in important ways, and the review returns to that heterogeneity, but they share a common structure: the funder retains an option to discontinue, and the recipient must act under uncertainty about whether the option will be exercised.</w:t>
      </w:r>
    </w:p>
    <w:p w14:paraId="42745792" w14:textId="77777777" w:rsidR="008721B8" w:rsidRDefault="008B314A">
      <w:pPr>
        <w:spacing w:after="160" w:line="360" w:lineRule="auto"/>
        <w:jc w:val="both"/>
      </w:pPr>
      <w:r>
        <w:rPr>
          <w:sz w:val="22"/>
          <w:szCs w:val="22"/>
        </w:rPr>
        <w:t xml:space="preserve">The consequences of acting under that uncertainty have been studied, but in disconnected literatures. Aid effectiveness economics has shown that unpredictable disbursement imposes real costs on recipients, degrading planning and, on some evidence, the quality of governance institutions themselves (Hudson, 2015; </w:t>
      </w:r>
      <w:proofErr w:type="spellStart"/>
      <w:r>
        <w:rPr>
          <w:sz w:val="22"/>
          <w:szCs w:val="22"/>
        </w:rPr>
        <w:t>Kangoye</w:t>
      </w:r>
      <w:proofErr w:type="spellEnd"/>
      <w:r>
        <w:rPr>
          <w:sz w:val="22"/>
          <w:szCs w:val="22"/>
        </w:rPr>
        <w:t>, 2013). Nonprofit management scholarship has examined how organisations dependent on a small number of external funders adapt their programmes, their structures and their advocacy positions to funder preferences (</w:t>
      </w:r>
      <w:proofErr w:type="spellStart"/>
      <w:r>
        <w:rPr>
          <w:sz w:val="22"/>
          <w:szCs w:val="22"/>
        </w:rPr>
        <w:t>AbouAssi</w:t>
      </w:r>
      <w:proofErr w:type="spellEnd"/>
      <w:r>
        <w:rPr>
          <w:sz w:val="22"/>
          <w:szCs w:val="22"/>
        </w:rPr>
        <w:t>, 2013, 2014; Froelich, 1999). Project management research has developed an account of project governance as the structures, processes and norms through which sponsors exercise control over temporary organisations, and has applied that account to international development projects with mixed results (Derakhshan et al., 2019; Ika et al., 2020; Müller et al., 2016). Public health research has produced a substantial literature on programme sustainability, its determinants and its measurement, much of it prompted by the recognition that large vertical disease programmes eventually end (Scheirer &amp; Dearing, 2011; Shediac-Rizkallah &amp; Bone, 1998). Each of these literatures addresses part of the problem. None of them addresses the interaction, and the terminology they use is not commensurable.</w:t>
      </w:r>
    </w:p>
    <w:p w14:paraId="0450446C" w14:textId="77777777" w:rsidR="008721B8" w:rsidRDefault="008B314A">
      <w:pPr>
        <w:spacing w:after="160" w:line="360" w:lineRule="auto"/>
        <w:jc w:val="both"/>
      </w:pPr>
      <w:r>
        <w:rPr>
          <w:sz w:val="22"/>
          <w:szCs w:val="22"/>
        </w:rPr>
        <w:lastRenderedPageBreak/>
        <w:t>Three features of the current moment make the interaction more consequential than it was. The first is the contraction and reconfiguration of official development assistance. Abrupt reductions in bilateral health financing during 2025 removed a large share of external support from programmes across sub-Saharan Africa and exposed how little redundancy most implementing organisations had built (Faye, 2025). The second is fiscal constraint in recipient governments. Domestic health financing in low- and middle-income countries is shaped by debt service obligations and by the conditions attached to macroeconomic support, which limits the plausibility of straightforward substitution of donor funds by public funds (Federspiel &amp; Borghi, 2026). Analyses of transition away from international health aid have consistently found that successful substitution requires deliberate preparation over several years rather than an assumption that domestic revenue will expand to fill the gap (</w:t>
      </w:r>
      <w:proofErr w:type="spellStart"/>
      <w:r>
        <w:rPr>
          <w:sz w:val="22"/>
          <w:szCs w:val="22"/>
        </w:rPr>
        <w:t>Ogbuoji</w:t>
      </w:r>
      <w:proofErr w:type="spellEnd"/>
      <w:r>
        <w:rPr>
          <w:sz w:val="22"/>
          <w:szCs w:val="22"/>
        </w:rPr>
        <w:t xml:space="preserve"> et al., 2025; Vogus &amp; Graff, 2015). The third is regulatory change within Kenya itself. The commencement of a new statutory framework for public benefit organisations in May 2024 replaced the previous coordination regime and altered registration, reporting and oversight obligations for the sector, with implications for the governance arrangements that donors can reasonably expect implementing partners to maintain (International </w:t>
      </w:r>
      <w:proofErr w:type="spellStart"/>
      <w:r>
        <w:rPr>
          <w:sz w:val="22"/>
          <w:szCs w:val="22"/>
        </w:rPr>
        <w:t>Center</w:t>
      </w:r>
      <w:proofErr w:type="spellEnd"/>
      <w:r>
        <w:rPr>
          <w:sz w:val="22"/>
          <w:szCs w:val="22"/>
        </w:rPr>
        <w:t xml:space="preserve"> for Not-for-Profit Law, n.d.).</w:t>
      </w:r>
    </w:p>
    <w:p w14:paraId="165DA88C" w14:textId="77777777" w:rsidR="008721B8" w:rsidRDefault="008B314A">
      <w:pPr>
        <w:spacing w:after="160" w:line="360" w:lineRule="auto"/>
        <w:jc w:val="both"/>
      </w:pPr>
      <w:r>
        <w:rPr>
          <w:sz w:val="22"/>
          <w:szCs w:val="22"/>
        </w:rPr>
        <w:t>What has been written specifically about Kenya sits awkwardly against this background. A large volume of empirical work exists, much of it produced as postgraduate research and published in outlets that are not indexed in the major bibliographic databases. It typically takes the form of a cross-sectional questionnaire administered to project staff in one county or one sector, regressing a self-reported sustainability score on self-reported measures of stakeholder participation, monitoring and evaluation practice, resource mobilisation or leadership. The findings are strikingly uniform: nearly every hypothesised predictor is reported as positive and statistically significant. That uniformity is itself evidence of a problem. Where common-method variance, non-probability sampling and outcome measures elicited from the same respondents who report the predictors are combined, positive associations are close to guaranteed, and the resulting body of work cannot discriminate between competing explanations. Reviews of donor-funded programme sustainability in Africa that have applied systematic methods have reached correspondingly cautious conclusions, noting the scarcity of studies that observe outcomes after funding has actually ceased (Ilesanmi &amp; Afolabi, 2022).</w:t>
      </w:r>
    </w:p>
    <w:p w14:paraId="2217B703" w14:textId="77777777" w:rsidR="008721B8" w:rsidRDefault="008B314A">
      <w:pPr>
        <w:spacing w:after="160" w:line="360" w:lineRule="auto"/>
        <w:jc w:val="both"/>
      </w:pPr>
      <w:r>
        <w:rPr>
          <w:sz w:val="22"/>
          <w:szCs w:val="22"/>
        </w:rPr>
        <w:t xml:space="preserve">The more general project management literature offers sharper conceptual tools but has its own limitations when applied to this setting. Studies of governance in international development projects have shown that arrangements imported from commercial project delivery translate imperfectly, that front-end appraisal is systematically weaker than downstream control, and that success criteria used by funders and by intended beneficiaries diverge (Ika, 2012; Ika &amp; Hodgson, 2014; </w:t>
      </w:r>
      <w:proofErr w:type="spellStart"/>
      <w:r>
        <w:rPr>
          <w:sz w:val="22"/>
          <w:szCs w:val="22"/>
        </w:rPr>
        <w:t>Samset</w:t>
      </w:r>
      <w:proofErr w:type="spellEnd"/>
      <w:r>
        <w:rPr>
          <w:sz w:val="22"/>
          <w:szCs w:val="22"/>
        </w:rPr>
        <w:t xml:space="preserve"> &amp; Volden, 2016). Yet this literature has concentrated on multilateral and bilateral projects implemented through or alongside government, and has given comparatively little attention to the small and medium-sized national non-governmental organisation, which is the dominant organisational form in Kenya and which </w:t>
      </w:r>
      <w:r>
        <w:rPr>
          <w:sz w:val="22"/>
          <w:szCs w:val="22"/>
        </w:rPr>
        <w:lastRenderedPageBreak/>
        <w:t>faces a distinct set of constraints: thin reserves, few funders, limited bargaining power and boards whose composition is often shaped by founder influence rather than by any deliberate governance design.</w:t>
      </w:r>
    </w:p>
    <w:p w14:paraId="02D4B1C1" w14:textId="77777777" w:rsidR="008721B8" w:rsidRDefault="008B314A">
      <w:pPr>
        <w:spacing w:after="160" w:line="360" w:lineRule="auto"/>
        <w:jc w:val="both"/>
      </w:pPr>
      <w:r>
        <w:rPr>
          <w:sz w:val="22"/>
          <w:szCs w:val="22"/>
        </w:rPr>
        <w:t>A further difficulty is conceptual. Sustainability is used in this literature to mean several distinct things: the survival of the implementing organisation, the continuation of a specific service or activity, the persistence of benefits among intended recipients after activities cease, and the maintenance of the physical or institutional infrastructure that the project created. These are empirically separable and can move in opposite directions. An organisation may survive by abandoning the programme; a programme may continue under different management after the original organisation closes; infrastructure may remain in place while delivering no benefit, a pattern documented in detail in rural water supply, where installed assets frequently fail within a few years of handover (Foster et al., 2018; Whaley &amp; Cleaver, 2017). Studies that do not specify which of these outcomes they measure cannot be compared with one another, and much of the apparent consistency in the Kenyan literature dissolves once the outcome construct is examined.</w:t>
      </w:r>
    </w:p>
    <w:p w14:paraId="34B3ED6A" w14:textId="77777777" w:rsidR="008721B8" w:rsidRDefault="008B314A">
      <w:pPr>
        <w:pStyle w:val="Heading2"/>
        <w:spacing w:before="280" w:after="160"/>
      </w:pPr>
      <w:r>
        <w:rPr>
          <w:b/>
          <w:bCs/>
          <w:color w:val="000000"/>
          <w:sz w:val="22"/>
          <w:szCs w:val="22"/>
        </w:rPr>
        <w:t>1.1 Scope, Research Gap and Objectives</w:t>
      </w:r>
    </w:p>
    <w:p w14:paraId="75A7CD1B" w14:textId="77777777" w:rsidR="008721B8" w:rsidRDefault="008B314A">
      <w:pPr>
        <w:spacing w:after="160" w:line="360" w:lineRule="auto"/>
        <w:jc w:val="both"/>
      </w:pPr>
      <w:r>
        <w:rPr>
          <w:sz w:val="22"/>
          <w:szCs w:val="22"/>
        </w:rPr>
        <w:t>This review examines the relationship between phased financing arrangements, project governance and project sustainability in donor-funded non-governmental organisations, with Kenya as its empirical focus and as the setting against which the transferability of wider evidence is assessed. Phased financing is treated as a family of contracting arrangements characterised by sequential, condition-dependent release of funds. Project governance is treated as the set of structures, decision rights, oversight processes and behavioural norms through which sponsors and implementing organisations direct and control a bounded programme of work. Project sustainability is disaggregated into organisational survival, activity continuation, benefit persistence, asset or capability maintenance, and institutionalisation within a host institution, and claims about it are assessed against the specific construct measured.</w:t>
      </w:r>
    </w:p>
    <w:p w14:paraId="41746E3C" w14:textId="77777777" w:rsidR="008721B8" w:rsidRDefault="008B314A">
      <w:pPr>
        <w:spacing w:after="160" w:line="360" w:lineRule="auto"/>
        <w:jc w:val="both"/>
      </w:pPr>
      <w:r>
        <w:rPr>
          <w:sz w:val="22"/>
          <w:szCs w:val="22"/>
        </w:rPr>
        <w:t>The gap the review addresses is threefold. Existing reviews have treated financing arrangements and governance arrangements separately, so that the possibility that governance quality is partly an artefact of the financing horizon, rather than an independent cause of sustainability, has not been examined. The literature on sustainability of donor-funded programmes in Africa has concentrated on health, and the extent to which its conclusions extend to the wider service portfolio of Kenyan non-governmental organisations has not been assessed. The Kenyan empirical literature has grown rapidly but has not been subjected to a critical methodological appraisal that would establish what, if anything, it supports.</w:t>
      </w:r>
    </w:p>
    <w:p w14:paraId="2AB5BD27" w14:textId="77777777" w:rsidR="008721B8" w:rsidRDefault="008B314A">
      <w:pPr>
        <w:spacing w:after="160" w:line="360" w:lineRule="auto"/>
        <w:jc w:val="both"/>
      </w:pPr>
      <w:r>
        <w:rPr>
          <w:sz w:val="22"/>
          <w:szCs w:val="22"/>
        </w:rPr>
        <w:t xml:space="preserve">The objectives are to clarify the conceptual distinctions among the three constructs and to establish which of the many published claims survive scrutiny once those distinctions are enforced; to compare the principal theoretical accounts of how financing structure affects governance behaviour and to identify the observations that would discriminate between them; to synthesise the empirical evidence </w:t>
      </w:r>
      <w:r>
        <w:rPr>
          <w:sz w:val="22"/>
          <w:szCs w:val="22"/>
        </w:rPr>
        <w:lastRenderedPageBreak/>
        <w:t>on phased financing, governance mechanisms and each of the sustainability constructs, giving explicit attention to conflicting findings; to appraise the methodological quality of the Kenyan evidence base and to characterise what it can and cannot establish; and to derive a prioritised research agenda that is specific about design, population and outcome measurement.</w:t>
      </w:r>
    </w:p>
    <w:p w14:paraId="19265457" w14:textId="77777777" w:rsidR="008721B8" w:rsidRDefault="008B314A">
      <w:pPr>
        <w:spacing w:after="160" w:line="360" w:lineRule="auto"/>
        <w:jc w:val="both"/>
      </w:pPr>
      <w:r>
        <w:rPr>
          <w:sz w:val="22"/>
          <w:szCs w:val="22"/>
        </w:rPr>
        <w:t>The review is deliberately bounded. It does not assess the effectiveness of particular development interventions, nor does it evaluate aid allocation at the country level, nor does it address humanitarian response financing, whose contracting logic and time horizons differ materially from those of development programming. Financing instruments that do not involve sequential conditional release, such as endowment funding and unrestricted core support, are considered only as comparators. The review does not attempt a quantitative synthesis, and no pooled estimate is offered.</w:t>
      </w:r>
    </w:p>
    <w:p w14:paraId="6E7E58E8" w14:textId="77777777" w:rsidR="008721B8" w:rsidRDefault="008B314A">
      <w:pPr>
        <w:pStyle w:val="Heading1"/>
        <w:spacing w:before="280" w:after="160"/>
      </w:pPr>
      <w:r>
        <w:rPr>
          <w:b/>
          <w:bCs/>
          <w:color w:val="000000"/>
          <w:sz w:val="24"/>
          <w:szCs w:val="24"/>
        </w:rPr>
        <w:t>2. Methods for Literature Selection</w:t>
      </w:r>
    </w:p>
    <w:p w14:paraId="0025AB2E" w14:textId="77777777" w:rsidR="008721B8" w:rsidRDefault="008B314A">
      <w:pPr>
        <w:pStyle w:val="Heading2"/>
        <w:spacing w:before="280" w:after="160"/>
      </w:pPr>
      <w:r>
        <w:rPr>
          <w:b/>
          <w:bCs/>
          <w:color w:val="000000"/>
          <w:sz w:val="22"/>
          <w:szCs w:val="22"/>
        </w:rPr>
        <w:t>2.1 Review Design and Rationale</w:t>
      </w:r>
    </w:p>
    <w:p w14:paraId="4024B098" w14:textId="77777777" w:rsidR="008721B8" w:rsidRDefault="008B314A">
      <w:pPr>
        <w:spacing w:after="160" w:line="360" w:lineRule="auto"/>
        <w:jc w:val="both"/>
      </w:pPr>
      <w:r>
        <w:rPr>
          <w:sz w:val="22"/>
          <w:szCs w:val="22"/>
        </w:rPr>
        <w:t>A critical narrative design was selected because the review question spans several disciplinary literatures that use incompatible constructs, outcome definitions and units of analysis. A systematic review or meta-analysis presupposes a body of studies addressing a common question with comparable outcome measurement, and that precondition is not met here: project governance is operationalised as a structural attribute in one literature, as a set of practices in another and as a self-reported perception in a third, while sustainability is measured variously as organisational survival, service continuation, benefit persistence and asset functionality. Pooling across these would produce a numerically precise estimate of an incoherent quantity. Narrative synthesis is the appropriate response to that situation, and its legitimacy as a research design, provided that its procedures are made transparent, has been argued at length in the methodological literature (Greenhalgh et al., 2018; Sukhera, 2022). The reporting of the search, selection and appraisal steps below follows the domains specified in an established appraisal instrument for narrative reviews, which requires an explicit statement of importance, aims, literature search, referencing, evidence-level attribution and data presentation (</w:t>
      </w:r>
      <w:proofErr w:type="spellStart"/>
      <w:r>
        <w:rPr>
          <w:sz w:val="22"/>
          <w:szCs w:val="22"/>
        </w:rPr>
        <w:t>Baethge</w:t>
      </w:r>
      <w:proofErr w:type="spellEnd"/>
      <w:r>
        <w:rPr>
          <w:sz w:val="22"/>
          <w:szCs w:val="22"/>
        </w:rPr>
        <w:t xml:space="preserve"> et al., 2019). Narrative design does not license selective reporting or the omission of critical appraisal, and the review accordingly states the basis on which studies were judged and reports evidence that conflicts with the interpretation advanced.</w:t>
      </w:r>
    </w:p>
    <w:p w14:paraId="5A97897D" w14:textId="77777777" w:rsidR="008721B8" w:rsidRDefault="008B314A">
      <w:pPr>
        <w:pStyle w:val="Heading2"/>
        <w:spacing w:before="280" w:after="160"/>
      </w:pPr>
      <w:r>
        <w:rPr>
          <w:b/>
          <w:bCs/>
          <w:color w:val="000000"/>
          <w:sz w:val="22"/>
          <w:szCs w:val="22"/>
        </w:rPr>
        <w:t>2.2 Information Sources</w:t>
      </w:r>
    </w:p>
    <w:p w14:paraId="02827993" w14:textId="77777777" w:rsidR="008721B8" w:rsidRDefault="008B314A">
      <w:pPr>
        <w:spacing w:after="160" w:line="360" w:lineRule="auto"/>
        <w:jc w:val="both"/>
      </w:pPr>
      <w:r>
        <w:rPr>
          <w:sz w:val="22"/>
          <w:szCs w:val="22"/>
        </w:rPr>
        <w:t xml:space="preserve">The searches conducted for this review used the </w:t>
      </w:r>
      <w:proofErr w:type="spellStart"/>
      <w:r>
        <w:rPr>
          <w:sz w:val="22"/>
          <w:szCs w:val="22"/>
        </w:rPr>
        <w:t>Crossref</w:t>
      </w:r>
      <w:proofErr w:type="spellEnd"/>
      <w:r>
        <w:rPr>
          <w:sz w:val="22"/>
          <w:szCs w:val="22"/>
        </w:rPr>
        <w:t xml:space="preserve"> Metadata Search interface to the scholarly metadata registry, Europe PMC for biomedical and health-systems literature, and general web searching restricted to authoritative institutional and legal-information websites for regulatory and policy material. Subscription bibliographic databases were not accessible during the preparation of this review, and no claim is made that Web of Science, Scopus, Embase or any other subscription index was searched. </w:t>
      </w:r>
      <w:r>
        <w:rPr>
          <w:sz w:val="22"/>
          <w:szCs w:val="22"/>
        </w:rPr>
        <w:lastRenderedPageBreak/>
        <w:t>Records retrieved through the accessible sources were supplemented by backward citation tracing from retrieved reviews and empirical papers, by forward tracing through the citation records attached to retrieved items, and by targeted searching for corrections, errata and expressions of concern attached to candidate references. Where an item was identified through citation tracing, its bibliographic identity and digital object identifier were confirmed directly against the metadata registry before it was retained.</w:t>
      </w:r>
    </w:p>
    <w:p w14:paraId="627EA4DD" w14:textId="77777777" w:rsidR="008721B8" w:rsidRDefault="008B314A">
      <w:pPr>
        <w:pStyle w:val="Heading2"/>
        <w:spacing w:before="280" w:after="160"/>
      </w:pPr>
      <w:r>
        <w:rPr>
          <w:b/>
          <w:bCs/>
          <w:color w:val="000000"/>
          <w:sz w:val="22"/>
          <w:szCs w:val="22"/>
        </w:rPr>
        <w:t>2.3 Search Strategy and Search Period</w:t>
      </w:r>
    </w:p>
    <w:p w14:paraId="2F878F6D" w14:textId="77777777" w:rsidR="008721B8" w:rsidRDefault="008B314A">
      <w:pPr>
        <w:spacing w:after="160" w:line="360" w:lineRule="auto"/>
        <w:jc w:val="both"/>
      </w:pPr>
      <w:r>
        <w:rPr>
          <w:sz w:val="22"/>
          <w:szCs w:val="22"/>
        </w:rPr>
        <w:t>Search concepts were developed from the three constructs in the review question and from the empirical setting. The financing concept combined terms for phased, tranche-based, milestone-linked, results-based and transitional funding with terms for donor withdrawal, exit, graduation and aid volatility. The governance concept combined project governance, governance mechanisms, board oversight, accountability, monitoring and evaluation, contractual and relational governance, and stage-gate or front-end appraisal. The sustainability concept combined project sustainability, programme sustainability, continuation, institutionalisation, benefit persistence, functionality and organisational survival. The setting concept combined non-governmental organisation, civil society organisation, public benefit organisation, nonprofit, Kenya, East Africa and sub-Saharan Africa. Concepts were combined with the Boolean operator AND, and synonyms within each concept with OR, in the form: (phased financing OR tranche OR milestone-based disbursement OR results-based financing OR donor transition OR exit strategy) AND (project governance OR accountability OR board oversight OR monitoring and evaluation) AND (sustainability OR continuation OR benefit persistence) AND (non-governmental organisation OR nonprofit OR civil society) AND (Kenya OR sub-Saharan Africa). Because the accessible interfaces differ in their handling of Boolean syntax and controlled vocabulary, the operational searches were run as sets of bibliographic phrase queries corresponding to each concept pairing rather than as a single composite string, and coverage was extended by iterative reformulation until additional queries returned no new relevant records.</w:t>
      </w:r>
    </w:p>
    <w:p w14:paraId="7E960A9B" w14:textId="77777777" w:rsidR="008721B8" w:rsidRDefault="008B314A">
      <w:pPr>
        <w:spacing w:after="160" w:line="360" w:lineRule="auto"/>
        <w:jc w:val="both"/>
      </w:pPr>
      <w:r>
        <w:rPr>
          <w:sz w:val="22"/>
          <w:szCs w:val="22"/>
        </w:rPr>
        <w:t>The search period runs from 1 January 1998 to 9 June 2026. The starting year was selected because the conceptual literature on planning for programme sustainability that continues to frame current work was consolidated at that point, and because the expansion of large vertical donor programmes that generated the transition problem dates from the same period. Foundational earlier publications were admitted where they were necessary to explain the development of a theory or method.</w:t>
      </w:r>
    </w:p>
    <w:p w14:paraId="5D21DD7C" w14:textId="77777777" w:rsidR="008721B8" w:rsidRDefault="008B314A">
      <w:pPr>
        <w:pStyle w:val="Heading2"/>
        <w:spacing w:before="280" w:after="160"/>
      </w:pPr>
      <w:r>
        <w:rPr>
          <w:b/>
          <w:bCs/>
          <w:color w:val="000000"/>
          <w:sz w:val="22"/>
          <w:szCs w:val="22"/>
        </w:rPr>
        <w:t>2.4 Eligibility Criteria</w:t>
      </w:r>
    </w:p>
    <w:p w14:paraId="773ABD94" w14:textId="77777777" w:rsidR="008721B8" w:rsidRDefault="008B314A">
      <w:pPr>
        <w:spacing w:after="160" w:line="360" w:lineRule="auto"/>
        <w:jc w:val="both"/>
      </w:pPr>
      <w:r>
        <w:rPr>
          <w:sz w:val="22"/>
          <w:szCs w:val="22"/>
        </w:rPr>
        <w:t xml:space="preserve">Publications were eligible if they were peer-reviewed journal articles, or authoritative reports of recognised intergovernmental, governmental or professional institutions, that addressed at least one of the three review constructs in a manner relevant to donor-funded service delivery in low- or middle-income settings. Empirical studies of any design were eligible, as were conceptual, methodological and theoretical contributions where these were required to establish definitions or to characterise a school </w:t>
      </w:r>
      <w:r>
        <w:rPr>
          <w:sz w:val="22"/>
          <w:szCs w:val="22"/>
        </w:rPr>
        <w:lastRenderedPageBreak/>
        <w:t>of thought. Publications in English were included; no relevant non-English record was identified through the accessible interfaces, and the language restriction is acknowledged in the limitations.</w:t>
      </w:r>
    </w:p>
    <w:p w14:paraId="2387C74F" w14:textId="77777777" w:rsidR="008721B8" w:rsidRDefault="008B314A">
      <w:pPr>
        <w:spacing w:after="160" w:line="360" w:lineRule="auto"/>
        <w:jc w:val="both"/>
      </w:pPr>
      <w:r>
        <w:rPr>
          <w:sz w:val="22"/>
          <w:szCs w:val="22"/>
        </w:rPr>
        <w:t>Publications were excluded if their bibliographic identity could not be confirmed against an authoritative metadata source, if they were preprints for which peer-reviewed evidence on the same question was available, if they were promotional, anonymous or non-scholarly, if they were conference abstracts reporting insufficient methodological detail, or if they were retracted without the retraction being the object of discussion. Studies whose only claim to relevance was topical proximity, without addressing any of the review constructs, were excluded. Where an item was retained despite methodological weakness because it constituted the only available evidence on a point, that status is stated in the text.</w:t>
      </w:r>
    </w:p>
    <w:p w14:paraId="2AF5F4F2" w14:textId="77777777" w:rsidR="008721B8" w:rsidRDefault="008B314A">
      <w:pPr>
        <w:pStyle w:val="Heading2"/>
        <w:spacing w:before="280" w:after="160"/>
      </w:pPr>
      <w:r>
        <w:rPr>
          <w:b/>
          <w:bCs/>
          <w:color w:val="000000"/>
          <w:sz w:val="22"/>
          <w:szCs w:val="22"/>
        </w:rPr>
        <w:t>2.5 Screening, Duplicate Handling and Study Selection</w:t>
      </w:r>
    </w:p>
    <w:p w14:paraId="38C2BA30" w14:textId="77777777" w:rsidR="008721B8" w:rsidRDefault="008B314A">
      <w:pPr>
        <w:spacing w:after="160" w:line="360" w:lineRule="auto"/>
        <w:jc w:val="both"/>
      </w:pPr>
      <w:r>
        <w:rPr>
          <w:sz w:val="22"/>
          <w:szCs w:val="22"/>
        </w:rPr>
        <w:t>Records returned by each query were screened first on title and journal identity, then on abstract, and finally on full text where the abstract was insufficient to determine eligibility. Duplicates arising from the same item being registered under multiple identifiers, from parallel indexing of an article and its erratum, and from repeated retrieval across queries were identified by comparing digital object identifiers, titles and author strings, and were resolved in favour of the version of record. Where an erratum or corrigendum existed, it was retrieved and its content checked before the parent article was cited. Items whose full text could not be obtained through open channels were retained only where the abstract and indexed metadata were sufficient to support the specific claim made, and were otherwise set aside. No count of records screened is reported, because the searching was iterative and conducted across interfaces that do not produce comparable record sets, and a reported count would imply a systematic selection process that was not undertaken. For the same reason no flow diagram is presented.</w:t>
      </w:r>
    </w:p>
    <w:p w14:paraId="216D87D9" w14:textId="77777777" w:rsidR="008721B8" w:rsidRDefault="008B314A">
      <w:pPr>
        <w:pStyle w:val="Heading2"/>
        <w:spacing w:before="280" w:after="160"/>
      </w:pPr>
      <w:r>
        <w:rPr>
          <w:b/>
          <w:bCs/>
          <w:color w:val="000000"/>
          <w:sz w:val="22"/>
          <w:szCs w:val="22"/>
        </w:rPr>
        <w:t>2.6 Critical Appraisal and Evidence Synthesis</w:t>
      </w:r>
    </w:p>
    <w:p w14:paraId="02016375" w14:textId="77777777" w:rsidR="008721B8" w:rsidRDefault="008B314A">
      <w:pPr>
        <w:spacing w:after="160" w:line="360" w:lineRule="auto"/>
        <w:jc w:val="both"/>
      </w:pPr>
      <w:r>
        <w:rPr>
          <w:sz w:val="22"/>
          <w:szCs w:val="22"/>
        </w:rPr>
        <w:t>Each retained empirical study was appraised against criteria appropriate to its design: for quantitative observational work, sampling frame and response characteristics, independence of predictor and outcome measurement, treatment of confounding, and whether the outcome was observed rather than anticipated; for qualitative work, adequacy of case selection, depth of data, and transparency of analytic procedure; for reviews, the explicitness of the search and the appropriateness of any synthesis method. No formal risk-of-bias instrument was applied, because the heterogeneity of designs and the frequent absence of reportable methodological detail in part of the literature would have produced scores with no interpretive meaning. Judgements about the weight given to a study are stated in the text rather than encoded numerically.</w:t>
      </w:r>
    </w:p>
    <w:p w14:paraId="0A5127E5" w14:textId="77777777" w:rsidR="008721B8" w:rsidRDefault="008B314A">
      <w:pPr>
        <w:spacing w:after="160" w:line="360" w:lineRule="auto"/>
        <w:jc w:val="both"/>
      </w:pPr>
      <w:r>
        <w:rPr>
          <w:sz w:val="22"/>
          <w:szCs w:val="22"/>
        </w:rPr>
        <w:t xml:space="preserve">Themes were developed inductively from the retained literature and then tested against the conceptual distinctions set out in Section 3. Where studies disagreed, the disagreement was examined for </w:t>
      </w:r>
      <w:r>
        <w:rPr>
          <w:sz w:val="22"/>
          <w:szCs w:val="22"/>
        </w:rPr>
        <w:lastRenderedPageBreak/>
        <w:t>differences in outcome construct, setting, funding instrument, time horizon and measurement independence before any substantive explanation was entertained, on the principle that apparent contradiction frequently reflects incommensurable measurement rather than genuine empirical conflict. Claims are graded in the text by the language used: evidence described as consistent rests on multiple independent studies with comparable outcome measurement; evidence described as suggestive rests on a small number of studies or on studies with material design weaknesses; and relationships described as plausible but undemonstrated rest on theoretical argument or mechanistic reasoning without direct empirical support.</w:t>
      </w:r>
    </w:p>
    <w:p w14:paraId="66742BFF" w14:textId="77777777" w:rsidR="008721B8" w:rsidRDefault="008B314A">
      <w:pPr>
        <w:pStyle w:val="Heading1"/>
        <w:spacing w:before="280" w:after="160"/>
      </w:pPr>
      <w:r>
        <w:rPr>
          <w:b/>
          <w:bCs/>
          <w:color w:val="000000"/>
          <w:sz w:val="24"/>
          <w:szCs w:val="24"/>
        </w:rPr>
        <w:t>3. Conceptual Foundations: Separating Financing Structure, Governance and Sustainability</w:t>
      </w:r>
    </w:p>
    <w:p w14:paraId="11C8C220" w14:textId="77777777" w:rsidR="008721B8" w:rsidRDefault="008B314A">
      <w:pPr>
        <w:pStyle w:val="Heading2"/>
        <w:spacing w:before="280" w:after="160"/>
      </w:pPr>
      <w:r>
        <w:rPr>
          <w:b/>
          <w:bCs/>
          <w:color w:val="000000"/>
          <w:sz w:val="22"/>
          <w:szCs w:val="22"/>
        </w:rPr>
        <w:t>3.1 Phased financing as a family of contracting arrangements</w:t>
      </w:r>
    </w:p>
    <w:p w14:paraId="5DCC10C7" w14:textId="77777777" w:rsidR="008721B8" w:rsidRDefault="008B314A">
      <w:pPr>
        <w:spacing w:after="160" w:line="360" w:lineRule="auto"/>
        <w:jc w:val="both"/>
      </w:pPr>
      <w:r>
        <w:rPr>
          <w:sz w:val="22"/>
          <w:szCs w:val="22"/>
        </w:rPr>
        <w:t>Treating phased financing as a single thing obscures differences that matter analytically. At least four arrangements are subsumed under the term, and they differ along dimensions that plausibly generate different governance responses. Tranche-based disbursement within a single agreement divides an already committed sum into instalments released against reporting or expenditure verification; the total is fixed, and the uncertainty concerns timing rather than amount. Milestone-linked or results-based disbursement makes the amount itself contingent on verified achievement, transferring performance risk to the implementing organisation; the underlying logic, drawn from the argument that aid should reward outcomes rather than intentions, has been advanced as a means of improving both predictability and incentive alignment (Eifert &amp; Gelb, 2008). Staged scale-up funds a pilot with an implicit or explicit option to expand, and the decision to exercise that option rests on evidence generated during the pilot itself. Transition or graduation financing reduces external support on a declared schedule while domestic or alternative resources are expected to increase, and it is the arrangement most directly concerned with what happens after external funding ends (</w:t>
      </w:r>
      <w:proofErr w:type="spellStart"/>
      <w:r>
        <w:rPr>
          <w:sz w:val="22"/>
          <w:szCs w:val="22"/>
        </w:rPr>
        <w:t>Ogbuoji</w:t>
      </w:r>
      <w:proofErr w:type="spellEnd"/>
      <w:r>
        <w:rPr>
          <w:sz w:val="22"/>
          <w:szCs w:val="22"/>
        </w:rPr>
        <w:t xml:space="preserve"> et al., 2025; Shen et al., 2016).</w:t>
      </w:r>
    </w:p>
    <w:p w14:paraId="78AC833F" w14:textId="77777777" w:rsidR="008721B8" w:rsidRDefault="008B314A">
      <w:pPr>
        <w:spacing w:after="160" w:line="360" w:lineRule="auto"/>
        <w:jc w:val="both"/>
      </w:pPr>
      <w:r>
        <w:rPr>
          <w:sz w:val="22"/>
          <w:szCs w:val="22"/>
        </w:rPr>
        <w:t>The dimensions along which these differ are the length of the horizon that the arrangement credibly signals, the reversibility of the funder's decision, the locus of performance risk, and the extent to which control rights over programme design are retained by the funder or shared with the implementer. A twelve-month tranche within a five-year commitment signals a long horizon despite frequent disbursement events; a twelve-month grant with discretionary renewal signals a short horizon despite an identical cash-flow profile. Conflating the two, which much of the empirical literature does by measuring only the disbursement interval, is a probable source of the inconsistent findings discussed in Section 5.</w:t>
      </w:r>
    </w:p>
    <w:p w14:paraId="0D3409BE" w14:textId="77777777" w:rsidR="008721B8" w:rsidRDefault="008B314A">
      <w:pPr>
        <w:pStyle w:val="Heading2"/>
        <w:spacing w:before="280" w:after="160"/>
      </w:pPr>
      <w:r>
        <w:rPr>
          <w:b/>
          <w:bCs/>
          <w:color w:val="000000"/>
          <w:sz w:val="22"/>
          <w:szCs w:val="22"/>
        </w:rPr>
        <w:t>3.2 Project governance and its several meanings</w:t>
      </w:r>
    </w:p>
    <w:p w14:paraId="20666942" w14:textId="77777777" w:rsidR="008721B8" w:rsidRDefault="008B314A">
      <w:pPr>
        <w:spacing w:after="160" w:line="360" w:lineRule="auto"/>
        <w:jc w:val="both"/>
      </w:pPr>
      <w:r>
        <w:rPr>
          <w:sz w:val="22"/>
          <w:szCs w:val="22"/>
        </w:rPr>
        <w:lastRenderedPageBreak/>
        <w:t>Project governance in the management literature is not a single construct either. One strand treats it as structure: the allocation of decision rights, the composition and mandate of steering arrangements, and the reporting relationships between sponsor and delivery organisation. A second treats it as process: gate reviews, appraisal at the front end, change control and assurance activity. A third, drawing on governmentality, treats it as the shaping of conduct, so that governance operates through the internalised norms and self-monitoring behaviour of project actors rather than through formal control alone (Müller et al., 2014, 2016). Empirical work relating these to outcomes has found that the combination of governance structure and governmentality profile is associated with differences in project success, which implies that structural measures alone are inadequate proxies (Müller et al., 2017).</w:t>
      </w:r>
    </w:p>
    <w:p w14:paraId="13E0DB67" w14:textId="77777777" w:rsidR="008721B8" w:rsidRDefault="008B314A">
      <w:pPr>
        <w:spacing w:after="160" w:line="360" w:lineRule="auto"/>
        <w:jc w:val="both"/>
      </w:pPr>
      <w:r>
        <w:rPr>
          <w:sz w:val="22"/>
          <w:szCs w:val="22"/>
        </w:rPr>
        <w:t>A parallel distinction separates contractual from relational governance. Contractual governance operates through the specification of obligations, verification and sanction; relational governance operates through trust, reciprocity and informal adjustment. Research in long-duration partnership projects indicates that the two are not simple substitutes and that their relative salience shifts over the life of a relationship as positioned practices develop, so that a snapshot measurement at one point may misrepresent the governance regime in operation (Benítez-Ávila et al., 2019). A further body of work argues that the perceived fairness of governance arrangements, rather than their formal completeness, predicts cooperative behaviour among project participants, and offers an organisational justice account of why formally similar arrangements produce dissimilar conduct (</w:t>
      </w:r>
      <w:proofErr w:type="spellStart"/>
      <w:r>
        <w:rPr>
          <w:sz w:val="22"/>
          <w:szCs w:val="22"/>
        </w:rPr>
        <w:t>Unterhitzenberger</w:t>
      </w:r>
      <w:proofErr w:type="spellEnd"/>
      <w:r>
        <w:rPr>
          <w:sz w:val="22"/>
          <w:szCs w:val="22"/>
        </w:rPr>
        <w:t xml:space="preserve"> &amp; Moeller, 2021). For donor-funded projects the stakeholder configuration is unusually complex, since the sponsor, the implementing organisation, the host government and the intended beneficiaries hold different and partly conflicting claims; reviews of project governance and stakeholders have shown that most of the field's theoretical apparatus was developed for settings where the sponsor is also the principal beneficiary, which is precisely not the case here (Derakhshan et al., 2019).</w:t>
      </w:r>
    </w:p>
    <w:p w14:paraId="344DAA67" w14:textId="77777777" w:rsidR="008721B8" w:rsidRDefault="008B314A">
      <w:pPr>
        <w:pStyle w:val="Heading2"/>
        <w:spacing w:before="280" w:after="160"/>
      </w:pPr>
      <w:r>
        <w:rPr>
          <w:b/>
          <w:bCs/>
          <w:color w:val="000000"/>
          <w:sz w:val="22"/>
          <w:szCs w:val="22"/>
        </w:rPr>
        <w:t>3.3 Sustainability disaggregated</w:t>
      </w:r>
    </w:p>
    <w:p w14:paraId="228EFCCC" w14:textId="77777777" w:rsidR="008721B8" w:rsidRDefault="008B314A">
      <w:pPr>
        <w:spacing w:after="160" w:line="360" w:lineRule="auto"/>
        <w:jc w:val="both"/>
      </w:pPr>
      <w:r>
        <w:rPr>
          <w:sz w:val="22"/>
          <w:szCs w:val="22"/>
        </w:rPr>
        <w:t xml:space="preserve">The public health literature has done the most careful work on defining sustainability, and its distinctions transfer usefully to the wider development setting. Early conceptual work separated the maintenance of health benefits, the institutionalisation of a programme within an organisation, and the building of community capacity, and argued that determinants differ across the three (Shediac-Rizkallah &amp; Bone, 1998). Subsequent syntheses reinforced the point that sustainability is not a single outcome and proposed that research should specify which outcome is in view and over what interval it is assessed (Scheirer &amp; Dearing, 2011). Later work linked the plausibility of different sustainability outcomes to the type of intervention, noting that interventions requiring continuing staff effort behave differently from those that create a one-time capability (Scheirer, 2013). The implication for the present review is direct: an intervention whose benefit depends on continuing salaried effort, such as community health </w:t>
      </w:r>
      <w:r>
        <w:rPr>
          <w:sz w:val="22"/>
          <w:szCs w:val="22"/>
        </w:rPr>
        <w:lastRenderedPageBreak/>
        <w:t>outreach, cannot be expected to display the same post-funding trajectory as one that transfers a durable skill or installs an asset, and evidence about one should not be generalised to the other.</w:t>
      </w:r>
    </w:p>
    <w:p w14:paraId="6284ED9B" w14:textId="77777777" w:rsidR="008721B8" w:rsidRDefault="008B314A">
      <w:pPr>
        <w:spacing w:after="160" w:line="360" w:lineRule="auto"/>
        <w:jc w:val="both"/>
      </w:pPr>
      <w:r>
        <w:rPr>
          <w:sz w:val="22"/>
          <w:szCs w:val="22"/>
        </w:rPr>
        <w:t>Asset-based interventions supply the clearest demonstration that infrastructure and benefit are separable. Long-run study of rural water points on the Kenyan coast has shown that failure risk is patterned by installation characteristics, management arrangements and water quality rather than being random, and that a substantial proportion of installed points cease to deliver service well before their design life (Foster et al., 2018). Critical appraisal of the community management model has argued further that measuring functionality at a point in time conceals the dynamics that produce failure, and that the model's apparent success or failure depends heavily on how functionality is defined (Whaley &amp; Cleaver, 2017). The same measurement problem recurs throughout the sustainability literature in less tractable form.</w:t>
      </w:r>
    </w:p>
    <w:p w14:paraId="209C48CC" w14:textId="77777777" w:rsidR="008721B8" w:rsidRDefault="008B314A">
      <w:pPr>
        <w:spacing w:after="160" w:line="360" w:lineRule="auto"/>
        <w:jc w:val="both"/>
      </w:pPr>
      <w:r>
        <w:rPr>
          <w:sz w:val="22"/>
          <w:szCs w:val="22"/>
        </w:rPr>
        <w:t>Table 1 sets out the five sustainability constructs alongside the observation that would establish each, the typical time horizon over which it becomes assessable, and the principal threat to valid inference. The distinctions matter because several of the constructs can be satisfied while others fail, and because studies that report a composite sustainability score necessarily average across outcomes with different determinants. The table also makes explicit that only two of the five constructs are observable during the funded period, which explains why so much of the literature substitutes anticipated for realised sustainability.</w:t>
      </w:r>
    </w:p>
    <w:p w14:paraId="26A18CC2" w14:textId="77777777" w:rsidR="008721B8" w:rsidRDefault="008B314A">
      <w:pPr>
        <w:spacing w:before="200" w:after="100"/>
      </w:pPr>
      <w:r>
        <w:rPr>
          <w:b/>
          <w:bCs/>
        </w:rPr>
        <w:t>Table 1. Sustainability constructs in donor-funded projects: definitions, observation requirements and inferential threats</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510"/>
        <w:gridCol w:w="1502"/>
        <w:gridCol w:w="1502"/>
        <w:gridCol w:w="1501"/>
        <w:gridCol w:w="1502"/>
        <w:gridCol w:w="1503"/>
      </w:tblGrid>
      <w:tr w:rsidR="008721B8" w14:paraId="0EC1BE7C" w14:textId="77777777">
        <w:trPr>
          <w:tblHeader/>
        </w:trPr>
        <w:tc>
          <w:tcPr>
            <w:tcW w:w="1503" w:type="dxa"/>
            <w:shd w:val="clear" w:color="auto" w:fill="E8E8E8"/>
            <w:tcMar>
              <w:top w:w="60" w:type="dxa"/>
              <w:left w:w="80" w:type="dxa"/>
              <w:bottom w:w="60" w:type="dxa"/>
              <w:right w:w="80" w:type="dxa"/>
            </w:tcMar>
          </w:tcPr>
          <w:p w14:paraId="1EA1AF5E" w14:textId="77777777" w:rsidR="008721B8" w:rsidRDefault="008B314A">
            <w:r>
              <w:rPr>
                <w:b/>
                <w:bCs/>
                <w:sz w:val="18"/>
                <w:szCs w:val="18"/>
              </w:rPr>
              <w:t>Construct</w:t>
            </w:r>
          </w:p>
        </w:tc>
        <w:tc>
          <w:tcPr>
            <w:tcW w:w="1503" w:type="dxa"/>
            <w:shd w:val="clear" w:color="auto" w:fill="E8E8E8"/>
            <w:tcMar>
              <w:top w:w="60" w:type="dxa"/>
              <w:left w:w="80" w:type="dxa"/>
              <w:bottom w:w="60" w:type="dxa"/>
              <w:right w:w="80" w:type="dxa"/>
            </w:tcMar>
          </w:tcPr>
          <w:p w14:paraId="3BD1682A" w14:textId="77777777" w:rsidR="008721B8" w:rsidRDefault="008B314A">
            <w:r>
              <w:rPr>
                <w:b/>
                <w:bCs/>
                <w:sz w:val="18"/>
                <w:szCs w:val="18"/>
              </w:rPr>
              <w:t>Definition adopted</w:t>
            </w:r>
          </w:p>
        </w:tc>
        <w:tc>
          <w:tcPr>
            <w:tcW w:w="1503" w:type="dxa"/>
            <w:shd w:val="clear" w:color="auto" w:fill="E8E8E8"/>
            <w:tcMar>
              <w:top w:w="60" w:type="dxa"/>
              <w:left w:w="80" w:type="dxa"/>
              <w:bottom w:w="60" w:type="dxa"/>
              <w:right w:w="80" w:type="dxa"/>
            </w:tcMar>
          </w:tcPr>
          <w:p w14:paraId="6B95E3E1" w14:textId="77777777" w:rsidR="008721B8" w:rsidRDefault="008B314A">
            <w:r>
              <w:rPr>
                <w:b/>
                <w:bCs/>
                <w:sz w:val="18"/>
                <w:szCs w:val="18"/>
              </w:rPr>
              <w:t>Observation required</w:t>
            </w:r>
          </w:p>
        </w:tc>
        <w:tc>
          <w:tcPr>
            <w:tcW w:w="1503" w:type="dxa"/>
            <w:shd w:val="clear" w:color="auto" w:fill="E8E8E8"/>
            <w:tcMar>
              <w:top w:w="60" w:type="dxa"/>
              <w:left w:w="80" w:type="dxa"/>
              <w:bottom w:w="60" w:type="dxa"/>
              <w:right w:w="80" w:type="dxa"/>
            </w:tcMar>
          </w:tcPr>
          <w:p w14:paraId="705419A9" w14:textId="77777777" w:rsidR="008721B8" w:rsidRDefault="008B314A">
            <w:r>
              <w:rPr>
                <w:b/>
                <w:bCs/>
                <w:sz w:val="18"/>
                <w:szCs w:val="18"/>
              </w:rPr>
              <w:t>Earliest assessable point</w:t>
            </w:r>
          </w:p>
        </w:tc>
        <w:tc>
          <w:tcPr>
            <w:tcW w:w="1503" w:type="dxa"/>
            <w:shd w:val="clear" w:color="auto" w:fill="E8E8E8"/>
            <w:tcMar>
              <w:top w:w="60" w:type="dxa"/>
              <w:left w:w="80" w:type="dxa"/>
              <w:bottom w:w="60" w:type="dxa"/>
              <w:right w:w="80" w:type="dxa"/>
            </w:tcMar>
          </w:tcPr>
          <w:p w14:paraId="65694A06" w14:textId="77777777" w:rsidR="008721B8" w:rsidRDefault="008B314A">
            <w:r>
              <w:rPr>
                <w:b/>
                <w:bCs/>
                <w:sz w:val="18"/>
                <w:szCs w:val="18"/>
              </w:rPr>
              <w:t>Principal threat to valid inference</w:t>
            </w:r>
          </w:p>
        </w:tc>
        <w:tc>
          <w:tcPr>
            <w:tcW w:w="1505" w:type="dxa"/>
            <w:shd w:val="clear" w:color="auto" w:fill="E8E8E8"/>
            <w:tcMar>
              <w:top w:w="60" w:type="dxa"/>
              <w:left w:w="80" w:type="dxa"/>
              <w:bottom w:w="60" w:type="dxa"/>
              <w:right w:w="80" w:type="dxa"/>
            </w:tcMar>
          </w:tcPr>
          <w:p w14:paraId="1349BC19" w14:textId="77777777" w:rsidR="008721B8" w:rsidRDefault="008B314A">
            <w:r>
              <w:rPr>
                <w:b/>
                <w:bCs/>
                <w:sz w:val="18"/>
                <w:szCs w:val="18"/>
              </w:rPr>
              <w:t>Supporting references</w:t>
            </w:r>
          </w:p>
        </w:tc>
      </w:tr>
      <w:tr w:rsidR="008721B8" w14:paraId="405F936B" w14:textId="77777777">
        <w:tc>
          <w:tcPr>
            <w:tcW w:w="1503" w:type="dxa"/>
            <w:tcMar>
              <w:top w:w="60" w:type="dxa"/>
              <w:left w:w="80" w:type="dxa"/>
              <w:bottom w:w="60" w:type="dxa"/>
              <w:right w:w="80" w:type="dxa"/>
            </w:tcMar>
          </w:tcPr>
          <w:p w14:paraId="39B565C0" w14:textId="77777777" w:rsidR="008721B8" w:rsidRDefault="008B314A">
            <w:r>
              <w:rPr>
                <w:sz w:val="18"/>
                <w:szCs w:val="18"/>
              </w:rPr>
              <w:t>Organisational survival</w:t>
            </w:r>
          </w:p>
        </w:tc>
        <w:tc>
          <w:tcPr>
            <w:tcW w:w="1503" w:type="dxa"/>
            <w:tcMar>
              <w:top w:w="60" w:type="dxa"/>
              <w:left w:w="80" w:type="dxa"/>
              <w:bottom w:w="60" w:type="dxa"/>
              <w:right w:w="80" w:type="dxa"/>
            </w:tcMar>
          </w:tcPr>
          <w:p w14:paraId="7F0D5442" w14:textId="77777777" w:rsidR="008721B8" w:rsidRDefault="008B314A">
            <w:r>
              <w:rPr>
                <w:sz w:val="18"/>
                <w:szCs w:val="18"/>
              </w:rPr>
              <w:t>Continued legal existence and operation of the implementing organisation</w:t>
            </w:r>
          </w:p>
        </w:tc>
        <w:tc>
          <w:tcPr>
            <w:tcW w:w="1503" w:type="dxa"/>
            <w:tcMar>
              <w:top w:w="60" w:type="dxa"/>
              <w:left w:w="80" w:type="dxa"/>
              <w:bottom w:w="60" w:type="dxa"/>
              <w:right w:w="80" w:type="dxa"/>
            </w:tcMar>
          </w:tcPr>
          <w:p w14:paraId="3D665C31" w14:textId="77777777" w:rsidR="008721B8" w:rsidRDefault="008B314A">
            <w:r>
              <w:rPr>
                <w:sz w:val="18"/>
                <w:szCs w:val="18"/>
              </w:rPr>
              <w:t>Registration status and continuing activity after the funded period</w:t>
            </w:r>
          </w:p>
        </w:tc>
        <w:tc>
          <w:tcPr>
            <w:tcW w:w="1503" w:type="dxa"/>
            <w:tcMar>
              <w:top w:w="60" w:type="dxa"/>
              <w:left w:w="80" w:type="dxa"/>
              <w:bottom w:w="60" w:type="dxa"/>
              <w:right w:w="80" w:type="dxa"/>
            </w:tcMar>
          </w:tcPr>
          <w:p w14:paraId="1AEB9327" w14:textId="77777777" w:rsidR="008721B8" w:rsidRDefault="008B314A">
            <w:r>
              <w:rPr>
                <w:sz w:val="18"/>
                <w:szCs w:val="18"/>
              </w:rPr>
              <w:t>Post-funding</w:t>
            </w:r>
          </w:p>
        </w:tc>
        <w:tc>
          <w:tcPr>
            <w:tcW w:w="1503" w:type="dxa"/>
            <w:tcMar>
              <w:top w:w="60" w:type="dxa"/>
              <w:left w:w="80" w:type="dxa"/>
              <w:bottom w:w="60" w:type="dxa"/>
              <w:right w:w="80" w:type="dxa"/>
            </w:tcMar>
          </w:tcPr>
          <w:p w14:paraId="5A79005B" w14:textId="77777777" w:rsidR="008721B8" w:rsidRDefault="008B314A">
            <w:r>
              <w:rPr>
                <w:sz w:val="18"/>
                <w:szCs w:val="18"/>
              </w:rPr>
              <w:t>Survival may be achieved by abandoning the programme, so survival is not evidence of programme sustainability</w:t>
            </w:r>
          </w:p>
        </w:tc>
        <w:tc>
          <w:tcPr>
            <w:tcW w:w="1505" w:type="dxa"/>
            <w:tcMar>
              <w:top w:w="60" w:type="dxa"/>
              <w:left w:w="80" w:type="dxa"/>
              <w:bottom w:w="60" w:type="dxa"/>
              <w:right w:w="80" w:type="dxa"/>
            </w:tcMar>
          </w:tcPr>
          <w:p w14:paraId="6F0F7DF2" w14:textId="77777777" w:rsidR="008721B8" w:rsidRDefault="008B314A">
            <w:proofErr w:type="spellStart"/>
            <w:r>
              <w:rPr>
                <w:sz w:val="18"/>
                <w:szCs w:val="18"/>
              </w:rPr>
              <w:t>AbouAssi</w:t>
            </w:r>
            <w:proofErr w:type="spellEnd"/>
            <w:r>
              <w:rPr>
                <w:sz w:val="18"/>
                <w:szCs w:val="18"/>
              </w:rPr>
              <w:t xml:space="preserve"> (2013); Despard et al. (2017); Froelich (1999)</w:t>
            </w:r>
          </w:p>
        </w:tc>
      </w:tr>
      <w:tr w:rsidR="008721B8" w14:paraId="23DC0D7E" w14:textId="77777777">
        <w:tc>
          <w:tcPr>
            <w:tcW w:w="1503" w:type="dxa"/>
            <w:tcMar>
              <w:top w:w="60" w:type="dxa"/>
              <w:left w:w="80" w:type="dxa"/>
              <w:bottom w:w="60" w:type="dxa"/>
              <w:right w:w="80" w:type="dxa"/>
            </w:tcMar>
          </w:tcPr>
          <w:p w14:paraId="2DA735EE" w14:textId="77777777" w:rsidR="008721B8" w:rsidRDefault="008B314A">
            <w:r>
              <w:rPr>
                <w:sz w:val="18"/>
                <w:szCs w:val="18"/>
              </w:rPr>
              <w:t>Activity continuation</w:t>
            </w:r>
          </w:p>
        </w:tc>
        <w:tc>
          <w:tcPr>
            <w:tcW w:w="1503" w:type="dxa"/>
            <w:tcMar>
              <w:top w:w="60" w:type="dxa"/>
              <w:left w:w="80" w:type="dxa"/>
              <w:bottom w:w="60" w:type="dxa"/>
              <w:right w:w="80" w:type="dxa"/>
            </w:tcMar>
          </w:tcPr>
          <w:p w14:paraId="02CCBEEF" w14:textId="77777777" w:rsidR="008721B8" w:rsidRDefault="008B314A">
            <w:r>
              <w:rPr>
                <w:sz w:val="18"/>
                <w:szCs w:val="18"/>
              </w:rPr>
              <w:t>Continued delivery of the specific service or activity introduced by the project</w:t>
            </w:r>
          </w:p>
        </w:tc>
        <w:tc>
          <w:tcPr>
            <w:tcW w:w="1503" w:type="dxa"/>
            <w:tcMar>
              <w:top w:w="60" w:type="dxa"/>
              <w:left w:w="80" w:type="dxa"/>
              <w:bottom w:w="60" w:type="dxa"/>
              <w:right w:w="80" w:type="dxa"/>
            </w:tcMar>
          </w:tcPr>
          <w:p w14:paraId="03C597A4" w14:textId="77777777" w:rsidR="008721B8" w:rsidRDefault="008B314A">
            <w:r>
              <w:rPr>
                <w:sz w:val="18"/>
                <w:szCs w:val="18"/>
              </w:rPr>
              <w:t>Service delivery records or observation after external funding ceases</w:t>
            </w:r>
          </w:p>
        </w:tc>
        <w:tc>
          <w:tcPr>
            <w:tcW w:w="1503" w:type="dxa"/>
            <w:tcMar>
              <w:top w:w="60" w:type="dxa"/>
              <w:left w:w="80" w:type="dxa"/>
              <w:bottom w:w="60" w:type="dxa"/>
              <w:right w:w="80" w:type="dxa"/>
            </w:tcMar>
          </w:tcPr>
          <w:p w14:paraId="4E5726A0" w14:textId="77777777" w:rsidR="008721B8" w:rsidRDefault="008B314A">
            <w:r>
              <w:rPr>
                <w:sz w:val="18"/>
                <w:szCs w:val="18"/>
              </w:rPr>
              <w:t>Post-funding</w:t>
            </w:r>
          </w:p>
        </w:tc>
        <w:tc>
          <w:tcPr>
            <w:tcW w:w="1503" w:type="dxa"/>
            <w:tcMar>
              <w:top w:w="60" w:type="dxa"/>
              <w:left w:w="80" w:type="dxa"/>
              <w:bottom w:w="60" w:type="dxa"/>
              <w:right w:w="80" w:type="dxa"/>
            </w:tcMar>
          </w:tcPr>
          <w:p w14:paraId="0071B3DE" w14:textId="77777777" w:rsidR="008721B8" w:rsidRDefault="008B314A">
            <w:r>
              <w:rPr>
                <w:sz w:val="18"/>
                <w:szCs w:val="18"/>
              </w:rPr>
              <w:t>Continuation under a different funder or agency is frequently coded as success without examining benefit</w:t>
            </w:r>
          </w:p>
        </w:tc>
        <w:tc>
          <w:tcPr>
            <w:tcW w:w="1505" w:type="dxa"/>
            <w:tcMar>
              <w:top w:w="60" w:type="dxa"/>
              <w:left w:w="80" w:type="dxa"/>
              <w:bottom w:w="60" w:type="dxa"/>
              <w:right w:w="80" w:type="dxa"/>
            </w:tcMar>
          </w:tcPr>
          <w:p w14:paraId="250DF77C" w14:textId="77777777" w:rsidR="008721B8" w:rsidRDefault="008B314A">
            <w:r>
              <w:rPr>
                <w:sz w:val="18"/>
                <w:szCs w:val="18"/>
              </w:rPr>
              <w:t>Scheirer (2013); Scheirer and Dearing (2011); Shediac-Rizkallah and Bone (1998)</w:t>
            </w:r>
          </w:p>
        </w:tc>
      </w:tr>
      <w:tr w:rsidR="008721B8" w14:paraId="26B77EA5" w14:textId="77777777">
        <w:tc>
          <w:tcPr>
            <w:tcW w:w="1503" w:type="dxa"/>
            <w:tcMar>
              <w:top w:w="60" w:type="dxa"/>
              <w:left w:w="80" w:type="dxa"/>
              <w:bottom w:w="60" w:type="dxa"/>
              <w:right w:w="80" w:type="dxa"/>
            </w:tcMar>
          </w:tcPr>
          <w:p w14:paraId="4BFE57A7" w14:textId="77777777" w:rsidR="008721B8" w:rsidRDefault="008B314A">
            <w:r>
              <w:rPr>
                <w:sz w:val="18"/>
                <w:szCs w:val="18"/>
              </w:rPr>
              <w:t>Benefit persistence</w:t>
            </w:r>
          </w:p>
        </w:tc>
        <w:tc>
          <w:tcPr>
            <w:tcW w:w="1503" w:type="dxa"/>
            <w:tcMar>
              <w:top w:w="60" w:type="dxa"/>
              <w:left w:w="80" w:type="dxa"/>
              <w:bottom w:w="60" w:type="dxa"/>
              <w:right w:w="80" w:type="dxa"/>
            </w:tcMar>
          </w:tcPr>
          <w:p w14:paraId="77757EB0" w14:textId="77777777" w:rsidR="008721B8" w:rsidRDefault="008B314A">
            <w:r>
              <w:rPr>
                <w:sz w:val="18"/>
                <w:szCs w:val="18"/>
              </w:rPr>
              <w:t>Maintenance of the outcome among intended recipients after activities cease</w:t>
            </w:r>
          </w:p>
        </w:tc>
        <w:tc>
          <w:tcPr>
            <w:tcW w:w="1503" w:type="dxa"/>
            <w:tcMar>
              <w:top w:w="60" w:type="dxa"/>
              <w:left w:w="80" w:type="dxa"/>
              <w:bottom w:w="60" w:type="dxa"/>
              <w:right w:w="80" w:type="dxa"/>
            </w:tcMar>
          </w:tcPr>
          <w:p w14:paraId="718A265D" w14:textId="77777777" w:rsidR="008721B8" w:rsidRDefault="008B314A">
            <w:r>
              <w:rPr>
                <w:sz w:val="18"/>
                <w:szCs w:val="18"/>
              </w:rPr>
              <w:t>Outcome measurement in the recipient population at a defined post-funding interval</w:t>
            </w:r>
          </w:p>
        </w:tc>
        <w:tc>
          <w:tcPr>
            <w:tcW w:w="1503" w:type="dxa"/>
            <w:tcMar>
              <w:top w:w="60" w:type="dxa"/>
              <w:left w:w="80" w:type="dxa"/>
              <w:bottom w:w="60" w:type="dxa"/>
              <w:right w:w="80" w:type="dxa"/>
            </w:tcMar>
          </w:tcPr>
          <w:p w14:paraId="5BEEA483" w14:textId="77777777" w:rsidR="008721B8" w:rsidRDefault="008B314A">
            <w:r>
              <w:rPr>
                <w:sz w:val="18"/>
                <w:szCs w:val="18"/>
              </w:rPr>
              <w:t>Post-funding, typically after a lag</w:t>
            </w:r>
          </w:p>
        </w:tc>
        <w:tc>
          <w:tcPr>
            <w:tcW w:w="1503" w:type="dxa"/>
            <w:tcMar>
              <w:top w:w="60" w:type="dxa"/>
              <w:left w:w="80" w:type="dxa"/>
              <w:bottom w:w="60" w:type="dxa"/>
              <w:right w:w="80" w:type="dxa"/>
            </w:tcMar>
          </w:tcPr>
          <w:p w14:paraId="6D2A10A0" w14:textId="77777777" w:rsidR="008721B8" w:rsidRDefault="008B314A">
            <w:r>
              <w:rPr>
                <w:sz w:val="18"/>
                <w:szCs w:val="18"/>
              </w:rPr>
              <w:t>Rarely measured; anticipated benefit is substituted for realised benefit</w:t>
            </w:r>
          </w:p>
        </w:tc>
        <w:tc>
          <w:tcPr>
            <w:tcW w:w="1505" w:type="dxa"/>
            <w:tcMar>
              <w:top w:w="60" w:type="dxa"/>
              <w:left w:w="80" w:type="dxa"/>
              <w:bottom w:w="60" w:type="dxa"/>
              <w:right w:w="80" w:type="dxa"/>
            </w:tcMar>
          </w:tcPr>
          <w:p w14:paraId="01CCBE91" w14:textId="77777777" w:rsidR="008721B8" w:rsidRDefault="008B314A">
            <w:r>
              <w:rPr>
                <w:sz w:val="18"/>
                <w:szCs w:val="18"/>
              </w:rPr>
              <w:t>Ilesanmi and Afolabi (2022); Scheirer and Dearing (2011)</w:t>
            </w:r>
          </w:p>
        </w:tc>
      </w:tr>
      <w:tr w:rsidR="008721B8" w14:paraId="55898B1E" w14:textId="77777777">
        <w:tc>
          <w:tcPr>
            <w:tcW w:w="1503" w:type="dxa"/>
            <w:tcMar>
              <w:top w:w="60" w:type="dxa"/>
              <w:left w:w="80" w:type="dxa"/>
              <w:bottom w:w="60" w:type="dxa"/>
              <w:right w:w="80" w:type="dxa"/>
            </w:tcMar>
          </w:tcPr>
          <w:p w14:paraId="68823BBC" w14:textId="77777777" w:rsidR="008721B8" w:rsidRDefault="008B314A">
            <w:r>
              <w:rPr>
                <w:sz w:val="18"/>
                <w:szCs w:val="18"/>
              </w:rPr>
              <w:t>Asset or capability maintenance</w:t>
            </w:r>
          </w:p>
        </w:tc>
        <w:tc>
          <w:tcPr>
            <w:tcW w:w="1503" w:type="dxa"/>
            <w:tcMar>
              <w:top w:w="60" w:type="dxa"/>
              <w:left w:w="80" w:type="dxa"/>
              <w:bottom w:w="60" w:type="dxa"/>
              <w:right w:w="80" w:type="dxa"/>
            </w:tcMar>
          </w:tcPr>
          <w:p w14:paraId="673A8A30" w14:textId="77777777" w:rsidR="008721B8" w:rsidRDefault="008B314A">
            <w:r>
              <w:rPr>
                <w:sz w:val="18"/>
                <w:szCs w:val="18"/>
              </w:rPr>
              <w:t xml:space="preserve">Continued functionality of installed </w:t>
            </w:r>
            <w:r>
              <w:rPr>
                <w:sz w:val="18"/>
                <w:szCs w:val="18"/>
              </w:rPr>
              <w:lastRenderedPageBreak/>
              <w:t>infrastructure or retention of transferred capability</w:t>
            </w:r>
          </w:p>
        </w:tc>
        <w:tc>
          <w:tcPr>
            <w:tcW w:w="1503" w:type="dxa"/>
            <w:tcMar>
              <w:top w:w="60" w:type="dxa"/>
              <w:left w:w="80" w:type="dxa"/>
              <w:bottom w:w="60" w:type="dxa"/>
              <w:right w:w="80" w:type="dxa"/>
            </w:tcMar>
          </w:tcPr>
          <w:p w14:paraId="4BD44D0C" w14:textId="77777777" w:rsidR="008721B8" w:rsidRDefault="008B314A">
            <w:r>
              <w:rPr>
                <w:sz w:val="18"/>
                <w:szCs w:val="18"/>
              </w:rPr>
              <w:lastRenderedPageBreak/>
              <w:t xml:space="preserve">Functionality assessment or </w:t>
            </w:r>
            <w:r>
              <w:rPr>
                <w:sz w:val="18"/>
                <w:szCs w:val="18"/>
              </w:rPr>
              <w:lastRenderedPageBreak/>
              <w:t>capability testing at intervals</w:t>
            </w:r>
          </w:p>
        </w:tc>
        <w:tc>
          <w:tcPr>
            <w:tcW w:w="1503" w:type="dxa"/>
            <w:tcMar>
              <w:top w:w="60" w:type="dxa"/>
              <w:left w:w="80" w:type="dxa"/>
              <w:bottom w:w="60" w:type="dxa"/>
              <w:right w:w="80" w:type="dxa"/>
            </w:tcMar>
          </w:tcPr>
          <w:p w14:paraId="2A9C97A2" w14:textId="77777777" w:rsidR="008721B8" w:rsidRDefault="008B314A">
            <w:r>
              <w:rPr>
                <w:sz w:val="18"/>
                <w:szCs w:val="18"/>
              </w:rPr>
              <w:lastRenderedPageBreak/>
              <w:t>During and after funding</w:t>
            </w:r>
          </w:p>
        </w:tc>
        <w:tc>
          <w:tcPr>
            <w:tcW w:w="1503" w:type="dxa"/>
            <w:tcMar>
              <w:top w:w="60" w:type="dxa"/>
              <w:left w:w="80" w:type="dxa"/>
              <w:bottom w:w="60" w:type="dxa"/>
              <w:right w:w="80" w:type="dxa"/>
            </w:tcMar>
          </w:tcPr>
          <w:p w14:paraId="5471E643" w14:textId="77777777" w:rsidR="008721B8" w:rsidRDefault="008B314A">
            <w:r>
              <w:rPr>
                <w:sz w:val="18"/>
                <w:szCs w:val="18"/>
              </w:rPr>
              <w:t xml:space="preserve">Presence of an asset is recorded as functionality; </w:t>
            </w:r>
            <w:r>
              <w:rPr>
                <w:sz w:val="18"/>
                <w:szCs w:val="18"/>
              </w:rPr>
              <w:lastRenderedPageBreak/>
              <w:t>definitions of functionality vary between studies</w:t>
            </w:r>
          </w:p>
        </w:tc>
        <w:tc>
          <w:tcPr>
            <w:tcW w:w="1505" w:type="dxa"/>
            <w:tcMar>
              <w:top w:w="60" w:type="dxa"/>
              <w:left w:w="80" w:type="dxa"/>
              <w:bottom w:w="60" w:type="dxa"/>
              <w:right w:w="80" w:type="dxa"/>
            </w:tcMar>
          </w:tcPr>
          <w:p w14:paraId="309B6BF6" w14:textId="77777777" w:rsidR="008721B8" w:rsidRDefault="008B314A">
            <w:r>
              <w:rPr>
                <w:sz w:val="18"/>
                <w:szCs w:val="18"/>
              </w:rPr>
              <w:lastRenderedPageBreak/>
              <w:t xml:space="preserve">Foster et al. (2018); Whaley </w:t>
            </w:r>
            <w:r>
              <w:rPr>
                <w:sz w:val="18"/>
                <w:szCs w:val="18"/>
              </w:rPr>
              <w:lastRenderedPageBreak/>
              <w:t>and Cleaver (2017)</w:t>
            </w:r>
          </w:p>
        </w:tc>
      </w:tr>
      <w:tr w:rsidR="008721B8" w14:paraId="0603E223" w14:textId="77777777">
        <w:tc>
          <w:tcPr>
            <w:tcW w:w="1503" w:type="dxa"/>
            <w:tcMar>
              <w:top w:w="60" w:type="dxa"/>
              <w:left w:w="80" w:type="dxa"/>
              <w:bottom w:w="60" w:type="dxa"/>
              <w:right w:w="80" w:type="dxa"/>
            </w:tcMar>
          </w:tcPr>
          <w:p w14:paraId="18AAD412" w14:textId="77777777" w:rsidR="008721B8" w:rsidRDefault="008B314A">
            <w:r>
              <w:rPr>
                <w:sz w:val="18"/>
                <w:szCs w:val="18"/>
              </w:rPr>
              <w:lastRenderedPageBreak/>
              <w:t>Institutionalisation</w:t>
            </w:r>
          </w:p>
        </w:tc>
        <w:tc>
          <w:tcPr>
            <w:tcW w:w="1503" w:type="dxa"/>
            <w:tcMar>
              <w:top w:w="60" w:type="dxa"/>
              <w:left w:w="80" w:type="dxa"/>
              <w:bottom w:w="60" w:type="dxa"/>
              <w:right w:w="80" w:type="dxa"/>
            </w:tcMar>
          </w:tcPr>
          <w:p w14:paraId="6C9665AB" w14:textId="77777777" w:rsidR="008721B8" w:rsidRDefault="008B314A">
            <w:r>
              <w:rPr>
                <w:sz w:val="18"/>
                <w:szCs w:val="18"/>
              </w:rPr>
              <w:t>Absorption of the activity into the routine operations and budget of a host institution</w:t>
            </w:r>
          </w:p>
        </w:tc>
        <w:tc>
          <w:tcPr>
            <w:tcW w:w="1503" w:type="dxa"/>
            <w:tcMar>
              <w:top w:w="60" w:type="dxa"/>
              <w:left w:w="80" w:type="dxa"/>
              <w:bottom w:w="60" w:type="dxa"/>
              <w:right w:w="80" w:type="dxa"/>
            </w:tcMar>
          </w:tcPr>
          <w:p w14:paraId="60C734A0" w14:textId="77777777" w:rsidR="008721B8" w:rsidRDefault="008B314A">
            <w:r>
              <w:rPr>
                <w:sz w:val="18"/>
                <w:szCs w:val="18"/>
              </w:rPr>
              <w:t>Budget lines, staffing establishment and policy instruments of the host institution</w:t>
            </w:r>
          </w:p>
        </w:tc>
        <w:tc>
          <w:tcPr>
            <w:tcW w:w="1503" w:type="dxa"/>
            <w:tcMar>
              <w:top w:w="60" w:type="dxa"/>
              <w:left w:w="80" w:type="dxa"/>
              <w:bottom w:w="60" w:type="dxa"/>
              <w:right w:w="80" w:type="dxa"/>
            </w:tcMar>
          </w:tcPr>
          <w:p w14:paraId="553AC05B" w14:textId="77777777" w:rsidR="008721B8" w:rsidRDefault="008B314A">
            <w:r>
              <w:rPr>
                <w:sz w:val="18"/>
                <w:szCs w:val="18"/>
              </w:rPr>
              <w:t>Late in funding, confirmable post-funding</w:t>
            </w:r>
          </w:p>
        </w:tc>
        <w:tc>
          <w:tcPr>
            <w:tcW w:w="1503" w:type="dxa"/>
            <w:tcMar>
              <w:top w:w="60" w:type="dxa"/>
              <w:left w:w="80" w:type="dxa"/>
              <w:bottom w:w="60" w:type="dxa"/>
              <w:right w:w="80" w:type="dxa"/>
            </w:tcMar>
          </w:tcPr>
          <w:p w14:paraId="49F241EB" w14:textId="77777777" w:rsidR="008721B8" w:rsidRDefault="008B314A">
            <w:r>
              <w:rPr>
                <w:sz w:val="18"/>
                <w:szCs w:val="18"/>
              </w:rPr>
              <w:t>Formal adoption without resourcing is common and is difficult to distinguish from substantive absorption</w:t>
            </w:r>
          </w:p>
        </w:tc>
        <w:tc>
          <w:tcPr>
            <w:tcW w:w="1505" w:type="dxa"/>
            <w:tcMar>
              <w:top w:w="60" w:type="dxa"/>
              <w:left w:w="80" w:type="dxa"/>
              <w:bottom w:w="60" w:type="dxa"/>
              <w:right w:w="80" w:type="dxa"/>
            </w:tcMar>
          </w:tcPr>
          <w:p w14:paraId="6DD7AC8F" w14:textId="77777777" w:rsidR="008721B8" w:rsidRDefault="008B314A">
            <w:r>
              <w:rPr>
                <w:sz w:val="18"/>
                <w:szCs w:val="18"/>
              </w:rPr>
              <w:t>Palen et al. (2012); Vogus and Graff (2015)</w:t>
            </w:r>
          </w:p>
        </w:tc>
      </w:tr>
    </w:tbl>
    <w:p w14:paraId="5E0719AD" w14:textId="77777777" w:rsidR="008721B8" w:rsidRDefault="008B314A">
      <w:pPr>
        <w:spacing w:before="80" w:after="220"/>
      </w:pPr>
      <w:r>
        <w:rPr>
          <w:i/>
          <w:iCs/>
          <w:sz w:val="18"/>
          <w:szCs w:val="18"/>
        </w:rPr>
        <w:t>Note. The five constructs are not mutually exclusive but are empirically separable. Studies reporting a single composite sustainability score average across constructs with different determinants and different assessable horizons.</w:t>
      </w:r>
    </w:p>
    <w:p w14:paraId="5170EE31" w14:textId="77777777" w:rsidR="008721B8" w:rsidRDefault="008B314A">
      <w:pPr>
        <w:pStyle w:val="Heading1"/>
        <w:spacing w:before="280" w:after="160"/>
      </w:pPr>
      <w:r>
        <w:rPr>
          <w:b/>
          <w:bCs/>
          <w:color w:val="000000"/>
          <w:sz w:val="24"/>
          <w:szCs w:val="24"/>
        </w:rPr>
        <w:t>4. Competing Theoretical Accounts of How Financing Structure Shapes Governance</w:t>
      </w:r>
    </w:p>
    <w:p w14:paraId="746EC0AA" w14:textId="77777777" w:rsidR="008721B8" w:rsidRDefault="008B314A">
      <w:pPr>
        <w:pStyle w:val="Heading2"/>
        <w:spacing w:before="280" w:after="160"/>
      </w:pPr>
      <w:r>
        <w:rPr>
          <w:b/>
          <w:bCs/>
          <w:color w:val="000000"/>
          <w:sz w:val="22"/>
          <w:szCs w:val="22"/>
        </w:rPr>
        <w:t>4.1 Resource dependence and the adaptation of organisational behaviour</w:t>
      </w:r>
    </w:p>
    <w:p w14:paraId="57E2250E" w14:textId="77777777" w:rsidR="008721B8" w:rsidRDefault="008B314A">
      <w:pPr>
        <w:spacing w:after="160" w:line="360" w:lineRule="auto"/>
        <w:jc w:val="both"/>
      </w:pPr>
      <w:r>
        <w:rPr>
          <w:sz w:val="22"/>
          <w:szCs w:val="22"/>
        </w:rPr>
        <w:t>The dominant account in nonprofit scholarship treats external funding concentration as a source of power asymmetry that reshapes the dependent organisation. Early work established that reliance on a narrow revenue base is associated with adaptation of goals, structures and procedures toward the preferences of the dominant resource provider, and that different revenue types carry different adaptive pressures (Froelich, 1999). Applied to donor-funded settings, the account predicts that organisations facing short and reversible funding horizons will orient their internal governance toward the satisfaction of funder requirements, will invest disproportionately in compliance capacity, and will adjust programme content when funder priorities shift. Empirical work in the Global South is broadly consistent with the prediction. A study of Lebanese organisations facing priority shifts documented a repertoire of responses in which outright exit was rare and strategic adjustment toward the funder was common (</w:t>
      </w:r>
      <w:proofErr w:type="spellStart"/>
      <w:r>
        <w:rPr>
          <w:sz w:val="22"/>
          <w:szCs w:val="22"/>
        </w:rPr>
        <w:t>AbouAssi</w:t>
      </w:r>
      <w:proofErr w:type="spellEnd"/>
      <w:r>
        <w:rPr>
          <w:sz w:val="22"/>
          <w:szCs w:val="22"/>
        </w:rPr>
        <w:t>, 2013), and a related analysis found that the receipt of donor funding was associated with altered engagement in public policy processes (</w:t>
      </w:r>
      <w:proofErr w:type="spellStart"/>
      <w:r>
        <w:rPr>
          <w:sz w:val="22"/>
          <w:szCs w:val="22"/>
        </w:rPr>
        <w:t>AbouAssi</w:t>
      </w:r>
      <w:proofErr w:type="spellEnd"/>
      <w:r>
        <w:rPr>
          <w:sz w:val="22"/>
          <w:szCs w:val="22"/>
        </w:rPr>
        <w:t>, 2014).</w:t>
      </w:r>
    </w:p>
    <w:p w14:paraId="19B46820" w14:textId="77777777" w:rsidR="008721B8" w:rsidRDefault="008B314A">
      <w:pPr>
        <w:spacing w:after="160" w:line="360" w:lineRule="auto"/>
        <w:jc w:val="both"/>
      </w:pPr>
      <w:r>
        <w:rPr>
          <w:sz w:val="22"/>
          <w:szCs w:val="22"/>
        </w:rPr>
        <w:t>The account's principal empirical extension is the prediction that diversification of the revenue base reduces vulnerability. Here the evidence is genuinely mixed, and the disagreement is instructive. Meta-analytic synthesis across the general nonprofit literature found that revenue diversification is associated with improved financial health, although the association varies by the financial health indicator used (Hung &amp; Hager, 2019). A separate bibliometric and meta-analytic treatment reached a broadly similar conclusion while noting heterogeneity across settings and measures (Lu et al., 2019). Against this, a study of non-governmental organisations across sub-Saharan Africa found that revenue diversification did not predict reduced financial vulnerability in the way the general literature would imply, and that other organisational characteristics carried more explanatory weight (Despard et al., 2017). Work on Cambodian organisations similarly found that diversification strategies had effects contingent on the type of revenue pursued and on organisational capacity, rather than uniform protective effects (</w:t>
      </w:r>
      <w:proofErr w:type="spellStart"/>
      <w:r>
        <w:rPr>
          <w:sz w:val="22"/>
          <w:szCs w:val="22"/>
        </w:rPr>
        <w:t>Khieng</w:t>
      </w:r>
      <w:proofErr w:type="spellEnd"/>
      <w:r>
        <w:rPr>
          <w:sz w:val="22"/>
          <w:szCs w:val="22"/>
        </w:rPr>
        <w:t xml:space="preserve"> </w:t>
      </w:r>
      <w:r>
        <w:rPr>
          <w:sz w:val="22"/>
          <w:szCs w:val="22"/>
        </w:rPr>
        <w:lastRenderedPageBreak/>
        <w:t xml:space="preserve">&amp; </w:t>
      </w:r>
      <w:proofErr w:type="spellStart"/>
      <w:r>
        <w:rPr>
          <w:sz w:val="22"/>
          <w:szCs w:val="22"/>
        </w:rPr>
        <w:t>Dahles</w:t>
      </w:r>
      <w:proofErr w:type="spellEnd"/>
      <w:r>
        <w:rPr>
          <w:sz w:val="22"/>
          <w:szCs w:val="22"/>
        </w:rPr>
        <w:t>, 2015). The most defensible reading is that diversification protects against the failure of any single funder but does not protect against a correlated contraction across the donor community, which is the scenario that materialised in 2025, and that in settings where all realistically available revenue sources are external and subject to common shocks the theoretical benefit of diversification is substantially attenuated.</w:t>
      </w:r>
    </w:p>
    <w:p w14:paraId="390B4587" w14:textId="77777777" w:rsidR="008721B8" w:rsidRDefault="008B314A">
      <w:pPr>
        <w:spacing w:after="160" w:line="360" w:lineRule="auto"/>
        <w:jc w:val="both"/>
      </w:pPr>
      <w:r>
        <w:rPr>
          <w:sz w:val="22"/>
          <w:szCs w:val="22"/>
        </w:rPr>
        <w:t>A recognised cost of diversification, particularly of the shift toward earned income, is the risk of drift away from the organisation's stated purpose. Analysis of mission drift has identified the mechanisms through which pursuit of commercial revenue reshapes priorities and has argued that governance arrangements are the principal defence against it (Cornforth, 2014). This introduces a tension that the sustainability literature seldom acknowledges: the financial strategy most often recommended for reducing donor dependence carries governance risks of its own, and the net effect on benefit persistence is not established.</w:t>
      </w:r>
    </w:p>
    <w:p w14:paraId="007724D6" w14:textId="77777777" w:rsidR="008721B8" w:rsidRDefault="008B314A">
      <w:pPr>
        <w:pStyle w:val="Heading2"/>
        <w:spacing w:before="280" w:after="160"/>
      </w:pPr>
      <w:r>
        <w:rPr>
          <w:b/>
          <w:bCs/>
          <w:color w:val="000000"/>
          <w:sz w:val="22"/>
          <w:szCs w:val="22"/>
        </w:rPr>
        <w:t>4.2 Principal–agent reasoning and the accountability architecture</w:t>
      </w:r>
    </w:p>
    <w:p w14:paraId="75CCE295" w14:textId="77777777" w:rsidR="008721B8" w:rsidRDefault="008B314A">
      <w:pPr>
        <w:spacing w:after="160" w:line="360" w:lineRule="auto"/>
        <w:jc w:val="both"/>
      </w:pPr>
      <w:r>
        <w:rPr>
          <w:sz w:val="22"/>
          <w:szCs w:val="22"/>
        </w:rPr>
        <w:t>A second account treats the donor–implementer relationship as a contracting problem under information asymmetry, in which phased disbursement functions as a monitoring and bonding device. On this view, releasing funds in increments against verified performance reduces the funder's exposure to shirking and misappropriation, and the associated reporting burden is the price of reduced agency cost. The account explains features of the arrangement that resource dependence theory does not, in particular why funders retain discretion even when they have no doubts about the implementer's intentions.</w:t>
      </w:r>
    </w:p>
    <w:p w14:paraId="501D5ADA" w14:textId="77777777" w:rsidR="008721B8" w:rsidRDefault="008B314A">
      <w:pPr>
        <w:spacing w:after="160" w:line="360" w:lineRule="auto"/>
        <w:jc w:val="both"/>
      </w:pPr>
      <w:r>
        <w:rPr>
          <w:sz w:val="22"/>
          <w:szCs w:val="22"/>
        </w:rPr>
        <w:t>Its principal difficulty is that it predicts accountability flowing in one direction only. Work on non-governmental accountability has distinguished mechanisms directed toward funders and regulators from those directed toward intended beneficiaries, and has shown that the two are unequally resourced and that the former systematically crowds out the latter (Ebrahim, 2003). Field research on the effects of upward accountability processes in Ghanaian settings found that these processes reshaped the internal conversations of implementing organisations in ways that were not straightforwardly captured as either compliance or resistance, and that opportunities for accountability dialogue with beneficiaries were constrained by the demands of funder reporting (Agyemang et al., 2017). Studies of practice at the interfaces of the aid chain have shown that project management requirements are translated and partly reconstructed as they pass between organisational levels, so that what the funder specifies and what is enacted at delivery level diverge in patterned ways (Gutheil &amp; Koch, 2024). Principal–agent reasoning treats such divergence as agency loss to be minimised; the alternative reading, that some divergence is adaptive and improves fit to context, is not available within the framework.</w:t>
      </w:r>
    </w:p>
    <w:p w14:paraId="113331CB" w14:textId="77777777" w:rsidR="008721B8" w:rsidRDefault="008B314A">
      <w:pPr>
        <w:spacing w:after="160" w:line="360" w:lineRule="auto"/>
        <w:jc w:val="both"/>
      </w:pPr>
      <w:r>
        <w:rPr>
          <w:sz w:val="22"/>
          <w:szCs w:val="22"/>
        </w:rPr>
        <w:t xml:space="preserve">A macro-level extension of the same logic concerns what happens when many principals contract with the same agents. Analysis of donor fragmentation found an association with weaker bureaucratic quality in recipient countries, attributed to the administrative burden of servicing multiple uncoordinated </w:t>
      </w:r>
      <w:r>
        <w:rPr>
          <w:sz w:val="22"/>
          <w:szCs w:val="22"/>
        </w:rPr>
        <w:lastRenderedPageBreak/>
        <w:t>funders (Knack &amp; Rahman, 2007). Comparative work on proliferation and fragmentation found that the problem had not diminished despite repeated commitments to coordinate, and that measurement choices materially affect the apparent severity of the trend (</w:t>
      </w:r>
      <w:proofErr w:type="spellStart"/>
      <w:r>
        <w:rPr>
          <w:sz w:val="22"/>
          <w:szCs w:val="22"/>
        </w:rPr>
        <w:t>Schulpen</w:t>
      </w:r>
      <w:proofErr w:type="spellEnd"/>
      <w:r>
        <w:rPr>
          <w:sz w:val="22"/>
          <w:szCs w:val="22"/>
        </w:rPr>
        <w:t xml:space="preserve"> et al., 2011). Both findings concern national administrations rather than non-governmental organisations, and the extrapolation to implementing organisations is plausible but has not been directly tested.</w:t>
      </w:r>
    </w:p>
    <w:p w14:paraId="7409EEFE" w14:textId="77777777" w:rsidR="008721B8" w:rsidRDefault="008B314A">
      <w:pPr>
        <w:pStyle w:val="Heading2"/>
        <w:spacing w:before="280" w:after="160"/>
      </w:pPr>
      <w:r>
        <w:rPr>
          <w:b/>
          <w:bCs/>
          <w:color w:val="000000"/>
          <w:sz w:val="22"/>
          <w:szCs w:val="22"/>
        </w:rPr>
        <w:t xml:space="preserve">4.3 Governmentality, </w:t>
      </w:r>
      <w:proofErr w:type="spellStart"/>
      <w:r>
        <w:rPr>
          <w:b/>
          <w:bCs/>
          <w:color w:val="000000"/>
          <w:sz w:val="22"/>
          <w:szCs w:val="22"/>
        </w:rPr>
        <w:t>projectification</w:t>
      </w:r>
      <w:proofErr w:type="spellEnd"/>
      <w:r>
        <w:rPr>
          <w:b/>
          <w:bCs/>
          <w:color w:val="000000"/>
          <w:sz w:val="22"/>
          <w:szCs w:val="22"/>
        </w:rPr>
        <w:t xml:space="preserve"> and the shaping of conduct</w:t>
      </w:r>
    </w:p>
    <w:p w14:paraId="3C227398" w14:textId="77777777" w:rsidR="008721B8" w:rsidRDefault="008B314A">
      <w:pPr>
        <w:spacing w:after="160" w:line="360" w:lineRule="auto"/>
        <w:jc w:val="both"/>
      </w:pPr>
      <w:r>
        <w:rPr>
          <w:sz w:val="22"/>
          <w:szCs w:val="22"/>
        </w:rPr>
        <w:t xml:space="preserve">A third account, developed within critical project studies, treats the project form itself as a technology of government. It holds that dividing continuous social problems into bounded, funded, measurable projects </w:t>
      </w:r>
      <w:proofErr w:type="gramStart"/>
      <w:r>
        <w:rPr>
          <w:sz w:val="22"/>
          <w:szCs w:val="22"/>
        </w:rPr>
        <w:t>reshapes</w:t>
      </w:r>
      <w:proofErr w:type="gramEnd"/>
      <w:r>
        <w:rPr>
          <w:sz w:val="22"/>
          <w:szCs w:val="22"/>
        </w:rPr>
        <w:t xml:space="preserve"> how organisations think about their work, and that governance operates less through explicit control than through the conduct that the project form makes thinkable. Theoretical development of this position has articulated governance structure and governmentality as distinct dimensions and has related their combinations to project outcomes (Müller et al., 2014, 2016, 2017). Applied to development, the argument has been advanced that project management practice and critical development studies each contain resources the other lacks, and that their combination is required to explain the persistence of practices that are known to perform poorly (Ika &amp; Hodgson, 2014). A related line of argument holds that the planning apparatus of development projects performs a legitimating function that is largely independent of its contribution to delivery, so that elaborate front-end plans coexist with weak front-end analysis (Ika &amp; Saint-Macary, 2012).</w:t>
      </w:r>
    </w:p>
    <w:p w14:paraId="10B968A9" w14:textId="77777777" w:rsidR="008721B8" w:rsidRDefault="008B314A">
      <w:pPr>
        <w:spacing w:after="160" w:line="360" w:lineRule="auto"/>
        <w:jc w:val="both"/>
      </w:pPr>
      <w:r>
        <w:rPr>
          <w:sz w:val="22"/>
          <w:szCs w:val="22"/>
        </w:rPr>
        <w:t>The account has explanatory reach that the others lack. It explains why implementing organisations adopt the vocabulary and instruments of results management even where these are known to distort priorities, and why reform efforts that alter formal requirements without altering the underlying project form produce so little change. Its principal weakness is empirical: it generates few propositions that could be falsified by the kind of evidence available, and much of its supporting material is interpretive case work whose transferability is asserted rather than demonstrated. Critical appraisal of the logical framework instrument, which is the concrete embodiment of the project form in development practice, reached a more balanced position, arguing that the instrument's problems arise from the uses to which it is put rather than from its structure, and that learning-oriented application is possible (Gasper, 2000). That assessment has not been superseded, and it cautions against attributing to the project form what is better attributed to the incentives surrounding its use.</w:t>
      </w:r>
    </w:p>
    <w:p w14:paraId="33F0D816" w14:textId="77777777" w:rsidR="008721B8" w:rsidRDefault="008B314A">
      <w:pPr>
        <w:spacing w:after="160" w:line="360" w:lineRule="auto"/>
        <w:jc w:val="both"/>
      </w:pPr>
      <w:r>
        <w:rPr>
          <w:sz w:val="22"/>
          <w:szCs w:val="22"/>
        </w:rPr>
        <w:t xml:space="preserve">Table 2 compares the three accounts on the mechanism each proposes, the prediction each generates about the effect of shortening the funding horizon, the type of evidence each would require, and the principal weakness of each. Comparison makes clear that the accounts are not mutually exclusive and that they operate at different levels: resource dependence at the level of organisational strategy, principal–agent reasoning at the level of the contract, and governmentality at the level of the field. The practical consequence is that studies testing one account while ignoring the others will attribute to their </w:t>
      </w:r>
      <w:r>
        <w:rPr>
          <w:sz w:val="22"/>
          <w:szCs w:val="22"/>
        </w:rPr>
        <w:lastRenderedPageBreak/>
        <w:t>preferred mechanism variance that the others could equally explain, and this is a recurrent feature of the empirical literature reviewed in the following section.</w:t>
      </w:r>
    </w:p>
    <w:p w14:paraId="399EA2C7" w14:textId="77777777" w:rsidR="008721B8" w:rsidRDefault="008B314A">
      <w:pPr>
        <w:spacing w:before="200" w:after="100"/>
      </w:pPr>
      <w:r>
        <w:rPr>
          <w:b/>
          <w:bCs/>
        </w:rPr>
        <w:t>Table 2. Comparison of theoretical accounts of the financing–governance relationship</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503"/>
        <w:gridCol w:w="1503"/>
        <w:gridCol w:w="1503"/>
        <w:gridCol w:w="1503"/>
        <w:gridCol w:w="1503"/>
        <w:gridCol w:w="1505"/>
      </w:tblGrid>
      <w:tr w:rsidR="008721B8" w14:paraId="68326FCD" w14:textId="77777777">
        <w:trPr>
          <w:tblHeader/>
        </w:trPr>
        <w:tc>
          <w:tcPr>
            <w:tcW w:w="1503" w:type="dxa"/>
            <w:shd w:val="clear" w:color="auto" w:fill="E8E8E8"/>
            <w:tcMar>
              <w:top w:w="60" w:type="dxa"/>
              <w:left w:w="80" w:type="dxa"/>
              <w:bottom w:w="60" w:type="dxa"/>
              <w:right w:w="80" w:type="dxa"/>
            </w:tcMar>
          </w:tcPr>
          <w:p w14:paraId="15D77D85" w14:textId="77777777" w:rsidR="008721B8" w:rsidRDefault="008B314A">
            <w:r>
              <w:rPr>
                <w:b/>
                <w:bCs/>
                <w:sz w:val="18"/>
                <w:szCs w:val="18"/>
              </w:rPr>
              <w:t>Account</w:t>
            </w:r>
          </w:p>
        </w:tc>
        <w:tc>
          <w:tcPr>
            <w:tcW w:w="1503" w:type="dxa"/>
            <w:shd w:val="clear" w:color="auto" w:fill="E8E8E8"/>
            <w:tcMar>
              <w:top w:w="60" w:type="dxa"/>
              <w:left w:w="80" w:type="dxa"/>
              <w:bottom w:w="60" w:type="dxa"/>
              <w:right w:w="80" w:type="dxa"/>
            </w:tcMar>
          </w:tcPr>
          <w:p w14:paraId="06F706E6" w14:textId="77777777" w:rsidR="008721B8" w:rsidRDefault="008B314A">
            <w:r>
              <w:rPr>
                <w:b/>
                <w:bCs/>
                <w:sz w:val="18"/>
                <w:szCs w:val="18"/>
              </w:rPr>
              <w:t>Proposed mechanism</w:t>
            </w:r>
          </w:p>
        </w:tc>
        <w:tc>
          <w:tcPr>
            <w:tcW w:w="1503" w:type="dxa"/>
            <w:shd w:val="clear" w:color="auto" w:fill="E8E8E8"/>
            <w:tcMar>
              <w:top w:w="60" w:type="dxa"/>
              <w:left w:w="80" w:type="dxa"/>
              <w:bottom w:w="60" w:type="dxa"/>
              <w:right w:w="80" w:type="dxa"/>
            </w:tcMar>
          </w:tcPr>
          <w:p w14:paraId="4DD06624" w14:textId="77777777" w:rsidR="008721B8" w:rsidRDefault="008B314A">
            <w:r>
              <w:rPr>
                <w:b/>
                <w:bCs/>
                <w:sz w:val="18"/>
                <w:szCs w:val="18"/>
              </w:rPr>
              <w:t>Prediction if funding horizon shortens</w:t>
            </w:r>
          </w:p>
        </w:tc>
        <w:tc>
          <w:tcPr>
            <w:tcW w:w="1503" w:type="dxa"/>
            <w:shd w:val="clear" w:color="auto" w:fill="E8E8E8"/>
            <w:tcMar>
              <w:top w:w="60" w:type="dxa"/>
              <w:left w:w="80" w:type="dxa"/>
              <w:bottom w:w="60" w:type="dxa"/>
              <w:right w:w="80" w:type="dxa"/>
            </w:tcMar>
          </w:tcPr>
          <w:p w14:paraId="4EEB62F2" w14:textId="77777777" w:rsidR="008721B8" w:rsidRDefault="008B314A">
            <w:r>
              <w:rPr>
                <w:b/>
                <w:bCs/>
                <w:sz w:val="18"/>
                <w:szCs w:val="18"/>
              </w:rPr>
              <w:t>Evidence required to test</w:t>
            </w:r>
          </w:p>
        </w:tc>
        <w:tc>
          <w:tcPr>
            <w:tcW w:w="1503" w:type="dxa"/>
            <w:shd w:val="clear" w:color="auto" w:fill="E8E8E8"/>
            <w:tcMar>
              <w:top w:w="60" w:type="dxa"/>
              <w:left w:w="80" w:type="dxa"/>
              <w:bottom w:w="60" w:type="dxa"/>
              <w:right w:w="80" w:type="dxa"/>
            </w:tcMar>
          </w:tcPr>
          <w:p w14:paraId="373FBF06" w14:textId="77777777" w:rsidR="008721B8" w:rsidRDefault="008B314A">
            <w:r>
              <w:rPr>
                <w:b/>
                <w:bCs/>
                <w:sz w:val="18"/>
                <w:szCs w:val="18"/>
              </w:rPr>
              <w:t>Principal weakness</w:t>
            </w:r>
          </w:p>
        </w:tc>
        <w:tc>
          <w:tcPr>
            <w:tcW w:w="1505" w:type="dxa"/>
            <w:shd w:val="clear" w:color="auto" w:fill="E8E8E8"/>
            <w:tcMar>
              <w:top w:w="60" w:type="dxa"/>
              <w:left w:w="80" w:type="dxa"/>
              <w:bottom w:w="60" w:type="dxa"/>
              <w:right w:w="80" w:type="dxa"/>
            </w:tcMar>
          </w:tcPr>
          <w:p w14:paraId="23900C3E" w14:textId="77777777" w:rsidR="008721B8" w:rsidRDefault="008B314A">
            <w:r>
              <w:rPr>
                <w:b/>
                <w:bCs/>
                <w:sz w:val="18"/>
                <w:szCs w:val="18"/>
              </w:rPr>
              <w:t>Supporting references</w:t>
            </w:r>
          </w:p>
        </w:tc>
      </w:tr>
      <w:tr w:rsidR="008721B8" w14:paraId="42A92007" w14:textId="77777777">
        <w:tc>
          <w:tcPr>
            <w:tcW w:w="1503" w:type="dxa"/>
            <w:tcMar>
              <w:top w:w="60" w:type="dxa"/>
              <w:left w:w="80" w:type="dxa"/>
              <w:bottom w:w="60" w:type="dxa"/>
              <w:right w:w="80" w:type="dxa"/>
            </w:tcMar>
          </w:tcPr>
          <w:p w14:paraId="71F7FE09" w14:textId="77777777" w:rsidR="008721B8" w:rsidRDefault="008B314A">
            <w:r>
              <w:rPr>
                <w:sz w:val="18"/>
                <w:szCs w:val="18"/>
              </w:rPr>
              <w:t>Resource dependence</w:t>
            </w:r>
          </w:p>
        </w:tc>
        <w:tc>
          <w:tcPr>
            <w:tcW w:w="1503" w:type="dxa"/>
            <w:tcMar>
              <w:top w:w="60" w:type="dxa"/>
              <w:left w:w="80" w:type="dxa"/>
              <w:bottom w:w="60" w:type="dxa"/>
              <w:right w:w="80" w:type="dxa"/>
            </w:tcMar>
          </w:tcPr>
          <w:p w14:paraId="51D9950E" w14:textId="77777777" w:rsidR="008721B8" w:rsidRDefault="008B314A">
            <w:r>
              <w:rPr>
                <w:sz w:val="18"/>
                <w:szCs w:val="18"/>
              </w:rPr>
              <w:t>Power asymmetry arising from concentration of resource provision reshapes goals, structures and procedures</w:t>
            </w:r>
          </w:p>
        </w:tc>
        <w:tc>
          <w:tcPr>
            <w:tcW w:w="1503" w:type="dxa"/>
            <w:tcMar>
              <w:top w:w="60" w:type="dxa"/>
              <w:left w:w="80" w:type="dxa"/>
              <w:bottom w:w="60" w:type="dxa"/>
              <w:right w:w="80" w:type="dxa"/>
            </w:tcMar>
          </w:tcPr>
          <w:p w14:paraId="2338289B" w14:textId="77777777" w:rsidR="008721B8" w:rsidRDefault="008B314A">
            <w:r>
              <w:rPr>
                <w:sz w:val="18"/>
                <w:szCs w:val="18"/>
              </w:rPr>
              <w:t>Governance investment shifts toward funder-facing compliance; programme content drifts toward funder priorities</w:t>
            </w:r>
          </w:p>
        </w:tc>
        <w:tc>
          <w:tcPr>
            <w:tcW w:w="1503" w:type="dxa"/>
            <w:tcMar>
              <w:top w:w="60" w:type="dxa"/>
              <w:left w:w="80" w:type="dxa"/>
              <w:bottom w:w="60" w:type="dxa"/>
              <w:right w:w="80" w:type="dxa"/>
            </w:tcMar>
          </w:tcPr>
          <w:p w14:paraId="3C7A9913" w14:textId="77777777" w:rsidR="008721B8" w:rsidRDefault="008B314A">
            <w:r>
              <w:rPr>
                <w:sz w:val="18"/>
                <w:szCs w:val="18"/>
              </w:rPr>
              <w:t>Longitudinal observation of governance investment and programme content against measured funder concentration</w:t>
            </w:r>
          </w:p>
        </w:tc>
        <w:tc>
          <w:tcPr>
            <w:tcW w:w="1503" w:type="dxa"/>
            <w:tcMar>
              <w:top w:w="60" w:type="dxa"/>
              <w:left w:w="80" w:type="dxa"/>
              <w:bottom w:w="60" w:type="dxa"/>
              <w:right w:w="80" w:type="dxa"/>
            </w:tcMar>
          </w:tcPr>
          <w:p w14:paraId="464F54C7" w14:textId="77777777" w:rsidR="008721B8" w:rsidRDefault="008B314A">
            <w:r>
              <w:rPr>
                <w:sz w:val="18"/>
                <w:szCs w:val="18"/>
              </w:rPr>
              <w:t>Treats the organisation as a unitary strategic actor; weak account of internal contestation</w:t>
            </w:r>
          </w:p>
        </w:tc>
        <w:tc>
          <w:tcPr>
            <w:tcW w:w="1505" w:type="dxa"/>
            <w:tcMar>
              <w:top w:w="60" w:type="dxa"/>
              <w:left w:w="80" w:type="dxa"/>
              <w:bottom w:w="60" w:type="dxa"/>
              <w:right w:w="80" w:type="dxa"/>
            </w:tcMar>
          </w:tcPr>
          <w:p w14:paraId="6C743F31" w14:textId="77777777" w:rsidR="008721B8" w:rsidRDefault="008B314A">
            <w:proofErr w:type="spellStart"/>
            <w:r>
              <w:rPr>
                <w:sz w:val="18"/>
                <w:szCs w:val="18"/>
              </w:rPr>
              <w:t>AbouAssi</w:t>
            </w:r>
            <w:proofErr w:type="spellEnd"/>
            <w:r>
              <w:rPr>
                <w:sz w:val="18"/>
                <w:szCs w:val="18"/>
              </w:rPr>
              <w:t xml:space="preserve"> (2013, 2014); Froelich (1999); </w:t>
            </w:r>
            <w:proofErr w:type="spellStart"/>
            <w:r>
              <w:rPr>
                <w:sz w:val="18"/>
                <w:szCs w:val="18"/>
              </w:rPr>
              <w:t>Khieng</w:t>
            </w:r>
            <w:proofErr w:type="spellEnd"/>
            <w:r>
              <w:rPr>
                <w:sz w:val="18"/>
                <w:szCs w:val="18"/>
              </w:rPr>
              <w:t xml:space="preserve"> and </w:t>
            </w:r>
            <w:proofErr w:type="spellStart"/>
            <w:r>
              <w:rPr>
                <w:sz w:val="18"/>
                <w:szCs w:val="18"/>
              </w:rPr>
              <w:t>Dahles</w:t>
            </w:r>
            <w:proofErr w:type="spellEnd"/>
            <w:r>
              <w:rPr>
                <w:sz w:val="18"/>
                <w:szCs w:val="18"/>
              </w:rPr>
              <w:t xml:space="preserve"> (2015)</w:t>
            </w:r>
          </w:p>
        </w:tc>
      </w:tr>
      <w:tr w:rsidR="008721B8" w14:paraId="2ED29611" w14:textId="77777777">
        <w:tc>
          <w:tcPr>
            <w:tcW w:w="1503" w:type="dxa"/>
            <w:tcMar>
              <w:top w:w="60" w:type="dxa"/>
              <w:left w:w="80" w:type="dxa"/>
              <w:bottom w:w="60" w:type="dxa"/>
              <w:right w:w="80" w:type="dxa"/>
            </w:tcMar>
          </w:tcPr>
          <w:p w14:paraId="6D3E95AA" w14:textId="77777777" w:rsidR="008721B8" w:rsidRDefault="008B314A">
            <w:r>
              <w:rPr>
                <w:sz w:val="18"/>
                <w:szCs w:val="18"/>
              </w:rPr>
              <w:t>Principal–agent contracting</w:t>
            </w:r>
          </w:p>
        </w:tc>
        <w:tc>
          <w:tcPr>
            <w:tcW w:w="1503" w:type="dxa"/>
            <w:tcMar>
              <w:top w:w="60" w:type="dxa"/>
              <w:left w:w="80" w:type="dxa"/>
              <w:bottom w:w="60" w:type="dxa"/>
              <w:right w:w="80" w:type="dxa"/>
            </w:tcMar>
          </w:tcPr>
          <w:p w14:paraId="150094E5" w14:textId="77777777" w:rsidR="008721B8" w:rsidRDefault="008B314A">
            <w:r>
              <w:rPr>
                <w:sz w:val="18"/>
                <w:szCs w:val="18"/>
              </w:rPr>
              <w:t>Phased release functions as a monitoring and bonding device reducing agency cost under information asymmetry</w:t>
            </w:r>
          </w:p>
        </w:tc>
        <w:tc>
          <w:tcPr>
            <w:tcW w:w="1503" w:type="dxa"/>
            <w:tcMar>
              <w:top w:w="60" w:type="dxa"/>
              <w:left w:w="80" w:type="dxa"/>
              <w:bottom w:w="60" w:type="dxa"/>
              <w:right w:w="80" w:type="dxa"/>
            </w:tcMar>
          </w:tcPr>
          <w:p w14:paraId="525CCBAA" w14:textId="77777777" w:rsidR="008721B8" w:rsidRDefault="008B314A">
            <w:r>
              <w:rPr>
                <w:sz w:val="18"/>
                <w:szCs w:val="18"/>
              </w:rPr>
              <w:t>Reporting frequency and verification intensity rise; downward accountability is displaced</w:t>
            </w:r>
          </w:p>
        </w:tc>
        <w:tc>
          <w:tcPr>
            <w:tcW w:w="1503" w:type="dxa"/>
            <w:tcMar>
              <w:top w:w="60" w:type="dxa"/>
              <w:left w:w="80" w:type="dxa"/>
              <w:bottom w:w="60" w:type="dxa"/>
              <w:right w:w="80" w:type="dxa"/>
            </w:tcMar>
          </w:tcPr>
          <w:p w14:paraId="4CFE149F" w14:textId="77777777" w:rsidR="008721B8" w:rsidRDefault="008B314A">
            <w:r>
              <w:rPr>
                <w:sz w:val="18"/>
                <w:szCs w:val="18"/>
              </w:rPr>
              <w:t>Comparison of contract terms with observed reporting behaviour and beneficiary-facing activity</w:t>
            </w:r>
          </w:p>
        </w:tc>
        <w:tc>
          <w:tcPr>
            <w:tcW w:w="1503" w:type="dxa"/>
            <w:tcMar>
              <w:top w:w="60" w:type="dxa"/>
              <w:left w:w="80" w:type="dxa"/>
              <w:bottom w:w="60" w:type="dxa"/>
              <w:right w:w="80" w:type="dxa"/>
            </w:tcMar>
          </w:tcPr>
          <w:p w14:paraId="4A69E5C3" w14:textId="77777777" w:rsidR="008721B8" w:rsidRDefault="008B314A">
            <w:r>
              <w:rPr>
                <w:sz w:val="18"/>
                <w:szCs w:val="18"/>
              </w:rPr>
              <w:t>Predicts unidirectional accountability; treats adaptive divergence as loss</w:t>
            </w:r>
          </w:p>
        </w:tc>
        <w:tc>
          <w:tcPr>
            <w:tcW w:w="1505" w:type="dxa"/>
            <w:tcMar>
              <w:top w:w="60" w:type="dxa"/>
              <w:left w:w="80" w:type="dxa"/>
              <w:bottom w:w="60" w:type="dxa"/>
              <w:right w:w="80" w:type="dxa"/>
            </w:tcMar>
          </w:tcPr>
          <w:p w14:paraId="5BA0470D" w14:textId="77777777" w:rsidR="008721B8" w:rsidRDefault="008B314A">
            <w:r>
              <w:rPr>
                <w:sz w:val="18"/>
                <w:szCs w:val="18"/>
              </w:rPr>
              <w:t>Ebrahim (2003); Eifert and Gelb (2008); Knack and Rahman (2007)</w:t>
            </w:r>
          </w:p>
        </w:tc>
      </w:tr>
      <w:tr w:rsidR="008721B8" w14:paraId="28C289C2" w14:textId="77777777">
        <w:tc>
          <w:tcPr>
            <w:tcW w:w="1503" w:type="dxa"/>
            <w:tcMar>
              <w:top w:w="60" w:type="dxa"/>
              <w:left w:w="80" w:type="dxa"/>
              <w:bottom w:w="60" w:type="dxa"/>
              <w:right w:w="80" w:type="dxa"/>
            </w:tcMar>
          </w:tcPr>
          <w:p w14:paraId="5FD3C392" w14:textId="77777777" w:rsidR="008721B8" w:rsidRDefault="008B314A">
            <w:r>
              <w:rPr>
                <w:sz w:val="18"/>
                <w:szCs w:val="18"/>
              </w:rPr>
              <w:t xml:space="preserve">Governmentality and </w:t>
            </w:r>
            <w:proofErr w:type="spellStart"/>
            <w:r>
              <w:rPr>
                <w:sz w:val="18"/>
                <w:szCs w:val="18"/>
              </w:rPr>
              <w:t>projectification</w:t>
            </w:r>
            <w:proofErr w:type="spellEnd"/>
          </w:p>
        </w:tc>
        <w:tc>
          <w:tcPr>
            <w:tcW w:w="1503" w:type="dxa"/>
            <w:tcMar>
              <w:top w:w="60" w:type="dxa"/>
              <w:left w:w="80" w:type="dxa"/>
              <w:bottom w:w="60" w:type="dxa"/>
              <w:right w:w="80" w:type="dxa"/>
            </w:tcMar>
          </w:tcPr>
          <w:p w14:paraId="5A02971F" w14:textId="77777777" w:rsidR="008721B8" w:rsidRDefault="008B314A">
            <w:r>
              <w:rPr>
                <w:sz w:val="18"/>
                <w:szCs w:val="18"/>
              </w:rPr>
              <w:t>The project form shapes conduct through internalised norms rather than explicit control</w:t>
            </w:r>
          </w:p>
        </w:tc>
        <w:tc>
          <w:tcPr>
            <w:tcW w:w="1503" w:type="dxa"/>
            <w:tcMar>
              <w:top w:w="60" w:type="dxa"/>
              <w:left w:w="80" w:type="dxa"/>
              <w:bottom w:w="60" w:type="dxa"/>
              <w:right w:w="80" w:type="dxa"/>
            </w:tcMar>
          </w:tcPr>
          <w:p w14:paraId="306C6D5C" w14:textId="77777777" w:rsidR="008721B8" w:rsidRDefault="008B314A">
            <w:r>
              <w:rPr>
                <w:sz w:val="18"/>
                <w:szCs w:val="18"/>
              </w:rPr>
              <w:t>Formal instruments proliferate without corresponding change in delivery behaviour</w:t>
            </w:r>
          </w:p>
        </w:tc>
        <w:tc>
          <w:tcPr>
            <w:tcW w:w="1503" w:type="dxa"/>
            <w:tcMar>
              <w:top w:w="60" w:type="dxa"/>
              <w:left w:w="80" w:type="dxa"/>
              <w:bottom w:w="60" w:type="dxa"/>
              <w:right w:w="80" w:type="dxa"/>
            </w:tcMar>
          </w:tcPr>
          <w:p w14:paraId="4AAC27E1" w14:textId="77777777" w:rsidR="008721B8" w:rsidRDefault="008B314A">
            <w:r>
              <w:rPr>
                <w:sz w:val="18"/>
                <w:szCs w:val="18"/>
              </w:rPr>
              <w:t>Ethnographic or practice-based observation of enactment against formal requirement</w:t>
            </w:r>
          </w:p>
        </w:tc>
        <w:tc>
          <w:tcPr>
            <w:tcW w:w="1503" w:type="dxa"/>
            <w:tcMar>
              <w:top w:w="60" w:type="dxa"/>
              <w:left w:w="80" w:type="dxa"/>
              <w:bottom w:w="60" w:type="dxa"/>
              <w:right w:w="80" w:type="dxa"/>
            </w:tcMar>
          </w:tcPr>
          <w:p w14:paraId="4982CB30" w14:textId="77777777" w:rsidR="008721B8" w:rsidRDefault="008B314A">
            <w:r>
              <w:rPr>
                <w:sz w:val="18"/>
                <w:szCs w:val="18"/>
              </w:rPr>
              <w:t>Generates few falsifiable propositions; transferability asserted rather than demonstrated</w:t>
            </w:r>
          </w:p>
        </w:tc>
        <w:tc>
          <w:tcPr>
            <w:tcW w:w="1505" w:type="dxa"/>
            <w:tcMar>
              <w:top w:w="60" w:type="dxa"/>
              <w:left w:w="80" w:type="dxa"/>
              <w:bottom w:w="60" w:type="dxa"/>
              <w:right w:w="80" w:type="dxa"/>
            </w:tcMar>
          </w:tcPr>
          <w:p w14:paraId="39B9D238" w14:textId="77777777" w:rsidR="008721B8" w:rsidRDefault="008B314A">
            <w:r>
              <w:rPr>
                <w:sz w:val="18"/>
                <w:szCs w:val="18"/>
              </w:rPr>
              <w:t>Gasper (2000); Ika and Hodgson (2014); Müller et al. (2014, 2016)</w:t>
            </w:r>
          </w:p>
        </w:tc>
      </w:tr>
      <w:tr w:rsidR="008721B8" w14:paraId="00B509A7" w14:textId="77777777">
        <w:tc>
          <w:tcPr>
            <w:tcW w:w="1503" w:type="dxa"/>
            <w:tcMar>
              <w:top w:w="60" w:type="dxa"/>
              <w:left w:w="80" w:type="dxa"/>
              <w:bottom w:w="60" w:type="dxa"/>
              <w:right w:w="80" w:type="dxa"/>
            </w:tcMar>
          </w:tcPr>
          <w:p w14:paraId="4A2BA208" w14:textId="77777777" w:rsidR="008721B8" w:rsidRDefault="008B314A">
            <w:r>
              <w:rPr>
                <w:sz w:val="18"/>
                <w:szCs w:val="18"/>
              </w:rPr>
              <w:t>Relational and contractual governance</w:t>
            </w:r>
          </w:p>
        </w:tc>
        <w:tc>
          <w:tcPr>
            <w:tcW w:w="1503" w:type="dxa"/>
            <w:tcMar>
              <w:top w:w="60" w:type="dxa"/>
              <w:left w:w="80" w:type="dxa"/>
              <w:bottom w:w="60" w:type="dxa"/>
              <w:right w:w="80" w:type="dxa"/>
            </w:tcMar>
          </w:tcPr>
          <w:p w14:paraId="06F3DC7C" w14:textId="77777777" w:rsidR="008721B8" w:rsidRDefault="008B314A">
            <w:r>
              <w:rPr>
                <w:sz w:val="18"/>
                <w:szCs w:val="18"/>
              </w:rPr>
              <w:t>Contractual and relational mechanisms develop as positioned practices and shift in salience over the relationship</w:t>
            </w:r>
          </w:p>
        </w:tc>
        <w:tc>
          <w:tcPr>
            <w:tcW w:w="1503" w:type="dxa"/>
            <w:tcMar>
              <w:top w:w="60" w:type="dxa"/>
              <w:left w:w="80" w:type="dxa"/>
              <w:bottom w:w="60" w:type="dxa"/>
              <w:right w:w="80" w:type="dxa"/>
            </w:tcMar>
          </w:tcPr>
          <w:p w14:paraId="545E30C6" w14:textId="77777777" w:rsidR="008721B8" w:rsidRDefault="008B314A">
            <w:r>
              <w:rPr>
                <w:sz w:val="18"/>
                <w:szCs w:val="18"/>
              </w:rPr>
              <w:t>Relational mechanisms weaken as the credible horizon shortens, raising reliance on contractual control</w:t>
            </w:r>
          </w:p>
        </w:tc>
        <w:tc>
          <w:tcPr>
            <w:tcW w:w="1503" w:type="dxa"/>
            <w:tcMar>
              <w:top w:w="60" w:type="dxa"/>
              <w:left w:w="80" w:type="dxa"/>
              <w:bottom w:w="60" w:type="dxa"/>
              <w:right w:w="80" w:type="dxa"/>
            </w:tcMar>
          </w:tcPr>
          <w:p w14:paraId="3C8210D1" w14:textId="77777777" w:rsidR="008721B8" w:rsidRDefault="008B314A">
            <w:r>
              <w:rPr>
                <w:sz w:val="18"/>
                <w:szCs w:val="18"/>
              </w:rPr>
              <w:t>Repeated measurement of both mechanism types across the life of a funding relationship</w:t>
            </w:r>
          </w:p>
        </w:tc>
        <w:tc>
          <w:tcPr>
            <w:tcW w:w="1503" w:type="dxa"/>
            <w:tcMar>
              <w:top w:w="60" w:type="dxa"/>
              <w:left w:w="80" w:type="dxa"/>
              <w:bottom w:w="60" w:type="dxa"/>
              <w:right w:w="80" w:type="dxa"/>
            </w:tcMar>
          </w:tcPr>
          <w:p w14:paraId="64CC098D" w14:textId="77777777" w:rsidR="008721B8" w:rsidRDefault="008B314A">
            <w:r>
              <w:rPr>
                <w:sz w:val="18"/>
                <w:szCs w:val="18"/>
              </w:rPr>
              <w:t>Developed in commercial partnership settings; transfer to grant relationships untested</w:t>
            </w:r>
          </w:p>
        </w:tc>
        <w:tc>
          <w:tcPr>
            <w:tcW w:w="1505" w:type="dxa"/>
            <w:tcMar>
              <w:top w:w="60" w:type="dxa"/>
              <w:left w:w="80" w:type="dxa"/>
              <w:bottom w:w="60" w:type="dxa"/>
              <w:right w:w="80" w:type="dxa"/>
            </w:tcMar>
          </w:tcPr>
          <w:p w14:paraId="02974815" w14:textId="77777777" w:rsidR="008721B8" w:rsidRDefault="008B314A">
            <w:r>
              <w:rPr>
                <w:sz w:val="18"/>
                <w:szCs w:val="18"/>
              </w:rPr>
              <w:t xml:space="preserve">Benítez-Ávila et al. (2019); </w:t>
            </w:r>
            <w:proofErr w:type="spellStart"/>
            <w:r>
              <w:rPr>
                <w:sz w:val="18"/>
                <w:szCs w:val="18"/>
              </w:rPr>
              <w:t>Unterhitzenberger</w:t>
            </w:r>
            <w:proofErr w:type="spellEnd"/>
            <w:r>
              <w:rPr>
                <w:sz w:val="18"/>
                <w:szCs w:val="18"/>
              </w:rPr>
              <w:t xml:space="preserve"> and Moeller (2021)</w:t>
            </w:r>
          </w:p>
        </w:tc>
      </w:tr>
    </w:tbl>
    <w:p w14:paraId="3C3FEBBD" w14:textId="77777777" w:rsidR="008721B8" w:rsidRDefault="008B314A">
      <w:pPr>
        <w:spacing w:before="80" w:after="220"/>
      </w:pPr>
      <w:r>
        <w:rPr>
          <w:i/>
          <w:iCs/>
          <w:sz w:val="18"/>
          <w:szCs w:val="18"/>
        </w:rPr>
        <w:t>Note. The accounts operate at different levels of analysis and are not mutually exclusive. Studies that test one account without measuring variables specified by the others cannot attribute observed variance to a single mechanism.</w:t>
      </w:r>
    </w:p>
    <w:p w14:paraId="7B43989A" w14:textId="77777777" w:rsidR="008721B8" w:rsidRDefault="008B314A">
      <w:pPr>
        <w:pStyle w:val="Heading1"/>
        <w:spacing w:before="280" w:after="160"/>
      </w:pPr>
      <w:r>
        <w:rPr>
          <w:b/>
          <w:bCs/>
          <w:color w:val="000000"/>
          <w:sz w:val="24"/>
          <w:szCs w:val="24"/>
        </w:rPr>
        <w:t>5. Empirical Evidence on Phased Financing and Sustainability Outcomes</w:t>
      </w:r>
    </w:p>
    <w:p w14:paraId="6B424F11" w14:textId="77777777" w:rsidR="008721B8" w:rsidRDefault="008B314A">
      <w:pPr>
        <w:pStyle w:val="Heading2"/>
        <w:spacing w:before="280" w:after="160"/>
      </w:pPr>
      <w:r>
        <w:rPr>
          <w:b/>
          <w:bCs/>
          <w:color w:val="000000"/>
          <w:sz w:val="22"/>
          <w:szCs w:val="22"/>
        </w:rPr>
        <w:t>5.1 Predictability, volatility and the costs of contingent disbursement</w:t>
      </w:r>
    </w:p>
    <w:p w14:paraId="69E03A95" w14:textId="77777777" w:rsidR="008721B8" w:rsidRDefault="008B314A">
      <w:pPr>
        <w:spacing w:after="160" w:line="360" w:lineRule="auto"/>
        <w:jc w:val="both"/>
      </w:pPr>
      <w:r>
        <w:rPr>
          <w:sz w:val="22"/>
          <w:szCs w:val="22"/>
        </w:rPr>
        <w:t xml:space="preserve">The most robust body of evidence bearing on phased financing does not concern non-governmental organisations at all. It concerns the macroeconomic and institutional effects of aid unpredictability on recipient countries, and it is relevant because the mechanism it identifies operates at every level of the delivery chain. Analysis of the consequences of aid volatility found that volatility imposes real costs on macroeconomic management and reduces the effectiveness of a given volume of aid, with the costs arising principally from the inability to plan expenditure commitments against uncertain receipts (Hudson, 2015). A separate analysis using governance indicators found that unpredictability of disbursement was associated with weaker governance outcomes in recipient countries, and argued that </w:t>
      </w:r>
      <w:r>
        <w:rPr>
          <w:sz w:val="22"/>
          <w:szCs w:val="22"/>
        </w:rPr>
        <w:lastRenderedPageBreak/>
        <w:t>the mechanism operates through the disruption of budgetary and administrative routines rather than through the volume of resources transferred (</w:t>
      </w:r>
      <w:proofErr w:type="spellStart"/>
      <w:r>
        <w:rPr>
          <w:sz w:val="22"/>
          <w:szCs w:val="22"/>
        </w:rPr>
        <w:t>Kangoye</w:t>
      </w:r>
      <w:proofErr w:type="spellEnd"/>
      <w:r>
        <w:rPr>
          <w:sz w:val="22"/>
          <w:szCs w:val="22"/>
        </w:rPr>
        <w:t>, 2013). The proposal that aid should move toward more predictable, performance-linked financing was advanced precisely on the ground that the existing arrangements combined the disadvantages of unpredictability with weak performance incentives (Eifert &amp; Gelb, 2008).</w:t>
      </w:r>
    </w:p>
    <w:p w14:paraId="5A344643" w14:textId="77777777" w:rsidR="008721B8" w:rsidRDefault="008B314A">
      <w:pPr>
        <w:spacing w:after="160" w:line="360" w:lineRule="auto"/>
        <w:jc w:val="both"/>
      </w:pPr>
      <w:r>
        <w:rPr>
          <w:sz w:val="22"/>
          <w:szCs w:val="22"/>
        </w:rPr>
        <w:t>The extension of this reasoning to implementing organisations is intuitive but has not been tested directly with comparable rigour. A national non-governmental organisation with a small reserve and a workforce employed on project-linked contracts faces the same planning problem in more acute form, since it lacks both the borrowing capacity and the revenue base that permit a state to smooth across periods of uncertainty. The prediction that follows is that shortening or destabilising the funding horizon will produce observable changes in staffing arrangements, in the tenure of technical personnel and in the depth of front-end analysis undertaken before implementation begins. Related evidence on absorptive capacity indicates that the marginal effectiveness of aid declines as inflows exceed the capacity of recipient institutions to deploy them, which implies that the relationship between funding volume and outcome is not monotonic and that rapid scale-up carries costs of its own (Feeny &amp; de Silva, 2012). Taken together, these findings suggest that both abrupt expansion and abrupt contraction of funding are damaging, and that stability of the expected trajectory may matter more than the level of funding at any point. That proposition is theoretically coherent and consistent with the available evidence, but it has not been examined directly in the non-governmental sector.</w:t>
      </w:r>
    </w:p>
    <w:p w14:paraId="227853E8" w14:textId="77777777" w:rsidR="008721B8" w:rsidRDefault="008B314A">
      <w:pPr>
        <w:pStyle w:val="Heading2"/>
        <w:spacing w:before="280" w:after="160"/>
      </w:pPr>
      <w:r>
        <w:rPr>
          <w:b/>
          <w:bCs/>
          <w:color w:val="000000"/>
          <w:sz w:val="22"/>
          <w:szCs w:val="22"/>
        </w:rPr>
        <w:t>5.2 Results-linked and milestone-based disbursement</w:t>
      </w:r>
    </w:p>
    <w:p w14:paraId="7D379D68" w14:textId="77777777" w:rsidR="008721B8" w:rsidRDefault="008B314A">
      <w:pPr>
        <w:spacing w:after="160" w:line="360" w:lineRule="auto"/>
        <w:jc w:val="both"/>
      </w:pPr>
      <w:r>
        <w:rPr>
          <w:sz w:val="22"/>
          <w:szCs w:val="22"/>
        </w:rPr>
        <w:t>Where disbursement is tied to verified achievement rather than to expenditure, the evidence is more directly relevant and considerably more equivocal. Synthesis of performance-based financing across sub-Saharan Africa concluded that the approach has functioned less as a self-contained financing mechanism than as an entry point for wider purchasing reform, and that its effects depend heavily on the design of verification, the autonomy of the funded unit to respond to incentives, and the coherence of the surrounding financing system (Waithaka et al., 2022). The framing of performance-based financing against unconditional direct facility financing as a dichotomy has been criticised on the ground that the two share the essential feature of moving resources closer to the point of delivery, and that the incremental contribution of the performance conditionality is smaller than advocacy on either side implies (Witter et al., 2021). Neither synthesis supports a strong claim that conditioning disbursement on verified results improves the persistence of benefits after the scheme ends, and both note the scarcity of evidence on what happens when verification and its associated resources are withdrawn.</w:t>
      </w:r>
    </w:p>
    <w:p w14:paraId="599E8C7A" w14:textId="77777777" w:rsidR="008721B8" w:rsidRDefault="008B314A">
      <w:pPr>
        <w:spacing w:after="160" w:line="360" w:lineRule="auto"/>
        <w:jc w:val="both"/>
      </w:pPr>
      <w:r>
        <w:rPr>
          <w:sz w:val="22"/>
          <w:szCs w:val="22"/>
        </w:rPr>
        <w:t xml:space="preserve">Two features of this literature limit its transfer to the non-governmental setting. Most studies concern public health facilities operating within a devolved administrative system rather than autonomous </w:t>
      </w:r>
      <w:r>
        <w:rPr>
          <w:sz w:val="22"/>
          <w:szCs w:val="22"/>
        </w:rPr>
        <w:lastRenderedPageBreak/>
        <w:t>organisations contracting with external funders, so the incentive faced by the funded unit differs. Analysis of health facility financing in Kenya under devolution documented substantial complexity in the flow of funds to facilities, with implications for the autonomy that any incentive scheme presupposes (Kairu et al., 2021). Subsequent work examining the effects of the pandemic on Kenyan health financing found that external shocks propagated through these flows in ways that were difficult to anticipate from the design of individual financing instruments (Kairu et al., 2023). Where the funded unit does not control the inputs required to respond to an incentive, the mechanism by which milestone-linked disbursement is supposed to work is absent, and observed non-response should not be read as evidence that incentives do not operate.</w:t>
      </w:r>
    </w:p>
    <w:p w14:paraId="327FFB2A" w14:textId="77777777" w:rsidR="008721B8" w:rsidRDefault="008B314A">
      <w:pPr>
        <w:pStyle w:val="Heading2"/>
        <w:spacing w:before="280" w:after="160"/>
      </w:pPr>
      <w:r>
        <w:rPr>
          <w:b/>
          <w:bCs/>
          <w:color w:val="000000"/>
          <w:sz w:val="22"/>
          <w:szCs w:val="22"/>
        </w:rPr>
        <w:t>5.3 Transition, graduation and what happens after external funding ends</w:t>
      </w:r>
    </w:p>
    <w:p w14:paraId="72D341BD" w14:textId="77777777" w:rsidR="008721B8" w:rsidRDefault="008B314A">
      <w:pPr>
        <w:spacing w:after="160" w:line="360" w:lineRule="auto"/>
        <w:jc w:val="both"/>
      </w:pPr>
      <w:r>
        <w:rPr>
          <w:sz w:val="22"/>
          <w:szCs w:val="22"/>
        </w:rPr>
        <w:t>The literature most directly concerned with the review question is that on planned transition away from external financing, and it is the strongest source of evidence about post-funding outcomes. Review of past donor transitions, undertaken to inform planning for a subsequent transition, found that transitions conducted without extended preparation were associated with service disruption, and identified early planning, explicit assignment of responsibility for continuing functions and attention to human resource retention as recurrent features of the less disruptive cases (Vogus &amp; Graff, 2015). Analysis of the conditions under which middle-income countries have successfully reduced reliance on international health aid reached a compatible conclusion, emphasising the need for domestic financing arrangements to be established before rather than after external support declines, and noting that fiscal capacity alone is insufficient without institutional arrangements to direct it (</w:t>
      </w:r>
      <w:proofErr w:type="spellStart"/>
      <w:r>
        <w:rPr>
          <w:sz w:val="22"/>
          <w:szCs w:val="22"/>
        </w:rPr>
        <w:t>Ogbuoji</w:t>
      </w:r>
      <w:proofErr w:type="spellEnd"/>
      <w:r>
        <w:rPr>
          <w:sz w:val="22"/>
          <w:szCs w:val="22"/>
        </w:rPr>
        <w:t xml:space="preserve"> et al., 2025). Work on vaccine programme transition made the same argument in a narrower domain, arguing that country ownership requires comprehensive support to the introduction and maintenance of the programme rather than a financing handover alone (Shen et al., 2016).</w:t>
      </w:r>
    </w:p>
    <w:p w14:paraId="2D8DD471" w14:textId="77777777" w:rsidR="008721B8" w:rsidRDefault="008B314A">
      <w:pPr>
        <w:spacing w:after="160" w:line="360" w:lineRule="auto"/>
        <w:jc w:val="both"/>
      </w:pPr>
      <w:r>
        <w:rPr>
          <w:sz w:val="22"/>
          <w:szCs w:val="22"/>
        </w:rPr>
        <w:t>Where the transition concerns a large vertical disease programme, the analysis has focused on the relationship between the programme and the wider health system. Argument that disease-specific investment should be directed toward health system strengthening in order to make sustainability and country ownership achievable was advanced early in the life of these programmes (Palen et al., 2012), and more recent work has proposed that a programme science orientation, in which implementation is continuously informed by data and adjusted, offers a route to a sustainable response (Reid et al., 2024). Neither position rests on evidence that the recommended approach has produced measured benefit persistence after funding ceased, and the reauthorisation uncertainty surrounding major programmes indicates that the political horizon of such commitments is shorter than the epidemiological horizon of the problems they address.</w:t>
      </w:r>
    </w:p>
    <w:p w14:paraId="351BB25E" w14:textId="77777777" w:rsidR="008721B8" w:rsidRDefault="008B314A">
      <w:pPr>
        <w:spacing w:after="160" w:line="360" w:lineRule="auto"/>
        <w:jc w:val="both"/>
      </w:pPr>
      <w:r>
        <w:rPr>
          <w:sz w:val="22"/>
          <w:szCs w:val="22"/>
        </w:rPr>
        <w:t xml:space="preserve">The evidence about outcomes after funding actually ended in African settings is thin. Systematic review of the sustainability of donor-funded health-related programmes beyond the funding lifecycle in Africa </w:t>
      </w:r>
      <w:r>
        <w:rPr>
          <w:sz w:val="22"/>
          <w:szCs w:val="22"/>
        </w:rPr>
        <w:lastRenderedPageBreak/>
        <w:t>identified a limited number of eligible studies and concluded that community involvement, integration into existing structures and prior planning for continuation were recurrent features of programmes that persisted, while noting that the underlying studies were heterogeneous and mostly retrospective (Ilesanmi &amp; Afolabi, 2022). The review is directly on point and is the closest available approximation to a synthesis of post-funding outcomes for the continent, but its evidence base is small and the designs it aggregates cannot establish the direction of the relationships reported. Case study evidence from rural Cameroon documented that projects reliant on external management and external inputs ceased to operate shortly after donor withdrawal, and identified weak local ownership and absence of maintenance financing as the proximate reasons (Muluh et al., 2019); the study is qualitative and single-country, and its value lies in the mechanism it describes rather than in any generalisable estimate.</w:t>
      </w:r>
    </w:p>
    <w:p w14:paraId="02968649" w14:textId="77777777" w:rsidR="008721B8" w:rsidRDefault="008B314A">
      <w:pPr>
        <w:spacing w:after="160" w:line="360" w:lineRule="auto"/>
        <w:jc w:val="both"/>
      </w:pPr>
      <w:r>
        <w:rPr>
          <w:sz w:val="22"/>
          <w:szCs w:val="22"/>
        </w:rPr>
        <w:t xml:space="preserve">Table 3 summarises the principal strands of evidence bearing on the financing–sustainability relationship, the outcome </w:t>
      </w:r>
      <w:proofErr w:type="gramStart"/>
      <w:r>
        <w:rPr>
          <w:sz w:val="22"/>
          <w:szCs w:val="22"/>
        </w:rPr>
        <w:t>construct</w:t>
      </w:r>
      <w:proofErr w:type="gramEnd"/>
      <w:r>
        <w:rPr>
          <w:sz w:val="22"/>
          <w:szCs w:val="22"/>
        </w:rPr>
        <w:t xml:space="preserve"> each </w:t>
      </w:r>
      <w:proofErr w:type="gramStart"/>
      <w:r>
        <w:rPr>
          <w:sz w:val="22"/>
          <w:szCs w:val="22"/>
        </w:rPr>
        <w:t>addresses</w:t>
      </w:r>
      <w:proofErr w:type="gramEnd"/>
      <w:r>
        <w:rPr>
          <w:sz w:val="22"/>
          <w:szCs w:val="22"/>
        </w:rPr>
        <w:t>, the strength of the design typically employed, and the confidence that can reasonably be placed in each conclusion. The pattern the table makes visible is that the strongest designs address outcomes furthest from benefit persistence, while the studies that address benefit persistence directly are the weakest. This inversion is the central methodological problem of the field and is not resolved by aggregating across the literature.</w:t>
      </w:r>
    </w:p>
    <w:p w14:paraId="63AA5298" w14:textId="77777777" w:rsidR="008721B8" w:rsidRDefault="008B314A">
      <w:pPr>
        <w:spacing w:before="200" w:after="100"/>
      </w:pPr>
      <w:r>
        <w:rPr>
          <w:b/>
          <w:bCs/>
        </w:rPr>
        <w:t>Table 3. Representative evidence by theme: financing arrangements and sustainability outcomes</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503"/>
        <w:gridCol w:w="1503"/>
        <w:gridCol w:w="1503"/>
        <w:gridCol w:w="1503"/>
        <w:gridCol w:w="1503"/>
        <w:gridCol w:w="1505"/>
      </w:tblGrid>
      <w:tr w:rsidR="008721B8" w14:paraId="0968F615" w14:textId="77777777">
        <w:trPr>
          <w:tblHeader/>
        </w:trPr>
        <w:tc>
          <w:tcPr>
            <w:tcW w:w="1503" w:type="dxa"/>
            <w:shd w:val="clear" w:color="auto" w:fill="E8E8E8"/>
            <w:tcMar>
              <w:top w:w="60" w:type="dxa"/>
              <w:left w:w="80" w:type="dxa"/>
              <w:bottom w:w="60" w:type="dxa"/>
              <w:right w:w="80" w:type="dxa"/>
            </w:tcMar>
          </w:tcPr>
          <w:p w14:paraId="182F7447" w14:textId="77777777" w:rsidR="008721B8" w:rsidRDefault="008B314A">
            <w:r>
              <w:rPr>
                <w:b/>
                <w:bCs/>
                <w:sz w:val="18"/>
                <w:szCs w:val="18"/>
              </w:rPr>
              <w:t>Evidence strand</w:t>
            </w:r>
          </w:p>
        </w:tc>
        <w:tc>
          <w:tcPr>
            <w:tcW w:w="1503" w:type="dxa"/>
            <w:shd w:val="clear" w:color="auto" w:fill="E8E8E8"/>
            <w:tcMar>
              <w:top w:w="60" w:type="dxa"/>
              <w:left w:w="80" w:type="dxa"/>
              <w:bottom w:w="60" w:type="dxa"/>
              <w:right w:w="80" w:type="dxa"/>
            </w:tcMar>
          </w:tcPr>
          <w:p w14:paraId="6F8C9737" w14:textId="77777777" w:rsidR="008721B8" w:rsidRDefault="008B314A">
            <w:r>
              <w:rPr>
                <w:b/>
                <w:bCs/>
                <w:sz w:val="18"/>
                <w:szCs w:val="18"/>
              </w:rPr>
              <w:t>Setting and typical design</w:t>
            </w:r>
          </w:p>
        </w:tc>
        <w:tc>
          <w:tcPr>
            <w:tcW w:w="1503" w:type="dxa"/>
            <w:shd w:val="clear" w:color="auto" w:fill="E8E8E8"/>
            <w:tcMar>
              <w:top w:w="60" w:type="dxa"/>
              <w:left w:w="80" w:type="dxa"/>
              <w:bottom w:w="60" w:type="dxa"/>
              <w:right w:w="80" w:type="dxa"/>
            </w:tcMar>
          </w:tcPr>
          <w:p w14:paraId="7F92077F" w14:textId="77777777" w:rsidR="008721B8" w:rsidRDefault="008B314A">
            <w:r>
              <w:rPr>
                <w:b/>
                <w:bCs/>
                <w:sz w:val="18"/>
                <w:szCs w:val="18"/>
              </w:rPr>
              <w:t>Outcome construct addressed</w:t>
            </w:r>
          </w:p>
        </w:tc>
        <w:tc>
          <w:tcPr>
            <w:tcW w:w="1503" w:type="dxa"/>
            <w:shd w:val="clear" w:color="auto" w:fill="E8E8E8"/>
            <w:tcMar>
              <w:top w:w="60" w:type="dxa"/>
              <w:left w:w="80" w:type="dxa"/>
              <w:bottom w:w="60" w:type="dxa"/>
              <w:right w:w="80" w:type="dxa"/>
            </w:tcMar>
          </w:tcPr>
          <w:p w14:paraId="20369058" w14:textId="77777777" w:rsidR="008721B8" w:rsidRDefault="008B314A">
            <w:r>
              <w:rPr>
                <w:b/>
                <w:bCs/>
                <w:sz w:val="18"/>
                <w:szCs w:val="18"/>
              </w:rPr>
              <w:t>Direction of principal finding</w:t>
            </w:r>
          </w:p>
        </w:tc>
        <w:tc>
          <w:tcPr>
            <w:tcW w:w="1503" w:type="dxa"/>
            <w:shd w:val="clear" w:color="auto" w:fill="E8E8E8"/>
            <w:tcMar>
              <w:top w:w="60" w:type="dxa"/>
              <w:left w:w="80" w:type="dxa"/>
              <w:bottom w:w="60" w:type="dxa"/>
              <w:right w:w="80" w:type="dxa"/>
            </w:tcMar>
          </w:tcPr>
          <w:p w14:paraId="684C4786" w14:textId="77777777" w:rsidR="008721B8" w:rsidRDefault="008B314A">
            <w:r>
              <w:rPr>
                <w:b/>
                <w:bCs/>
                <w:sz w:val="18"/>
                <w:szCs w:val="18"/>
              </w:rPr>
              <w:t>Confidence and basis</w:t>
            </w:r>
          </w:p>
        </w:tc>
        <w:tc>
          <w:tcPr>
            <w:tcW w:w="1505" w:type="dxa"/>
            <w:shd w:val="clear" w:color="auto" w:fill="E8E8E8"/>
            <w:tcMar>
              <w:top w:w="60" w:type="dxa"/>
              <w:left w:w="80" w:type="dxa"/>
              <w:bottom w:w="60" w:type="dxa"/>
              <w:right w:w="80" w:type="dxa"/>
            </w:tcMar>
          </w:tcPr>
          <w:p w14:paraId="5160CB6D" w14:textId="77777777" w:rsidR="008721B8" w:rsidRDefault="008B314A">
            <w:r>
              <w:rPr>
                <w:b/>
                <w:bCs/>
                <w:sz w:val="18"/>
                <w:szCs w:val="18"/>
              </w:rPr>
              <w:t>Supporting references</w:t>
            </w:r>
          </w:p>
        </w:tc>
      </w:tr>
      <w:tr w:rsidR="008721B8" w14:paraId="115F32D4" w14:textId="77777777">
        <w:tc>
          <w:tcPr>
            <w:tcW w:w="1503" w:type="dxa"/>
            <w:tcMar>
              <w:top w:w="60" w:type="dxa"/>
              <w:left w:w="80" w:type="dxa"/>
              <w:bottom w:w="60" w:type="dxa"/>
              <w:right w:w="80" w:type="dxa"/>
            </w:tcMar>
          </w:tcPr>
          <w:p w14:paraId="1AB5432C" w14:textId="77777777" w:rsidR="008721B8" w:rsidRDefault="008B314A">
            <w:r>
              <w:rPr>
                <w:sz w:val="18"/>
                <w:szCs w:val="18"/>
              </w:rPr>
              <w:t>Aid volatility and unpredictability</w:t>
            </w:r>
          </w:p>
        </w:tc>
        <w:tc>
          <w:tcPr>
            <w:tcW w:w="1503" w:type="dxa"/>
            <w:tcMar>
              <w:top w:w="60" w:type="dxa"/>
              <w:left w:w="80" w:type="dxa"/>
              <w:bottom w:w="60" w:type="dxa"/>
              <w:right w:w="80" w:type="dxa"/>
            </w:tcMar>
          </w:tcPr>
          <w:p w14:paraId="36DEA3A9" w14:textId="77777777" w:rsidR="008721B8" w:rsidRDefault="008B314A">
            <w:r>
              <w:rPr>
                <w:sz w:val="18"/>
                <w:szCs w:val="18"/>
              </w:rPr>
              <w:t>Cross-country panel analysis of recipient states</w:t>
            </w:r>
          </w:p>
        </w:tc>
        <w:tc>
          <w:tcPr>
            <w:tcW w:w="1503" w:type="dxa"/>
            <w:tcMar>
              <w:top w:w="60" w:type="dxa"/>
              <w:left w:w="80" w:type="dxa"/>
              <w:bottom w:w="60" w:type="dxa"/>
              <w:right w:w="80" w:type="dxa"/>
            </w:tcMar>
          </w:tcPr>
          <w:p w14:paraId="16395879" w14:textId="77777777" w:rsidR="008721B8" w:rsidRDefault="008B314A">
            <w:r>
              <w:rPr>
                <w:sz w:val="18"/>
                <w:szCs w:val="18"/>
              </w:rPr>
              <w:t>Institutional and budgetary performance, not project sustainability</w:t>
            </w:r>
          </w:p>
        </w:tc>
        <w:tc>
          <w:tcPr>
            <w:tcW w:w="1503" w:type="dxa"/>
            <w:tcMar>
              <w:top w:w="60" w:type="dxa"/>
              <w:left w:w="80" w:type="dxa"/>
              <w:bottom w:w="60" w:type="dxa"/>
              <w:right w:w="80" w:type="dxa"/>
            </w:tcMar>
          </w:tcPr>
          <w:p w14:paraId="3103D7C6" w14:textId="77777777" w:rsidR="008721B8" w:rsidRDefault="008B314A">
            <w:r>
              <w:rPr>
                <w:sz w:val="18"/>
                <w:szCs w:val="18"/>
              </w:rPr>
              <w:t>Volatility and unpredictability associated with poorer management and weaker governance indicators</w:t>
            </w:r>
          </w:p>
        </w:tc>
        <w:tc>
          <w:tcPr>
            <w:tcW w:w="1503" w:type="dxa"/>
            <w:tcMar>
              <w:top w:w="60" w:type="dxa"/>
              <w:left w:w="80" w:type="dxa"/>
              <w:bottom w:w="60" w:type="dxa"/>
              <w:right w:w="80" w:type="dxa"/>
            </w:tcMar>
          </w:tcPr>
          <w:p w14:paraId="7B799B25" w14:textId="77777777" w:rsidR="008721B8" w:rsidRDefault="008B314A">
            <w:r>
              <w:rPr>
                <w:sz w:val="18"/>
                <w:szCs w:val="18"/>
              </w:rPr>
              <w:t>Moderate for the stated outcome; extrapolation to implementing organisations untested</w:t>
            </w:r>
          </w:p>
        </w:tc>
        <w:tc>
          <w:tcPr>
            <w:tcW w:w="1505" w:type="dxa"/>
            <w:tcMar>
              <w:top w:w="60" w:type="dxa"/>
              <w:left w:w="80" w:type="dxa"/>
              <w:bottom w:w="60" w:type="dxa"/>
              <w:right w:w="80" w:type="dxa"/>
            </w:tcMar>
          </w:tcPr>
          <w:p w14:paraId="0341E0F1" w14:textId="77777777" w:rsidR="008721B8" w:rsidRDefault="008B314A">
            <w:r>
              <w:rPr>
                <w:sz w:val="18"/>
                <w:szCs w:val="18"/>
              </w:rPr>
              <w:t xml:space="preserve">Hudson (2015); </w:t>
            </w:r>
            <w:proofErr w:type="spellStart"/>
            <w:r>
              <w:rPr>
                <w:sz w:val="18"/>
                <w:szCs w:val="18"/>
              </w:rPr>
              <w:t>Kangoye</w:t>
            </w:r>
            <w:proofErr w:type="spellEnd"/>
            <w:r>
              <w:rPr>
                <w:sz w:val="18"/>
                <w:szCs w:val="18"/>
              </w:rPr>
              <w:t xml:space="preserve"> (2013)</w:t>
            </w:r>
          </w:p>
        </w:tc>
      </w:tr>
      <w:tr w:rsidR="008721B8" w14:paraId="257ACE6A" w14:textId="77777777">
        <w:tc>
          <w:tcPr>
            <w:tcW w:w="1503" w:type="dxa"/>
            <w:tcMar>
              <w:top w:w="60" w:type="dxa"/>
              <w:left w:w="80" w:type="dxa"/>
              <w:bottom w:w="60" w:type="dxa"/>
              <w:right w:w="80" w:type="dxa"/>
            </w:tcMar>
          </w:tcPr>
          <w:p w14:paraId="0C2DA81E" w14:textId="77777777" w:rsidR="008721B8" w:rsidRDefault="008B314A">
            <w:r>
              <w:rPr>
                <w:sz w:val="18"/>
                <w:szCs w:val="18"/>
              </w:rPr>
              <w:t>Absorptive capacity constraints</w:t>
            </w:r>
          </w:p>
        </w:tc>
        <w:tc>
          <w:tcPr>
            <w:tcW w:w="1503" w:type="dxa"/>
            <w:tcMar>
              <w:top w:w="60" w:type="dxa"/>
              <w:left w:w="80" w:type="dxa"/>
              <w:bottom w:w="60" w:type="dxa"/>
              <w:right w:w="80" w:type="dxa"/>
            </w:tcMar>
          </w:tcPr>
          <w:p w14:paraId="4E973AC0" w14:textId="77777777" w:rsidR="008721B8" w:rsidRDefault="008B314A">
            <w:r>
              <w:rPr>
                <w:sz w:val="18"/>
                <w:szCs w:val="18"/>
              </w:rPr>
              <w:t>Cross-country econometric estimation</w:t>
            </w:r>
          </w:p>
        </w:tc>
        <w:tc>
          <w:tcPr>
            <w:tcW w:w="1503" w:type="dxa"/>
            <w:tcMar>
              <w:top w:w="60" w:type="dxa"/>
              <w:left w:w="80" w:type="dxa"/>
              <w:bottom w:w="60" w:type="dxa"/>
              <w:right w:w="80" w:type="dxa"/>
            </w:tcMar>
          </w:tcPr>
          <w:p w14:paraId="1AB5A5E7" w14:textId="77777777" w:rsidR="008721B8" w:rsidRDefault="008B314A">
            <w:r>
              <w:rPr>
                <w:sz w:val="18"/>
                <w:szCs w:val="18"/>
              </w:rPr>
              <w:t>Marginal effectiveness of aid inflows</w:t>
            </w:r>
          </w:p>
        </w:tc>
        <w:tc>
          <w:tcPr>
            <w:tcW w:w="1503" w:type="dxa"/>
            <w:tcMar>
              <w:top w:w="60" w:type="dxa"/>
              <w:left w:w="80" w:type="dxa"/>
              <w:bottom w:w="60" w:type="dxa"/>
              <w:right w:w="80" w:type="dxa"/>
            </w:tcMar>
          </w:tcPr>
          <w:p w14:paraId="45AA53B4" w14:textId="77777777" w:rsidR="008721B8" w:rsidRDefault="008B314A">
            <w:r>
              <w:rPr>
                <w:sz w:val="18"/>
                <w:szCs w:val="18"/>
              </w:rPr>
              <w:t>Effectiveness declines as inflows exceed institutional capacity</w:t>
            </w:r>
          </w:p>
        </w:tc>
        <w:tc>
          <w:tcPr>
            <w:tcW w:w="1503" w:type="dxa"/>
            <w:tcMar>
              <w:top w:w="60" w:type="dxa"/>
              <w:left w:w="80" w:type="dxa"/>
              <w:bottom w:w="60" w:type="dxa"/>
              <w:right w:w="80" w:type="dxa"/>
            </w:tcMar>
          </w:tcPr>
          <w:p w14:paraId="3259F07D" w14:textId="77777777" w:rsidR="008721B8" w:rsidRDefault="008B314A">
            <w:r>
              <w:rPr>
                <w:sz w:val="18"/>
                <w:szCs w:val="18"/>
              </w:rPr>
              <w:t>Moderate; identification relies on modelling assumptions</w:t>
            </w:r>
          </w:p>
        </w:tc>
        <w:tc>
          <w:tcPr>
            <w:tcW w:w="1505" w:type="dxa"/>
            <w:tcMar>
              <w:top w:w="60" w:type="dxa"/>
              <w:left w:w="80" w:type="dxa"/>
              <w:bottom w:w="60" w:type="dxa"/>
              <w:right w:w="80" w:type="dxa"/>
            </w:tcMar>
          </w:tcPr>
          <w:p w14:paraId="3F6BCBEB" w14:textId="77777777" w:rsidR="008721B8" w:rsidRDefault="008B314A">
            <w:r>
              <w:rPr>
                <w:sz w:val="18"/>
                <w:szCs w:val="18"/>
              </w:rPr>
              <w:t>Feeny and de Silva (2012)</w:t>
            </w:r>
          </w:p>
        </w:tc>
      </w:tr>
      <w:tr w:rsidR="008721B8" w14:paraId="14B8DD41" w14:textId="77777777">
        <w:tc>
          <w:tcPr>
            <w:tcW w:w="1503" w:type="dxa"/>
            <w:tcMar>
              <w:top w:w="60" w:type="dxa"/>
              <w:left w:w="80" w:type="dxa"/>
              <w:bottom w:w="60" w:type="dxa"/>
              <w:right w:w="80" w:type="dxa"/>
            </w:tcMar>
          </w:tcPr>
          <w:p w14:paraId="734D7C64" w14:textId="77777777" w:rsidR="008721B8" w:rsidRDefault="008B314A">
            <w:r>
              <w:rPr>
                <w:sz w:val="18"/>
                <w:szCs w:val="18"/>
              </w:rPr>
              <w:t>Donor fragmentation</w:t>
            </w:r>
          </w:p>
        </w:tc>
        <w:tc>
          <w:tcPr>
            <w:tcW w:w="1503" w:type="dxa"/>
            <w:tcMar>
              <w:top w:w="60" w:type="dxa"/>
              <w:left w:w="80" w:type="dxa"/>
              <w:bottom w:w="60" w:type="dxa"/>
              <w:right w:w="80" w:type="dxa"/>
            </w:tcMar>
          </w:tcPr>
          <w:p w14:paraId="7EA9F7E5" w14:textId="77777777" w:rsidR="008721B8" w:rsidRDefault="008B314A">
            <w:r>
              <w:rPr>
                <w:sz w:val="18"/>
                <w:szCs w:val="18"/>
              </w:rPr>
              <w:t>Cross-country analysis with bureaucratic quality indicators</w:t>
            </w:r>
          </w:p>
        </w:tc>
        <w:tc>
          <w:tcPr>
            <w:tcW w:w="1503" w:type="dxa"/>
            <w:tcMar>
              <w:top w:w="60" w:type="dxa"/>
              <w:left w:w="80" w:type="dxa"/>
              <w:bottom w:w="60" w:type="dxa"/>
              <w:right w:w="80" w:type="dxa"/>
            </w:tcMar>
          </w:tcPr>
          <w:p w14:paraId="5997F7DD" w14:textId="77777777" w:rsidR="008721B8" w:rsidRDefault="008B314A">
            <w:r>
              <w:rPr>
                <w:sz w:val="18"/>
                <w:szCs w:val="18"/>
              </w:rPr>
              <w:t>Recipient administrative quality</w:t>
            </w:r>
          </w:p>
        </w:tc>
        <w:tc>
          <w:tcPr>
            <w:tcW w:w="1503" w:type="dxa"/>
            <w:tcMar>
              <w:top w:w="60" w:type="dxa"/>
              <w:left w:w="80" w:type="dxa"/>
              <w:bottom w:w="60" w:type="dxa"/>
              <w:right w:w="80" w:type="dxa"/>
            </w:tcMar>
          </w:tcPr>
          <w:p w14:paraId="360CB3E0" w14:textId="77777777" w:rsidR="008721B8" w:rsidRDefault="008B314A">
            <w:r>
              <w:rPr>
                <w:sz w:val="18"/>
                <w:szCs w:val="18"/>
              </w:rPr>
              <w:t>Fragmentation associated with weaker bureaucratic quality; trend persists despite coordination commitments</w:t>
            </w:r>
          </w:p>
        </w:tc>
        <w:tc>
          <w:tcPr>
            <w:tcW w:w="1503" w:type="dxa"/>
            <w:tcMar>
              <w:top w:w="60" w:type="dxa"/>
              <w:left w:w="80" w:type="dxa"/>
              <w:bottom w:w="60" w:type="dxa"/>
              <w:right w:w="80" w:type="dxa"/>
            </w:tcMar>
          </w:tcPr>
          <w:p w14:paraId="205D6301" w14:textId="77777777" w:rsidR="008721B8" w:rsidRDefault="008B314A">
            <w:r>
              <w:rPr>
                <w:sz w:val="18"/>
                <w:szCs w:val="18"/>
              </w:rPr>
              <w:t>Moderate for national administrations; not tested for implementing organisations</w:t>
            </w:r>
          </w:p>
        </w:tc>
        <w:tc>
          <w:tcPr>
            <w:tcW w:w="1505" w:type="dxa"/>
            <w:tcMar>
              <w:top w:w="60" w:type="dxa"/>
              <w:left w:w="80" w:type="dxa"/>
              <w:bottom w:w="60" w:type="dxa"/>
              <w:right w:w="80" w:type="dxa"/>
            </w:tcMar>
          </w:tcPr>
          <w:p w14:paraId="39ABF3E8" w14:textId="77777777" w:rsidR="008721B8" w:rsidRDefault="008B314A">
            <w:r>
              <w:rPr>
                <w:sz w:val="18"/>
                <w:szCs w:val="18"/>
              </w:rPr>
              <w:t xml:space="preserve">Knack and Rahman (2007); </w:t>
            </w:r>
            <w:proofErr w:type="spellStart"/>
            <w:r>
              <w:rPr>
                <w:sz w:val="18"/>
                <w:szCs w:val="18"/>
              </w:rPr>
              <w:t>Schulpen</w:t>
            </w:r>
            <w:proofErr w:type="spellEnd"/>
            <w:r>
              <w:rPr>
                <w:sz w:val="18"/>
                <w:szCs w:val="18"/>
              </w:rPr>
              <w:t xml:space="preserve"> et al. (2011)</w:t>
            </w:r>
          </w:p>
        </w:tc>
      </w:tr>
      <w:tr w:rsidR="008721B8" w14:paraId="5C2DED39" w14:textId="77777777">
        <w:tc>
          <w:tcPr>
            <w:tcW w:w="1503" w:type="dxa"/>
            <w:tcMar>
              <w:top w:w="60" w:type="dxa"/>
              <w:left w:w="80" w:type="dxa"/>
              <w:bottom w:w="60" w:type="dxa"/>
              <w:right w:w="80" w:type="dxa"/>
            </w:tcMar>
          </w:tcPr>
          <w:p w14:paraId="130CD584" w14:textId="77777777" w:rsidR="008721B8" w:rsidRDefault="008B314A">
            <w:r>
              <w:rPr>
                <w:sz w:val="18"/>
                <w:szCs w:val="18"/>
              </w:rPr>
              <w:t>Results-linked disbursement</w:t>
            </w:r>
          </w:p>
        </w:tc>
        <w:tc>
          <w:tcPr>
            <w:tcW w:w="1503" w:type="dxa"/>
            <w:tcMar>
              <w:top w:w="60" w:type="dxa"/>
              <w:left w:w="80" w:type="dxa"/>
              <w:bottom w:w="60" w:type="dxa"/>
              <w:right w:w="80" w:type="dxa"/>
            </w:tcMar>
          </w:tcPr>
          <w:p w14:paraId="6E67E6B1" w14:textId="77777777" w:rsidR="008721B8" w:rsidRDefault="008B314A">
            <w:r>
              <w:rPr>
                <w:sz w:val="18"/>
                <w:szCs w:val="18"/>
              </w:rPr>
              <w:t>Synthesis of schemes in sub-Saharan African health systems</w:t>
            </w:r>
          </w:p>
        </w:tc>
        <w:tc>
          <w:tcPr>
            <w:tcW w:w="1503" w:type="dxa"/>
            <w:tcMar>
              <w:top w:w="60" w:type="dxa"/>
              <w:left w:w="80" w:type="dxa"/>
              <w:bottom w:w="60" w:type="dxa"/>
              <w:right w:w="80" w:type="dxa"/>
            </w:tcMar>
          </w:tcPr>
          <w:p w14:paraId="230A07EB" w14:textId="77777777" w:rsidR="008721B8" w:rsidRDefault="008B314A">
            <w:r>
              <w:rPr>
                <w:sz w:val="18"/>
                <w:szCs w:val="18"/>
              </w:rPr>
              <w:t>Service outputs during the scheme; post-scheme outcomes rarely observed</w:t>
            </w:r>
          </w:p>
        </w:tc>
        <w:tc>
          <w:tcPr>
            <w:tcW w:w="1503" w:type="dxa"/>
            <w:tcMar>
              <w:top w:w="60" w:type="dxa"/>
              <w:left w:w="80" w:type="dxa"/>
              <w:bottom w:w="60" w:type="dxa"/>
              <w:right w:w="80" w:type="dxa"/>
            </w:tcMar>
          </w:tcPr>
          <w:p w14:paraId="52DE8056" w14:textId="77777777" w:rsidR="008721B8" w:rsidRDefault="008B314A">
            <w:r>
              <w:rPr>
                <w:sz w:val="18"/>
                <w:szCs w:val="18"/>
              </w:rPr>
              <w:t xml:space="preserve">Effects contingent on verification design, unit autonomy and system coherence; incremental effect </w:t>
            </w:r>
            <w:r>
              <w:rPr>
                <w:sz w:val="18"/>
                <w:szCs w:val="18"/>
              </w:rPr>
              <w:lastRenderedPageBreak/>
              <w:t>of conditionality contested</w:t>
            </w:r>
          </w:p>
        </w:tc>
        <w:tc>
          <w:tcPr>
            <w:tcW w:w="1503" w:type="dxa"/>
            <w:tcMar>
              <w:top w:w="60" w:type="dxa"/>
              <w:left w:w="80" w:type="dxa"/>
              <w:bottom w:w="60" w:type="dxa"/>
              <w:right w:w="80" w:type="dxa"/>
            </w:tcMar>
          </w:tcPr>
          <w:p w14:paraId="3CEE4566" w14:textId="77777777" w:rsidR="008721B8" w:rsidRDefault="008B314A">
            <w:r>
              <w:rPr>
                <w:sz w:val="18"/>
                <w:szCs w:val="18"/>
              </w:rPr>
              <w:lastRenderedPageBreak/>
              <w:t>Low to moderate for post-funding persistence; evidence largely concerns the funded period</w:t>
            </w:r>
          </w:p>
        </w:tc>
        <w:tc>
          <w:tcPr>
            <w:tcW w:w="1505" w:type="dxa"/>
            <w:tcMar>
              <w:top w:w="60" w:type="dxa"/>
              <w:left w:w="80" w:type="dxa"/>
              <w:bottom w:w="60" w:type="dxa"/>
              <w:right w:w="80" w:type="dxa"/>
            </w:tcMar>
          </w:tcPr>
          <w:p w14:paraId="1BE931F3" w14:textId="77777777" w:rsidR="008721B8" w:rsidRDefault="008B314A">
            <w:r>
              <w:rPr>
                <w:sz w:val="18"/>
                <w:szCs w:val="18"/>
              </w:rPr>
              <w:t>Waithaka et al. (2022); Witter et al. (2021)</w:t>
            </w:r>
          </w:p>
        </w:tc>
      </w:tr>
      <w:tr w:rsidR="008721B8" w14:paraId="0BAB48B4" w14:textId="77777777">
        <w:tc>
          <w:tcPr>
            <w:tcW w:w="1503" w:type="dxa"/>
            <w:tcMar>
              <w:top w:w="60" w:type="dxa"/>
              <w:left w:w="80" w:type="dxa"/>
              <w:bottom w:w="60" w:type="dxa"/>
              <w:right w:w="80" w:type="dxa"/>
            </w:tcMar>
          </w:tcPr>
          <w:p w14:paraId="68F29B84" w14:textId="77777777" w:rsidR="008721B8" w:rsidRDefault="008B314A">
            <w:r>
              <w:rPr>
                <w:sz w:val="18"/>
                <w:szCs w:val="18"/>
              </w:rPr>
              <w:t>Planned transition and graduation</w:t>
            </w:r>
          </w:p>
        </w:tc>
        <w:tc>
          <w:tcPr>
            <w:tcW w:w="1503" w:type="dxa"/>
            <w:tcMar>
              <w:top w:w="60" w:type="dxa"/>
              <w:left w:w="80" w:type="dxa"/>
              <w:bottom w:w="60" w:type="dxa"/>
              <w:right w:w="80" w:type="dxa"/>
            </w:tcMar>
          </w:tcPr>
          <w:p w14:paraId="3E4501CD" w14:textId="77777777" w:rsidR="008721B8" w:rsidRDefault="008B314A">
            <w:r>
              <w:rPr>
                <w:sz w:val="18"/>
                <w:szCs w:val="18"/>
              </w:rPr>
              <w:t>Retrospective review and policy analysis of national transitions</w:t>
            </w:r>
          </w:p>
        </w:tc>
        <w:tc>
          <w:tcPr>
            <w:tcW w:w="1503" w:type="dxa"/>
            <w:tcMar>
              <w:top w:w="60" w:type="dxa"/>
              <w:left w:w="80" w:type="dxa"/>
              <w:bottom w:w="60" w:type="dxa"/>
              <w:right w:w="80" w:type="dxa"/>
            </w:tcMar>
          </w:tcPr>
          <w:p w14:paraId="7862F00F" w14:textId="77777777" w:rsidR="008721B8" w:rsidRDefault="008B314A">
            <w:r>
              <w:rPr>
                <w:sz w:val="18"/>
                <w:szCs w:val="18"/>
              </w:rPr>
              <w:t>Activity continuation and institutionalisation</w:t>
            </w:r>
          </w:p>
        </w:tc>
        <w:tc>
          <w:tcPr>
            <w:tcW w:w="1503" w:type="dxa"/>
            <w:tcMar>
              <w:top w:w="60" w:type="dxa"/>
              <w:left w:w="80" w:type="dxa"/>
              <w:bottom w:w="60" w:type="dxa"/>
              <w:right w:w="80" w:type="dxa"/>
            </w:tcMar>
          </w:tcPr>
          <w:p w14:paraId="06A06072" w14:textId="77777777" w:rsidR="008721B8" w:rsidRDefault="008B314A">
            <w:r>
              <w:rPr>
                <w:sz w:val="18"/>
                <w:szCs w:val="18"/>
              </w:rPr>
              <w:t>Extended preparation, explicit responsibility assignment and retention of personnel associated with less disruption</w:t>
            </w:r>
          </w:p>
        </w:tc>
        <w:tc>
          <w:tcPr>
            <w:tcW w:w="1503" w:type="dxa"/>
            <w:tcMar>
              <w:top w:w="60" w:type="dxa"/>
              <w:left w:w="80" w:type="dxa"/>
              <w:bottom w:w="60" w:type="dxa"/>
              <w:right w:w="80" w:type="dxa"/>
            </w:tcMar>
          </w:tcPr>
          <w:p w14:paraId="51A0A598" w14:textId="77777777" w:rsidR="008721B8" w:rsidRDefault="008B314A">
            <w:r>
              <w:rPr>
                <w:sz w:val="18"/>
                <w:szCs w:val="18"/>
              </w:rPr>
              <w:t>Moderate; consistent across independent analyses but based on retrospective case comparison</w:t>
            </w:r>
          </w:p>
        </w:tc>
        <w:tc>
          <w:tcPr>
            <w:tcW w:w="1505" w:type="dxa"/>
            <w:tcMar>
              <w:top w:w="60" w:type="dxa"/>
              <w:left w:w="80" w:type="dxa"/>
              <w:bottom w:w="60" w:type="dxa"/>
              <w:right w:w="80" w:type="dxa"/>
            </w:tcMar>
          </w:tcPr>
          <w:p w14:paraId="1AFD8A31" w14:textId="77777777" w:rsidR="008721B8" w:rsidRDefault="008B314A">
            <w:proofErr w:type="spellStart"/>
            <w:r>
              <w:rPr>
                <w:sz w:val="18"/>
                <w:szCs w:val="18"/>
              </w:rPr>
              <w:t>Ogbuoji</w:t>
            </w:r>
            <w:proofErr w:type="spellEnd"/>
            <w:r>
              <w:rPr>
                <w:sz w:val="18"/>
                <w:szCs w:val="18"/>
              </w:rPr>
              <w:t xml:space="preserve"> et al. (2025); Shen et al. (2016); Vogus and Graff (2015)</w:t>
            </w:r>
          </w:p>
        </w:tc>
      </w:tr>
      <w:tr w:rsidR="008721B8" w14:paraId="74DD0715" w14:textId="77777777">
        <w:tc>
          <w:tcPr>
            <w:tcW w:w="1503" w:type="dxa"/>
            <w:tcMar>
              <w:top w:w="60" w:type="dxa"/>
              <w:left w:w="80" w:type="dxa"/>
              <w:bottom w:w="60" w:type="dxa"/>
              <w:right w:w="80" w:type="dxa"/>
            </w:tcMar>
          </w:tcPr>
          <w:p w14:paraId="4510DF22" w14:textId="77777777" w:rsidR="008721B8" w:rsidRDefault="008B314A">
            <w:r>
              <w:rPr>
                <w:sz w:val="18"/>
                <w:szCs w:val="18"/>
              </w:rPr>
              <w:t>Post-funding programme outcomes in Africa</w:t>
            </w:r>
          </w:p>
        </w:tc>
        <w:tc>
          <w:tcPr>
            <w:tcW w:w="1503" w:type="dxa"/>
            <w:tcMar>
              <w:top w:w="60" w:type="dxa"/>
              <w:left w:w="80" w:type="dxa"/>
              <w:bottom w:w="60" w:type="dxa"/>
              <w:right w:w="80" w:type="dxa"/>
            </w:tcMar>
          </w:tcPr>
          <w:p w14:paraId="334CE89B" w14:textId="77777777" w:rsidR="008721B8" w:rsidRDefault="008B314A">
            <w:r>
              <w:rPr>
                <w:sz w:val="18"/>
                <w:szCs w:val="18"/>
              </w:rPr>
              <w:t>Systematic review of heterogeneous retrospective studies</w:t>
            </w:r>
          </w:p>
        </w:tc>
        <w:tc>
          <w:tcPr>
            <w:tcW w:w="1503" w:type="dxa"/>
            <w:tcMar>
              <w:top w:w="60" w:type="dxa"/>
              <w:left w:w="80" w:type="dxa"/>
              <w:bottom w:w="60" w:type="dxa"/>
              <w:right w:w="80" w:type="dxa"/>
            </w:tcMar>
          </w:tcPr>
          <w:p w14:paraId="28844033" w14:textId="77777777" w:rsidR="008721B8" w:rsidRDefault="008B314A">
            <w:r>
              <w:rPr>
                <w:sz w:val="18"/>
                <w:szCs w:val="18"/>
              </w:rPr>
              <w:t>Activity continuation and, occasionally, benefit persistence</w:t>
            </w:r>
          </w:p>
        </w:tc>
        <w:tc>
          <w:tcPr>
            <w:tcW w:w="1503" w:type="dxa"/>
            <w:tcMar>
              <w:top w:w="60" w:type="dxa"/>
              <w:left w:w="80" w:type="dxa"/>
              <w:bottom w:w="60" w:type="dxa"/>
              <w:right w:w="80" w:type="dxa"/>
            </w:tcMar>
          </w:tcPr>
          <w:p w14:paraId="749FBFB6" w14:textId="77777777" w:rsidR="008721B8" w:rsidRDefault="008B314A">
            <w:r>
              <w:rPr>
                <w:sz w:val="18"/>
                <w:szCs w:val="18"/>
              </w:rPr>
              <w:t>Community involvement, integration and prior continuation planning recur among programmes that persisted</w:t>
            </w:r>
          </w:p>
        </w:tc>
        <w:tc>
          <w:tcPr>
            <w:tcW w:w="1503" w:type="dxa"/>
            <w:tcMar>
              <w:top w:w="60" w:type="dxa"/>
              <w:left w:w="80" w:type="dxa"/>
              <w:bottom w:w="60" w:type="dxa"/>
              <w:right w:w="80" w:type="dxa"/>
            </w:tcMar>
          </w:tcPr>
          <w:p w14:paraId="2F8AAB7E" w14:textId="77777777" w:rsidR="008721B8" w:rsidRDefault="008B314A">
            <w:r>
              <w:rPr>
                <w:sz w:val="18"/>
                <w:szCs w:val="18"/>
              </w:rPr>
              <w:t>Low; small and heterogeneous evidence base, direction of relationship not established</w:t>
            </w:r>
          </w:p>
        </w:tc>
        <w:tc>
          <w:tcPr>
            <w:tcW w:w="1505" w:type="dxa"/>
            <w:tcMar>
              <w:top w:w="60" w:type="dxa"/>
              <w:left w:w="80" w:type="dxa"/>
              <w:bottom w:w="60" w:type="dxa"/>
              <w:right w:w="80" w:type="dxa"/>
            </w:tcMar>
          </w:tcPr>
          <w:p w14:paraId="75E1DCB5" w14:textId="77777777" w:rsidR="008721B8" w:rsidRDefault="008B314A">
            <w:r>
              <w:rPr>
                <w:sz w:val="18"/>
                <w:szCs w:val="18"/>
              </w:rPr>
              <w:t>Ilesanmi and Afolabi (2022); Muluh et al. (2019)</w:t>
            </w:r>
          </w:p>
        </w:tc>
      </w:tr>
      <w:tr w:rsidR="008721B8" w14:paraId="14703F20" w14:textId="77777777">
        <w:tc>
          <w:tcPr>
            <w:tcW w:w="1503" w:type="dxa"/>
            <w:tcMar>
              <w:top w:w="60" w:type="dxa"/>
              <w:left w:w="80" w:type="dxa"/>
              <w:bottom w:w="60" w:type="dxa"/>
              <w:right w:w="80" w:type="dxa"/>
            </w:tcMar>
          </w:tcPr>
          <w:p w14:paraId="5E65B03B" w14:textId="77777777" w:rsidR="008721B8" w:rsidRDefault="008B314A">
            <w:r>
              <w:rPr>
                <w:sz w:val="18"/>
                <w:szCs w:val="18"/>
              </w:rPr>
              <w:t>Asset functionality after handover</w:t>
            </w:r>
          </w:p>
        </w:tc>
        <w:tc>
          <w:tcPr>
            <w:tcW w:w="1503" w:type="dxa"/>
            <w:tcMar>
              <w:top w:w="60" w:type="dxa"/>
              <w:left w:w="80" w:type="dxa"/>
              <w:bottom w:w="60" w:type="dxa"/>
              <w:right w:w="80" w:type="dxa"/>
            </w:tcMar>
          </w:tcPr>
          <w:p w14:paraId="7E26AE28" w14:textId="77777777" w:rsidR="008721B8" w:rsidRDefault="008B314A">
            <w:r>
              <w:rPr>
                <w:sz w:val="18"/>
                <w:szCs w:val="18"/>
              </w:rPr>
              <w:t>Long-run retrospective study of installed water points</w:t>
            </w:r>
          </w:p>
        </w:tc>
        <w:tc>
          <w:tcPr>
            <w:tcW w:w="1503" w:type="dxa"/>
            <w:tcMar>
              <w:top w:w="60" w:type="dxa"/>
              <w:left w:w="80" w:type="dxa"/>
              <w:bottom w:w="60" w:type="dxa"/>
              <w:right w:w="80" w:type="dxa"/>
            </w:tcMar>
          </w:tcPr>
          <w:p w14:paraId="2CF435DC" w14:textId="77777777" w:rsidR="008721B8" w:rsidRDefault="008B314A">
            <w:r>
              <w:rPr>
                <w:sz w:val="18"/>
                <w:szCs w:val="18"/>
              </w:rPr>
              <w:t>Asset maintenance</w:t>
            </w:r>
          </w:p>
        </w:tc>
        <w:tc>
          <w:tcPr>
            <w:tcW w:w="1503" w:type="dxa"/>
            <w:tcMar>
              <w:top w:w="60" w:type="dxa"/>
              <w:left w:w="80" w:type="dxa"/>
              <w:bottom w:w="60" w:type="dxa"/>
              <w:right w:w="80" w:type="dxa"/>
            </w:tcMar>
          </w:tcPr>
          <w:p w14:paraId="2FC3002E" w14:textId="77777777" w:rsidR="008721B8" w:rsidRDefault="008B314A">
            <w:r>
              <w:rPr>
                <w:sz w:val="18"/>
                <w:szCs w:val="18"/>
              </w:rPr>
              <w:t>Failure risk patterned by installation, management and water quality characteristics; substantial early failure</w:t>
            </w:r>
          </w:p>
        </w:tc>
        <w:tc>
          <w:tcPr>
            <w:tcW w:w="1503" w:type="dxa"/>
            <w:tcMar>
              <w:top w:w="60" w:type="dxa"/>
              <w:left w:w="80" w:type="dxa"/>
              <w:bottom w:w="60" w:type="dxa"/>
              <w:right w:w="80" w:type="dxa"/>
            </w:tcMar>
          </w:tcPr>
          <w:p w14:paraId="66EAB495" w14:textId="77777777" w:rsidR="008721B8" w:rsidRDefault="008B314A">
            <w:r>
              <w:rPr>
                <w:sz w:val="18"/>
                <w:szCs w:val="18"/>
              </w:rPr>
              <w:t>Moderate to high within its domain; not generalisable beyond asset-based interventions</w:t>
            </w:r>
          </w:p>
        </w:tc>
        <w:tc>
          <w:tcPr>
            <w:tcW w:w="1505" w:type="dxa"/>
            <w:tcMar>
              <w:top w:w="60" w:type="dxa"/>
              <w:left w:w="80" w:type="dxa"/>
              <w:bottom w:w="60" w:type="dxa"/>
              <w:right w:w="80" w:type="dxa"/>
            </w:tcMar>
          </w:tcPr>
          <w:p w14:paraId="551EAA18" w14:textId="77777777" w:rsidR="008721B8" w:rsidRDefault="008B314A">
            <w:r>
              <w:rPr>
                <w:sz w:val="18"/>
                <w:szCs w:val="18"/>
              </w:rPr>
              <w:t>Foster et al. (2018); Whaley and Cleaver (2017)</w:t>
            </w:r>
          </w:p>
        </w:tc>
      </w:tr>
    </w:tbl>
    <w:p w14:paraId="31327163" w14:textId="77777777" w:rsidR="008721B8" w:rsidRDefault="008B314A">
      <w:pPr>
        <w:spacing w:before="80" w:after="220"/>
      </w:pPr>
      <w:r>
        <w:rPr>
          <w:i/>
          <w:iCs/>
          <w:sz w:val="18"/>
          <w:szCs w:val="18"/>
        </w:rPr>
        <w:t>Note. Confidence statements refer to the specific outcome construct named in the same row and not to project sustainability in general.</w:t>
      </w:r>
    </w:p>
    <w:p w14:paraId="7734B6BB" w14:textId="77777777" w:rsidR="008721B8" w:rsidRDefault="008B314A">
      <w:pPr>
        <w:pStyle w:val="Heading1"/>
        <w:spacing w:before="280" w:after="160"/>
      </w:pPr>
      <w:r>
        <w:rPr>
          <w:b/>
          <w:bCs/>
          <w:color w:val="000000"/>
          <w:sz w:val="24"/>
          <w:szCs w:val="24"/>
        </w:rPr>
        <w:t>6. Governance Mechanisms as Mediators, Moderators or Artefacts</w:t>
      </w:r>
    </w:p>
    <w:p w14:paraId="3C5326FC" w14:textId="77777777" w:rsidR="008721B8" w:rsidRDefault="008B314A">
      <w:pPr>
        <w:pStyle w:val="Heading2"/>
        <w:spacing w:before="280" w:after="160"/>
      </w:pPr>
      <w:r>
        <w:rPr>
          <w:b/>
          <w:bCs/>
          <w:color w:val="000000"/>
          <w:sz w:val="22"/>
          <w:szCs w:val="22"/>
        </w:rPr>
        <w:t>6.1 Front-end appraisal, stage gates and the asymmetry of governance effort</w:t>
      </w:r>
    </w:p>
    <w:p w14:paraId="5D0B5F8C" w14:textId="77777777" w:rsidR="008721B8" w:rsidRDefault="008B314A">
      <w:pPr>
        <w:spacing w:after="160" w:line="360" w:lineRule="auto"/>
        <w:jc w:val="both"/>
      </w:pPr>
      <w:r>
        <w:rPr>
          <w:sz w:val="22"/>
          <w:szCs w:val="22"/>
        </w:rPr>
        <w:t>One of the more consistent findings in project governance research is that effort is unevenly distributed across the project life cycle, with elaborate downstream control coexisting with weak upstream analysis. Examination of front-end definition identified a series of paradoxes in which the phase with the greatest influence over eventual outcomes receives the least analytical attention and the least governance scrutiny, and argued that this asymmetry is structural rather than accidental, arising from the incentives of those who commission and those who deliver (</w:t>
      </w:r>
      <w:proofErr w:type="spellStart"/>
      <w:r>
        <w:rPr>
          <w:sz w:val="22"/>
          <w:szCs w:val="22"/>
        </w:rPr>
        <w:t>Samset</w:t>
      </w:r>
      <w:proofErr w:type="spellEnd"/>
      <w:r>
        <w:rPr>
          <w:sz w:val="22"/>
          <w:szCs w:val="22"/>
        </w:rPr>
        <w:t xml:space="preserve"> &amp; Volden, 2016). The parallel with phased financing is close. A funding decision taken for a first tranche establishes the design that subsequent tranches will implement, yet the governance apparatus that verifies subsequent tranches is far more elaborate than the appraisal that produced the initial design.</w:t>
      </w:r>
    </w:p>
    <w:p w14:paraId="185D5B13" w14:textId="77777777" w:rsidR="008721B8" w:rsidRDefault="008B314A">
      <w:pPr>
        <w:spacing w:after="160" w:line="360" w:lineRule="auto"/>
        <w:jc w:val="both"/>
      </w:pPr>
      <w:r>
        <w:rPr>
          <w:sz w:val="22"/>
          <w:szCs w:val="22"/>
        </w:rPr>
        <w:t xml:space="preserve">The stage-gate logic developed in product innovation offers a disciplined comparison. Its central proposition is that a sequence of decision points at which continuation is genuinely reconsidered, on evidence generated by the preceding stage, improves resource allocation by permitting early termination of unpromising work (Cooper, 2008). Phased financing has the architecture of a stage-gate system but frequently lacks its essential feature, namely a real option to stop. Where the gate decision is effectively </w:t>
      </w:r>
      <w:r>
        <w:rPr>
          <w:sz w:val="22"/>
          <w:szCs w:val="22"/>
        </w:rPr>
        <w:lastRenderedPageBreak/>
        <w:t>predetermined by the original commitment, and where termination would impose reputational costs on the funder and organisational costs on the implementer, the gate becomes a reporting event rather than a decision point. The literature offers no direct test of this proposition in a development grant setting, and it is advanced here as a plausible mechanism that would explain the coexistence of intensive reporting with weak learning, rather than as an established finding.</w:t>
      </w:r>
    </w:p>
    <w:p w14:paraId="507B99E1" w14:textId="77777777" w:rsidR="008721B8" w:rsidRDefault="008B314A">
      <w:pPr>
        <w:spacing w:after="160" w:line="360" w:lineRule="auto"/>
        <w:jc w:val="both"/>
      </w:pPr>
      <w:r>
        <w:rPr>
          <w:sz w:val="22"/>
          <w:szCs w:val="22"/>
        </w:rPr>
        <w:t>Evidence about what determines success in development projects points in a compatible direction. Investigation of critical success factors in a large multilateral portfolio found that design and monitoring were among the factors most strongly associated with success, and that supervision effort mattered less than the quality of the underlying design (Ika et al., 2012). Study of capacity building projects identified a set of success conditions in which the coherence of design with context and the presence of committed local counterparts featured prominently (Ika &amp; Donnelly, 2017). Both findings locate the decisive variance upstream of the disbursement mechanism, which suggests that governance arrangements concentrated on downstream verification address the wrong margin.</w:t>
      </w:r>
    </w:p>
    <w:p w14:paraId="30CB2C7F" w14:textId="77777777" w:rsidR="008721B8" w:rsidRDefault="008B314A">
      <w:pPr>
        <w:pStyle w:val="Heading2"/>
        <w:spacing w:before="280" w:after="160"/>
      </w:pPr>
      <w:r>
        <w:rPr>
          <w:b/>
          <w:bCs/>
          <w:color w:val="000000"/>
          <w:sz w:val="22"/>
          <w:szCs w:val="22"/>
        </w:rPr>
        <w:t>6.2 Contractual specification, relational adjustment and their interaction</w:t>
      </w:r>
    </w:p>
    <w:p w14:paraId="7D76E338" w14:textId="77777777" w:rsidR="008721B8" w:rsidRDefault="008B314A">
      <w:pPr>
        <w:spacing w:after="160" w:line="360" w:lineRule="auto"/>
        <w:jc w:val="both"/>
      </w:pPr>
      <w:r>
        <w:rPr>
          <w:sz w:val="22"/>
          <w:szCs w:val="22"/>
        </w:rPr>
        <w:t>Whether governance operates through specification or through relationship is not merely a descriptive question, because the two respond differently to a shortening funding horizon. Research on positioned practices in long-duration partnership projects found that contractual and relational mechanisms are jointly produced and that their relative salience shifts as the relationship develops, with relational mechanisms requiring accumulated interaction to become effective (Benítez-Ávila et al., 2019). If that finding transfers, then short and reversible funding cycles systematically undermine the mechanism that would otherwise substitute for costly specification, and the resulting reliance on contractual control is a consequence of the financing structure rather than an independent governance choice. This is the clearest candidate for the proposition that governance quality is partly an artefact of the financing horizon, and it has not been tested in the grant setting.</w:t>
      </w:r>
    </w:p>
    <w:p w14:paraId="54F7C870" w14:textId="77777777" w:rsidR="008721B8" w:rsidRDefault="008B314A">
      <w:pPr>
        <w:spacing w:after="160" w:line="360" w:lineRule="auto"/>
        <w:jc w:val="both"/>
      </w:pPr>
      <w:r>
        <w:rPr>
          <w:sz w:val="22"/>
          <w:szCs w:val="22"/>
        </w:rPr>
        <w:t>The fairness dimension complicates the picture. Work applying organisational justice reasoning to project governance found that perceptions of procedural and interactional fairness predicted cooperative behaviour, and that formally identical arrangements produced different conduct depending on how they were experienced (</w:t>
      </w:r>
      <w:proofErr w:type="spellStart"/>
      <w:r>
        <w:rPr>
          <w:sz w:val="22"/>
          <w:szCs w:val="22"/>
        </w:rPr>
        <w:t>Unterhitzenberger</w:t>
      </w:r>
      <w:proofErr w:type="spellEnd"/>
      <w:r>
        <w:rPr>
          <w:sz w:val="22"/>
          <w:szCs w:val="22"/>
        </w:rPr>
        <w:t xml:space="preserve"> &amp; Moeller, 2021). Applied to donor–implementer relationships, the implication is that the same tranche conditions may be experienced as reasonable assurance or as arbitrary control depending on the consultation that preceded them, and that measuring the conditions without measuring their reception will produce inconsistent associations with behaviour. Studies of practice at aid chain interfaces support this reading, having documented that requirements are actively reinterpreted rather than passively transmitted as they move between organisational levels (Gutheil &amp; Koch, 2024). Coordination research in international development has similarly emphasised that temporary organisations depend on social and temporal embeddedness to function, and that </w:t>
      </w:r>
      <w:r>
        <w:rPr>
          <w:sz w:val="22"/>
          <w:szCs w:val="22"/>
        </w:rPr>
        <w:lastRenderedPageBreak/>
        <w:t>arrangements which disrupt continuity of personnel and relationships impose coordination costs that formal mechanisms do not offset (Pilbeam, 2013).</w:t>
      </w:r>
    </w:p>
    <w:p w14:paraId="40D15C82" w14:textId="77777777" w:rsidR="008721B8" w:rsidRDefault="008B314A">
      <w:pPr>
        <w:pStyle w:val="Heading2"/>
        <w:spacing w:before="280" w:after="160"/>
      </w:pPr>
      <w:r>
        <w:rPr>
          <w:b/>
          <w:bCs/>
          <w:color w:val="000000"/>
          <w:sz w:val="22"/>
          <w:szCs w:val="22"/>
        </w:rPr>
        <w:t>6.3 Downward accountability, participation and the beneficiary interface</w:t>
      </w:r>
    </w:p>
    <w:p w14:paraId="3AD6CFAD" w14:textId="77777777" w:rsidR="008721B8" w:rsidRDefault="008B314A">
      <w:pPr>
        <w:spacing w:after="160" w:line="360" w:lineRule="auto"/>
        <w:jc w:val="both"/>
      </w:pPr>
      <w:r>
        <w:rPr>
          <w:sz w:val="22"/>
          <w:szCs w:val="22"/>
        </w:rPr>
        <w:t>The governance mechanism most often recommended for improving sustainability is meaningful involvement of intended beneficiaries, and it is also the mechanism whose evidence base is most frequently overstated. Analysis of accountability mechanisms established early that upward and downward accountability draw on the same finite organisational resources and that the former tends to dominate (Ebrahim, 2003). Empirical work on the mediation of upward accountability processes found that these processes shaped organisational attention in ways that constrained the space available for dialogue with beneficiaries, and that the effects were not adequately described as either compliance or resistance (Agyemang et al., 2017). Research on localisation has documented the paradox that externally driven efforts to shift authority to local actors impose their own legitimacy requirements, which local organisations must then manage alongside the requirements they were intended to displace (Mulder, 2023). Analysis of the localisation agenda in Ghana identified unintended consequences for local organisations, including pressures that eroded the distinctive contribution that local presence was supposed to provide (Kumi et al., 2026).</w:t>
      </w:r>
    </w:p>
    <w:p w14:paraId="5DEA01A1" w14:textId="77777777" w:rsidR="008721B8" w:rsidRDefault="008B314A">
      <w:pPr>
        <w:spacing w:after="160" w:line="360" w:lineRule="auto"/>
        <w:jc w:val="both"/>
      </w:pPr>
      <w:r>
        <w:rPr>
          <w:sz w:val="22"/>
          <w:szCs w:val="22"/>
        </w:rPr>
        <w:t>The most careful recent assessment of participation in international development projects examined whether beneficiary participation delivers the outcomes attributed to it and found that the relationship is conditional rather than general, depending on the form participation takes and the stage at which it occurs (</w:t>
      </w:r>
      <w:proofErr w:type="spellStart"/>
      <w:r>
        <w:rPr>
          <w:sz w:val="22"/>
          <w:szCs w:val="22"/>
        </w:rPr>
        <w:t>Bandé</w:t>
      </w:r>
      <w:proofErr w:type="spellEnd"/>
      <w:r>
        <w:rPr>
          <w:sz w:val="22"/>
          <w:szCs w:val="22"/>
        </w:rPr>
        <w:t xml:space="preserve"> et al., 2024). This is a significant corrective to a literature, including much of the Kenyan literature, in which stakeholder participation is treated as an unambiguous positive predictor of sustainability. Older critical work on non-governmental intervention reached a compatible conclusion by a different route, documenting how organisations positioned as representatives of civil society came to occupy a different role in practice and how participatory arrangements could reproduce rather than disturb existing distributions of influence (Mohan, 2002). Evidence from Kenya on community health volunteers illustrates the practical difficulty: volunteers carrying substantial delivery responsibility identified income insecurity as their central problem and expressed preferences for income-generating arrangements as a condition of continued involvement, which indicates that participation without a resourcing settlement transfers cost rather than authority (</w:t>
      </w:r>
      <w:proofErr w:type="spellStart"/>
      <w:r>
        <w:rPr>
          <w:sz w:val="22"/>
          <w:szCs w:val="22"/>
        </w:rPr>
        <w:t>Lusambili</w:t>
      </w:r>
      <w:proofErr w:type="spellEnd"/>
      <w:r>
        <w:rPr>
          <w:sz w:val="22"/>
          <w:szCs w:val="22"/>
        </w:rPr>
        <w:t xml:space="preserve"> et al., 2021).</w:t>
      </w:r>
    </w:p>
    <w:p w14:paraId="754D58E6" w14:textId="77777777" w:rsidR="008721B8" w:rsidRDefault="008B314A">
      <w:pPr>
        <w:spacing w:after="160" w:line="360" w:lineRule="auto"/>
        <w:jc w:val="both"/>
      </w:pPr>
      <w:r>
        <w:rPr>
          <w:sz w:val="22"/>
          <w:szCs w:val="22"/>
        </w:rPr>
        <w:t>Capacity development is the fourth mechanism regularly invoked. Investigation of a health workforce development training programme with participants from several African countries found that the determinants of effective capacity development lay substantially in the organisational context to which trainees returned rather than in the training itself, and that individual capability gains did not translate into organisational capability where the receiving environment lacked supportive arrangements (</w:t>
      </w:r>
      <w:proofErr w:type="spellStart"/>
      <w:r>
        <w:rPr>
          <w:sz w:val="22"/>
          <w:szCs w:val="22"/>
        </w:rPr>
        <w:t>Amde</w:t>
      </w:r>
      <w:proofErr w:type="spellEnd"/>
      <w:r>
        <w:rPr>
          <w:sz w:val="22"/>
          <w:szCs w:val="22"/>
        </w:rPr>
        <w:t xml:space="preserve"> et al., 2019). The finding is consistent with wider evidence that capacity building projects succeed under </w:t>
      </w:r>
      <w:r>
        <w:rPr>
          <w:sz w:val="22"/>
          <w:szCs w:val="22"/>
        </w:rPr>
        <w:lastRenderedPageBreak/>
        <w:t>specifiable conditions rather than generally (Ika &amp; Donnelly, 2017), and it undermines the common assumption in project documentation that training activities constitute a sustainability strategy in themselves.</w:t>
      </w:r>
    </w:p>
    <w:p w14:paraId="33586079" w14:textId="77777777" w:rsidR="008721B8" w:rsidRDefault="008B314A">
      <w:pPr>
        <w:spacing w:after="160" w:line="360" w:lineRule="auto"/>
        <w:jc w:val="both"/>
      </w:pPr>
      <w:r>
        <w:rPr>
          <w:sz w:val="22"/>
          <w:szCs w:val="22"/>
        </w:rPr>
        <w:t>Table 4 sets out the principal points of disagreement in this literature, the competing findings, and the most plausible explanations for the divergence. Several of the apparent conflicts resolve once the outcome construct and the measurement independence of predictor and outcome are examined, which supports the argument advanced in Section 3 that a substantial part of the disagreement in this field is measurement artefact rather than substantive conflict.</w:t>
      </w:r>
    </w:p>
    <w:p w14:paraId="6079D19B" w14:textId="77777777" w:rsidR="008721B8" w:rsidRDefault="008B314A">
      <w:pPr>
        <w:spacing w:before="200" w:after="100"/>
      </w:pPr>
      <w:r>
        <w:rPr>
          <w:b/>
          <w:bCs/>
        </w:rPr>
        <w:t>Table 4. Conflicting findings and candidate explanations</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804"/>
        <w:gridCol w:w="1804"/>
        <w:gridCol w:w="1804"/>
        <w:gridCol w:w="1804"/>
        <w:gridCol w:w="1804"/>
      </w:tblGrid>
      <w:tr w:rsidR="008721B8" w14:paraId="78452A28" w14:textId="77777777">
        <w:trPr>
          <w:tblHeader/>
        </w:trPr>
        <w:tc>
          <w:tcPr>
            <w:tcW w:w="1804" w:type="dxa"/>
            <w:shd w:val="clear" w:color="auto" w:fill="E8E8E8"/>
            <w:tcMar>
              <w:top w:w="60" w:type="dxa"/>
              <w:left w:w="80" w:type="dxa"/>
              <w:bottom w:w="60" w:type="dxa"/>
              <w:right w:w="80" w:type="dxa"/>
            </w:tcMar>
          </w:tcPr>
          <w:p w14:paraId="3C6B045F" w14:textId="77777777" w:rsidR="008721B8" w:rsidRDefault="008B314A">
            <w:r>
              <w:rPr>
                <w:b/>
                <w:bCs/>
                <w:sz w:val="18"/>
                <w:szCs w:val="18"/>
              </w:rPr>
              <w:t>Point of disagreement</w:t>
            </w:r>
          </w:p>
        </w:tc>
        <w:tc>
          <w:tcPr>
            <w:tcW w:w="1804" w:type="dxa"/>
            <w:shd w:val="clear" w:color="auto" w:fill="E8E8E8"/>
            <w:tcMar>
              <w:top w:w="60" w:type="dxa"/>
              <w:left w:w="80" w:type="dxa"/>
              <w:bottom w:w="60" w:type="dxa"/>
              <w:right w:w="80" w:type="dxa"/>
            </w:tcMar>
          </w:tcPr>
          <w:p w14:paraId="70937AEA" w14:textId="77777777" w:rsidR="008721B8" w:rsidRDefault="008B314A">
            <w:r>
              <w:rPr>
                <w:b/>
                <w:bCs/>
                <w:sz w:val="18"/>
                <w:szCs w:val="18"/>
              </w:rPr>
              <w:t>Finding in one body of evidence</w:t>
            </w:r>
          </w:p>
        </w:tc>
        <w:tc>
          <w:tcPr>
            <w:tcW w:w="1804" w:type="dxa"/>
            <w:shd w:val="clear" w:color="auto" w:fill="E8E8E8"/>
            <w:tcMar>
              <w:top w:w="60" w:type="dxa"/>
              <w:left w:w="80" w:type="dxa"/>
              <w:bottom w:w="60" w:type="dxa"/>
              <w:right w:w="80" w:type="dxa"/>
            </w:tcMar>
          </w:tcPr>
          <w:p w14:paraId="64DF4B02" w14:textId="77777777" w:rsidR="008721B8" w:rsidRDefault="008B314A">
            <w:r>
              <w:rPr>
                <w:b/>
                <w:bCs/>
                <w:sz w:val="18"/>
                <w:szCs w:val="18"/>
              </w:rPr>
              <w:t>Contrasting finding</w:t>
            </w:r>
          </w:p>
        </w:tc>
        <w:tc>
          <w:tcPr>
            <w:tcW w:w="1804" w:type="dxa"/>
            <w:shd w:val="clear" w:color="auto" w:fill="E8E8E8"/>
            <w:tcMar>
              <w:top w:w="60" w:type="dxa"/>
              <w:left w:w="80" w:type="dxa"/>
              <w:bottom w:w="60" w:type="dxa"/>
              <w:right w:w="80" w:type="dxa"/>
            </w:tcMar>
          </w:tcPr>
          <w:p w14:paraId="654D6A0F" w14:textId="77777777" w:rsidR="008721B8" w:rsidRDefault="008B314A">
            <w:r>
              <w:rPr>
                <w:b/>
                <w:bCs/>
                <w:sz w:val="18"/>
                <w:szCs w:val="18"/>
              </w:rPr>
              <w:t>Most plausible explanation for divergence</w:t>
            </w:r>
          </w:p>
        </w:tc>
        <w:tc>
          <w:tcPr>
            <w:tcW w:w="1804" w:type="dxa"/>
            <w:shd w:val="clear" w:color="auto" w:fill="E8E8E8"/>
            <w:tcMar>
              <w:top w:w="60" w:type="dxa"/>
              <w:left w:w="80" w:type="dxa"/>
              <w:bottom w:w="60" w:type="dxa"/>
              <w:right w:w="80" w:type="dxa"/>
            </w:tcMar>
          </w:tcPr>
          <w:p w14:paraId="65EAB596" w14:textId="77777777" w:rsidR="008721B8" w:rsidRDefault="008B314A">
            <w:r>
              <w:rPr>
                <w:b/>
                <w:bCs/>
                <w:sz w:val="18"/>
                <w:szCs w:val="18"/>
              </w:rPr>
              <w:t>Supporting references</w:t>
            </w:r>
          </w:p>
        </w:tc>
      </w:tr>
      <w:tr w:rsidR="008721B8" w14:paraId="0598D87D" w14:textId="77777777">
        <w:tc>
          <w:tcPr>
            <w:tcW w:w="1804" w:type="dxa"/>
            <w:tcMar>
              <w:top w:w="60" w:type="dxa"/>
              <w:left w:w="80" w:type="dxa"/>
              <w:bottom w:w="60" w:type="dxa"/>
              <w:right w:w="80" w:type="dxa"/>
            </w:tcMar>
          </w:tcPr>
          <w:p w14:paraId="106F4B9A" w14:textId="77777777" w:rsidR="008721B8" w:rsidRDefault="008B314A">
            <w:r>
              <w:rPr>
                <w:sz w:val="18"/>
                <w:szCs w:val="18"/>
              </w:rPr>
              <w:t>Effect of revenue diversification on financial resilience</w:t>
            </w:r>
          </w:p>
        </w:tc>
        <w:tc>
          <w:tcPr>
            <w:tcW w:w="1804" w:type="dxa"/>
            <w:tcMar>
              <w:top w:w="60" w:type="dxa"/>
              <w:left w:w="80" w:type="dxa"/>
              <w:bottom w:w="60" w:type="dxa"/>
              <w:right w:w="80" w:type="dxa"/>
            </w:tcMar>
          </w:tcPr>
          <w:p w14:paraId="18B40B38" w14:textId="77777777" w:rsidR="008721B8" w:rsidRDefault="008B314A">
            <w:r>
              <w:rPr>
                <w:sz w:val="18"/>
                <w:szCs w:val="18"/>
              </w:rPr>
              <w:t>Diversification associated with improved financial health across general nonprofit populations</w:t>
            </w:r>
          </w:p>
        </w:tc>
        <w:tc>
          <w:tcPr>
            <w:tcW w:w="1804" w:type="dxa"/>
            <w:tcMar>
              <w:top w:w="60" w:type="dxa"/>
              <w:left w:w="80" w:type="dxa"/>
              <w:bottom w:w="60" w:type="dxa"/>
              <w:right w:w="80" w:type="dxa"/>
            </w:tcMar>
          </w:tcPr>
          <w:p w14:paraId="4E1F26A1" w14:textId="77777777" w:rsidR="008721B8" w:rsidRDefault="008B314A">
            <w:r>
              <w:rPr>
                <w:sz w:val="18"/>
                <w:szCs w:val="18"/>
              </w:rPr>
              <w:t>Diversification not predictive of reduced vulnerability among sub-Saharan African organisations</w:t>
            </w:r>
          </w:p>
        </w:tc>
        <w:tc>
          <w:tcPr>
            <w:tcW w:w="1804" w:type="dxa"/>
            <w:tcMar>
              <w:top w:w="60" w:type="dxa"/>
              <w:left w:w="80" w:type="dxa"/>
              <w:bottom w:w="60" w:type="dxa"/>
              <w:right w:w="80" w:type="dxa"/>
            </w:tcMar>
          </w:tcPr>
          <w:p w14:paraId="1C19CCAD" w14:textId="77777777" w:rsidR="008721B8" w:rsidRDefault="008B314A">
            <w:r>
              <w:rPr>
                <w:sz w:val="18"/>
                <w:szCs w:val="18"/>
              </w:rPr>
              <w:t>Available revenue sources in the second setting are correlated external flows subject to common shocks, so diversification does not reduce systematic risk</w:t>
            </w:r>
          </w:p>
        </w:tc>
        <w:tc>
          <w:tcPr>
            <w:tcW w:w="1804" w:type="dxa"/>
            <w:tcMar>
              <w:top w:w="60" w:type="dxa"/>
              <w:left w:w="80" w:type="dxa"/>
              <w:bottom w:w="60" w:type="dxa"/>
              <w:right w:w="80" w:type="dxa"/>
            </w:tcMar>
          </w:tcPr>
          <w:p w14:paraId="24CDC8B0" w14:textId="77777777" w:rsidR="008721B8" w:rsidRDefault="008B314A">
            <w:r>
              <w:rPr>
                <w:sz w:val="18"/>
                <w:szCs w:val="18"/>
              </w:rPr>
              <w:t xml:space="preserve">Despard et al. (2017); Hung and Hager (2019); </w:t>
            </w:r>
            <w:proofErr w:type="spellStart"/>
            <w:r>
              <w:rPr>
                <w:sz w:val="18"/>
                <w:szCs w:val="18"/>
              </w:rPr>
              <w:t>Khieng</w:t>
            </w:r>
            <w:proofErr w:type="spellEnd"/>
            <w:r>
              <w:rPr>
                <w:sz w:val="18"/>
                <w:szCs w:val="18"/>
              </w:rPr>
              <w:t xml:space="preserve"> and </w:t>
            </w:r>
            <w:proofErr w:type="spellStart"/>
            <w:r>
              <w:rPr>
                <w:sz w:val="18"/>
                <w:szCs w:val="18"/>
              </w:rPr>
              <w:t>Dahles</w:t>
            </w:r>
            <w:proofErr w:type="spellEnd"/>
            <w:r>
              <w:rPr>
                <w:sz w:val="18"/>
                <w:szCs w:val="18"/>
              </w:rPr>
              <w:t xml:space="preserve"> (2015); Lu et al. (2019)</w:t>
            </w:r>
          </w:p>
        </w:tc>
      </w:tr>
      <w:tr w:rsidR="008721B8" w14:paraId="3188B187" w14:textId="77777777">
        <w:tc>
          <w:tcPr>
            <w:tcW w:w="1804" w:type="dxa"/>
            <w:tcMar>
              <w:top w:w="60" w:type="dxa"/>
              <w:left w:w="80" w:type="dxa"/>
              <w:bottom w:w="60" w:type="dxa"/>
              <w:right w:w="80" w:type="dxa"/>
            </w:tcMar>
          </w:tcPr>
          <w:p w14:paraId="53B5F100" w14:textId="77777777" w:rsidR="008721B8" w:rsidRDefault="008B314A">
            <w:r>
              <w:rPr>
                <w:sz w:val="18"/>
                <w:szCs w:val="18"/>
              </w:rPr>
              <w:t>Value of beneficiary participation for sustainability</w:t>
            </w:r>
          </w:p>
        </w:tc>
        <w:tc>
          <w:tcPr>
            <w:tcW w:w="1804" w:type="dxa"/>
            <w:tcMar>
              <w:top w:w="60" w:type="dxa"/>
              <w:left w:w="80" w:type="dxa"/>
              <w:bottom w:w="60" w:type="dxa"/>
              <w:right w:w="80" w:type="dxa"/>
            </w:tcMar>
          </w:tcPr>
          <w:p w14:paraId="05EB72AE" w14:textId="77777777" w:rsidR="008721B8" w:rsidRDefault="008B314A">
            <w:r>
              <w:rPr>
                <w:sz w:val="18"/>
                <w:szCs w:val="18"/>
              </w:rPr>
              <w:t>Participation reported as a strong positive predictor in survey-based studies</w:t>
            </w:r>
          </w:p>
        </w:tc>
        <w:tc>
          <w:tcPr>
            <w:tcW w:w="1804" w:type="dxa"/>
            <w:tcMar>
              <w:top w:w="60" w:type="dxa"/>
              <w:left w:w="80" w:type="dxa"/>
              <w:bottom w:w="60" w:type="dxa"/>
              <w:right w:w="80" w:type="dxa"/>
            </w:tcMar>
          </w:tcPr>
          <w:p w14:paraId="349B4358" w14:textId="77777777" w:rsidR="008721B8" w:rsidRDefault="008B314A">
            <w:r>
              <w:rPr>
                <w:sz w:val="18"/>
                <w:szCs w:val="18"/>
              </w:rPr>
              <w:t>Participation found to have conditional effects dependent on form and timing</w:t>
            </w:r>
          </w:p>
        </w:tc>
        <w:tc>
          <w:tcPr>
            <w:tcW w:w="1804" w:type="dxa"/>
            <w:tcMar>
              <w:top w:w="60" w:type="dxa"/>
              <w:left w:w="80" w:type="dxa"/>
              <w:bottom w:w="60" w:type="dxa"/>
              <w:right w:w="80" w:type="dxa"/>
            </w:tcMar>
          </w:tcPr>
          <w:p w14:paraId="43736168" w14:textId="77777777" w:rsidR="008721B8" w:rsidRDefault="008B314A">
            <w:r>
              <w:rPr>
                <w:sz w:val="18"/>
                <w:szCs w:val="18"/>
              </w:rPr>
              <w:t>Survey studies measure predictor and outcome from the same respondents; the conditional finding derives from designs that separate them</w:t>
            </w:r>
          </w:p>
        </w:tc>
        <w:tc>
          <w:tcPr>
            <w:tcW w:w="1804" w:type="dxa"/>
            <w:tcMar>
              <w:top w:w="60" w:type="dxa"/>
              <w:left w:w="80" w:type="dxa"/>
              <w:bottom w:w="60" w:type="dxa"/>
              <w:right w:w="80" w:type="dxa"/>
            </w:tcMar>
          </w:tcPr>
          <w:p w14:paraId="3C6CB5D6" w14:textId="77777777" w:rsidR="008721B8" w:rsidRDefault="008B314A">
            <w:proofErr w:type="spellStart"/>
            <w:r>
              <w:rPr>
                <w:sz w:val="18"/>
                <w:szCs w:val="18"/>
              </w:rPr>
              <w:t>Bandé</w:t>
            </w:r>
            <w:proofErr w:type="spellEnd"/>
            <w:r>
              <w:rPr>
                <w:sz w:val="18"/>
                <w:szCs w:val="18"/>
              </w:rPr>
              <w:t xml:space="preserve"> et al. (2024); Mohan (2002)</w:t>
            </w:r>
          </w:p>
        </w:tc>
      </w:tr>
      <w:tr w:rsidR="008721B8" w14:paraId="2F277CFE" w14:textId="77777777">
        <w:tc>
          <w:tcPr>
            <w:tcW w:w="1804" w:type="dxa"/>
            <w:tcMar>
              <w:top w:w="60" w:type="dxa"/>
              <w:left w:w="80" w:type="dxa"/>
              <w:bottom w:w="60" w:type="dxa"/>
              <w:right w:w="80" w:type="dxa"/>
            </w:tcMar>
          </w:tcPr>
          <w:p w14:paraId="640F5943" w14:textId="77777777" w:rsidR="008721B8" w:rsidRDefault="008B314A">
            <w:r>
              <w:rPr>
                <w:sz w:val="18"/>
                <w:szCs w:val="18"/>
              </w:rPr>
              <w:t>Contribution of results-linked disbursement</w:t>
            </w:r>
          </w:p>
        </w:tc>
        <w:tc>
          <w:tcPr>
            <w:tcW w:w="1804" w:type="dxa"/>
            <w:tcMar>
              <w:top w:w="60" w:type="dxa"/>
              <w:left w:w="80" w:type="dxa"/>
              <w:bottom w:w="60" w:type="dxa"/>
              <w:right w:w="80" w:type="dxa"/>
            </w:tcMar>
          </w:tcPr>
          <w:p w14:paraId="3BE05BA5" w14:textId="77777777" w:rsidR="008721B8" w:rsidRDefault="008B314A">
            <w:r>
              <w:rPr>
                <w:sz w:val="18"/>
                <w:szCs w:val="18"/>
              </w:rPr>
              <w:t>Presented as an instrument that improves performance and accountability</w:t>
            </w:r>
          </w:p>
        </w:tc>
        <w:tc>
          <w:tcPr>
            <w:tcW w:w="1804" w:type="dxa"/>
            <w:tcMar>
              <w:top w:w="60" w:type="dxa"/>
              <w:left w:w="80" w:type="dxa"/>
              <w:bottom w:w="60" w:type="dxa"/>
              <w:right w:w="80" w:type="dxa"/>
            </w:tcMar>
          </w:tcPr>
          <w:p w14:paraId="2928AFE5" w14:textId="77777777" w:rsidR="008721B8" w:rsidRDefault="008B314A">
            <w:r>
              <w:rPr>
                <w:sz w:val="18"/>
                <w:szCs w:val="18"/>
              </w:rPr>
              <w:t>Incremental contribution over resource decentralisation contested; effects contingent on unit autonomy</w:t>
            </w:r>
          </w:p>
        </w:tc>
        <w:tc>
          <w:tcPr>
            <w:tcW w:w="1804" w:type="dxa"/>
            <w:tcMar>
              <w:top w:w="60" w:type="dxa"/>
              <w:left w:w="80" w:type="dxa"/>
              <w:bottom w:w="60" w:type="dxa"/>
              <w:right w:w="80" w:type="dxa"/>
            </w:tcMar>
          </w:tcPr>
          <w:p w14:paraId="18F0ADB3" w14:textId="77777777" w:rsidR="008721B8" w:rsidRDefault="008B314A">
            <w:r>
              <w:rPr>
                <w:sz w:val="18"/>
                <w:szCs w:val="18"/>
              </w:rPr>
              <w:t>Comparators differ; studies attributing gains to conditionality often lack a decentralisation-only comparison</w:t>
            </w:r>
          </w:p>
        </w:tc>
        <w:tc>
          <w:tcPr>
            <w:tcW w:w="1804" w:type="dxa"/>
            <w:tcMar>
              <w:top w:w="60" w:type="dxa"/>
              <w:left w:w="80" w:type="dxa"/>
              <w:bottom w:w="60" w:type="dxa"/>
              <w:right w:w="80" w:type="dxa"/>
            </w:tcMar>
          </w:tcPr>
          <w:p w14:paraId="644466C5" w14:textId="77777777" w:rsidR="008721B8" w:rsidRDefault="008B314A">
            <w:r>
              <w:rPr>
                <w:sz w:val="18"/>
                <w:szCs w:val="18"/>
              </w:rPr>
              <w:t>Eifert and Gelb (2008); Waithaka et al. (2022); Witter et al. (2021)</w:t>
            </w:r>
          </w:p>
        </w:tc>
      </w:tr>
      <w:tr w:rsidR="008721B8" w14:paraId="07755789" w14:textId="77777777">
        <w:tc>
          <w:tcPr>
            <w:tcW w:w="1804" w:type="dxa"/>
            <w:tcMar>
              <w:top w:w="60" w:type="dxa"/>
              <w:left w:w="80" w:type="dxa"/>
              <w:bottom w:w="60" w:type="dxa"/>
              <w:right w:w="80" w:type="dxa"/>
            </w:tcMar>
          </w:tcPr>
          <w:p w14:paraId="18F2E58E" w14:textId="77777777" w:rsidR="008721B8" w:rsidRDefault="008B314A">
            <w:r>
              <w:rPr>
                <w:sz w:val="18"/>
                <w:szCs w:val="18"/>
              </w:rPr>
              <w:t>Direction of the governance–sustainability relationship</w:t>
            </w:r>
          </w:p>
        </w:tc>
        <w:tc>
          <w:tcPr>
            <w:tcW w:w="1804" w:type="dxa"/>
            <w:tcMar>
              <w:top w:w="60" w:type="dxa"/>
              <w:left w:w="80" w:type="dxa"/>
              <w:bottom w:w="60" w:type="dxa"/>
              <w:right w:w="80" w:type="dxa"/>
            </w:tcMar>
          </w:tcPr>
          <w:p w14:paraId="395D44CA" w14:textId="77777777" w:rsidR="008721B8" w:rsidRDefault="008B314A">
            <w:r>
              <w:rPr>
                <w:sz w:val="18"/>
                <w:szCs w:val="18"/>
              </w:rPr>
              <w:t>Governance quality treated as an independent cause of sustainability</w:t>
            </w:r>
          </w:p>
        </w:tc>
        <w:tc>
          <w:tcPr>
            <w:tcW w:w="1804" w:type="dxa"/>
            <w:tcMar>
              <w:top w:w="60" w:type="dxa"/>
              <w:left w:w="80" w:type="dxa"/>
              <w:bottom w:w="60" w:type="dxa"/>
              <w:right w:w="80" w:type="dxa"/>
            </w:tcMar>
          </w:tcPr>
          <w:p w14:paraId="4A24C8CE" w14:textId="77777777" w:rsidR="008721B8" w:rsidRDefault="008B314A">
            <w:r>
              <w:rPr>
                <w:sz w:val="18"/>
                <w:szCs w:val="18"/>
              </w:rPr>
              <w:t>Governance investment partly determined by funding horizon and funder requirements</w:t>
            </w:r>
          </w:p>
        </w:tc>
        <w:tc>
          <w:tcPr>
            <w:tcW w:w="1804" w:type="dxa"/>
            <w:tcMar>
              <w:top w:w="60" w:type="dxa"/>
              <w:left w:w="80" w:type="dxa"/>
              <w:bottom w:w="60" w:type="dxa"/>
              <w:right w:w="80" w:type="dxa"/>
            </w:tcMar>
          </w:tcPr>
          <w:p w14:paraId="0038755C" w14:textId="77777777" w:rsidR="008721B8" w:rsidRDefault="008B314A">
            <w:r>
              <w:rPr>
                <w:sz w:val="18"/>
                <w:szCs w:val="18"/>
              </w:rPr>
              <w:t>Cross-sectional designs cannot separate the two; relational governance requires accumulated interaction that short cycles preclude</w:t>
            </w:r>
          </w:p>
        </w:tc>
        <w:tc>
          <w:tcPr>
            <w:tcW w:w="1804" w:type="dxa"/>
            <w:tcMar>
              <w:top w:w="60" w:type="dxa"/>
              <w:left w:w="80" w:type="dxa"/>
              <w:bottom w:w="60" w:type="dxa"/>
              <w:right w:w="80" w:type="dxa"/>
            </w:tcMar>
          </w:tcPr>
          <w:p w14:paraId="10FAFAD4" w14:textId="77777777" w:rsidR="008721B8" w:rsidRDefault="008B314A">
            <w:r>
              <w:rPr>
                <w:sz w:val="18"/>
                <w:szCs w:val="18"/>
              </w:rPr>
              <w:t>Benítez-Ávila et al. (2019); Ebrahim (2003); Müller et al. (2017)</w:t>
            </w:r>
          </w:p>
        </w:tc>
      </w:tr>
      <w:tr w:rsidR="008721B8" w14:paraId="11C9FACA" w14:textId="77777777">
        <w:tc>
          <w:tcPr>
            <w:tcW w:w="1804" w:type="dxa"/>
            <w:tcMar>
              <w:top w:w="60" w:type="dxa"/>
              <w:left w:w="80" w:type="dxa"/>
              <w:bottom w:w="60" w:type="dxa"/>
              <w:right w:w="80" w:type="dxa"/>
            </w:tcMar>
          </w:tcPr>
          <w:p w14:paraId="3BABCD50" w14:textId="77777777" w:rsidR="008721B8" w:rsidRDefault="008B314A">
            <w:r>
              <w:rPr>
                <w:sz w:val="18"/>
                <w:szCs w:val="18"/>
              </w:rPr>
              <w:t>Sufficiency of capacity building as a sustainability strategy</w:t>
            </w:r>
          </w:p>
        </w:tc>
        <w:tc>
          <w:tcPr>
            <w:tcW w:w="1804" w:type="dxa"/>
            <w:tcMar>
              <w:top w:w="60" w:type="dxa"/>
              <w:left w:w="80" w:type="dxa"/>
              <w:bottom w:w="60" w:type="dxa"/>
              <w:right w:w="80" w:type="dxa"/>
            </w:tcMar>
          </w:tcPr>
          <w:p w14:paraId="48F037FB" w14:textId="77777777" w:rsidR="008721B8" w:rsidRDefault="008B314A">
            <w:r>
              <w:rPr>
                <w:sz w:val="18"/>
                <w:szCs w:val="18"/>
              </w:rPr>
              <w:t>Training activities routinely presented as securing post-project continuity</w:t>
            </w:r>
          </w:p>
        </w:tc>
        <w:tc>
          <w:tcPr>
            <w:tcW w:w="1804" w:type="dxa"/>
            <w:tcMar>
              <w:top w:w="60" w:type="dxa"/>
              <w:left w:w="80" w:type="dxa"/>
              <w:bottom w:w="60" w:type="dxa"/>
              <w:right w:w="80" w:type="dxa"/>
            </w:tcMar>
          </w:tcPr>
          <w:p w14:paraId="42A073E5" w14:textId="77777777" w:rsidR="008721B8" w:rsidRDefault="008B314A">
            <w:r>
              <w:rPr>
                <w:sz w:val="18"/>
                <w:szCs w:val="18"/>
              </w:rPr>
              <w:t>Individual capability gains do not translate to organisational capability without supportive receiving context</w:t>
            </w:r>
          </w:p>
        </w:tc>
        <w:tc>
          <w:tcPr>
            <w:tcW w:w="1804" w:type="dxa"/>
            <w:tcMar>
              <w:top w:w="60" w:type="dxa"/>
              <w:left w:w="80" w:type="dxa"/>
              <w:bottom w:w="60" w:type="dxa"/>
              <w:right w:w="80" w:type="dxa"/>
            </w:tcMar>
          </w:tcPr>
          <w:p w14:paraId="208AFE9F" w14:textId="77777777" w:rsidR="008721B8" w:rsidRDefault="008B314A">
            <w:r>
              <w:rPr>
                <w:sz w:val="18"/>
                <w:szCs w:val="18"/>
              </w:rPr>
              <w:t>Studies reporting success measure individual learning; studies reporting failure measure organisational application</w:t>
            </w:r>
          </w:p>
        </w:tc>
        <w:tc>
          <w:tcPr>
            <w:tcW w:w="1804" w:type="dxa"/>
            <w:tcMar>
              <w:top w:w="60" w:type="dxa"/>
              <w:left w:w="80" w:type="dxa"/>
              <w:bottom w:w="60" w:type="dxa"/>
              <w:right w:w="80" w:type="dxa"/>
            </w:tcMar>
          </w:tcPr>
          <w:p w14:paraId="0F56D8DB" w14:textId="77777777" w:rsidR="008721B8" w:rsidRDefault="008B314A">
            <w:proofErr w:type="spellStart"/>
            <w:r>
              <w:rPr>
                <w:sz w:val="18"/>
                <w:szCs w:val="18"/>
              </w:rPr>
              <w:t>Amde</w:t>
            </w:r>
            <w:proofErr w:type="spellEnd"/>
            <w:r>
              <w:rPr>
                <w:sz w:val="18"/>
                <w:szCs w:val="18"/>
              </w:rPr>
              <w:t xml:space="preserve"> et al. (2019); Ika and Donnelly (2017)</w:t>
            </w:r>
          </w:p>
        </w:tc>
      </w:tr>
    </w:tbl>
    <w:p w14:paraId="0CA6D7D3" w14:textId="77777777" w:rsidR="008721B8" w:rsidRDefault="008B314A">
      <w:pPr>
        <w:spacing w:before="80" w:after="220"/>
      </w:pPr>
      <w:r>
        <w:rPr>
          <w:i/>
          <w:iCs/>
          <w:sz w:val="18"/>
          <w:szCs w:val="18"/>
        </w:rPr>
        <w:t>Note. Divergences attributed to measurement artefact are those in which the contrasting findings employ different outcome constructs or differ in the independence of predictor and outcome measurement.</w:t>
      </w:r>
    </w:p>
    <w:p w14:paraId="77B27538" w14:textId="77777777" w:rsidR="008721B8" w:rsidRDefault="008B314A">
      <w:pPr>
        <w:pStyle w:val="Heading1"/>
        <w:spacing w:before="280" w:after="160"/>
      </w:pPr>
      <w:r>
        <w:rPr>
          <w:b/>
          <w:bCs/>
          <w:color w:val="000000"/>
          <w:sz w:val="24"/>
          <w:szCs w:val="24"/>
        </w:rPr>
        <w:t>7. The Kenyan Setting: Regulatory Change, Fiscal Constraint and the State of the Evidence</w:t>
      </w:r>
    </w:p>
    <w:p w14:paraId="1447CEB2" w14:textId="77777777" w:rsidR="008721B8" w:rsidRDefault="008B314A">
      <w:pPr>
        <w:pStyle w:val="Heading2"/>
        <w:spacing w:before="280" w:after="160"/>
      </w:pPr>
      <w:r>
        <w:rPr>
          <w:b/>
          <w:bCs/>
          <w:color w:val="000000"/>
          <w:sz w:val="22"/>
          <w:szCs w:val="22"/>
        </w:rPr>
        <w:lastRenderedPageBreak/>
        <w:t>7.1 The regulatory and fiscal environment</w:t>
      </w:r>
    </w:p>
    <w:p w14:paraId="21D14521" w14:textId="77777777" w:rsidR="008721B8" w:rsidRDefault="008B314A">
      <w:pPr>
        <w:spacing w:after="160" w:line="360" w:lineRule="auto"/>
        <w:jc w:val="both"/>
      </w:pPr>
      <w:r>
        <w:rPr>
          <w:sz w:val="22"/>
          <w:szCs w:val="22"/>
        </w:rPr>
        <w:t xml:space="preserve">Two structural changes frame the current position of Kenyan non-governmental organisations. The first is regulatory. The statutory framework governing the sector changed with the commencement, in May 2024, of legislation establishing public benefit organisations as the recognised form and creating a new regulatory authority in place of the previous coordination board, with registration, re-registration and reporting obligations attached (International </w:t>
      </w:r>
      <w:proofErr w:type="spellStart"/>
      <w:r>
        <w:rPr>
          <w:sz w:val="22"/>
          <w:szCs w:val="22"/>
        </w:rPr>
        <w:t>Center</w:t>
      </w:r>
      <w:proofErr w:type="spellEnd"/>
      <w:r>
        <w:rPr>
          <w:sz w:val="22"/>
          <w:szCs w:val="22"/>
        </w:rPr>
        <w:t xml:space="preserve"> for Not-for-Profit Law, n.d.). The practical significance for the review question is that compliance obligations now originate from two directions simultaneously. An organisation must satisfy funder reporting requirements and statutory reporting requirements whose categories do not align, and the governance capacity absorbed by the second is not available for the first or for beneficiary-facing accountability. The reasoning that upward accountability crowds out downward accountability applies with equal force to regulatory accountability (Ebrahim, 2003), and the addition of a second upward channel is a plausible aggravating factor whose effects have not been studied.</w:t>
      </w:r>
    </w:p>
    <w:p w14:paraId="7455BAE2" w14:textId="77777777" w:rsidR="008721B8" w:rsidRDefault="008B314A">
      <w:pPr>
        <w:spacing w:after="160" w:line="360" w:lineRule="auto"/>
        <w:jc w:val="both"/>
      </w:pPr>
      <w:r>
        <w:rPr>
          <w:sz w:val="22"/>
          <w:szCs w:val="22"/>
        </w:rPr>
        <w:t xml:space="preserve">The second is fiscal. Kenya's health financing system operates under constraints that limit the plausibility of rapid domestic substitution for withdrawn external funds. Examination of facility financing under devolution documented fragmented flows and limited facility autonomy over the resources notionally allocated to them (Kairu et al., 2021), and analysis of the effects of the pandemic showed how quickly these arrangements transmitted external shocks (Kairu et al., 2023). Assessment of the potential for informal sector prepayment concluded that the revenue that could realistically be mobilised from that segment falls well short of what universal coverage would require, which constrains one of the </w:t>
      </w:r>
      <w:proofErr w:type="gramStart"/>
      <w:r>
        <w:rPr>
          <w:sz w:val="22"/>
          <w:szCs w:val="22"/>
        </w:rPr>
        <w:t>principal</w:t>
      </w:r>
      <w:proofErr w:type="gramEnd"/>
      <w:r>
        <w:rPr>
          <w:sz w:val="22"/>
          <w:szCs w:val="22"/>
        </w:rPr>
        <w:t xml:space="preserve"> proposed routes to domestic resource mobilisation (Okungu &amp; McIntyre, 2019). Research on the experience of poorer households with financing reforms designed to target them found that intended beneficiaries were frequently not reached by the mechanisms established for their benefit (Kabia et al., 2019). Work on priority setting at hospital level established that resource allocation decisions are shaped by power relations among actors rather than by formal criteria alone (Barasa et al., 2016). None of these findings concerns non-governmental project sustainability directly, but together they establish that the receiving system into which donor-funded activities are supposed to be absorbed is itself resource-constrained and contested, which materially weakens the institutionalisation pathway that transition planning relies upon (</w:t>
      </w:r>
      <w:proofErr w:type="spellStart"/>
      <w:r>
        <w:rPr>
          <w:sz w:val="22"/>
          <w:szCs w:val="22"/>
        </w:rPr>
        <w:t>Ogbuoji</w:t>
      </w:r>
      <w:proofErr w:type="spellEnd"/>
      <w:r>
        <w:rPr>
          <w:sz w:val="22"/>
          <w:szCs w:val="22"/>
        </w:rPr>
        <w:t xml:space="preserve"> et al., 2025; Vogus &amp; Graff, 2015). Broader analysis of the relationship between external debt, macroeconomic conditionality and domestic health financing in low- and middle-income countries reinforces this conclusion at the fiscal level (Federspiel &amp; Borghi, 2026), and the contraction in bilateral health financing during 2025 removed a substantial share of the resources on which the previous arrangements depended (Faye, 2025).</w:t>
      </w:r>
    </w:p>
    <w:p w14:paraId="17EF5D46" w14:textId="77777777" w:rsidR="008721B8" w:rsidRDefault="008B314A">
      <w:pPr>
        <w:pStyle w:val="Heading2"/>
        <w:spacing w:before="280" w:after="160"/>
      </w:pPr>
      <w:r>
        <w:rPr>
          <w:b/>
          <w:bCs/>
          <w:color w:val="000000"/>
          <w:sz w:val="22"/>
          <w:szCs w:val="22"/>
        </w:rPr>
        <w:t>7.2 What the Kenyan literature establishes and what it does not</w:t>
      </w:r>
    </w:p>
    <w:p w14:paraId="54DA12EE" w14:textId="77777777" w:rsidR="008721B8" w:rsidRDefault="008B314A">
      <w:pPr>
        <w:spacing w:after="160" w:line="360" w:lineRule="auto"/>
        <w:jc w:val="both"/>
      </w:pPr>
      <w:r>
        <w:rPr>
          <w:sz w:val="22"/>
          <w:szCs w:val="22"/>
        </w:rPr>
        <w:lastRenderedPageBreak/>
        <w:t>Evidence of high quality about Kenyan non-governmental project sustainability is scarce, and the scarcity is not evenly distributed across sectors. In rural water supply, long-run retrospective analysis of handpump functionality on the south coast provides genuinely informative evidence about post-installation failure, identifying installation characteristics, management arrangements and water quality as risk factors and demonstrating that failure is patterned rather than random (Foster et al., 2018). The study is unusual in observing outcomes over an extended period after installation, and its findings caution against inferring sustainability from the presence of infrastructure. Critical work on the community management model further shows that conclusions about sustainability in this sector depend heavily on how functionality is defined and measured (Whaley &amp; Cleaver, 2017).</w:t>
      </w:r>
    </w:p>
    <w:p w14:paraId="4D151FC2" w14:textId="77777777" w:rsidR="008721B8" w:rsidRDefault="008B314A">
      <w:pPr>
        <w:spacing w:after="160" w:line="360" w:lineRule="auto"/>
        <w:jc w:val="both"/>
      </w:pPr>
      <w:r>
        <w:rPr>
          <w:sz w:val="22"/>
          <w:szCs w:val="22"/>
        </w:rPr>
        <w:t>In health, the Kenyan evidence concerns the financing and organisation of the public system rather than non-governmental project sustainability, and it must be used as context rather than as direct evidence. The exception is work on community health volunteers, which addresses the sustainability of a delivery model that donor-funded projects rely on extensively. Qualitative investigation in a rural coastal county found that volunteers regarded income insecurity as their central constraint and articulated preferences for income-generating arrangements that would make continued service viable (</w:t>
      </w:r>
      <w:proofErr w:type="spellStart"/>
      <w:r>
        <w:rPr>
          <w:sz w:val="22"/>
          <w:szCs w:val="22"/>
        </w:rPr>
        <w:t>Lusambili</w:t>
      </w:r>
      <w:proofErr w:type="spellEnd"/>
      <w:r>
        <w:rPr>
          <w:sz w:val="22"/>
          <w:szCs w:val="22"/>
        </w:rPr>
        <w:t xml:space="preserve"> et al., 2021). The study is single-site and qualitative, and it does not support an estimate of attrition or of the effect of any particular remuneration arrangement, but it identifies a mechanism that any credible sustainability plan for volunteer-dependent projects must address, and it indicates that the widespread practice of counting trained volunteers as evidence of sustainability is unsound.</w:t>
      </w:r>
    </w:p>
    <w:p w14:paraId="3E703383" w14:textId="77777777" w:rsidR="008721B8" w:rsidRDefault="008B314A">
      <w:pPr>
        <w:spacing w:after="160" w:line="360" w:lineRule="auto"/>
        <w:jc w:val="both"/>
      </w:pPr>
      <w:r>
        <w:rPr>
          <w:sz w:val="22"/>
          <w:szCs w:val="22"/>
        </w:rPr>
        <w:t>Outside these areas the Kenyan literature consists overwhelmingly of small cross-sectional survey studies published in outlets that are not indexed in the principal bibliographic databases and whose peer review cannot be verified. The recurrent design administers a structured questionnaire to project staff or committee members in a single county or sector, derives Likert-scale indices for predictors such as stakeholder participation, monitoring and evaluation practice, resource mobilisation, leadership or risk management, and regresses a similarly derived sustainability index on them. Nearly all such studies report positive and significant coefficients for nearly all predictors. Four features of the design make that result close to inevitable and deprive it of evidential value. Predictor and outcome are elicited from the same respondents at the same time, so common-method variance inflates the association. The outcome is a perception of likely sustainability held during implementation rather than an observation of what occurred after funding ended, which means the studies do not measure sustainability at all under any of the definitions in Table 1. Sampling is typically purposive or by convenience within a single administrative unit, so the population to which any estimate refers is undefined. Respondents are project personnel whose continued employment depends on the project, which introduces a systematic incentive toward favourable reporting. The consequence is that this body of work cannot discriminate among the theoretical accounts compared in Section 4, cannot establish the direction of any relationship, and cannot support the practice recommendations routinely drawn from it.</w:t>
      </w:r>
    </w:p>
    <w:p w14:paraId="717500DA" w14:textId="77777777" w:rsidR="008721B8" w:rsidRDefault="008B314A">
      <w:pPr>
        <w:spacing w:after="160" w:line="360" w:lineRule="auto"/>
        <w:jc w:val="both"/>
      </w:pPr>
      <w:r>
        <w:rPr>
          <w:sz w:val="22"/>
          <w:szCs w:val="22"/>
        </w:rPr>
        <w:lastRenderedPageBreak/>
        <w:t>This assessment is not a claim that the underlying phenomena are absent or that the researchers are mistaken about what matters. It is a claim about what the available designs can establish. Systematic review of post-funding programme sustainability across Africa reached comparably cautious conclusions from a broader evidence base, noting the heterogeneity and retrospective character of the eligible studies (Ilesanmi &amp; Afolabi, 2022), and qualitative case evidence from Cameroon documented the collapse of externally managed projects after withdrawal without being able to quantify the risk (Muluh et al., 2019). Comparative work on the determinants of sustainability and organisational effectiveness in non-profit organisations has likewise proceeded largely by cross-sectional association (Iwu et al., 2015). The field's central problem is that the observation required to test its central claim, namely measurement of outcomes in recipient populations after funding has ceased, is expensive, is not funded by the funders whose decisions it would inform, and is not achievable within the timeframe of the postgraduate research that generates most of the Kenyan output.</w:t>
      </w:r>
    </w:p>
    <w:p w14:paraId="30AEAA5A" w14:textId="77777777" w:rsidR="008721B8" w:rsidRDefault="008B314A">
      <w:pPr>
        <w:pStyle w:val="Heading2"/>
        <w:spacing w:before="280" w:after="160"/>
      </w:pPr>
      <w:r>
        <w:rPr>
          <w:b/>
          <w:bCs/>
          <w:color w:val="000000"/>
          <w:sz w:val="22"/>
          <w:szCs w:val="22"/>
        </w:rPr>
        <w:t>7.3 Implications for interpreting claims about Kenyan project sustainability</w:t>
      </w:r>
    </w:p>
    <w:p w14:paraId="37C9FB9D" w14:textId="77777777" w:rsidR="008721B8" w:rsidRDefault="008B314A">
      <w:pPr>
        <w:spacing w:after="160" w:line="360" w:lineRule="auto"/>
        <w:jc w:val="both"/>
      </w:pPr>
      <w:r>
        <w:rPr>
          <w:sz w:val="22"/>
          <w:szCs w:val="22"/>
        </w:rPr>
        <w:t>Three interpretive rules follow. Claims resting on studies that measure anticipated sustainability during implementation should be treated as evidence about the beliefs of project personnel, which is a legitimate but different object of study. Claims about the effect of a governance mechanism should be assessed against whether the study could have observed the mechanism failing, since designs in which the predictor is a self-reported virtue rarely can. Claims that a project is sustainable because assets were installed, personnel were trained or committees were formed should be treated as unsupported unless functionality, retention or committee activity was verified after funding ceased, since each of these has been shown to decay in the absence of continuing resource (</w:t>
      </w:r>
      <w:proofErr w:type="spellStart"/>
      <w:r>
        <w:rPr>
          <w:sz w:val="22"/>
          <w:szCs w:val="22"/>
        </w:rPr>
        <w:t>Amde</w:t>
      </w:r>
      <w:proofErr w:type="spellEnd"/>
      <w:r>
        <w:rPr>
          <w:sz w:val="22"/>
          <w:szCs w:val="22"/>
        </w:rPr>
        <w:t xml:space="preserve"> et al., 2019; Foster et al., 2018; </w:t>
      </w:r>
      <w:proofErr w:type="spellStart"/>
      <w:r>
        <w:rPr>
          <w:sz w:val="22"/>
          <w:szCs w:val="22"/>
        </w:rPr>
        <w:t>Lusambili</w:t>
      </w:r>
      <w:proofErr w:type="spellEnd"/>
      <w:r>
        <w:rPr>
          <w:sz w:val="22"/>
          <w:szCs w:val="22"/>
        </w:rPr>
        <w:t xml:space="preserve"> et al., 2021).</w:t>
      </w:r>
    </w:p>
    <w:p w14:paraId="5AC6835C" w14:textId="77777777" w:rsidR="008721B8" w:rsidRDefault="008B314A">
      <w:pPr>
        <w:spacing w:after="160" w:line="360" w:lineRule="auto"/>
        <w:jc w:val="both"/>
      </w:pPr>
      <w:r>
        <w:rPr>
          <w:sz w:val="22"/>
          <w:szCs w:val="22"/>
        </w:rPr>
        <w:t>Table 5 sets out the principal methodological limitations of the available evidence base, the specific inferential consequence of each, and the design feature that would remedy it. The purpose is diagnostic rather than dismissive: several of the remedies are achievable within realistic research budgets, and the concentration of weakness in a small number of design features suggests that modest changes in study design would substantially improve what the literature can establish.</w:t>
      </w:r>
    </w:p>
    <w:p w14:paraId="0CAA4BA6" w14:textId="77777777" w:rsidR="008721B8" w:rsidRDefault="008B314A">
      <w:pPr>
        <w:spacing w:before="200" w:after="100"/>
      </w:pPr>
      <w:r>
        <w:rPr>
          <w:b/>
          <w:bCs/>
        </w:rPr>
        <w:t>Table 5. Methodological limitations of the available evidence base and corresponding design remedies</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503"/>
        <w:gridCol w:w="1503"/>
        <w:gridCol w:w="1503"/>
        <w:gridCol w:w="1503"/>
        <w:gridCol w:w="1503"/>
        <w:gridCol w:w="1505"/>
      </w:tblGrid>
      <w:tr w:rsidR="008721B8" w14:paraId="55372F6E" w14:textId="77777777">
        <w:trPr>
          <w:tblHeader/>
        </w:trPr>
        <w:tc>
          <w:tcPr>
            <w:tcW w:w="1503" w:type="dxa"/>
            <w:shd w:val="clear" w:color="auto" w:fill="E8E8E8"/>
            <w:tcMar>
              <w:top w:w="60" w:type="dxa"/>
              <w:left w:w="80" w:type="dxa"/>
              <w:bottom w:w="60" w:type="dxa"/>
              <w:right w:w="80" w:type="dxa"/>
            </w:tcMar>
          </w:tcPr>
          <w:p w14:paraId="7C24D001" w14:textId="77777777" w:rsidR="008721B8" w:rsidRDefault="008B314A">
            <w:r>
              <w:rPr>
                <w:b/>
                <w:bCs/>
                <w:sz w:val="18"/>
                <w:szCs w:val="18"/>
              </w:rPr>
              <w:t>Limitation</w:t>
            </w:r>
          </w:p>
        </w:tc>
        <w:tc>
          <w:tcPr>
            <w:tcW w:w="1503" w:type="dxa"/>
            <w:shd w:val="clear" w:color="auto" w:fill="E8E8E8"/>
            <w:tcMar>
              <w:top w:w="60" w:type="dxa"/>
              <w:left w:w="80" w:type="dxa"/>
              <w:bottom w:w="60" w:type="dxa"/>
              <w:right w:w="80" w:type="dxa"/>
            </w:tcMar>
          </w:tcPr>
          <w:p w14:paraId="2B4CB91D" w14:textId="77777777" w:rsidR="008721B8" w:rsidRDefault="008B314A">
            <w:r>
              <w:rPr>
                <w:b/>
                <w:bCs/>
                <w:sz w:val="18"/>
                <w:szCs w:val="18"/>
              </w:rPr>
              <w:t>Where it predominates</w:t>
            </w:r>
          </w:p>
        </w:tc>
        <w:tc>
          <w:tcPr>
            <w:tcW w:w="1503" w:type="dxa"/>
            <w:shd w:val="clear" w:color="auto" w:fill="E8E8E8"/>
            <w:tcMar>
              <w:top w:w="60" w:type="dxa"/>
              <w:left w:w="80" w:type="dxa"/>
              <w:bottom w:w="60" w:type="dxa"/>
              <w:right w:w="80" w:type="dxa"/>
            </w:tcMar>
          </w:tcPr>
          <w:p w14:paraId="39666607" w14:textId="77777777" w:rsidR="008721B8" w:rsidRDefault="008B314A">
            <w:r>
              <w:rPr>
                <w:b/>
                <w:bCs/>
                <w:sz w:val="18"/>
                <w:szCs w:val="18"/>
              </w:rPr>
              <w:t>Inferential consequence</w:t>
            </w:r>
          </w:p>
        </w:tc>
        <w:tc>
          <w:tcPr>
            <w:tcW w:w="1503" w:type="dxa"/>
            <w:shd w:val="clear" w:color="auto" w:fill="E8E8E8"/>
            <w:tcMar>
              <w:top w:w="60" w:type="dxa"/>
              <w:left w:w="80" w:type="dxa"/>
              <w:bottom w:w="60" w:type="dxa"/>
              <w:right w:w="80" w:type="dxa"/>
            </w:tcMar>
          </w:tcPr>
          <w:p w14:paraId="2864E1E0" w14:textId="77777777" w:rsidR="008721B8" w:rsidRDefault="008B314A">
            <w:r>
              <w:rPr>
                <w:b/>
                <w:bCs/>
                <w:sz w:val="18"/>
                <w:szCs w:val="18"/>
              </w:rPr>
              <w:t>Design remedy</w:t>
            </w:r>
          </w:p>
        </w:tc>
        <w:tc>
          <w:tcPr>
            <w:tcW w:w="1503" w:type="dxa"/>
            <w:shd w:val="clear" w:color="auto" w:fill="E8E8E8"/>
            <w:tcMar>
              <w:top w:w="60" w:type="dxa"/>
              <w:left w:w="80" w:type="dxa"/>
              <w:bottom w:w="60" w:type="dxa"/>
              <w:right w:w="80" w:type="dxa"/>
            </w:tcMar>
          </w:tcPr>
          <w:p w14:paraId="413A2538" w14:textId="77777777" w:rsidR="008721B8" w:rsidRDefault="008B314A">
            <w:r>
              <w:rPr>
                <w:b/>
                <w:bCs/>
                <w:sz w:val="18"/>
                <w:szCs w:val="18"/>
              </w:rPr>
              <w:t>Feasibility constraint</w:t>
            </w:r>
          </w:p>
        </w:tc>
        <w:tc>
          <w:tcPr>
            <w:tcW w:w="1505" w:type="dxa"/>
            <w:shd w:val="clear" w:color="auto" w:fill="E8E8E8"/>
            <w:tcMar>
              <w:top w:w="60" w:type="dxa"/>
              <w:left w:w="80" w:type="dxa"/>
              <w:bottom w:w="60" w:type="dxa"/>
              <w:right w:w="80" w:type="dxa"/>
            </w:tcMar>
          </w:tcPr>
          <w:p w14:paraId="6EB29CD3" w14:textId="77777777" w:rsidR="008721B8" w:rsidRDefault="008B314A">
            <w:r>
              <w:rPr>
                <w:b/>
                <w:bCs/>
                <w:sz w:val="18"/>
                <w:szCs w:val="18"/>
              </w:rPr>
              <w:t>Supporting references</w:t>
            </w:r>
          </w:p>
        </w:tc>
      </w:tr>
      <w:tr w:rsidR="008721B8" w14:paraId="12BE6CAC" w14:textId="77777777">
        <w:tc>
          <w:tcPr>
            <w:tcW w:w="1503" w:type="dxa"/>
            <w:tcMar>
              <w:top w:w="60" w:type="dxa"/>
              <w:left w:w="80" w:type="dxa"/>
              <w:bottom w:w="60" w:type="dxa"/>
              <w:right w:w="80" w:type="dxa"/>
            </w:tcMar>
          </w:tcPr>
          <w:p w14:paraId="412374A4" w14:textId="77777777" w:rsidR="008721B8" w:rsidRDefault="008B314A">
            <w:r>
              <w:rPr>
                <w:sz w:val="18"/>
                <w:szCs w:val="18"/>
              </w:rPr>
              <w:t>Outcome measured as anticipated rather than realised sustainability</w:t>
            </w:r>
          </w:p>
        </w:tc>
        <w:tc>
          <w:tcPr>
            <w:tcW w:w="1503" w:type="dxa"/>
            <w:tcMar>
              <w:top w:w="60" w:type="dxa"/>
              <w:left w:w="80" w:type="dxa"/>
              <w:bottom w:w="60" w:type="dxa"/>
              <w:right w:w="80" w:type="dxa"/>
            </w:tcMar>
          </w:tcPr>
          <w:p w14:paraId="083E7DB7" w14:textId="77777777" w:rsidR="008721B8" w:rsidRDefault="008B314A">
            <w:r>
              <w:rPr>
                <w:sz w:val="18"/>
                <w:szCs w:val="18"/>
              </w:rPr>
              <w:t>Cross-sectional survey literature on donor-funded projects</w:t>
            </w:r>
          </w:p>
        </w:tc>
        <w:tc>
          <w:tcPr>
            <w:tcW w:w="1503" w:type="dxa"/>
            <w:tcMar>
              <w:top w:w="60" w:type="dxa"/>
              <w:left w:w="80" w:type="dxa"/>
              <w:bottom w:w="60" w:type="dxa"/>
              <w:right w:w="80" w:type="dxa"/>
            </w:tcMar>
          </w:tcPr>
          <w:p w14:paraId="6069898E" w14:textId="77777777" w:rsidR="008721B8" w:rsidRDefault="008B314A">
            <w:r>
              <w:rPr>
                <w:sz w:val="18"/>
                <w:szCs w:val="18"/>
              </w:rPr>
              <w:t>No claim about post-funding outcomes is supported; the construct measured is respondent belief</w:t>
            </w:r>
          </w:p>
        </w:tc>
        <w:tc>
          <w:tcPr>
            <w:tcW w:w="1503" w:type="dxa"/>
            <w:tcMar>
              <w:top w:w="60" w:type="dxa"/>
              <w:left w:w="80" w:type="dxa"/>
              <w:bottom w:w="60" w:type="dxa"/>
              <w:right w:w="80" w:type="dxa"/>
            </w:tcMar>
          </w:tcPr>
          <w:p w14:paraId="4BCEEFA4" w14:textId="77777777" w:rsidR="008721B8" w:rsidRDefault="008B314A">
            <w:r>
              <w:rPr>
                <w:sz w:val="18"/>
                <w:szCs w:val="18"/>
              </w:rPr>
              <w:t>Follow-up measurement at a defined interval after funding ceases</w:t>
            </w:r>
          </w:p>
        </w:tc>
        <w:tc>
          <w:tcPr>
            <w:tcW w:w="1503" w:type="dxa"/>
            <w:tcMar>
              <w:top w:w="60" w:type="dxa"/>
              <w:left w:w="80" w:type="dxa"/>
              <w:bottom w:w="60" w:type="dxa"/>
              <w:right w:w="80" w:type="dxa"/>
            </w:tcMar>
          </w:tcPr>
          <w:p w14:paraId="5CCC455C" w14:textId="77777777" w:rsidR="008721B8" w:rsidRDefault="008B314A">
            <w:r>
              <w:rPr>
                <w:sz w:val="18"/>
                <w:szCs w:val="18"/>
              </w:rPr>
              <w:t>Requires funding beyond the project period, which funders rarely provide</w:t>
            </w:r>
          </w:p>
        </w:tc>
        <w:tc>
          <w:tcPr>
            <w:tcW w:w="1505" w:type="dxa"/>
            <w:tcMar>
              <w:top w:w="60" w:type="dxa"/>
              <w:left w:w="80" w:type="dxa"/>
              <w:bottom w:w="60" w:type="dxa"/>
              <w:right w:w="80" w:type="dxa"/>
            </w:tcMar>
          </w:tcPr>
          <w:p w14:paraId="238DD202" w14:textId="77777777" w:rsidR="008721B8" w:rsidRDefault="008B314A">
            <w:r>
              <w:rPr>
                <w:sz w:val="18"/>
                <w:szCs w:val="18"/>
              </w:rPr>
              <w:t>Ilesanmi and Afolabi (2022); Scheirer and Dearing (2011)</w:t>
            </w:r>
          </w:p>
        </w:tc>
      </w:tr>
      <w:tr w:rsidR="008721B8" w14:paraId="6A9D084C" w14:textId="77777777">
        <w:tc>
          <w:tcPr>
            <w:tcW w:w="1503" w:type="dxa"/>
            <w:tcMar>
              <w:top w:w="60" w:type="dxa"/>
              <w:left w:w="80" w:type="dxa"/>
              <w:bottom w:w="60" w:type="dxa"/>
              <w:right w:w="80" w:type="dxa"/>
            </w:tcMar>
          </w:tcPr>
          <w:p w14:paraId="2E5BC313" w14:textId="77777777" w:rsidR="008721B8" w:rsidRDefault="008B314A">
            <w:r>
              <w:rPr>
                <w:sz w:val="18"/>
                <w:szCs w:val="18"/>
              </w:rPr>
              <w:lastRenderedPageBreak/>
              <w:t>Predictor and outcome elicited from the same respondents</w:t>
            </w:r>
          </w:p>
        </w:tc>
        <w:tc>
          <w:tcPr>
            <w:tcW w:w="1503" w:type="dxa"/>
            <w:tcMar>
              <w:top w:w="60" w:type="dxa"/>
              <w:left w:w="80" w:type="dxa"/>
              <w:bottom w:w="60" w:type="dxa"/>
              <w:right w:w="80" w:type="dxa"/>
            </w:tcMar>
          </w:tcPr>
          <w:p w14:paraId="11577969" w14:textId="77777777" w:rsidR="008721B8" w:rsidRDefault="008B314A">
            <w:r>
              <w:rPr>
                <w:sz w:val="18"/>
                <w:szCs w:val="18"/>
              </w:rPr>
              <w:t>Survey studies of governance and sustainability</w:t>
            </w:r>
          </w:p>
        </w:tc>
        <w:tc>
          <w:tcPr>
            <w:tcW w:w="1503" w:type="dxa"/>
            <w:tcMar>
              <w:top w:w="60" w:type="dxa"/>
              <w:left w:w="80" w:type="dxa"/>
              <w:bottom w:w="60" w:type="dxa"/>
              <w:right w:w="80" w:type="dxa"/>
            </w:tcMar>
          </w:tcPr>
          <w:p w14:paraId="63D96BE3" w14:textId="77777777" w:rsidR="008721B8" w:rsidRDefault="008B314A">
            <w:r>
              <w:rPr>
                <w:sz w:val="18"/>
                <w:szCs w:val="18"/>
              </w:rPr>
              <w:t>Common-method variance inflates associations; near-universal significance is an artefact</w:t>
            </w:r>
          </w:p>
        </w:tc>
        <w:tc>
          <w:tcPr>
            <w:tcW w:w="1503" w:type="dxa"/>
            <w:tcMar>
              <w:top w:w="60" w:type="dxa"/>
              <w:left w:w="80" w:type="dxa"/>
              <w:bottom w:w="60" w:type="dxa"/>
              <w:right w:w="80" w:type="dxa"/>
            </w:tcMar>
          </w:tcPr>
          <w:p w14:paraId="270CCCE4" w14:textId="77777777" w:rsidR="008721B8" w:rsidRDefault="008B314A">
            <w:r>
              <w:rPr>
                <w:sz w:val="18"/>
                <w:szCs w:val="18"/>
              </w:rPr>
              <w:t>Independent measurement of governance from records and of outcomes from recipients</w:t>
            </w:r>
          </w:p>
        </w:tc>
        <w:tc>
          <w:tcPr>
            <w:tcW w:w="1503" w:type="dxa"/>
            <w:tcMar>
              <w:top w:w="60" w:type="dxa"/>
              <w:left w:w="80" w:type="dxa"/>
              <w:bottom w:w="60" w:type="dxa"/>
              <w:right w:w="80" w:type="dxa"/>
            </w:tcMar>
          </w:tcPr>
          <w:p w14:paraId="311D101C" w14:textId="77777777" w:rsidR="008721B8" w:rsidRDefault="008B314A">
            <w:r>
              <w:rPr>
                <w:sz w:val="18"/>
                <w:szCs w:val="18"/>
              </w:rPr>
              <w:t>Requires access to organisational records and recipient populations</w:t>
            </w:r>
          </w:p>
        </w:tc>
        <w:tc>
          <w:tcPr>
            <w:tcW w:w="1505" w:type="dxa"/>
            <w:tcMar>
              <w:top w:w="60" w:type="dxa"/>
              <w:left w:w="80" w:type="dxa"/>
              <w:bottom w:w="60" w:type="dxa"/>
              <w:right w:w="80" w:type="dxa"/>
            </w:tcMar>
          </w:tcPr>
          <w:p w14:paraId="42FFCE60" w14:textId="77777777" w:rsidR="008721B8" w:rsidRDefault="008B314A">
            <w:proofErr w:type="spellStart"/>
            <w:r>
              <w:rPr>
                <w:sz w:val="18"/>
                <w:szCs w:val="18"/>
              </w:rPr>
              <w:t>Bandé</w:t>
            </w:r>
            <w:proofErr w:type="spellEnd"/>
            <w:r>
              <w:rPr>
                <w:sz w:val="18"/>
                <w:szCs w:val="18"/>
              </w:rPr>
              <w:t xml:space="preserve"> et al. (2024); Ebrahim (2003)</w:t>
            </w:r>
          </w:p>
        </w:tc>
      </w:tr>
      <w:tr w:rsidR="008721B8" w14:paraId="7A964B1A" w14:textId="77777777">
        <w:tc>
          <w:tcPr>
            <w:tcW w:w="1503" w:type="dxa"/>
            <w:tcMar>
              <w:top w:w="60" w:type="dxa"/>
              <w:left w:w="80" w:type="dxa"/>
              <w:bottom w:w="60" w:type="dxa"/>
              <w:right w:w="80" w:type="dxa"/>
            </w:tcMar>
          </w:tcPr>
          <w:p w14:paraId="25543A21" w14:textId="77777777" w:rsidR="008721B8" w:rsidRDefault="008B314A">
            <w:r>
              <w:rPr>
                <w:sz w:val="18"/>
                <w:szCs w:val="18"/>
              </w:rPr>
              <w:t>Composite sustainability index averaging distinct constructs</w:t>
            </w:r>
          </w:p>
        </w:tc>
        <w:tc>
          <w:tcPr>
            <w:tcW w:w="1503" w:type="dxa"/>
            <w:tcMar>
              <w:top w:w="60" w:type="dxa"/>
              <w:left w:w="80" w:type="dxa"/>
              <w:bottom w:w="60" w:type="dxa"/>
              <w:right w:w="80" w:type="dxa"/>
            </w:tcMar>
          </w:tcPr>
          <w:p w14:paraId="2B46DAC2" w14:textId="77777777" w:rsidR="008721B8" w:rsidRDefault="008B314A">
            <w:r>
              <w:rPr>
                <w:sz w:val="18"/>
                <w:szCs w:val="18"/>
              </w:rPr>
              <w:t>Most quantitative studies in the sector</w:t>
            </w:r>
          </w:p>
        </w:tc>
        <w:tc>
          <w:tcPr>
            <w:tcW w:w="1503" w:type="dxa"/>
            <w:tcMar>
              <w:top w:w="60" w:type="dxa"/>
              <w:left w:w="80" w:type="dxa"/>
              <w:bottom w:w="60" w:type="dxa"/>
              <w:right w:w="80" w:type="dxa"/>
            </w:tcMar>
          </w:tcPr>
          <w:p w14:paraId="584304FD" w14:textId="77777777" w:rsidR="008721B8" w:rsidRDefault="008B314A">
            <w:r>
              <w:rPr>
                <w:sz w:val="18"/>
                <w:szCs w:val="18"/>
              </w:rPr>
              <w:t>Estimates refer to an incoherent quantity; findings are not comparable across studies</w:t>
            </w:r>
          </w:p>
        </w:tc>
        <w:tc>
          <w:tcPr>
            <w:tcW w:w="1503" w:type="dxa"/>
            <w:tcMar>
              <w:top w:w="60" w:type="dxa"/>
              <w:left w:w="80" w:type="dxa"/>
              <w:bottom w:w="60" w:type="dxa"/>
              <w:right w:w="80" w:type="dxa"/>
            </w:tcMar>
          </w:tcPr>
          <w:p w14:paraId="1E2346D0" w14:textId="77777777" w:rsidR="008721B8" w:rsidRDefault="008B314A">
            <w:r>
              <w:rPr>
                <w:sz w:val="18"/>
                <w:szCs w:val="18"/>
              </w:rPr>
              <w:t>Separate measurement of survival, continuation, benefit persistence and asset functionality</w:t>
            </w:r>
          </w:p>
        </w:tc>
        <w:tc>
          <w:tcPr>
            <w:tcW w:w="1503" w:type="dxa"/>
            <w:tcMar>
              <w:top w:w="60" w:type="dxa"/>
              <w:left w:w="80" w:type="dxa"/>
              <w:bottom w:w="60" w:type="dxa"/>
              <w:right w:w="80" w:type="dxa"/>
            </w:tcMar>
          </w:tcPr>
          <w:p w14:paraId="4A60586D" w14:textId="77777777" w:rsidR="008721B8" w:rsidRDefault="008B314A">
            <w:r>
              <w:rPr>
                <w:sz w:val="18"/>
                <w:szCs w:val="18"/>
              </w:rPr>
              <w:t>Increases instrument length and analytic complexity</w:t>
            </w:r>
          </w:p>
        </w:tc>
        <w:tc>
          <w:tcPr>
            <w:tcW w:w="1505" w:type="dxa"/>
            <w:tcMar>
              <w:top w:w="60" w:type="dxa"/>
              <w:left w:w="80" w:type="dxa"/>
              <w:bottom w:w="60" w:type="dxa"/>
              <w:right w:w="80" w:type="dxa"/>
            </w:tcMar>
          </w:tcPr>
          <w:p w14:paraId="6D2D36A5" w14:textId="77777777" w:rsidR="008721B8" w:rsidRDefault="008B314A">
            <w:r>
              <w:rPr>
                <w:sz w:val="18"/>
                <w:szCs w:val="18"/>
              </w:rPr>
              <w:t>Scheirer (2013); Shediac-Rizkallah and Bone (1998)</w:t>
            </w:r>
          </w:p>
        </w:tc>
      </w:tr>
      <w:tr w:rsidR="008721B8" w14:paraId="126D2541" w14:textId="77777777">
        <w:tc>
          <w:tcPr>
            <w:tcW w:w="1503" w:type="dxa"/>
            <w:tcMar>
              <w:top w:w="60" w:type="dxa"/>
              <w:left w:w="80" w:type="dxa"/>
              <w:bottom w:w="60" w:type="dxa"/>
              <w:right w:w="80" w:type="dxa"/>
            </w:tcMar>
          </w:tcPr>
          <w:p w14:paraId="72CC2BB0" w14:textId="77777777" w:rsidR="008721B8" w:rsidRDefault="008B314A">
            <w:r>
              <w:rPr>
                <w:sz w:val="18"/>
                <w:szCs w:val="18"/>
              </w:rPr>
              <w:t>Non-probability sampling within a single administrative unit</w:t>
            </w:r>
          </w:p>
        </w:tc>
        <w:tc>
          <w:tcPr>
            <w:tcW w:w="1503" w:type="dxa"/>
            <w:tcMar>
              <w:top w:w="60" w:type="dxa"/>
              <w:left w:w="80" w:type="dxa"/>
              <w:bottom w:w="60" w:type="dxa"/>
              <w:right w:w="80" w:type="dxa"/>
            </w:tcMar>
          </w:tcPr>
          <w:p w14:paraId="1DB4F9E6" w14:textId="77777777" w:rsidR="008721B8" w:rsidRDefault="008B314A">
            <w:r>
              <w:rPr>
                <w:sz w:val="18"/>
                <w:szCs w:val="18"/>
              </w:rPr>
              <w:t>County-level studies of project sustainability</w:t>
            </w:r>
          </w:p>
        </w:tc>
        <w:tc>
          <w:tcPr>
            <w:tcW w:w="1503" w:type="dxa"/>
            <w:tcMar>
              <w:top w:w="60" w:type="dxa"/>
              <w:left w:w="80" w:type="dxa"/>
              <w:bottom w:w="60" w:type="dxa"/>
              <w:right w:w="80" w:type="dxa"/>
            </w:tcMar>
          </w:tcPr>
          <w:p w14:paraId="42E3A2E1" w14:textId="77777777" w:rsidR="008721B8" w:rsidRDefault="008B314A">
            <w:r>
              <w:rPr>
                <w:sz w:val="18"/>
                <w:szCs w:val="18"/>
              </w:rPr>
              <w:t>Population of inference undefined; results cannot be pooled</w:t>
            </w:r>
          </w:p>
        </w:tc>
        <w:tc>
          <w:tcPr>
            <w:tcW w:w="1503" w:type="dxa"/>
            <w:tcMar>
              <w:top w:w="60" w:type="dxa"/>
              <w:left w:w="80" w:type="dxa"/>
              <w:bottom w:w="60" w:type="dxa"/>
              <w:right w:w="80" w:type="dxa"/>
            </w:tcMar>
          </w:tcPr>
          <w:p w14:paraId="31EC5FAA" w14:textId="77777777" w:rsidR="008721B8" w:rsidRDefault="008B314A">
            <w:r>
              <w:rPr>
                <w:sz w:val="18"/>
                <w:szCs w:val="18"/>
              </w:rPr>
              <w:t>Sampling frame constructed from the regulatory register with defined inclusion probabilities</w:t>
            </w:r>
          </w:p>
        </w:tc>
        <w:tc>
          <w:tcPr>
            <w:tcW w:w="1503" w:type="dxa"/>
            <w:tcMar>
              <w:top w:w="60" w:type="dxa"/>
              <w:left w:w="80" w:type="dxa"/>
              <w:bottom w:w="60" w:type="dxa"/>
              <w:right w:w="80" w:type="dxa"/>
            </w:tcMar>
          </w:tcPr>
          <w:p w14:paraId="541ED300" w14:textId="77777777" w:rsidR="008721B8" w:rsidRDefault="008B314A">
            <w:r>
              <w:rPr>
                <w:sz w:val="18"/>
                <w:szCs w:val="18"/>
              </w:rPr>
              <w:t>Register completeness and currency are uncertain following regulatory transition</w:t>
            </w:r>
          </w:p>
        </w:tc>
        <w:tc>
          <w:tcPr>
            <w:tcW w:w="1505" w:type="dxa"/>
            <w:tcMar>
              <w:top w:w="60" w:type="dxa"/>
              <w:left w:w="80" w:type="dxa"/>
              <w:bottom w:w="60" w:type="dxa"/>
              <w:right w:w="80" w:type="dxa"/>
            </w:tcMar>
          </w:tcPr>
          <w:p w14:paraId="3D918376" w14:textId="77777777" w:rsidR="008721B8" w:rsidRDefault="008B314A">
            <w:r>
              <w:rPr>
                <w:sz w:val="18"/>
                <w:szCs w:val="18"/>
              </w:rPr>
              <w:t xml:space="preserve">International </w:t>
            </w:r>
            <w:proofErr w:type="spellStart"/>
            <w:r>
              <w:rPr>
                <w:sz w:val="18"/>
                <w:szCs w:val="18"/>
              </w:rPr>
              <w:t>Center</w:t>
            </w:r>
            <w:proofErr w:type="spellEnd"/>
            <w:r>
              <w:rPr>
                <w:sz w:val="18"/>
                <w:szCs w:val="18"/>
              </w:rPr>
              <w:t xml:space="preserve"> for Not-for-Profit Law (n.d.)</w:t>
            </w:r>
          </w:p>
        </w:tc>
      </w:tr>
      <w:tr w:rsidR="008721B8" w14:paraId="0CF0C580" w14:textId="77777777">
        <w:tc>
          <w:tcPr>
            <w:tcW w:w="1503" w:type="dxa"/>
            <w:tcMar>
              <w:top w:w="60" w:type="dxa"/>
              <w:left w:w="80" w:type="dxa"/>
              <w:bottom w:w="60" w:type="dxa"/>
              <w:right w:w="80" w:type="dxa"/>
            </w:tcMar>
          </w:tcPr>
          <w:p w14:paraId="003AEADC" w14:textId="77777777" w:rsidR="008721B8" w:rsidRDefault="008B314A">
            <w:r>
              <w:rPr>
                <w:sz w:val="18"/>
                <w:szCs w:val="18"/>
              </w:rPr>
              <w:t>Governance treated as a self-reported attribute</w:t>
            </w:r>
          </w:p>
        </w:tc>
        <w:tc>
          <w:tcPr>
            <w:tcW w:w="1503" w:type="dxa"/>
            <w:tcMar>
              <w:top w:w="60" w:type="dxa"/>
              <w:left w:w="80" w:type="dxa"/>
              <w:bottom w:w="60" w:type="dxa"/>
              <w:right w:w="80" w:type="dxa"/>
            </w:tcMar>
          </w:tcPr>
          <w:p w14:paraId="6F50AEE5" w14:textId="77777777" w:rsidR="008721B8" w:rsidRDefault="008B314A">
            <w:r>
              <w:rPr>
                <w:sz w:val="18"/>
                <w:szCs w:val="18"/>
              </w:rPr>
              <w:t>Survey literature and much practice guidance</w:t>
            </w:r>
          </w:p>
        </w:tc>
        <w:tc>
          <w:tcPr>
            <w:tcW w:w="1503" w:type="dxa"/>
            <w:tcMar>
              <w:top w:w="60" w:type="dxa"/>
              <w:left w:w="80" w:type="dxa"/>
              <w:bottom w:w="60" w:type="dxa"/>
              <w:right w:w="80" w:type="dxa"/>
            </w:tcMar>
          </w:tcPr>
          <w:p w14:paraId="05527125" w14:textId="77777777" w:rsidR="008721B8" w:rsidRDefault="008B314A">
            <w:r>
              <w:rPr>
                <w:sz w:val="18"/>
                <w:szCs w:val="18"/>
              </w:rPr>
              <w:t>Cannot distinguish governance structure from governance practice or from perceived fairness</w:t>
            </w:r>
          </w:p>
        </w:tc>
        <w:tc>
          <w:tcPr>
            <w:tcW w:w="1503" w:type="dxa"/>
            <w:tcMar>
              <w:top w:w="60" w:type="dxa"/>
              <w:left w:w="80" w:type="dxa"/>
              <w:bottom w:w="60" w:type="dxa"/>
              <w:right w:w="80" w:type="dxa"/>
            </w:tcMar>
          </w:tcPr>
          <w:p w14:paraId="46CB5429" w14:textId="77777777" w:rsidR="008721B8" w:rsidRDefault="008B314A">
            <w:r>
              <w:rPr>
                <w:sz w:val="18"/>
                <w:szCs w:val="18"/>
              </w:rPr>
              <w:t>Observation of governance artefacts and decisions, with separate measurement of perceived fairness</w:t>
            </w:r>
          </w:p>
        </w:tc>
        <w:tc>
          <w:tcPr>
            <w:tcW w:w="1503" w:type="dxa"/>
            <w:tcMar>
              <w:top w:w="60" w:type="dxa"/>
              <w:left w:w="80" w:type="dxa"/>
              <w:bottom w:w="60" w:type="dxa"/>
              <w:right w:w="80" w:type="dxa"/>
            </w:tcMar>
          </w:tcPr>
          <w:p w14:paraId="016879D2" w14:textId="77777777" w:rsidR="008721B8" w:rsidRDefault="008B314A">
            <w:r>
              <w:rPr>
                <w:sz w:val="18"/>
                <w:szCs w:val="18"/>
              </w:rPr>
              <w:t>Requires organisational access and longer fieldwork</w:t>
            </w:r>
          </w:p>
        </w:tc>
        <w:tc>
          <w:tcPr>
            <w:tcW w:w="1505" w:type="dxa"/>
            <w:tcMar>
              <w:top w:w="60" w:type="dxa"/>
              <w:left w:w="80" w:type="dxa"/>
              <w:bottom w:w="60" w:type="dxa"/>
              <w:right w:w="80" w:type="dxa"/>
            </w:tcMar>
          </w:tcPr>
          <w:p w14:paraId="2016275C" w14:textId="77777777" w:rsidR="008721B8" w:rsidRDefault="008B314A">
            <w:r>
              <w:rPr>
                <w:sz w:val="18"/>
                <w:szCs w:val="18"/>
              </w:rPr>
              <w:t xml:space="preserve">Müller et al. (2017); </w:t>
            </w:r>
            <w:proofErr w:type="spellStart"/>
            <w:r>
              <w:rPr>
                <w:sz w:val="18"/>
                <w:szCs w:val="18"/>
              </w:rPr>
              <w:t>Unterhitzenberger</w:t>
            </w:r>
            <w:proofErr w:type="spellEnd"/>
            <w:r>
              <w:rPr>
                <w:sz w:val="18"/>
                <w:szCs w:val="18"/>
              </w:rPr>
              <w:t xml:space="preserve"> and Moeller (2021)</w:t>
            </w:r>
          </w:p>
        </w:tc>
      </w:tr>
      <w:tr w:rsidR="008721B8" w14:paraId="4BC50A6C" w14:textId="77777777">
        <w:tc>
          <w:tcPr>
            <w:tcW w:w="1503" w:type="dxa"/>
            <w:tcMar>
              <w:top w:w="60" w:type="dxa"/>
              <w:left w:w="80" w:type="dxa"/>
              <w:bottom w:w="60" w:type="dxa"/>
              <w:right w:w="80" w:type="dxa"/>
            </w:tcMar>
          </w:tcPr>
          <w:p w14:paraId="0BD56CA6" w14:textId="77777777" w:rsidR="008721B8" w:rsidRDefault="008B314A">
            <w:r>
              <w:rPr>
                <w:sz w:val="18"/>
                <w:szCs w:val="18"/>
              </w:rPr>
              <w:t>Absence of a comparison condition</w:t>
            </w:r>
          </w:p>
        </w:tc>
        <w:tc>
          <w:tcPr>
            <w:tcW w:w="1503" w:type="dxa"/>
            <w:tcMar>
              <w:top w:w="60" w:type="dxa"/>
              <w:left w:w="80" w:type="dxa"/>
              <w:bottom w:w="60" w:type="dxa"/>
              <w:right w:w="80" w:type="dxa"/>
            </w:tcMar>
          </w:tcPr>
          <w:p w14:paraId="15B5CD6C" w14:textId="77777777" w:rsidR="008721B8" w:rsidRDefault="008B314A">
            <w:r>
              <w:rPr>
                <w:sz w:val="18"/>
                <w:szCs w:val="18"/>
              </w:rPr>
              <w:t>Single-project and single-county case studies</w:t>
            </w:r>
          </w:p>
        </w:tc>
        <w:tc>
          <w:tcPr>
            <w:tcW w:w="1503" w:type="dxa"/>
            <w:tcMar>
              <w:top w:w="60" w:type="dxa"/>
              <w:left w:w="80" w:type="dxa"/>
              <w:bottom w:w="60" w:type="dxa"/>
              <w:right w:w="80" w:type="dxa"/>
            </w:tcMar>
          </w:tcPr>
          <w:p w14:paraId="7A967166" w14:textId="77777777" w:rsidR="008721B8" w:rsidRDefault="008B314A">
            <w:r>
              <w:rPr>
                <w:sz w:val="18"/>
                <w:szCs w:val="18"/>
              </w:rPr>
              <w:t>Effects of a mechanism cannot be separated from setting characteristics</w:t>
            </w:r>
          </w:p>
        </w:tc>
        <w:tc>
          <w:tcPr>
            <w:tcW w:w="1503" w:type="dxa"/>
            <w:tcMar>
              <w:top w:w="60" w:type="dxa"/>
              <w:left w:w="80" w:type="dxa"/>
              <w:bottom w:w="60" w:type="dxa"/>
              <w:right w:w="80" w:type="dxa"/>
            </w:tcMar>
          </w:tcPr>
          <w:p w14:paraId="78895159" w14:textId="77777777" w:rsidR="008721B8" w:rsidRDefault="008B314A">
            <w:r>
              <w:rPr>
                <w:sz w:val="18"/>
                <w:szCs w:val="18"/>
              </w:rPr>
              <w:t>Comparative designs across projects differing in financing horizon or governance arrangement</w:t>
            </w:r>
          </w:p>
        </w:tc>
        <w:tc>
          <w:tcPr>
            <w:tcW w:w="1503" w:type="dxa"/>
            <w:tcMar>
              <w:top w:w="60" w:type="dxa"/>
              <w:left w:w="80" w:type="dxa"/>
              <w:bottom w:w="60" w:type="dxa"/>
              <w:right w:w="80" w:type="dxa"/>
            </w:tcMar>
          </w:tcPr>
          <w:p w14:paraId="4702AC28" w14:textId="77777777" w:rsidR="008721B8" w:rsidRDefault="008B314A">
            <w:r>
              <w:rPr>
                <w:sz w:val="18"/>
                <w:szCs w:val="18"/>
              </w:rPr>
              <w:t>Requires cooperation of multiple funders and implementers</w:t>
            </w:r>
          </w:p>
        </w:tc>
        <w:tc>
          <w:tcPr>
            <w:tcW w:w="1505" w:type="dxa"/>
            <w:tcMar>
              <w:top w:w="60" w:type="dxa"/>
              <w:left w:w="80" w:type="dxa"/>
              <w:bottom w:w="60" w:type="dxa"/>
              <w:right w:w="80" w:type="dxa"/>
            </w:tcMar>
          </w:tcPr>
          <w:p w14:paraId="4C9358DE" w14:textId="77777777" w:rsidR="008721B8" w:rsidRDefault="008B314A">
            <w:r>
              <w:rPr>
                <w:sz w:val="18"/>
                <w:szCs w:val="18"/>
              </w:rPr>
              <w:t>Ika and Donnelly (2017); Ika et al. (2012)</w:t>
            </w:r>
          </w:p>
        </w:tc>
      </w:tr>
    </w:tbl>
    <w:p w14:paraId="612DBFE7" w14:textId="77777777" w:rsidR="008721B8" w:rsidRDefault="008B314A">
      <w:pPr>
        <w:spacing w:before="80" w:after="220"/>
      </w:pPr>
      <w:r>
        <w:rPr>
          <w:i/>
          <w:iCs/>
          <w:sz w:val="18"/>
          <w:szCs w:val="18"/>
        </w:rPr>
        <w:t>Note. The table characterises the predominant pattern in the accessible literature and does not imply that every study exhibits every limitation.</w:t>
      </w:r>
    </w:p>
    <w:p w14:paraId="3327E59F" w14:textId="77777777" w:rsidR="008721B8" w:rsidRDefault="008B314A">
      <w:pPr>
        <w:pStyle w:val="Heading1"/>
        <w:spacing w:before="280" w:after="160"/>
      </w:pPr>
      <w:r>
        <w:rPr>
          <w:b/>
          <w:bCs/>
          <w:color w:val="000000"/>
          <w:sz w:val="24"/>
          <w:szCs w:val="24"/>
        </w:rPr>
        <w:t>8. Future Directions</w:t>
      </w:r>
    </w:p>
    <w:p w14:paraId="1CA0E366" w14:textId="77777777" w:rsidR="008721B8" w:rsidRDefault="008B314A">
      <w:pPr>
        <w:spacing w:after="160" w:line="360" w:lineRule="auto"/>
        <w:jc w:val="both"/>
      </w:pPr>
      <w:r>
        <w:rPr>
          <w:sz w:val="22"/>
          <w:szCs w:val="22"/>
        </w:rPr>
        <w:t>The priorities set out here are ordered by the extent to which they would change what the field can claim, and each is stated in terms of the unresolved problem, the inadequacy of current evidence, the design required and the outcome that would need to be measured.</w:t>
      </w:r>
    </w:p>
    <w:p w14:paraId="63408357" w14:textId="77777777" w:rsidR="008721B8" w:rsidRDefault="008B314A">
      <w:pPr>
        <w:spacing w:after="160" w:line="360" w:lineRule="auto"/>
        <w:jc w:val="both"/>
      </w:pPr>
      <w:r>
        <w:rPr>
          <w:sz w:val="22"/>
          <w:szCs w:val="22"/>
        </w:rPr>
        <w:t xml:space="preserve">The first and most consequential priority is the direct measurement of benefit persistence after external funding has ceased. No question in this field matters more, and none is more poorly evidenced. Existing work substitutes the beliefs of project personnel during implementation for observation of what subsequently happened, and the small number of studies that do look after the funding period are retrospective and heterogeneous (Ilesanmi &amp; Afolabi, 2022). What is required is prospective cohort measurement in which a defined set of projects is enrolled during their funded period, baseline and endline outcomes are recorded in the recipient population, and the same population is revisited at fixed intervals after funding ends. Outcome measures should be those of the intervention's own theory of </w:t>
      </w:r>
      <w:r>
        <w:rPr>
          <w:sz w:val="22"/>
          <w:szCs w:val="22"/>
        </w:rPr>
        <w:lastRenderedPageBreak/>
        <w:t>change rather than a generic sustainability index, and the interval should be long enough for decay to become visible, which the water supply evidence suggests is measured in years rather than months (Foster et al., 2018). Such a design is expensive relative to the individual project but cheap relative to the portfolio decisions it would inform, and its principal obstacle is institutional rather than technical: no actor in the current financing architecture has both the incentive and the mandate to fund observation after its own involvement ends.</w:t>
      </w:r>
    </w:p>
    <w:p w14:paraId="3CFB7ECA" w14:textId="77777777" w:rsidR="008721B8" w:rsidRDefault="008B314A">
      <w:pPr>
        <w:spacing w:after="160" w:line="360" w:lineRule="auto"/>
        <w:jc w:val="both"/>
      </w:pPr>
      <w:r>
        <w:rPr>
          <w:sz w:val="22"/>
          <w:szCs w:val="22"/>
        </w:rPr>
        <w:t>The second priority is to test whether governance quality is partly an artefact of the financing horizon rather than an independent cause of sustainability. This is the central unresolved theoretical question identified by the review, and it is tractable. The design required is comparative and longitudinal: projects that are similar in sector, scale and implementing organisation but differ in the credible horizon signalled by their funding arrangement, observed repeatedly over the funding period with governance measured from artefacts and decisions rather than from self-report, and with contractual and relational mechanisms measured separately (Benítez-Ávila et al., 2019; Müller et al., 2017). The specific proposition to be tested is that relational governance mechanisms fail to develop where the horizon is short and reversible, and that observed reliance on contractual control is therefore a consequence of financing structure. Confirmation would imply that interventions aimed at strengthening implementer governance will have limited effect unless funding horizons are extended, which would relocate the policy target substantially.</w:t>
      </w:r>
    </w:p>
    <w:p w14:paraId="173BF196" w14:textId="77777777" w:rsidR="008721B8" w:rsidRDefault="008B314A">
      <w:pPr>
        <w:spacing w:after="160" w:line="360" w:lineRule="auto"/>
        <w:jc w:val="both"/>
      </w:pPr>
      <w:r>
        <w:rPr>
          <w:sz w:val="22"/>
          <w:szCs w:val="22"/>
        </w:rPr>
        <w:t xml:space="preserve">The third priority concerns the design of the gate decision itself. Phased financing has the architecture of a staged review process but, as argued in Section 6, frequently lacks a genuine option to discontinue, which converts the gate into a reporting event (Cooper, 2008; </w:t>
      </w:r>
      <w:proofErr w:type="spellStart"/>
      <w:r>
        <w:rPr>
          <w:sz w:val="22"/>
          <w:szCs w:val="22"/>
        </w:rPr>
        <w:t>Samset</w:t>
      </w:r>
      <w:proofErr w:type="spellEnd"/>
      <w:r>
        <w:rPr>
          <w:sz w:val="22"/>
          <w:szCs w:val="22"/>
        </w:rPr>
        <w:t xml:space="preserve"> &amp; Volden, 2016). The research required is documentary and comparative: examination of what evidence is actually presented at continuation decisions, what proportion of decisions result in modification or termination, and whether continuation decisions are associated with the evidence generated in the preceding phase. This can be undertaken with funder records and does not require new primary data collection from implementers. The finding would bear directly on whether the reporting burden imposed on implementing organisations is proportionate to the decisions it informs.</w:t>
      </w:r>
    </w:p>
    <w:p w14:paraId="71AFD80A" w14:textId="77777777" w:rsidR="008721B8" w:rsidRDefault="008B314A">
      <w:pPr>
        <w:spacing w:after="160" w:line="360" w:lineRule="auto"/>
        <w:jc w:val="both"/>
      </w:pPr>
      <w:r>
        <w:rPr>
          <w:sz w:val="22"/>
          <w:szCs w:val="22"/>
        </w:rPr>
        <w:t xml:space="preserve">The fourth priority is the construction of a defensible sampling frame for the Kenyan sector. The regulatory transition has created both an obstacle and an opportunity, since the register maintained by the new authority is in principle a complete list of the relevant population but its currency during the transition period is uncertain (International </w:t>
      </w:r>
      <w:proofErr w:type="spellStart"/>
      <w:r>
        <w:rPr>
          <w:sz w:val="22"/>
          <w:szCs w:val="22"/>
        </w:rPr>
        <w:t>Center</w:t>
      </w:r>
      <w:proofErr w:type="spellEnd"/>
      <w:r>
        <w:rPr>
          <w:sz w:val="22"/>
          <w:szCs w:val="22"/>
        </w:rPr>
        <w:t xml:space="preserve"> for Not-for-Profit Law, n.d.). Research that establishes the completeness and accuracy of the register, and that constructs from it a sampling frame stratified by sector, scale and funding profile, would enable the first genuinely population-based studies of the sector and would permit organisational survival to be tracked as an observable outcome rather </w:t>
      </w:r>
      <w:r>
        <w:rPr>
          <w:sz w:val="22"/>
          <w:szCs w:val="22"/>
        </w:rPr>
        <w:lastRenderedPageBreak/>
        <w:t>than inferred. This is an immediate priority because the value of such a frame increases with the length of the series constructed from it.</w:t>
      </w:r>
    </w:p>
    <w:p w14:paraId="01FFDB97" w14:textId="77777777" w:rsidR="008721B8" w:rsidRDefault="008B314A">
      <w:pPr>
        <w:spacing w:after="160" w:line="360" w:lineRule="auto"/>
        <w:jc w:val="both"/>
      </w:pPr>
      <w:r>
        <w:rPr>
          <w:sz w:val="22"/>
          <w:szCs w:val="22"/>
        </w:rPr>
        <w:t>The fifth priority is to examine the sector's response to correlated funding contraction. The reduction in bilateral health financing during 2025 constitutes a natural experiment of unusual clarity, since it affected many organisations simultaneously and was not anticipated in their planning (Faye, 2025). The design required is retrospective cohort analysis of organisations differing in pre-shock revenue concentration, examining survival, programme continuation and workforce retention. This would test directly the proposition, contested between the general nonprofit literature and the sub-Saharan evidence, that revenue diversification protects against vulnerability when the shock is correlated across sources (Despard et al., 2017; Hung &amp; Hager, 2019). The window for retrospective reconstruction is limited by record retention among organisations that have closed, which makes this a near-term priority.</w:t>
      </w:r>
    </w:p>
    <w:p w14:paraId="4F97EF52" w14:textId="77777777" w:rsidR="008721B8" w:rsidRDefault="008B314A">
      <w:pPr>
        <w:spacing w:after="160" w:line="360" w:lineRule="auto"/>
        <w:jc w:val="both"/>
      </w:pPr>
      <w:r>
        <w:rPr>
          <w:sz w:val="22"/>
          <w:szCs w:val="22"/>
        </w:rPr>
        <w:t>The sixth priority is longer-term and conceptual. The field lacks a validated instrument for measuring the five sustainability constructs separately in development project settings, and its absence is a principal cause of the incomparability documented throughout this review. Instrument development would require conceptual specification, cognitive testing with implementers and recipients across sectors, and psychometric evaluation in more than one country (Scheirer, 2013; Shediac-Rizkallah &amp; Bone, 1998). The work is unglamorous and would take several years, but the return is high, since every subsequent study in the field would become more informative.</w:t>
      </w:r>
    </w:p>
    <w:p w14:paraId="12C4F0DD" w14:textId="77777777" w:rsidR="008721B8" w:rsidRDefault="008B314A">
      <w:pPr>
        <w:spacing w:after="160" w:line="360" w:lineRule="auto"/>
        <w:jc w:val="both"/>
      </w:pPr>
      <w:r>
        <w:rPr>
          <w:sz w:val="22"/>
          <w:szCs w:val="22"/>
        </w:rPr>
        <w:t>Two further lines deserve attention without ranking among the priorities above. Research on the interaction between regulatory and funder reporting obligations would establish whether the addition of a second upward accountability channel further displaces beneficiary-facing activity, which the accountability literature predicts but has not tested in a setting where the regulatory regime changed at an identifiable date (Ebrahim, 2003). Research on the transferability of transition planning evidence from vertical health programmes to the wider service portfolio would establish whether findings developed in disease-specific programmes apply to sectors where the receiving institution is a county administration rather than a health ministry (</w:t>
      </w:r>
      <w:proofErr w:type="spellStart"/>
      <w:r>
        <w:rPr>
          <w:sz w:val="22"/>
          <w:szCs w:val="22"/>
        </w:rPr>
        <w:t>Ogbuoji</w:t>
      </w:r>
      <w:proofErr w:type="spellEnd"/>
      <w:r>
        <w:rPr>
          <w:sz w:val="22"/>
          <w:szCs w:val="22"/>
        </w:rPr>
        <w:t xml:space="preserve"> et al., 2025; Vogus &amp; Graff, 2015).</w:t>
      </w:r>
    </w:p>
    <w:p w14:paraId="2859111F" w14:textId="77777777" w:rsidR="008721B8" w:rsidRDefault="008B314A">
      <w:pPr>
        <w:pStyle w:val="Heading1"/>
        <w:spacing w:before="280" w:after="160"/>
      </w:pPr>
      <w:r>
        <w:rPr>
          <w:b/>
          <w:bCs/>
          <w:color w:val="000000"/>
          <w:sz w:val="24"/>
          <w:szCs w:val="24"/>
        </w:rPr>
        <w:t>9. Conclusions</w:t>
      </w:r>
    </w:p>
    <w:p w14:paraId="7BF2ACFF" w14:textId="77777777" w:rsidR="008721B8" w:rsidRDefault="008B314A">
      <w:pPr>
        <w:spacing w:after="160" w:line="360" w:lineRule="auto"/>
        <w:jc w:val="both"/>
      </w:pPr>
      <w:r>
        <w:rPr>
          <w:sz w:val="22"/>
          <w:szCs w:val="22"/>
        </w:rPr>
        <w:t xml:space="preserve">This review set out to determine what can defensibly be claimed about the relationship between phased financing, project governance and project sustainability in donor-funded non-governmental organisations in Kenya, and to identify where the evidence fails. The clearest conclusion is that the field's apparent consensus is largely a product of measurement. Once sustainability is disaggregated into organisational survival, activity continuation, benefit persistence, asset or capability maintenance, and institutionalisation, the greater part of the published literature is seen to measure none of them, substituting instead the anticipations of project personnel recorded while the project was still funded. </w:t>
      </w:r>
      <w:r>
        <w:rPr>
          <w:sz w:val="22"/>
          <w:szCs w:val="22"/>
        </w:rPr>
        <w:lastRenderedPageBreak/>
        <w:t>The uniformly positive findings that characterise the Kenyan survey literature are therefore not evidence that the mechanisms studied work; they are evidence of a design that could scarcely have produced any other result.</w:t>
      </w:r>
    </w:p>
    <w:p w14:paraId="27E3B191" w14:textId="77777777" w:rsidR="008721B8" w:rsidRDefault="008B314A">
      <w:pPr>
        <w:spacing w:after="160" w:line="360" w:lineRule="auto"/>
        <w:jc w:val="both"/>
      </w:pPr>
      <w:r>
        <w:rPr>
          <w:sz w:val="22"/>
          <w:szCs w:val="22"/>
        </w:rPr>
        <w:t>Several conclusions are nonetheless well supported. Unpredictable and volatile external financing imposes real costs on planning and administrative performance, and the mechanism is sufficiently general that its operation within implementing organisations is highly plausible even though it has not been directly demonstrated there. Transitions away from external funding that are prepared over an extended period, with explicit assignment of responsibility for continuing functions and deliberate attention to retaining personnel, are less disruptive than transitions that are not, and this finding recurs across independent analyses in different settings. Infrastructure and benefit are separable, and the presence of an installed asset is not evidence that a benefit persists. Capability transferred to individuals does not become organisational capability unless the receiving organisation has the arrangements to absorb it.</w:t>
      </w:r>
    </w:p>
    <w:p w14:paraId="651FD620" w14:textId="77777777" w:rsidR="008721B8" w:rsidRDefault="008B314A">
      <w:pPr>
        <w:spacing w:after="160" w:line="360" w:lineRule="auto"/>
        <w:jc w:val="both"/>
      </w:pPr>
      <w:r>
        <w:rPr>
          <w:sz w:val="22"/>
          <w:szCs w:val="22"/>
        </w:rPr>
        <w:t>Other conclusions are tentative and are presented as such. Whether revenue diversification protects organisations in settings where all available revenue is externally sourced and subject to common shocks remains genuinely unresolved, and the divergence between the general nonprofit finding and the sub-Saharan finding is best explained by the correlation structure of the available revenue rather than by any deficiency in either body of work. Whether conditioning disbursement on verified results improves post-funding persistence is not established, and the syntheses that exist concern effects during the funded period. Whether the intensity of governance activity observed in donor-funded projects is a cause of better outcomes or a consequence of the financing arrangement is the central unresolved question, and the cross-sectional evidence that dominates the field is structurally incapable of resolving it.</w:t>
      </w:r>
    </w:p>
    <w:p w14:paraId="11666A49" w14:textId="77777777" w:rsidR="008721B8" w:rsidRDefault="008B314A">
      <w:pPr>
        <w:spacing w:after="160" w:line="360" w:lineRule="auto"/>
        <w:jc w:val="both"/>
      </w:pPr>
      <w:r>
        <w:rPr>
          <w:sz w:val="22"/>
          <w:szCs w:val="22"/>
        </w:rPr>
        <w:t>The broader significance of the synthesis is that it relocates the policy target. Recommendations directed at implementing organisations, urging stronger boards, better monitoring systems and more participatory planning, presuppose that governance capacity is the binding constraint. The evidence assembled here is at least equally consistent with the view that the binding constraint is the horizon and reversibility of the financing arrangement, and that governance behaviour adapts to it. If that is correct, then the sequence of reform matters: interventions to strengthen implementer governance undertaken without changes to funding horizons will produce more elaborate compliance apparatus rather than more durable benefit. Establishing which reading is correct requires the comparative longitudinal work set out above, and until that work is done the confident practice recommendations that populate this literature should be treated as hypotheses rather than as findings.</w:t>
      </w:r>
    </w:p>
    <w:p w14:paraId="21083223" w14:textId="77777777" w:rsidR="008721B8" w:rsidRDefault="008B314A">
      <w:pPr>
        <w:spacing w:after="160" w:line="360" w:lineRule="auto"/>
        <w:jc w:val="both"/>
      </w:pPr>
      <w:r>
        <w:rPr>
          <w:sz w:val="22"/>
          <w:szCs w:val="22"/>
        </w:rPr>
        <w:t xml:space="preserve">For Kenya specifically, the coincidence of regulatory transition, fiscal constraint and abrupt contraction in external health financing has produced a period in which the sector's structure is changing rapidly </w:t>
      </w:r>
      <w:r>
        <w:rPr>
          <w:sz w:val="22"/>
          <w:szCs w:val="22"/>
        </w:rPr>
        <w:lastRenderedPageBreak/>
        <w:t>and in which the questions this review identifies are unusually answerable. The register maintained under the new statutory regime offers, for the first time, the prospect of a defined population from which samples can be drawn and against which survival can be tracked. The funding contraction offers a shock that was not anticipated in organisational planning and that therefore permits inference of a kind that ordinary variation does not. Both opportunities are time-limited, and the value of the evidence that could be generated is high relative to its cost.</w:t>
      </w:r>
    </w:p>
    <w:p w14:paraId="5278245B" w14:textId="77777777" w:rsidR="008721B8" w:rsidRDefault="008B314A">
      <w:pPr>
        <w:pStyle w:val="Heading1"/>
        <w:spacing w:before="280" w:after="160"/>
      </w:pPr>
      <w:r>
        <w:rPr>
          <w:b/>
          <w:bCs/>
          <w:color w:val="000000"/>
          <w:sz w:val="24"/>
          <w:szCs w:val="24"/>
        </w:rPr>
        <w:t>10. Limitations</w:t>
      </w:r>
    </w:p>
    <w:p w14:paraId="6617A760" w14:textId="77777777" w:rsidR="008721B8" w:rsidRDefault="008B314A">
      <w:pPr>
        <w:spacing w:after="160" w:line="360" w:lineRule="auto"/>
        <w:jc w:val="both"/>
      </w:pPr>
      <w:r>
        <w:rPr>
          <w:sz w:val="22"/>
          <w:szCs w:val="22"/>
        </w:rPr>
        <w:t>The principal limitation is intrinsic to the design adopted. A narrative review depends on the reviewer's judgement in selecting, weighting and interpreting evidence, and no procedural safeguard eliminates the possibility that selection has favoured material consistent with the interpretation advanced or that appraisal has been applied unevenly. The search was transparent and the appraisal criteria were stated, but neither screening nor appraisal was duplicated independently, and the absence of a second reviewer means that idiosyncratic judgements cannot be detected. Readers should treat the synthesis as one defensible reading of the literature rather than as a reproducible extraction from it.</w:t>
      </w:r>
    </w:p>
    <w:p w14:paraId="347CF26E" w14:textId="77777777" w:rsidR="008721B8" w:rsidRDefault="008B314A">
      <w:pPr>
        <w:spacing w:after="160" w:line="360" w:lineRule="auto"/>
        <w:jc w:val="both"/>
      </w:pPr>
      <w:r>
        <w:rPr>
          <w:sz w:val="22"/>
          <w:szCs w:val="22"/>
        </w:rPr>
        <w:t>Access to the literature was incomplete. Subscription bibliographic databases were not available, and searching was confined to open metadata registries, an open full-text index for biomedical literature, and general web searching of institutional sources. Relevant material indexed only in subscription databases, and material published in outlets that do not deposit metadata, will have been missed. This limitation bears asymmetrically on the Kenyan literature, much of which appears in outlets with limited indexing, and it is possible that studies of better quality than those characterised in Section 7 exist and were not retrieved. The search was restricted to material in English, and relevant work in other languages, including work published in Kiswahili, was not sought.</w:t>
      </w:r>
    </w:p>
    <w:p w14:paraId="386D36A9" w14:textId="77777777" w:rsidR="008721B8" w:rsidRDefault="008B314A">
      <w:pPr>
        <w:spacing w:after="160" w:line="360" w:lineRule="auto"/>
        <w:jc w:val="both"/>
      </w:pPr>
      <w:r>
        <w:rPr>
          <w:sz w:val="22"/>
          <w:szCs w:val="22"/>
        </w:rPr>
        <w:t>The evidence base is uneven in ways that constrain what any synthesis can achieve. Studies addressing the constructs of interest differ in design, in unit of analysis, in outcome definition and in the interval over which outcomes were observed, and the resulting heterogeneity makes quantitative synthesis inappropriate; no pooled estimate is offered and none should be inferred. Geographical representation is uneven, with health-sector evidence concentrated in a small number of countries and Kenyan evidence concentrated in particular counties and sectors. A substantial proportion of the retained evidence is observational, and the designs employed cannot establish causal direction for the central relationships examined. Long-term evidence is scarce throughout, and studies observing outcomes more than a short interval after funding ceased are rare enough that the review's conclusions about benefit persistence rest on a small number of investigations.</w:t>
      </w:r>
    </w:p>
    <w:p w14:paraId="50D6BCEC" w14:textId="77777777" w:rsidR="008721B8" w:rsidRDefault="008B314A">
      <w:pPr>
        <w:spacing w:after="160" w:line="360" w:lineRule="auto"/>
        <w:jc w:val="both"/>
      </w:pPr>
      <w:r>
        <w:rPr>
          <w:sz w:val="22"/>
          <w:szCs w:val="22"/>
        </w:rPr>
        <w:t xml:space="preserve">Publication bias is a plausible concern that the review could not assess. Studies reporting that governance mechanisms are associated with sustainability appear far more frequently than studies </w:t>
      </w:r>
      <w:r>
        <w:rPr>
          <w:sz w:val="22"/>
          <w:szCs w:val="22"/>
        </w:rPr>
        <w:lastRenderedPageBreak/>
        <w:t>reporting no association, and in a literature dominated by postgraduate research with strong incentives toward reportable findings this asymmetry is unlikely to reflect the underlying distribution of results. The review has treated the uniformity of positive findings as diagnostic of design weakness rather than as evidence of a strong effect, but the alternative interpretation cannot be excluded on the available information.</w:t>
      </w:r>
    </w:p>
    <w:p w14:paraId="591A872B" w14:textId="383C9044" w:rsidR="008721B8" w:rsidRDefault="008B314A">
      <w:pPr>
        <w:spacing w:after="160" w:line="360" w:lineRule="auto"/>
        <w:jc w:val="both"/>
        <w:rPr>
          <w:sz w:val="22"/>
          <w:szCs w:val="22"/>
        </w:rPr>
      </w:pPr>
      <w:r>
        <w:rPr>
          <w:sz w:val="22"/>
          <w:szCs w:val="22"/>
        </w:rPr>
        <w:t>The field is changing quickly. The regulatory framework governing the Kenyan sector commenced recently and its implementation is still developing; the contraction in external health financing occurred within the period covered by the search and its consequences are still unfolding. Evidence published after the search end date, and evidence about outcomes that have not yet materialised, may alter the assessments offered here, particularly those concerning organisational survival and the feasibility of domestic substitution.</w:t>
      </w:r>
    </w:p>
    <w:p w14:paraId="3625B57F" w14:textId="77777777" w:rsidR="008B314A" w:rsidRPr="000839CE" w:rsidRDefault="008B314A" w:rsidP="008B314A">
      <w:pPr>
        <w:rPr>
          <w:b/>
        </w:rPr>
      </w:pPr>
      <w:bookmarkStart w:id="0" w:name="_Hlk234486585"/>
      <w:bookmarkStart w:id="1" w:name="_Hlk234075571"/>
      <w:bookmarkStart w:id="2" w:name="_Hlk232755622"/>
      <w:bookmarkStart w:id="3" w:name="_Hlk234084549"/>
      <w:r w:rsidRPr="000839CE">
        <w:rPr>
          <w:b/>
        </w:rPr>
        <w:t>Declaration of AI Use</w:t>
      </w:r>
    </w:p>
    <w:p w14:paraId="5FB0A599" w14:textId="77777777" w:rsidR="008B314A" w:rsidRPr="000839CE" w:rsidRDefault="008B314A" w:rsidP="008B314A">
      <w:bookmarkStart w:id="4" w:name="_Hlk234486575"/>
      <w:bookmarkEnd w:id="0"/>
    </w:p>
    <w:p w14:paraId="16CDBDF8" w14:textId="77777777" w:rsidR="008B314A" w:rsidRPr="000839CE" w:rsidRDefault="008B314A" w:rsidP="008B314A">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t>.</w:t>
      </w:r>
    </w:p>
    <w:bookmarkEnd w:id="2"/>
    <w:bookmarkEnd w:id="4"/>
    <w:p w14:paraId="6DFD8F55" w14:textId="77777777" w:rsidR="008B314A" w:rsidRDefault="008B314A" w:rsidP="008B314A">
      <w:pPr>
        <w:shd w:val="clear" w:color="auto" w:fill="FFFFFF"/>
        <w:rPr>
          <w:rFonts w:ascii="Arial" w:hAnsi="Arial" w:cs="Arial"/>
          <w:color w:val="222222"/>
          <w:sz w:val="24"/>
          <w:szCs w:val="24"/>
          <w:lang w:val="en-IN" w:eastAsia="en-IN"/>
        </w:rPr>
      </w:pPr>
    </w:p>
    <w:bookmarkEnd w:id="3"/>
    <w:p w14:paraId="0677651C" w14:textId="77777777" w:rsidR="008B314A" w:rsidRDefault="008B314A">
      <w:pPr>
        <w:spacing w:after="160" w:line="360" w:lineRule="auto"/>
        <w:jc w:val="both"/>
      </w:pPr>
    </w:p>
    <w:p w14:paraId="69C069DD" w14:textId="77777777" w:rsidR="008721B8" w:rsidRDefault="008B314A">
      <w:pPr>
        <w:pStyle w:val="Heading1"/>
        <w:spacing w:before="280" w:after="160"/>
      </w:pPr>
      <w:r>
        <w:rPr>
          <w:b/>
          <w:bCs/>
          <w:color w:val="000000"/>
          <w:sz w:val="24"/>
          <w:szCs w:val="24"/>
        </w:rPr>
        <w:t>References</w:t>
      </w:r>
    </w:p>
    <w:p w14:paraId="15AA3D0C" w14:textId="77777777" w:rsidR="008721B8" w:rsidRDefault="008B314A">
      <w:pPr>
        <w:spacing w:after="120" w:line="360" w:lineRule="auto"/>
        <w:ind w:left="720" w:hanging="720"/>
      </w:pPr>
      <w:proofErr w:type="spellStart"/>
      <w:r>
        <w:rPr>
          <w:sz w:val="22"/>
          <w:szCs w:val="22"/>
        </w:rPr>
        <w:t>AbouAssi</w:t>
      </w:r>
      <w:proofErr w:type="spellEnd"/>
      <w:r>
        <w:rPr>
          <w:sz w:val="22"/>
          <w:szCs w:val="22"/>
        </w:rPr>
        <w:t>, K. (2013). Hands in the pockets of mercurial donors: NGO response to shifting funding priorities. Nonprofit and Voluntary Sector Quarterly, 42(3), 584–602. https://doi.org/10.1177/0899764012439629</w:t>
      </w:r>
    </w:p>
    <w:p w14:paraId="3EF4AF34" w14:textId="77777777" w:rsidR="008721B8" w:rsidRDefault="008B314A">
      <w:pPr>
        <w:spacing w:after="120" w:line="360" w:lineRule="auto"/>
        <w:ind w:left="720" w:hanging="720"/>
      </w:pPr>
      <w:proofErr w:type="spellStart"/>
      <w:r>
        <w:rPr>
          <w:sz w:val="22"/>
          <w:szCs w:val="22"/>
        </w:rPr>
        <w:t>AbouAssi</w:t>
      </w:r>
      <w:proofErr w:type="spellEnd"/>
      <w:r>
        <w:rPr>
          <w:sz w:val="22"/>
          <w:szCs w:val="22"/>
        </w:rPr>
        <w:t xml:space="preserve">, K. (2014). Get money get involved? NGO's reactions to donor funding and their potential involvement in the public policy processes. </w:t>
      </w:r>
      <w:proofErr w:type="spellStart"/>
      <w:r>
        <w:rPr>
          <w:sz w:val="22"/>
          <w:szCs w:val="22"/>
        </w:rPr>
        <w:t>Voluntas</w:t>
      </w:r>
      <w:proofErr w:type="spellEnd"/>
      <w:r>
        <w:rPr>
          <w:sz w:val="22"/>
          <w:szCs w:val="22"/>
        </w:rPr>
        <w:t>: International Journal of Voluntary and Nonprofit Organizations, 25(4), 968–990. https://doi.org/10.1007/s11266-013-9389-y</w:t>
      </w:r>
    </w:p>
    <w:p w14:paraId="4BF2406C" w14:textId="77777777" w:rsidR="008721B8" w:rsidRDefault="008B314A">
      <w:pPr>
        <w:spacing w:after="120" w:line="360" w:lineRule="auto"/>
        <w:ind w:left="720" w:hanging="720"/>
      </w:pPr>
      <w:r>
        <w:rPr>
          <w:sz w:val="22"/>
          <w:szCs w:val="22"/>
        </w:rPr>
        <w:t xml:space="preserve">Agyemang, G., O'Dwyer, B., </w:t>
      </w:r>
      <w:proofErr w:type="spellStart"/>
      <w:r>
        <w:rPr>
          <w:sz w:val="22"/>
          <w:szCs w:val="22"/>
        </w:rPr>
        <w:t>Unerman</w:t>
      </w:r>
      <w:proofErr w:type="spellEnd"/>
      <w:r>
        <w:rPr>
          <w:sz w:val="22"/>
          <w:szCs w:val="22"/>
        </w:rPr>
        <w:t xml:space="preserve">, J., &amp; </w:t>
      </w:r>
      <w:proofErr w:type="spellStart"/>
      <w:r>
        <w:rPr>
          <w:sz w:val="22"/>
          <w:szCs w:val="22"/>
        </w:rPr>
        <w:t>Awumbila</w:t>
      </w:r>
      <w:proofErr w:type="spellEnd"/>
      <w:r>
        <w:rPr>
          <w:sz w:val="22"/>
          <w:szCs w:val="22"/>
        </w:rPr>
        <w:t>, M. (2017). Seeking "conversations for accountability": Mediating the impact of non-governmental organisation (NGO) upward accountability processes. Accounting, Auditing &amp; Accountability Journal, 30(5), 982–1007. https://doi.org/10.1108/AAAJ-02-2015-1969</w:t>
      </w:r>
    </w:p>
    <w:p w14:paraId="279E439B" w14:textId="77777777" w:rsidR="008721B8" w:rsidRDefault="008B314A">
      <w:pPr>
        <w:spacing w:after="120" w:line="360" w:lineRule="auto"/>
        <w:ind w:left="720" w:hanging="720"/>
      </w:pPr>
      <w:proofErr w:type="spellStart"/>
      <w:r>
        <w:rPr>
          <w:sz w:val="22"/>
          <w:szCs w:val="22"/>
        </w:rPr>
        <w:t>Amde</w:t>
      </w:r>
      <w:proofErr w:type="spellEnd"/>
      <w:r>
        <w:rPr>
          <w:sz w:val="22"/>
          <w:szCs w:val="22"/>
        </w:rPr>
        <w:t>, W. K., Marchal, B., Sanders, D., &amp; Lehmann, U. (2019). Determinants of effective organisational capacity training: Lessons from a training programme on health workforce development with participants from three African countries. BMC Public Health, 19(1), Article 1557. https://doi.org/10.1186/s12889-019-7883-x</w:t>
      </w:r>
    </w:p>
    <w:p w14:paraId="7D945903" w14:textId="77777777" w:rsidR="008721B8" w:rsidRDefault="008B314A">
      <w:pPr>
        <w:spacing w:after="120" w:line="360" w:lineRule="auto"/>
        <w:ind w:left="720" w:hanging="720"/>
      </w:pPr>
      <w:proofErr w:type="spellStart"/>
      <w:r>
        <w:rPr>
          <w:sz w:val="22"/>
          <w:szCs w:val="22"/>
        </w:rPr>
        <w:lastRenderedPageBreak/>
        <w:t>Baethge</w:t>
      </w:r>
      <w:proofErr w:type="spellEnd"/>
      <w:r>
        <w:rPr>
          <w:sz w:val="22"/>
          <w:szCs w:val="22"/>
        </w:rPr>
        <w:t>, C., Goldbeck-Wood, S., &amp; Mertens, S. (2019). SANRA—a scale for the quality assessment of narrative review articles. Research Integrity and Peer Review, 4(1), Article 5. https://doi.org/10.1186/s41073-019-0064-8</w:t>
      </w:r>
    </w:p>
    <w:p w14:paraId="3F27C1C6" w14:textId="77777777" w:rsidR="008721B8" w:rsidRDefault="008B314A">
      <w:pPr>
        <w:spacing w:after="120" w:line="360" w:lineRule="auto"/>
        <w:ind w:left="720" w:hanging="720"/>
      </w:pPr>
      <w:proofErr w:type="spellStart"/>
      <w:r>
        <w:rPr>
          <w:sz w:val="22"/>
          <w:szCs w:val="22"/>
        </w:rPr>
        <w:t>Bandé</w:t>
      </w:r>
      <w:proofErr w:type="spellEnd"/>
      <w:r>
        <w:rPr>
          <w:sz w:val="22"/>
          <w:szCs w:val="22"/>
        </w:rPr>
        <w:t>, A., Ika, L. A., &amp; Ouédraogo, S. (2024). Beneficiary participation is an imperative, not an option, but does it really work in international development projects? International Journal of Project Management, 42(1), Article 102561. https://doi.org/10.1016/j.ijproman.2024.102561</w:t>
      </w:r>
    </w:p>
    <w:p w14:paraId="7341A22B" w14:textId="77777777" w:rsidR="008721B8" w:rsidRDefault="008B314A">
      <w:pPr>
        <w:spacing w:after="120" w:line="360" w:lineRule="auto"/>
        <w:ind w:left="720" w:hanging="720"/>
      </w:pPr>
      <w:r>
        <w:rPr>
          <w:sz w:val="22"/>
          <w:szCs w:val="22"/>
        </w:rPr>
        <w:t>Barasa, E. W., Cleary, S., English, M., &amp; Molyneux, S. (2016). The influence of power and actor relations on priority setting and resource allocation practices at the hospital level in Kenya: A case study. BMC Health Services Research, 16(1), Article 536. https://doi.org/10.1186/s12913-016-1796-5</w:t>
      </w:r>
    </w:p>
    <w:p w14:paraId="37F73246" w14:textId="77777777" w:rsidR="008721B8" w:rsidRDefault="008B314A">
      <w:pPr>
        <w:spacing w:after="120" w:line="360" w:lineRule="auto"/>
        <w:ind w:left="720" w:hanging="720"/>
      </w:pPr>
      <w:r>
        <w:rPr>
          <w:sz w:val="22"/>
          <w:szCs w:val="22"/>
        </w:rPr>
        <w:t>Benítez-Ávila, C., Hartmann, A., &amp; Dewulf, G. (2019). Contractual and relational governance as positioned-practices in ongoing public–private partnership projects. Project Management Journal, 50(6), 716–733. https://doi.org/10.1177/8756972819848224</w:t>
      </w:r>
    </w:p>
    <w:p w14:paraId="21507B94" w14:textId="77777777" w:rsidR="008721B8" w:rsidRDefault="008B314A">
      <w:pPr>
        <w:spacing w:after="120" w:line="360" w:lineRule="auto"/>
        <w:ind w:left="720" w:hanging="720"/>
      </w:pPr>
      <w:r>
        <w:rPr>
          <w:sz w:val="22"/>
          <w:szCs w:val="22"/>
        </w:rPr>
        <w:t>Cooper, R. G. (2008). Perspective: The stage-gate idea-to-launch process—Update, what's new, and NexGen systems. Journal of Product Innovation Management, 25(3), 213–232. https://doi.org/10.1111/j.1540-5885.2008.00296.x</w:t>
      </w:r>
    </w:p>
    <w:p w14:paraId="27A18F92" w14:textId="77777777" w:rsidR="008721B8" w:rsidRDefault="008B314A">
      <w:pPr>
        <w:spacing w:after="120" w:line="360" w:lineRule="auto"/>
        <w:ind w:left="720" w:hanging="720"/>
      </w:pPr>
      <w:r>
        <w:rPr>
          <w:sz w:val="22"/>
          <w:szCs w:val="22"/>
        </w:rPr>
        <w:t>Cornforth, C. (2014). Understanding and combating mission drift in social enterprises. Social Enterprise Journal, 10(1), 3–20. https://doi.org/10.1108/SEJ-09-2013-0036</w:t>
      </w:r>
    </w:p>
    <w:p w14:paraId="7C0D8D5B" w14:textId="77777777" w:rsidR="008721B8" w:rsidRDefault="008B314A">
      <w:pPr>
        <w:spacing w:after="120" w:line="360" w:lineRule="auto"/>
        <w:ind w:left="720" w:hanging="720"/>
      </w:pPr>
      <w:r>
        <w:rPr>
          <w:sz w:val="22"/>
          <w:szCs w:val="22"/>
        </w:rPr>
        <w:t>Derakhshan, R., Turner, R., &amp; Mancini, M. (2019). Project governance and stakeholders: A literature review. International Journal of Project Management, 37(1), 98–116. https://doi.org/10.1016/j.ijproman.2018.10.007</w:t>
      </w:r>
    </w:p>
    <w:p w14:paraId="2EF4DA8A" w14:textId="77777777" w:rsidR="008721B8" w:rsidRDefault="008B314A">
      <w:pPr>
        <w:spacing w:after="120" w:line="360" w:lineRule="auto"/>
        <w:ind w:left="720" w:hanging="720"/>
      </w:pPr>
      <w:r>
        <w:rPr>
          <w:sz w:val="22"/>
          <w:szCs w:val="22"/>
        </w:rPr>
        <w:t>Despard, M. R., Nafziger-</w:t>
      </w:r>
      <w:proofErr w:type="spellStart"/>
      <w:r>
        <w:rPr>
          <w:sz w:val="22"/>
          <w:szCs w:val="22"/>
        </w:rPr>
        <w:t>Mayegun</w:t>
      </w:r>
      <w:proofErr w:type="spellEnd"/>
      <w:r>
        <w:rPr>
          <w:sz w:val="22"/>
          <w:szCs w:val="22"/>
        </w:rPr>
        <w:t xml:space="preserve">, R. N., </w:t>
      </w:r>
      <w:proofErr w:type="spellStart"/>
      <w:r>
        <w:rPr>
          <w:sz w:val="22"/>
          <w:szCs w:val="22"/>
        </w:rPr>
        <w:t>Adjabeng</w:t>
      </w:r>
      <w:proofErr w:type="spellEnd"/>
      <w:r>
        <w:rPr>
          <w:sz w:val="22"/>
          <w:szCs w:val="22"/>
        </w:rPr>
        <w:t xml:space="preserve">, B. K., &amp; Ansong, D. (2017). Does revenue diversification predict financial vulnerability among non-governmental organizations in sub-Saharan Africa? </w:t>
      </w:r>
      <w:proofErr w:type="spellStart"/>
      <w:r>
        <w:rPr>
          <w:sz w:val="22"/>
          <w:szCs w:val="22"/>
        </w:rPr>
        <w:t>Voluntas</w:t>
      </w:r>
      <w:proofErr w:type="spellEnd"/>
      <w:r>
        <w:rPr>
          <w:sz w:val="22"/>
          <w:szCs w:val="22"/>
        </w:rPr>
        <w:t>: International Journal of Voluntary and Nonprofit Organizations, 28(5), 2124–2144. https://doi.org/10.1007/s11266-017-9835-3</w:t>
      </w:r>
    </w:p>
    <w:p w14:paraId="0270AAFE" w14:textId="77777777" w:rsidR="008721B8" w:rsidRDefault="008B314A">
      <w:pPr>
        <w:spacing w:after="120" w:line="360" w:lineRule="auto"/>
        <w:ind w:left="720" w:hanging="720"/>
      </w:pPr>
      <w:r>
        <w:rPr>
          <w:sz w:val="22"/>
          <w:szCs w:val="22"/>
        </w:rPr>
        <w:t>Ebrahim, A. (2003). Accountability in practice: Mechanisms for NGOs. World Development, 31(5), 813–829. https://doi.org/10.1016/S0305-750X(03)00014-7</w:t>
      </w:r>
    </w:p>
    <w:p w14:paraId="375C70FF" w14:textId="77777777" w:rsidR="008721B8" w:rsidRDefault="008B314A">
      <w:pPr>
        <w:spacing w:after="120" w:line="360" w:lineRule="auto"/>
        <w:ind w:left="720" w:hanging="720"/>
      </w:pPr>
      <w:r>
        <w:rPr>
          <w:sz w:val="22"/>
          <w:szCs w:val="22"/>
        </w:rPr>
        <w:t>Eifert, B., &amp; Gelb, A. (2008). Reforming aid: Toward more predictable, performance-based financing for development. World Development, 36(10), 2067–2081. https://doi.org/10.1016/j.worlddev.2007.02.021</w:t>
      </w:r>
    </w:p>
    <w:p w14:paraId="7067AC3F" w14:textId="77777777" w:rsidR="008721B8" w:rsidRDefault="008B314A">
      <w:pPr>
        <w:spacing w:after="120" w:line="360" w:lineRule="auto"/>
        <w:ind w:left="720" w:hanging="720"/>
      </w:pPr>
      <w:r>
        <w:rPr>
          <w:sz w:val="22"/>
          <w:szCs w:val="22"/>
        </w:rPr>
        <w:t>Faye, C. M. (2025). Rethinking global health resilience amid donor funding cuts. The Lancet Global Health, 13(10), e1655–e1656. https://doi.org/10.1016/S2214-109X(25)00365-1</w:t>
      </w:r>
    </w:p>
    <w:p w14:paraId="5447D3EA" w14:textId="77777777" w:rsidR="008721B8" w:rsidRDefault="008B314A">
      <w:pPr>
        <w:spacing w:after="120" w:line="360" w:lineRule="auto"/>
        <w:ind w:left="720" w:hanging="720"/>
      </w:pPr>
      <w:r>
        <w:rPr>
          <w:sz w:val="22"/>
          <w:szCs w:val="22"/>
        </w:rPr>
        <w:lastRenderedPageBreak/>
        <w:t>Federspiel, F., &amp; Borghi, J. (2026). Aid, debt, International Monetary Fund conditionalities and domestic health financing in low- and middle-income countries. Health Policy and Planning. Advance online publication. https://doi.org/10.1093/heapol/czag070</w:t>
      </w:r>
    </w:p>
    <w:p w14:paraId="6299888E" w14:textId="77777777" w:rsidR="008721B8" w:rsidRDefault="008B314A">
      <w:pPr>
        <w:spacing w:after="120" w:line="360" w:lineRule="auto"/>
        <w:ind w:left="720" w:hanging="720"/>
      </w:pPr>
      <w:r>
        <w:rPr>
          <w:sz w:val="22"/>
          <w:szCs w:val="22"/>
        </w:rPr>
        <w:t>Feeny, S., &amp; de Silva, A. (2012). Measuring absorptive capacity constraints to foreign aid. Economic Modelling, 29(3), 725–733. https://doi.org/10.1016/j.econmod.2012.01.013</w:t>
      </w:r>
    </w:p>
    <w:p w14:paraId="3718938B" w14:textId="77777777" w:rsidR="008721B8" w:rsidRDefault="008B314A">
      <w:pPr>
        <w:spacing w:after="120" w:line="360" w:lineRule="auto"/>
        <w:ind w:left="720" w:hanging="720"/>
      </w:pPr>
      <w:r>
        <w:rPr>
          <w:sz w:val="22"/>
          <w:szCs w:val="22"/>
        </w:rPr>
        <w:t xml:space="preserve">Foster, T., Willetts, J., Lane, M., Thomson, P., </w:t>
      </w:r>
      <w:proofErr w:type="spellStart"/>
      <w:r>
        <w:rPr>
          <w:sz w:val="22"/>
          <w:szCs w:val="22"/>
        </w:rPr>
        <w:t>Katuva</w:t>
      </w:r>
      <w:proofErr w:type="spellEnd"/>
      <w:r>
        <w:rPr>
          <w:sz w:val="22"/>
          <w:szCs w:val="22"/>
        </w:rPr>
        <w:t>, J., &amp; Hope, R. (2018). Risk factors associated with rural water supply failure: A 30-year retrospective study of handpumps on the south coast of Kenya. Science of the Total Environment, 626, 156–164. https://doi.org/10.1016/j.scitotenv.2017.12.302</w:t>
      </w:r>
    </w:p>
    <w:p w14:paraId="44E0FACF" w14:textId="77777777" w:rsidR="008721B8" w:rsidRDefault="008B314A">
      <w:pPr>
        <w:spacing w:after="120" w:line="360" w:lineRule="auto"/>
        <w:ind w:left="720" w:hanging="720"/>
      </w:pPr>
      <w:r>
        <w:rPr>
          <w:sz w:val="22"/>
          <w:szCs w:val="22"/>
        </w:rPr>
        <w:t>Froelich, K. A. (1999). Diversification of revenue strategies: Evolving resource dependence in nonprofit organizations. Nonprofit and Voluntary Sector Quarterly, 28(3), 246–268. https://doi.org/10.1177/0899764099283002</w:t>
      </w:r>
    </w:p>
    <w:p w14:paraId="0602C3B3" w14:textId="77777777" w:rsidR="008721B8" w:rsidRDefault="008B314A">
      <w:pPr>
        <w:spacing w:after="120" w:line="360" w:lineRule="auto"/>
        <w:ind w:left="720" w:hanging="720"/>
      </w:pPr>
      <w:r>
        <w:rPr>
          <w:sz w:val="22"/>
          <w:szCs w:val="22"/>
        </w:rPr>
        <w:t>Gasper, D. (2000). Evaluating the "logical framework approach" towards learning-oriented development evaluation. Public Administration and Development, 20(1), 17–28. https://doi.org/10.1002/1099-162X(200002)20:1&lt;</w:t>
      </w:r>
      <w:proofErr w:type="gramStart"/>
      <w:r>
        <w:rPr>
          <w:sz w:val="22"/>
          <w:szCs w:val="22"/>
        </w:rPr>
        <w:t>17::</w:t>
      </w:r>
      <w:proofErr w:type="gramEnd"/>
      <w:r>
        <w:rPr>
          <w:sz w:val="22"/>
          <w:szCs w:val="22"/>
        </w:rPr>
        <w:t>AID-PAD89&gt;3.0.CO;2-5</w:t>
      </w:r>
    </w:p>
    <w:p w14:paraId="331A5E1B" w14:textId="77777777" w:rsidR="008721B8" w:rsidRDefault="008B314A">
      <w:pPr>
        <w:spacing w:after="120" w:line="360" w:lineRule="auto"/>
        <w:ind w:left="720" w:hanging="720"/>
      </w:pPr>
      <w:r>
        <w:rPr>
          <w:sz w:val="22"/>
          <w:szCs w:val="22"/>
        </w:rPr>
        <w:t xml:space="preserve">Greenhalgh, T., Thorne, S., &amp; </w:t>
      </w:r>
      <w:proofErr w:type="spellStart"/>
      <w:r>
        <w:rPr>
          <w:sz w:val="22"/>
          <w:szCs w:val="22"/>
        </w:rPr>
        <w:t>Malterud</w:t>
      </w:r>
      <w:proofErr w:type="spellEnd"/>
      <w:r>
        <w:rPr>
          <w:sz w:val="22"/>
          <w:szCs w:val="22"/>
        </w:rPr>
        <w:t>, K. (2018). Time to challenge the spurious hierarchy of systematic over narrative reviews? European Journal of Clinical Investigation, 48(6), Article e12931. https://doi.org/10.1111/eci.12931</w:t>
      </w:r>
    </w:p>
    <w:p w14:paraId="1598EE81" w14:textId="77777777" w:rsidR="008721B8" w:rsidRDefault="008B314A">
      <w:pPr>
        <w:spacing w:after="120" w:line="360" w:lineRule="auto"/>
        <w:ind w:left="720" w:hanging="720"/>
      </w:pPr>
      <w:r>
        <w:rPr>
          <w:sz w:val="22"/>
          <w:szCs w:val="22"/>
        </w:rPr>
        <w:t>Gutheil, L., &amp; Koch, D.-J. (2024). Aid unchained: Examining development project management practices at aid chain interfaces. Progress in Development Studies, 24(2), 97–112. https://doi.org/10.1177/14649934231205441</w:t>
      </w:r>
    </w:p>
    <w:p w14:paraId="27028349" w14:textId="77777777" w:rsidR="008721B8" w:rsidRDefault="008B314A">
      <w:pPr>
        <w:spacing w:after="120" w:line="360" w:lineRule="auto"/>
        <w:ind w:left="720" w:hanging="720"/>
      </w:pPr>
      <w:r>
        <w:rPr>
          <w:sz w:val="22"/>
          <w:szCs w:val="22"/>
        </w:rPr>
        <w:t>Hudson, J. (2015). Consequences of aid volatility for macroeconomic management and aid effectiveness. World Development, 69, 62–74. https://doi.org/10.1016/j.worlddev.2013.12.010</w:t>
      </w:r>
    </w:p>
    <w:p w14:paraId="267358BE" w14:textId="77777777" w:rsidR="008721B8" w:rsidRDefault="008B314A">
      <w:pPr>
        <w:spacing w:after="120" w:line="360" w:lineRule="auto"/>
        <w:ind w:left="720" w:hanging="720"/>
      </w:pPr>
      <w:r>
        <w:rPr>
          <w:sz w:val="22"/>
          <w:szCs w:val="22"/>
        </w:rPr>
        <w:t>Hung, C., &amp; Hager, M. A. (2019). The impact of revenue diversification on nonprofit financial health: A meta-analysis. Nonprofit and Voluntary Sector Quarterly, 48(1), 5–27. https://doi.org/10.1177/0899764018807080</w:t>
      </w:r>
    </w:p>
    <w:p w14:paraId="322046F8" w14:textId="77777777" w:rsidR="008721B8" w:rsidRDefault="008B314A">
      <w:pPr>
        <w:spacing w:after="120" w:line="360" w:lineRule="auto"/>
        <w:ind w:left="720" w:hanging="720"/>
      </w:pPr>
      <w:r>
        <w:rPr>
          <w:sz w:val="22"/>
          <w:szCs w:val="22"/>
        </w:rPr>
        <w:t>Ika, L. A. (2012). Project management for development in Africa: Why projects are failing and what can be done about it. Project Management Journal, 43(4), 27–41. https://doi.org/10.1002/pmj.21281</w:t>
      </w:r>
    </w:p>
    <w:p w14:paraId="1B4F58AF" w14:textId="77777777" w:rsidR="008721B8" w:rsidRDefault="008B314A">
      <w:pPr>
        <w:spacing w:after="120" w:line="360" w:lineRule="auto"/>
        <w:ind w:left="720" w:hanging="720"/>
      </w:pPr>
      <w:r>
        <w:rPr>
          <w:sz w:val="22"/>
          <w:szCs w:val="22"/>
        </w:rPr>
        <w:t>Ika, L. A., Diallo, A., &amp; Thuillier, D. (2012). Critical success factors for World Bank projects: An empirical investigation. International Journal of Project Management, 30(1), 105–116. https://doi.org/10.1016/j.ijproman.2011.03.005</w:t>
      </w:r>
    </w:p>
    <w:p w14:paraId="4E09FB14" w14:textId="77777777" w:rsidR="008721B8" w:rsidRDefault="008B314A">
      <w:pPr>
        <w:spacing w:after="120" w:line="360" w:lineRule="auto"/>
        <w:ind w:left="720" w:hanging="720"/>
      </w:pPr>
      <w:r>
        <w:rPr>
          <w:sz w:val="22"/>
          <w:szCs w:val="22"/>
        </w:rPr>
        <w:lastRenderedPageBreak/>
        <w:t>Ika, L. A., &amp; Donnelly, J. (2017). Success conditions for international development capacity building projects. International Journal of Project Management, 35(1), 44–63. https://doi.org/10.1016/j.ijproman.2016.10.005</w:t>
      </w:r>
    </w:p>
    <w:p w14:paraId="6FF20F5F" w14:textId="77777777" w:rsidR="008721B8" w:rsidRDefault="008B314A">
      <w:pPr>
        <w:spacing w:after="120" w:line="360" w:lineRule="auto"/>
        <w:ind w:left="720" w:hanging="720"/>
      </w:pPr>
      <w:r>
        <w:rPr>
          <w:sz w:val="22"/>
          <w:szCs w:val="22"/>
        </w:rPr>
        <w:t>Ika, L. A., &amp; Hodgson, D. (2014). Learning from international development projects: Blending critical project studies and critical development studies. International Journal of Project Management, 32(7), 1182–1196. https://doi.org/10.1016/j.ijproman.2014.01.004</w:t>
      </w:r>
    </w:p>
    <w:p w14:paraId="344498F0" w14:textId="77777777" w:rsidR="008721B8" w:rsidRDefault="008B314A">
      <w:pPr>
        <w:spacing w:after="120" w:line="360" w:lineRule="auto"/>
        <w:ind w:left="720" w:hanging="720"/>
      </w:pPr>
      <w:r>
        <w:rPr>
          <w:sz w:val="22"/>
          <w:szCs w:val="22"/>
        </w:rPr>
        <w:t>Ika, L. A., &amp; Saint-Macary, J. (2012). The project planning myth in international development. International Journal of Managing Projects in Business, 5(3), 420–439. https://doi.org/10.1108/17538371211235308</w:t>
      </w:r>
    </w:p>
    <w:p w14:paraId="46ABF88B" w14:textId="77777777" w:rsidR="008721B8" w:rsidRDefault="008B314A">
      <w:pPr>
        <w:spacing w:after="120" w:line="360" w:lineRule="auto"/>
        <w:ind w:left="720" w:hanging="720"/>
      </w:pPr>
      <w:r>
        <w:rPr>
          <w:sz w:val="22"/>
          <w:szCs w:val="22"/>
        </w:rPr>
        <w:t>Ika, L. A., Söderlund, J., Munro, L. T., &amp; Landoni, P. (2020). Cross-learning between project management and international development: Analysis and research agenda. International Journal of Project Management, 38(8), 548–558. https://doi.org/10.1016/j.ijproman.2020.10.005</w:t>
      </w:r>
    </w:p>
    <w:p w14:paraId="4E6ABFAA" w14:textId="77777777" w:rsidR="008721B8" w:rsidRDefault="008B314A">
      <w:pPr>
        <w:spacing w:after="120" w:line="360" w:lineRule="auto"/>
        <w:ind w:left="720" w:hanging="720"/>
      </w:pPr>
      <w:r>
        <w:rPr>
          <w:sz w:val="22"/>
          <w:szCs w:val="22"/>
        </w:rPr>
        <w:t>Ilesanmi, O. S., &amp; Afolabi, A. A. (2022). Sustainability of donor-funded health-related programs beyond the funding lifecycle in Africa: A systematic review. Cureus, 14(5), Article e24643. https://doi.org/10.7759/cureus.24643</w:t>
      </w:r>
    </w:p>
    <w:p w14:paraId="7047CE6C" w14:textId="77777777" w:rsidR="008721B8" w:rsidRDefault="008B314A">
      <w:pPr>
        <w:spacing w:after="120" w:line="360" w:lineRule="auto"/>
        <w:ind w:left="720" w:hanging="720"/>
      </w:pPr>
      <w:r>
        <w:rPr>
          <w:sz w:val="22"/>
          <w:szCs w:val="22"/>
        </w:rPr>
        <w:t xml:space="preserve">International </w:t>
      </w:r>
      <w:proofErr w:type="spellStart"/>
      <w:r>
        <w:rPr>
          <w:sz w:val="22"/>
          <w:szCs w:val="22"/>
        </w:rPr>
        <w:t>Center</w:t>
      </w:r>
      <w:proofErr w:type="spellEnd"/>
      <w:r>
        <w:rPr>
          <w:sz w:val="22"/>
          <w:szCs w:val="22"/>
        </w:rPr>
        <w:t xml:space="preserve"> for Not-for-Profit Law. (n.d.). Civic freedom monitor: Kenya. Retrieved 8 August 2026, from https://www.icnl.org/resources/civic-freedom-monitor/kenya</w:t>
      </w:r>
    </w:p>
    <w:p w14:paraId="0DC6F422" w14:textId="77777777" w:rsidR="008721B8" w:rsidRDefault="008B314A">
      <w:pPr>
        <w:spacing w:after="120" w:line="360" w:lineRule="auto"/>
        <w:ind w:left="720" w:hanging="720"/>
      </w:pPr>
      <w:r>
        <w:rPr>
          <w:sz w:val="22"/>
          <w:szCs w:val="22"/>
        </w:rPr>
        <w:t xml:space="preserve">Iwu, C. G., </w:t>
      </w:r>
      <w:proofErr w:type="spellStart"/>
      <w:r>
        <w:rPr>
          <w:sz w:val="22"/>
          <w:szCs w:val="22"/>
        </w:rPr>
        <w:t>Kapondoro</w:t>
      </w:r>
      <w:proofErr w:type="spellEnd"/>
      <w:r>
        <w:rPr>
          <w:sz w:val="22"/>
          <w:szCs w:val="22"/>
        </w:rPr>
        <w:t xml:space="preserve">, L., Twum-Darko, M., &amp; </w:t>
      </w:r>
      <w:proofErr w:type="spellStart"/>
      <w:r>
        <w:rPr>
          <w:sz w:val="22"/>
          <w:szCs w:val="22"/>
        </w:rPr>
        <w:t>Tengeh</w:t>
      </w:r>
      <w:proofErr w:type="spellEnd"/>
      <w:r>
        <w:rPr>
          <w:sz w:val="22"/>
          <w:szCs w:val="22"/>
        </w:rPr>
        <w:t>, R. (2015). Determinants of sustainability and organisational effectiveness in non-profit organisations. Sustainability, 7(7), 9560–9573. https://doi.org/10.3390/su7079560</w:t>
      </w:r>
    </w:p>
    <w:p w14:paraId="2490693C" w14:textId="77777777" w:rsidR="008721B8" w:rsidRDefault="008B314A">
      <w:pPr>
        <w:spacing w:after="120" w:line="360" w:lineRule="auto"/>
        <w:ind w:left="720" w:hanging="720"/>
      </w:pPr>
      <w:r>
        <w:rPr>
          <w:sz w:val="22"/>
          <w:szCs w:val="22"/>
        </w:rPr>
        <w:t xml:space="preserve">Kabia, E., </w:t>
      </w:r>
      <w:proofErr w:type="spellStart"/>
      <w:r>
        <w:rPr>
          <w:sz w:val="22"/>
          <w:szCs w:val="22"/>
        </w:rPr>
        <w:t>Mbau</w:t>
      </w:r>
      <w:proofErr w:type="spellEnd"/>
      <w:r>
        <w:rPr>
          <w:sz w:val="22"/>
          <w:szCs w:val="22"/>
        </w:rPr>
        <w:t xml:space="preserve">, R., </w:t>
      </w:r>
      <w:proofErr w:type="spellStart"/>
      <w:r>
        <w:rPr>
          <w:sz w:val="22"/>
          <w:szCs w:val="22"/>
        </w:rPr>
        <w:t>Oyando</w:t>
      </w:r>
      <w:proofErr w:type="spellEnd"/>
      <w:r>
        <w:rPr>
          <w:sz w:val="22"/>
          <w:szCs w:val="22"/>
        </w:rPr>
        <w:t xml:space="preserve">, R., Oduor, C., </w:t>
      </w:r>
      <w:proofErr w:type="spellStart"/>
      <w:r>
        <w:rPr>
          <w:sz w:val="22"/>
          <w:szCs w:val="22"/>
        </w:rPr>
        <w:t>Bigogo</w:t>
      </w:r>
      <w:proofErr w:type="spellEnd"/>
      <w:r>
        <w:rPr>
          <w:sz w:val="22"/>
          <w:szCs w:val="22"/>
        </w:rPr>
        <w:t>, G., Khagayi, S., &amp; Barasa, E. (2019). "We are called the et cetera": Experiences of the poor with health financing reforms that target them in Kenya. International Journal for Equity in Health, 18(1), Article 98. https://doi.org/10.1186/s12939-019-1006-2</w:t>
      </w:r>
    </w:p>
    <w:p w14:paraId="5321F511" w14:textId="77777777" w:rsidR="008721B8" w:rsidRDefault="008B314A">
      <w:pPr>
        <w:spacing w:after="120" w:line="360" w:lineRule="auto"/>
        <w:ind w:left="720" w:hanging="720"/>
      </w:pPr>
      <w:r>
        <w:rPr>
          <w:sz w:val="22"/>
          <w:szCs w:val="22"/>
        </w:rPr>
        <w:t xml:space="preserve">Kairu, A., Orangi, S., Mbuthia, B., Arwah, B., Guleid, F., Keru, J., Vilcu, I., </w:t>
      </w:r>
      <w:proofErr w:type="spellStart"/>
      <w:r>
        <w:rPr>
          <w:sz w:val="22"/>
          <w:szCs w:val="22"/>
        </w:rPr>
        <w:t>Musuva</w:t>
      </w:r>
      <w:proofErr w:type="spellEnd"/>
      <w:r>
        <w:rPr>
          <w:sz w:val="22"/>
          <w:szCs w:val="22"/>
        </w:rPr>
        <w:t>, A., Ravishankar, N., &amp; Barasa, E. (2023). The impact of COVID-19 on health financing in Kenya. PLOS Global Public Health, 3(10), Article e0001852. https://doi.org/10.1371/journal.pgph.0001852</w:t>
      </w:r>
    </w:p>
    <w:p w14:paraId="58C377F3" w14:textId="77777777" w:rsidR="008721B8" w:rsidRDefault="008B314A">
      <w:pPr>
        <w:spacing w:after="120" w:line="360" w:lineRule="auto"/>
        <w:ind w:left="720" w:hanging="720"/>
      </w:pPr>
      <w:r>
        <w:rPr>
          <w:sz w:val="22"/>
          <w:szCs w:val="22"/>
        </w:rPr>
        <w:t>Kairu, A., Orangi, S., Mbuthia, B., Ondera, J., Ravishankar, N., &amp; Barasa, E. (2021). Examining health facility financing in Kenya in the context of devolution. BMC Health Services Research, 21(1), Article 1086. https://doi.org/10.1186/s12913-021-07123-7</w:t>
      </w:r>
    </w:p>
    <w:p w14:paraId="5DDD78E5" w14:textId="77777777" w:rsidR="008721B8" w:rsidRDefault="008B314A">
      <w:pPr>
        <w:spacing w:after="120" w:line="360" w:lineRule="auto"/>
        <w:ind w:left="720" w:hanging="720"/>
      </w:pPr>
      <w:proofErr w:type="spellStart"/>
      <w:r>
        <w:rPr>
          <w:sz w:val="22"/>
          <w:szCs w:val="22"/>
        </w:rPr>
        <w:lastRenderedPageBreak/>
        <w:t>Kangoye</w:t>
      </w:r>
      <w:proofErr w:type="spellEnd"/>
      <w:r>
        <w:rPr>
          <w:sz w:val="22"/>
          <w:szCs w:val="22"/>
        </w:rPr>
        <w:t>, T. (2013). Does aid unpredictability weaken governance? Evidence from developing countries. The Developing Economies, 51(2), 121–144. https://doi.org/10.1111/deve.12008</w:t>
      </w:r>
    </w:p>
    <w:p w14:paraId="1473DE4F" w14:textId="77777777" w:rsidR="008721B8" w:rsidRDefault="008B314A">
      <w:pPr>
        <w:spacing w:after="120" w:line="360" w:lineRule="auto"/>
        <w:ind w:left="720" w:hanging="720"/>
      </w:pPr>
      <w:proofErr w:type="spellStart"/>
      <w:r>
        <w:rPr>
          <w:sz w:val="22"/>
          <w:szCs w:val="22"/>
        </w:rPr>
        <w:t>Khieng</w:t>
      </w:r>
      <w:proofErr w:type="spellEnd"/>
      <w:r>
        <w:rPr>
          <w:sz w:val="22"/>
          <w:szCs w:val="22"/>
        </w:rPr>
        <w:t xml:space="preserve">, S., &amp; </w:t>
      </w:r>
      <w:proofErr w:type="spellStart"/>
      <w:r>
        <w:rPr>
          <w:sz w:val="22"/>
          <w:szCs w:val="22"/>
        </w:rPr>
        <w:t>Dahles</w:t>
      </w:r>
      <w:proofErr w:type="spellEnd"/>
      <w:r>
        <w:rPr>
          <w:sz w:val="22"/>
          <w:szCs w:val="22"/>
        </w:rPr>
        <w:t xml:space="preserve">, H. (2015). Resource dependence and effects of funding diversification strategies among NGOs in Cambodia. </w:t>
      </w:r>
      <w:proofErr w:type="spellStart"/>
      <w:r>
        <w:rPr>
          <w:sz w:val="22"/>
          <w:szCs w:val="22"/>
        </w:rPr>
        <w:t>Voluntas</w:t>
      </w:r>
      <w:proofErr w:type="spellEnd"/>
      <w:r>
        <w:rPr>
          <w:sz w:val="22"/>
          <w:szCs w:val="22"/>
        </w:rPr>
        <w:t>: International Journal of Voluntary and Nonprofit Organizations, 26(4), 1412–1437. https://doi.org/10.1007/s11266-014-9485-7</w:t>
      </w:r>
    </w:p>
    <w:p w14:paraId="3C242C81" w14:textId="77777777" w:rsidR="008721B8" w:rsidRDefault="008B314A">
      <w:pPr>
        <w:spacing w:after="120" w:line="360" w:lineRule="auto"/>
        <w:ind w:left="720" w:hanging="720"/>
      </w:pPr>
      <w:r>
        <w:rPr>
          <w:sz w:val="22"/>
          <w:szCs w:val="22"/>
        </w:rPr>
        <w:t>Knack, S., &amp; Rahman, A. (2007). Donor fragmentation and bureaucratic quality in aid recipients. Journal of Development Economics, 83(1), 176–197. https://doi.org/10.1016/j.jdeveco.2006.02.002</w:t>
      </w:r>
    </w:p>
    <w:p w14:paraId="52CC265B" w14:textId="77777777" w:rsidR="008721B8" w:rsidRDefault="008B314A">
      <w:pPr>
        <w:spacing w:after="120" w:line="360" w:lineRule="auto"/>
        <w:ind w:left="720" w:hanging="720"/>
      </w:pPr>
      <w:r>
        <w:rPr>
          <w:sz w:val="22"/>
          <w:szCs w:val="22"/>
        </w:rPr>
        <w:t xml:space="preserve">Kumi, E., Adam, M.-A. S., </w:t>
      </w:r>
      <w:proofErr w:type="spellStart"/>
      <w:r>
        <w:rPr>
          <w:sz w:val="22"/>
          <w:szCs w:val="22"/>
        </w:rPr>
        <w:t>Kamruzzaman</w:t>
      </w:r>
      <w:proofErr w:type="spellEnd"/>
      <w:r>
        <w:rPr>
          <w:sz w:val="22"/>
          <w:szCs w:val="22"/>
        </w:rPr>
        <w:t xml:space="preserve">, P., &amp; </w:t>
      </w:r>
      <w:proofErr w:type="spellStart"/>
      <w:r>
        <w:rPr>
          <w:sz w:val="22"/>
          <w:szCs w:val="22"/>
        </w:rPr>
        <w:t>Tsiboe</w:t>
      </w:r>
      <w:proofErr w:type="spellEnd"/>
      <w:r>
        <w:rPr>
          <w:sz w:val="22"/>
          <w:szCs w:val="22"/>
        </w:rPr>
        <w:t>-Darko, A. (2026). Local NGOs' added value and the unintended consequences of the aid localisation agenda in Ghana. Development in Practice. Advance online publication. https://doi.org/10.1080/09614524.2025.2605525</w:t>
      </w:r>
    </w:p>
    <w:p w14:paraId="7CE8548F" w14:textId="77777777" w:rsidR="008721B8" w:rsidRDefault="008B314A">
      <w:pPr>
        <w:spacing w:after="120" w:line="360" w:lineRule="auto"/>
        <w:ind w:left="720" w:hanging="720"/>
      </w:pPr>
      <w:r>
        <w:rPr>
          <w:sz w:val="22"/>
          <w:szCs w:val="22"/>
        </w:rPr>
        <w:t xml:space="preserve">Lu, J., Lin, W., &amp; Wang, Q. (2019). Does a more diversified revenue structure lead to greater financial capacity and less vulnerability in nonprofit organizations? A bibliometric and meta-analysis. </w:t>
      </w:r>
      <w:proofErr w:type="spellStart"/>
      <w:r>
        <w:rPr>
          <w:sz w:val="22"/>
          <w:szCs w:val="22"/>
        </w:rPr>
        <w:t>Voluntas</w:t>
      </w:r>
      <w:proofErr w:type="spellEnd"/>
      <w:r>
        <w:rPr>
          <w:sz w:val="22"/>
          <w:szCs w:val="22"/>
        </w:rPr>
        <w:t>: International Journal of Voluntary and Nonprofit Organizations, 30(3), 593–609. https://doi.org/10.1007/s11266-019-00093-9</w:t>
      </w:r>
    </w:p>
    <w:p w14:paraId="7800FA8A" w14:textId="77777777" w:rsidR="008721B8" w:rsidRDefault="008B314A">
      <w:pPr>
        <w:spacing w:after="120" w:line="360" w:lineRule="auto"/>
        <w:ind w:left="720" w:hanging="720"/>
      </w:pPr>
      <w:r>
        <w:rPr>
          <w:sz w:val="22"/>
          <w:szCs w:val="22"/>
        </w:rPr>
        <w:t xml:space="preserve">Lusambili, A. M., Nyanja, N., Chabeda, S. V., Temmerman, M., Nyaga, L., </w:t>
      </w:r>
      <w:proofErr w:type="spellStart"/>
      <w:r>
        <w:rPr>
          <w:sz w:val="22"/>
          <w:szCs w:val="22"/>
        </w:rPr>
        <w:t>Obure</w:t>
      </w:r>
      <w:proofErr w:type="spellEnd"/>
      <w:r>
        <w:rPr>
          <w:sz w:val="22"/>
          <w:szCs w:val="22"/>
        </w:rPr>
        <w:t xml:space="preserve">, J., &amp; Ngugi, A. (2021). Community health </w:t>
      </w:r>
      <w:proofErr w:type="gramStart"/>
      <w:r>
        <w:rPr>
          <w:sz w:val="22"/>
          <w:szCs w:val="22"/>
        </w:rPr>
        <w:t>volunteers</w:t>
      </w:r>
      <w:proofErr w:type="gramEnd"/>
      <w:r>
        <w:rPr>
          <w:sz w:val="22"/>
          <w:szCs w:val="22"/>
        </w:rPr>
        <w:t xml:space="preserve"> challenges and preferred income generating activities for sustainability: A qualitative case study of rural Kilifi, Kenya. BMC Health Services Research, 21(1), Article 642. https://doi.org/10.1186/s12913-021-06693-w</w:t>
      </w:r>
    </w:p>
    <w:p w14:paraId="5898856E" w14:textId="77777777" w:rsidR="008721B8" w:rsidRDefault="008B314A">
      <w:pPr>
        <w:spacing w:after="120" w:line="360" w:lineRule="auto"/>
        <w:ind w:left="720" w:hanging="720"/>
      </w:pPr>
      <w:r>
        <w:rPr>
          <w:sz w:val="22"/>
          <w:szCs w:val="22"/>
        </w:rPr>
        <w:t>Mohan, G. (2002). The disappointments of civil society: The politics of NGO intervention in northern Ghana. Political Geography, 21(1), 125–154. https://doi.org/10.1016/S0962-6298(01)00072-5</w:t>
      </w:r>
    </w:p>
    <w:p w14:paraId="6E43AC31" w14:textId="77777777" w:rsidR="008721B8" w:rsidRDefault="008B314A">
      <w:pPr>
        <w:spacing w:after="120" w:line="360" w:lineRule="auto"/>
        <w:ind w:left="720" w:hanging="720"/>
      </w:pPr>
      <w:r>
        <w:rPr>
          <w:sz w:val="22"/>
          <w:szCs w:val="22"/>
        </w:rPr>
        <w:t>Mulder, F. (2023). The paradox of externally driven localisation: A case study on how local actors manage the contradictory legitimacy requirements of top-down bottom-up aid. Journal of International Humanitarian Action, 8(1), Article 7. https://doi.org/10.1186/s41018-023-00139-0</w:t>
      </w:r>
    </w:p>
    <w:p w14:paraId="3531CED6" w14:textId="77777777" w:rsidR="008721B8" w:rsidRDefault="008B314A">
      <w:pPr>
        <w:spacing w:after="120" w:line="360" w:lineRule="auto"/>
        <w:ind w:left="720" w:hanging="720"/>
      </w:pPr>
      <w:r>
        <w:rPr>
          <w:sz w:val="22"/>
          <w:szCs w:val="22"/>
        </w:rPr>
        <w:t xml:space="preserve">Muluh, G. N., </w:t>
      </w:r>
      <w:proofErr w:type="spellStart"/>
      <w:r>
        <w:rPr>
          <w:sz w:val="22"/>
          <w:szCs w:val="22"/>
        </w:rPr>
        <w:t>Kimengsi</w:t>
      </w:r>
      <w:proofErr w:type="spellEnd"/>
      <w:r>
        <w:rPr>
          <w:sz w:val="22"/>
          <w:szCs w:val="22"/>
        </w:rPr>
        <w:t>, J. N., &amp; Azibo, N. K. (2019). Challenges and prospects of sustaining donor-funded projects in rural Cameroon. Sustainability, 11(24), Article 6990. https://doi.org/10.3390/su11246990</w:t>
      </w:r>
    </w:p>
    <w:p w14:paraId="52D8A51C" w14:textId="77777777" w:rsidR="008721B8" w:rsidRDefault="008B314A">
      <w:pPr>
        <w:spacing w:after="120" w:line="360" w:lineRule="auto"/>
        <w:ind w:left="720" w:hanging="720"/>
      </w:pPr>
      <w:r>
        <w:rPr>
          <w:sz w:val="22"/>
          <w:szCs w:val="22"/>
        </w:rPr>
        <w:t xml:space="preserve">Müller, R., </w:t>
      </w:r>
      <w:proofErr w:type="spellStart"/>
      <w:r>
        <w:rPr>
          <w:sz w:val="22"/>
          <w:szCs w:val="22"/>
        </w:rPr>
        <w:t>Pemsel</w:t>
      </w:r>
      <w:proofErr w:type="spellEnd"/>
      <w:r>
        <w:rPr>
          <w:sz w:val="22"/>
          <w:szCs w:val="22"/>
        </w:rPr>
        <w:t>, S., &amp; Shao, J. (2014). Organizational enablers for governance and governmentality of projects: A literature review. International Journal of Project Management, 32(8), 1309–1320. https://doi.org/10.1016/j.ijproman.2014.03.007</w:t>
      </w:r>
    </w:p>
    <w:p w14:paraId="5C42F3F1" w14:textId="77777777" w:rsidR="008721B8" w:rsidRDefault="008B314A">
      <w:pPr>
        <w:spacing w:after="120" w:line="360" w:lineRule="auto"/>
        <w:ind w:left="720" w:hanging="720"/>
      </w:pPr>
      <w:r>
        <w:rPr>
          <w:sz w:val="22"/>
          <w:szCs w:val="22"/>
        </w:rPr>
        <w:lastRenderedPageBreak/>
        <w:t>Müller, R., Zhai, L., &amp; Wang, A. (2017). Governance and governmentality in projects: Profiles and relationships with success. International Journal of Project Management, 35(3), 378–392. https://doi.org/10.1016/j.ijproman.2017.01.007</w:t>
      </w:r>
    </w:p>
    <w:p w14:paraId="0F955D6A" w14:textId="77777777" w:rsidR="008721B8" w:rsidRDefault="008B314A">
      <w:pPr>
        <w:spacing w:after="120" w:line="360" w:lineRule="auto"/>
        <w:ind w:left="720" w:hanging="720"/>
      </w:pPr>
      <w:r>
        <w:rPr>
          <w:sz w:val="22"/>
          <w:szCs w:val="22"/>
        </w:rPr>
        <w:t xml:space="preserve">Müller, R., Zhai, L., Wang, A., &amp; Shao, J. (2016). A framework for governance of projects: Governmentality, governance structure and </w:t>
      </w:r>
      <w:proofErr w:type="spellStart"/>
      <w:r>
        <w:rPr>
          <w:sz w:val="22"/>
          <w:szCs w:val="22"/>
        </w:rPr>
        <w:t>projectification</w:t>
      </w:r>
      <w:proofErr w:type="spellEnd"/>
      <w:r>
        <w:rPr>
          <w:sz w:val="22"/>
          <w:szCs w:val="22"/>
        </w:rPr>
        <w:t>. International Journal of Project Management, 34(6), 957–969. https://doi.org/10.1016/j.ijproman.2016.05.002</w:t>
      </w:r>
    </w:p>
    <w:p w14:paraId="702D5E75" w14:textId="77777777" w:rsidR="008721B8" w:rsidRDefault="008B314A">
      <w:pPr>
        <w:spacing w:after="120" w:line="360" w:lineRule="auto"/>
        <w:ind w:left="720" w:hanging="720"/>
      </w:pPr>
      <w:r>
        <w:rPr>
          <w:sz w:val="22"/>
          <w:szCs w:val="22"/>
        </w:rPr>
        <w:t xml:space="preserve">Ogbuoji, O., Bharali, I., </w:t>
      </w:r>
      <w:proofErr w:type="spellStart"/>
      <w:r>
        <w:rPr>
          <w:sz w:val="22"/>
          <w:szCs w:val="22"/>
        </w:rPr>
        <w:t>Nonvignon</w:t>
      </w:r>
      <w:proofErr w:type="spellEnd"/>
      <w:r>
        <w:rPr>
          <w:sz w:val="22"/>
          <w:szCs w:val="22"/>
        </w:rPr>
        <w:t xml:space="preserve">, J., &amp; </w:t>
      </w:r>
      <w:proofErr w:type="spellStart"/>
      <w:r>
        <w:rPr>
          <w:sz w:val="22"/>
          <w:szCs w:val="22"/>
        </w:rPr>
        <w:t>Yamey</w:t>
      </w:r>
      <w:proofErr w:type="spellEnd"/>
      <w:r>
        <w:rPr>
          <w:sz w:val="22"/>
          <w:szCs w:val="22"/>
        </w:rPr>
        <w:t>, G. (2025). How can middle-income countries successfully transition away from international health aid? PLOS Medicine, 22(11), Article e1004794. https://doi.org/10.1371/journal.pmed.1004794</w:t>
      </w:r>
    </w:p>
    <w:p w14:paraId="178D9C20" w14:textId="77777777" w:rsidR="008721B8" w:rsidRDefault="008B314A">
      <w:pPr>
        <w:spacing w:after="120" w:line="360" w:lineRule="auto"/>
        <w:ind w:left="720" w:hanging="720"/>
      </w:pPr>
      <w:r>
        <w:rPr>
          <w:sz w:val="22"/>
          <w:szCs w:val="22"/>
        </w:rPr>
        <w:t>Okungu, V. R., &amp; McIntyre, D. (2019). Does the informal sector in Kenya have financial potential to sustainably prepay for health care? Implications for financing universal health coverage in low-income settings. Health Systems &amp; Reform, 5(2), 145–157. https://doi.org/10.1080/23288604.2019.1583492</w:t>
      </w:r>
    </w:p>
    <w:p w14:paraId="2EAB4793" w14:textId="77777777" w:rsidR="008721B8" w:rsidRDefault="008B314A">
      <w:pPr>
        <w:spacing w:after="120" w:line="360" w:lineRule="auto"/>
        <w:ind w:left="720" w:hanging="720"/>
      </w:pPr>
      <w:r>
        <w:rPr>
          <w:sz w:val="22"/>
          <w:szCs w:val="22"/>
        </w:rPr>
        <w:t xml:space="preserve">Palen, J., El-Sadr, W., </w:t>
      </w:r>
      <w:proofErr w:type="spellStart"/>
      <w:r>
        <w:rPr>
          <w:sz w:val="22"/>
          <w:szCs w:val="22"/>
        </w:rPr>
        <w:t>Phoya</w:t>
      </w:r>
      <w:proofErr w:type="spellEnd"/>
      <w:r>
        <w:rPr>
          <w:sz w:val="22"/>
          <w:szCs w:val="22"/>
        </w:rPr>
        <w:t xml:space="preserve">, A., Imtiaz, R., </w:t>
      </w:r>
      <w:proofErr w:type="spellStart"/>
      <w:r>
        <w:rPr>
          <w:sz w:val="22"/>
          <w:szCs w:val="22"/>
        </w:rPr>
        <w:t>Einterz</w:t>
      </w:r>
      <w:proofErr w:type="spellEnd"/>
      <w:r>
        <w:rPr>
          <w:sz w:val="22"/>
          <w:szCs w:val="22"/>
        </w:rPr>
        <w:t>, R., Quain, E., Blandford, J., Bouey, P., &amp; Lion, A. (2012). PEPFAR, health system strengthening, and promoting sustainability and country ownership. JAIDS Journal of Acquired Immune Deficiency Syndromes, 60(Suppl. 3), S113–S119. https://doi.org/10.1097/QAI.0b013e31825d28d7</w:t>
      </w:r>
    </w:p>
    <w:p w14:paraId="7BE5A4F8" w14:textId="77777777" w:rsidR="008721B8" w:rsidRDefault="008B314A">
      <w:pPr>
        <w:spacing w:after="120" w:line="360" w:lineRule="auto"/>
        <w:ind w:left="720" w:hanging="720"/>
      </w:pPr>
      <w:r>
        <w:rPr>
          <w:sz w:val="22"/>
          <w:szCs w:val="22"/>
        </w:rPr>
        <w:t>Pilbeam, C. (2013). Coordinating temporary organizations in international development through social and temporal embeddedness. International Journal of Project Management, 31(2), 190–199. https://doi.org/10.1016/j.ijproman.2012.06.004</w:t>
      </w:r>
    </w:p>
    <w:p w14:paraId="33F6C4BE" w14:textId="77777777" w:rsidR="008721B8" w:rsidRDefault="008B314A">
      <w:pPr>
        <w:spacing w:after="120" w:line="360" w:lineRule="auto"/>
        <w:ind w:left="720" w:hanging="720"/>
      </w:pPr>
      <w:r>
        <w:rPr>
          <w:sz w:val="22"/>
          <w:szCs w:val="22"/>
        </w:rPr>
        <w:t xml:space="preserve">Reid, M. J. A., Bunnell, R., </w:t>
      </w:r>
      <w:proofErr w:type="spellStart"/>
      <w:r>
        <w:rPr>
          <w:sz w:val="22"/>
          <w:szCs w:val="22"/>
        </w:rPr>
        <w:t>Dokubo</w:t>
      </w:r>
      <w:proofErr w:type="spellEnd"/>
      <w:r>
        <w:rPr>
          <w:sz w:val="22"/>
          <w:szCs w:val="22"/>
        </w:rPr>
        <w:t xml:space="preserve">, E. K., &amp; </w:t>
      </w:r>
      <w:proofErr w:type="spellStart"/>
      <w:r>
        <w:rPr>
          <w:sz w:val="22"/>
          <w:szCs w:val="22"/>
        </w:rPr>
        <w:t>Nkengasong</w:t>
      </w:r>
      <w:proofErr w:type="spellEnd"/>
      <w:r>
        <w:rPr>
          <w:sz w:val="22"/>
          <w:szCs w:val="22"/>
        </w:rPr>
        <w:t>, J. (2024). Programme science in PEPFAR: A pathway to a sustainable HIV response. Journal of the International AIDS Society, 27(S2), Article e26244. https://doi.org/10.1002/jia2.26244</w:t>
      </w:r>
    </w:p>
    <w:p w14:paraId="1CE6703D" w14:textId="77777777" w:rsidR="008721B8" w:rsidRDefault="008B314A">
      <w:pPr>
        <w:spacing w:after="120" w:line="360" w:lineRule="auto"/>
        <w:ind w:left="720" w:hanging="720"/>
      </w:pPr>
      <w:proofErr w:type="spellStart"/>
      <w:r>
        <w:rPr>
          <w:sz w:val="22"/>
          <w:szCs w:val="22"/>
        </w:rPr>
        <w:t>Samset</w:t>
      </w:r>
      <w:proofErr w:type="spellEnd"/>
      <w:r>
        <w:rPr>
          <w:sz w:val="22"/>
          <w:szCs w:val="22"/>
        </w:rPr>
        <w:t>, K., &amp; Volden, G. H. (2016). Front-end definition of projects: Ten paradoxes and some reflections regarding project management and project governance. International Journal of Project Management, 34(2), 297–313. https://doi.org/10.1016/j.ijproman.2015.01.014</w:t>
      </w:r>
    </w:p>
    <w:p w14:paraId="4F6C8503" w14:textId="77777777" w:rsidR="008721B8" w:rsidRDefault="008B314A">
      <w:pPr>
        <w:spacing w:after="120" w:line="360" w:lineRule="auto"/>
        <w:ind w:left="720" w:hanging="720"/>
      </w:pPr>
      <w:r>
        <w:rPr>
          <w:sz w:val="22"/>
          <w:szCs w:val="22"/>
        </w:rPr>
        <w:t>Scheirer, M. A. (2013). Linking sustainability research to intervention types. American Journal of Public Health, 103(4), e73–e80. https://doi.org/10.2105/AJPH.2012.300976</w:t>
      </w:r>
    </w:p>
    <w:p w14:paraId="1137AE6B" w14:textId="77777777" w:rsidR="008721B8" w:rsidRDefault="008B314A">
      <w:pPr>
        <w:spacing w:after="120" w:line="360" w:lineRule="auto"/>
        <w:ind w:left="720" w:hanging="720"/>
      </w:pPr>
      <w:r>
        <w:rPr>
          <w:sz w:val="22"/>
          <w:szCs w:val="22"/>
        </w:rPr>
        <w:t>Scheirer, M. A., &amp; Dearing, J. W. (2011). An agenda for research on the sustainability of public health programs. American Journal of Public Health, 101(11), 2059–2067. https://doi.org/10.2105/AJPH.2011.300193</w:t>
      </w:r>
    </w:p>
    <w:p w14:paraId="202AE8AF" w14:textId="77777777" w:rsidR="008721B8" w:rsidRDefault="008B314A">
      <w:pPr>
        <w:spacing w:after="120" w:line="360" w:lineRule="auto"/>
        <w:ind w:left="720" w:hanging="720"/>
      </w:pPr>
      <w:proofErr w:type="spellStart"/>
      <w:r>
        <w:rPr>
          <w:sz w:val="22"/>
          <w:szCs w:val="22"/>
        </w:rPr>
        <w:lastRenderedPageBreak/>
        <w:t>Schulpen</w:t>
      </w:r>
      <w:proofErr w:type="spellEnd"/>
      <w:r>
        <w:rPr>
          <w:sz w:val="22"/>
          <w:szCs w:val="22"/>
        </w:rPr>
        <w:t xml:space="preserve">, L., Loman, B., &amp; </w:t>
      </w:r>
      <w:proofErr w:type="spellStart"/>
      <w:r>
        <w:rPr>
          <w:sz w:val="22"/>
          <w:szCs w:val="22"/>
        </w:rPr>
        <w:t>Kinsbergen</w:t>
      </w:r>
      <w:proofErr w:type="spellEnd"/>
      <w:r>
        <w:rPr>
          <w:sz w:val="22"/>
          <w:szCs w:val="22"/>
        </w:rPr>
        <w:t>, S. (2011). Worse than expected? A comparative analysis of donor proliferation and aid fragmentation. Public Administration and Development, 31(5), 321–339. https://doi.org/10.1002/pad.619</w:t>
      </w:r>
    </w:p>
    <w:p w14:paraId="292D42B0" w14:textId="77777777" w:rsidR="008721B8" w:rsidRDefault="008B314A">
      <w:pPr>
        <w:spacing w:after="120" w:line="360" w:lineRule="auto"/>
        <w:ind w:left="720" w:hanging="720"/>
      </w:pPr>
      <w:r>
        <w:rPr>
          <w:sz w:val="22"/>
          <w:szCs w:val="22"/>
        </w:rPr>
        <w:t>Shediac-Rizkallah, M. C., &amp; Bone, L. R. (1998). Planning for the sustainability of community-based health programs: Conceptual frameworks and future directions for research, practice and policy. Health Education Research, 13(1), 87–108. https://doi.org/10.1093/her/13.1.87</w:t>
      </w:r>
    </w:p>
    <w:p w14:paraId="48642DDB" w14:textId="77777777" w:rsidR="008721B8" w:rsidRDefault="008B314A">
      <w:pPr>
        <w:spacing w:after="120" w:line="360" w:lineRule="auto"/>
        <w:ind w:left="720" w:hanging="720"/>
      </w:pPr>
      <w:r>
        <w:rPr>
          <w:sz w:val="22"/>
          <w:szCs w:val="22"/>
        </w:rPr>
        <w:t>Shen, A. K., Weiss, J. M., Andrus, J. K., Pecenka, C., Atherly, D., Taylor, K., &amp; McQuestion, M. (2016). Country ownership and Gavi transition: Comprehensive approaches to supporting new vaccine introduction. Health Affairs, 35(2), 272–276. https://doi.org/10.1377/hlthaff.2015.1418</w:t>
      </w:r>
    </w:p>
    <w:p w14:paraId="4640152E" w14:textId="77777777" w:rsidR="008721B8" w:rsidRDefault="008B314A">
      <w:pPr>
        <w:spacing w:after="120" w:line="360" w:lineRule="auto"/>
        <w:ind w:left="720" w:hanging="720"/>
      </w:pPr>
      <w:r>
        <w:rPr>
          <w:sz w:val="22"/>
          <w:szCs w:val="22"/>
        </w:rPr>
        <w:t>Sukhera, J. (2022). Narrative reviews: Flexible, rigorous, and practical. Journal of Graduate Medical Education, 14(4), 414–417. https://doi.org/10.4300/JGME-D-22-00480.1</w:t>
      </w:r>
    </w:p>
    <w:p w14:paraId="237971C2" w14:textId="77777777" w:rsidR="008721B8" w:rsidRDefault="008B314A">
      <w:pPr>
        <w:spacing w:after="120" w:line="360" w:lineRule="auto"/>
        <w:ind w:left="720" w:hanging="720"/>
      </w:pPr>
      <w:proofErr w:type="spellStart"/>
      <w:r>
        <w:rPr>
          <w:sz w:val="22"/>
          <w:szCs w:val="22"/>
        </w:rPr>
        <w:t>Unterhitzenberger</w:t>
      </w:r>
      <w:proofErr w:type="spellEnd"/>
      <w:r>
        <w:rPr>
          <w:sz w:val="22"/>
          <w:szCs w:val="22"/>
        </w:rPr>
        <w:t>, C., &amp; Moeller, D. (2021). Fair project governance: An organisational justice approach to project governance. International Journal of Project Management, 39(6), 683–696. https://doi.org/10.1016/j.ijproman.2021.06.003</w:t>
      </w:r>
    </w:p>
    <w:p w14:paraId="050DF679" w14:textId="77777777" w:rsidR="008721B8" w:rsidRDefault="008B314A">
      <w:pPr>
        <w:spacing w:after="120" w:line="360" w:lineRule="auto"/>
        <w:ind w:left="720" w:hanging="720"/>
      </w:pPr>
      <w:r>
        <w:rPr>
          <w:sz w:val="22"/>
          <w:szCs w:val="22"/>
        </w:rPr>
        <w:t>Vogus, A., &amp; Graff, K. (2015). PEPFAR transitions to country ownership: Review of past donor transitions and application of lessons learned to the Eastern Caribbean. Global Health: Science and Practice, 3(2), 274–286. https://doi.org/10.9745/GHSP-D-14-00227</w:t>
      </w:r>
    </w:p>
    <w:p w14:paraId="03B52F04" w14:textId="77777777" w:rsidR="008721B8" w:rsidRDefault="008B314A">
      <w:pPr>
        <w:spacing w:after="120" w:line="360" w:lineRule="auto"/>
        <w:ind w:left="720" w:hanging="720"/>
      </w:pPr>
      <w:r>
        <w:rPr>
          <w:sz w:val="22"/>
          <w:szCs w:val="22"/>
        </w:rPr>
        <w:t>Waithaka, D., Cashin, C., &amp; Barasa, E. (2022). Is performance-based financing a pathway to strategic purchasing in sub-Saharan Africa? A synthesis of the evidence. Health Systems &amp; Reform, 8(2), Article e2068231. https://doi.org/10.1080/23288604.2022.2068231</w:t>
      </w:r>
    </w:p>
    <w:p w14:paraId="58D962A0" w14:textId="77777777" w:rsidR="008721B8" w:rsidRDefault="008B314A">
      <w:pPr>
        <w:spacing w:after="120" w:line="360" w:lineRule="auto"/>
        <w:ind w:left="720" w:hanging="720"/>
      </w:pPr>
      <w:r>
        <w:rPr>
          <w:sz w:val="22"/>
          <w:szCs w:val="22"/>
        </w:rPr>
        <w:t>Whaley, L., &amp; Cleaver, F. (2017). Can "functionality" save the community management model of rural water supply? Water Resources and Rural Development, 9, 56–66. https://doi.org/10.1016/j.wrr.2017.04.001</w:t>
      </w:r>
    </w:p>
    <w:p w14:paraId="26A97A7B" w14:textId="77777777" w:rsidR="008721B8" w:rsidRDefault="008B314A">
      <w:pPr>
        <w:spacing w:after="120" w:line="360" w:lineRule="auto"/>
        <w:ind w:left="720" w:hanging="720"/>
      </w:pPr>
      <w:r>
        <w:rPr>
          <w:sz w:val="22"/>
          <w:szCs w:val="22"/>
        </w:rPr>
        <w:t>Witter, S., Bertone, M. P., Diaconu, K., &amp; Bornemisza, O. (2021). Performance-based financing versus "unconditional" direct facility financing—False dichotomy? Health Systems &amp; Reform, 7(1), Article e2006121. https://doi.org/10.1080/23288604.2021.2006121</w:t>
      </w:r>
    </w:p>
    <w:sectPr w:rsidR="008721B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45395" w14:textId="77777777" w:rsidR="0048611A" w:rsidRDefault="0048611A" w:rsidP="0083086C">
      <w:r>
        <w:separator/>
      </w:r>
    </w:p>
  </w:endnote>
  <w:endnote w:type="continuationSeparator" w:id="0">
    <w:p w14:paraId="70F2A81D" w14:textId="77777777" w:rsidR="0048611A" w:rsidRDefault="0048611A" w:rsidP="0083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5E2E" w14:textId="77777777" w:rsidR="0083086C" w:rsidRDefault="00830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DE4E6" w14:textId="77777777" w:rsidR="0083086C" w:rsidRDefault="008308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753F" w14:textId="77777777" w:rsidR="0083086C" w:rsidRDefault="00830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CB07F" w14:textId="77777777" w:rsidR="0048611A" w:rsidRDefault="0048611A" w:rsidP="0083086C">
      <w:r>
        <w:separator/>
      </w:r>
    </w:p>
  </w:footnote>
  <w:footnote w:type="continuationSeparator" w:id="0">
    <w:p w14:paraId="01D56140" w14:textId="77777777" w:rsidR="0048611A" w:rsidRDefault="0048611A" w:rsidP="0083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12500" w14:textId="56F981C4" w:rsidR="0083086C" w:rsidRDefault="0083086C">
    <w:pPr>
      <w:pStyle w:val="Header"/>
    </w:pPr>
    <w:r>
      <w:rPr>
        <w:noProof/>
      </w:rPr>
      <w:pict w14:anchorId="4196F3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208610"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494D" w14:textId="6C99AD48" w:rsidR="0083086C" w:rsidRDefault="0083086C">
    <w:pPr>
      <w:pStyle w:val="Header"/>
    </w:pPr>
    <w:r>
      <w:rPr>
        <w:noProof/>
      </w:rPr>
      <w:pict w14:anchorId="76B72F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208611"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2B50" w14:textId="0729273B" w:rsidR="0083086C" w:rsidRDefault="0083086C">
    <w:pPr>
      <w:pStyle w:val="Header"/>
    </w:pPr>
    <w:r>
      <w:rPr>
        <w:noProof/>
      </w:rPr>
      <w:pict w14:anchorId="33FCDF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208609"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E507E"/>
    <w:multiLevelType w:val="hybridMultilevel"/>
    <w:tmpl w:val="431ACDEE"/>
    <w:lvl w:ilvl="0" w:tplc="9BB883E8">
      <w:start w:val="1"/>
      <w:numFmt w:val="bullet"/>
      <w:lvlText w:val="●"/>
      <w:lvlJc w:val="left"/>
      <w:pPr>
        <w:ind w:left="720" w:hanging="360"/>
      </w:pPr>
    </w:lvl>
    <w:lvl w:ilvl="1" w:tplc="F77875CA">
      <w:start w:val="1"/>
      <w:numFmt w:val="bullet"/>
      <w:lvlText w:val="○"/>
      <w:lvlJc w:val="left"/>
      <w:pPr>
        <w:ind w:left="1440" w:hanging="360"/>
      </w:pPr>
    </w:lvl>
    <w:lvl w:ilvl="2" w:tplc="28720230">
      <w:start w:val="1"/>
      <w:numFmt w:val="bullet"/>
      <w:lvlText w:val="■"/>
      <w:lvlJc w:val="left"/>
      <w:pPr>
        <w:ind w:left="2160" w:hanging="360"/>
      </w:pPr>
    </w:lvl>
    <w:lvl w:ilvl="3" w:tplc="526C9276">
      <w:start w:val="1"/>
      <w:numFmt w:val="bullet"/>
      <w:lvlText w:val="●"/>
      <w:lvlJc w:val="left"/>
      <w:pPr>
        <w:ind w:left="2880" w:hanging="360"/>
      </w:pPr>
    </w:lvl>
    <w:lvl w:ilvl="4" w:tplc="2EAA862E">
      <w:start w:val="1"/>
      <w:numFmt w:val="bullet"/>
      <w:lvlText w:val="○"/>
      <w:lvlJc w:val="left"/>
      <w:pPr>
        <w:ind w:left="3600" w:hanging="360"/>
      </w:pPr>
    </w:lvl>
    <w:lvl w:ilvl="5" w:tplc="0E8438AA">
      <w:start w:val="1"/>
      <w:numFmt w:val="bullet"/>
      <w:lvlText w:val="■"/>
      <w:lvlJc w:val="left"/>
      <w:pPr>
        <w:ind w:left="4320" w:hanging="360"/>
      </w:pPr>
    </w:lvl>
    <w:lvl w:ilvl="6" w:tplc="2B14F576">
      <w:start w:val="1"/>
      <w:numFmt w:val="bullet"/>
      <w:lvlText w:val="●"/>
      <w:lvlJc w:val="left"/>
      <w:pPr>
        <w:ind w:left="5040" w:hanging="360"/>
      </w:pPr>
    </w:lvl>
    <w:lvl w:ilvl="7" w:tplc="7278C2E6">
      <w:start w:val="1"/>
      <w:numFmt w:val="bullet"/>
      <w:lvlText w:val="●"/>
      <w:lvlJc w:val="left"/>
      <w:pPr>
        <w:ind w:left="5760" w:hanging="360"/>
      </w:pPr>
    </w:lvl>
    <w:lvl w:ilvl="8" w:tplc="6F1C04FE">
      <w:start w:val="1"/>
      <w:numFmt w:val="bullet"/>
      <w:lvlText w:val="●"/>
      <w:lvlJc w:val="left"/>
      <w:pPr>
        <w:ind w:left="6480" w:hanging="360"/>
      </w:pPr>
    </w:lvl>
  </w:abstractNum>
  <w:num w:numId="1" w16cid:durableId="14410298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1B8"/>
    <w:rsid w:val="001B28F2"/>
    <w:rsid w:val="0048611A"/>
    <w:rsid w:val="005C5558"/>
    <w:rsid w:val="0075250C"/>
    <w:rsid w:val="0083086C"/>
    <w:rsid w:val="008721B8"/>
    <w:rsid w:val="008B314A"/>
    <w:rsid w:val="00DA4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1F4FA"/>
  <w15:docId w15:val="{A7F8F24C-F7E9-4B41-B470-0E00F304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3086C"/>
    <w:pPr>
      <w:tabs>
        <w:tab w:val="center" w:pos="4513"/>
        <w:tab w:val="right" w:pos="9026"/>
      </w:tabs>
    </w:pPr>
  </w:style>
  <w:style w:type="character" w:customStyle="1" w:styleId="HeaderChar">
    <w:name w:val="Header Char"/>
    <w:basedOn w:val="DefaultParagraphFont"/>
    <w:link w:val="Header"/>
    <w:uiPriority w:val="99"/>
    <w:rsid w:val="0083086C"/>
  </w:style>
  <w:style w:type="paragraph" w:styleId="Footer">
    <w:name w:val="footer"/>
    <w:basedOn w:val="Normal"/>
    <w:link w:val="FooterChar"/>
    <w:uiPriority w:val="99"/>
    <w:unhideWhenUsed/>
    <w:rsid w:val="0083086C"/>
    <w:pPr>
      <w:tabs>
        <w:tab w:val="center" w:pos="4513"/>
        <w:tab w:val="right" w:pos="9026"/>
      </w:tabs>
    </w:pPr>
  </w:style>
  <w:style w:type="character" w:customStyle="1" w:styleId="FooterChar">
    <w:name w:val="Footer Char"/>
    <w:basedOn w:val="DefaultParagraphFont"/>
    <w:link w:val="Footer"/>
    <w:uiPriority w:val="99"/>
    <w:rsid w:val="00830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36</Pages>
  <Words>16662</Words>
  <Characters>94974</Characters>
  <Application>Microsoft Office Word</Application>
  <DocSecurity>0</DocSecurity>
  <Lines>791</Lines>
  <Paragraphs>222</Paragraphs>
  <ScaleCrop>false</ScaleCrop>
  <Company>HP</Company>
  <LinksUpToDate>false</LinksUpToDate>
  <CharactersWithSpaces>111414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5</cp:revision>
  <dcterms:created xsi:type="dcterms:W3CDTF">2026-08-08T16:44:00Z</dcterms:created>
  <dcterms:modified xsi:type="dcterms:W3CDTF">2026-08-10T12:40:00Z</dcterms:modified>
</cp:coreProperties>
</file>