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75FB9" w14:textId="77777777" w:rsidR="00754C9A" w:rsidRDefault="00754C9A" w:rsidP="00441B6F">
      <w:pPr>
        <w:pStyle w:val="Title"/>
        <w:spacing w:after="0"/>
        <w:jc w:val="both"/>
        <w:rPr>
          <w:rFonts w:ascii="Arial" w:hAnsi="Arial" w:cs="Arial"/>
        </w:rPr>
      </w:pPr>
    </w:p>
    <w:p w14:paraId="5600427A" w14:textId="1B2D5B6F" w:rsidR="00163BC4" w:rsidRPr="00163BC4" w:rsidRDefault="005F0184" w:rsidP="00441B6F">
      <w:pPr>
        <w:pStyle w:val="Author"/>
        <w:spacing w:line="240" w:lineRule="auto"/>
        <w:rPr>
          <w:rFonts w:ascii="Arial" w:hAnsi="Arial" w:cs="Arial"/>
          <w:bCs/>
          <w:iCs/>
          <w:kern w:val="28"/>
          <w:sz w:val="36"/>
        </w:rPr>
      </w:pPr>
      <w:r w:rsidRPr="005F0184">
        <w:rPr>
          <w:rFonts w:ascii="Arial" w:hAnsi="Arial" w:cs="Arial"/>
          <w:bCs/>
          <w:iCs/>
          <w:kern w:val="28"/>
          <w:sz w:val="36"/>
        </w:rPr>
        <w:t xml:space="preserve">CORPORATE RESTRUCTURING AND THE FINANCIAL POSITION OF QUOTED DEPOSIT MONEY BANKS IN NIGERIA </w:t>
      </w:r>
    </w:p>
    <w:p w14:paraId="63032F57" w14:textId="77777777" w:rsidR="00A258C3" w:rsidRPr="00790ADA" w:rsidRDefault="00A258C3" w:rsidP="00441B6F">
      <w:pPr>
        <w:pStyle w:val="Author"/>
        <w:spacing w:line="240" w:lineRule="auto"/>
        <w:jc w:val="both"/>
        <w:rPr>
          <w:rFonts w:ascii="Arial" w:hAnsi="Arial" w:cs="Arial"/>
          <w:sz w:val="36"/>
        </w:rPr>
      </w:pPr>
    </w:p>
    <w:p w14:paraId="690BBCD6" w14:textId="1EBCB743" w:rsidR="001B41CC" w:rsidRDefault="001B41CC" w:rsidP="00441B6F">
      <w:pPr>
        <w:pStyle w:val="Affiliation"/>
        <w:spacing w:after="0" w:line="240" w:lineRule="auto"/>
        <w:rPr>
          <w:rFonts w:ascii="Arial" w:hAnsi="Arial" w:cs="Arial"/>
          <w:i/>
        </w:rPr>
      </w:pPr>
    </w:p>
    <w:p w14:paraId="400F3FCA" w14:textId="77777777" w:rsidR="00790ADA" w:rsidRDefault="00790ADA" w:rsidP="00441B6F">
      <w:pPr>
        <w:pStyle w:val="Affiliation"/>
        <w:spacing w:after="0" w:line="240" w:lineRule="auto"/>
        <w:jc w:val="both"/>
        <w:rPr>
          <w:rFonts w:ascii="Arial" w:hAnsi="Arial" w:cs="Arial"/>
        </w:rPr>
      </w:pPr>
    </w:p>
    <w:p w14:paraId="240F1016" w14:textId="77777777" w:rsidR="002C57D2" w:rsidRPr="00FB3A86" w:rsidRDefault="002C57D2" w:rsidP="00441B6F">
      <w:pPr>
        <w:pStyle w:val="Affiliation"/>
        <w:spacing w:after="0" w:line="240" w:lineRule="auto"/>
        <w:jc w:val="both"/>
        <w:rPr>
          <w:rFonts w:ascii="Arial" w:hAnsi="Arial" w:cs="Arial"/>
        </w:rPr>
      </w:pPr>
    </w:p>
    <w:p w14:paraId="70E8DE73" w14:textId="77777777" w:rsidR="00B01FCD" w:rsidRPr="00FB3A86" w:rsidRDefault="00000000" w:rsidP="00441B6F">
      <w:pPr>
        <w:pStyle w:val="Copyright"/>
        <w:spacing w:after="0" w:line="240" w:lineRule="auto"/>
        <w:jc w:val="both"/>
        <w:rPr>
          <w:rFonts w:ascii="Arial" w:hAnsi="Arial" w:cs="Arial"/>
        </w:rPr>
        <w:sectPr w:rsidR="00B01FCD" w:rsidRPr="00FB3A86" w:rsidSect="007145E5">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267D5FD1">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30AAE667" w14:textId="07DC48FB" w:rsidR="00B01FCD" w:rsidRDefault="00B01FCD" w:rsidP="00441B6F">
      <w:pPr>
        <w:pStyle w:val="AbstHead"/>
        <w:spacing w:after="0"/>
        <w:jc w:val="both"/>
        <w:rPr>
          <w:rFonts w:ascii="Arial" w:hAnsi="Arial" w:cs="Arial"/>
        </w:rPr>
      </w:pPr>
      <w:r w:rsidRPr="00FB3A86">
        <w:rPr>
          <w:rFonts w:ascii="Arial" w:hAnsi="Arial" w:cs="Arial"/>
        </w:rPr>
        <w:t>ABSTRACT</w:t>
      </w:r>
    </w:p>
    <w:p w14:paraId="2755C460"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232B6E7C" w14:textId="77777777" w:rsidTr="001E44FE">
        <w:tc>
          <w:tcPr>
            <w:tcW w:w="9576" w:type="dxa"/>
            <w:shd w:val="clear" w:color="auto" w:fill="F2F2F2"/>
          </w:tcPr>
          <w:p w14:paraId="587888F8" w14:textId="5AF713AC" w:rsidR="00505F06" w:rsidRPr="00BA1B01" w:rsidRDefault="00D60ADC" w:rsidP="00441B6F">
            <w:pPr>
              <w:pStyle w:val="Body"/>
              <w:spacing w:after="0"/>
              <w:rPr>
                <w:rFonts w:ascii="Arial" w:eastAsia="Calibri" w:hAnsi="Arial" w:cs="Arial"/>
                <w:szCs w:val="22"/>
              </w:rPr>
            </w:pPr>
            <w:r w:rsidRPr="00D60ADC">
              <w:rPr>
                <w:rFonts w:ascii="Arial" w:eastAsia="Calibri" w:hAnsi="Arial" w:cs="Arial"/>
                <w:szCs w:val="22"/>
              </w:rPr>
              <w:t xml:space="preserve">The research paper examined the effect of corporate restructuring on the financial position of quoted Deposit Money Banks in Nigeria. The objective of the study was to evaluate the effect of financial restructuring, assets restructuring, operational restructuring and capital restructuring on the financial position of quoted Deposit Money Banks in Nigeria. The study adopted the Ex post facto research design and covered the twenty-one banks quoted on the floor of the Nigerian Exchange Group </w:t>
            </w:r>
            <w:proofErr w:type="gramStart"/>
            <w:r w:rsidRPr="00D60ADC">
              <w:rPr>
                <w:rFonts w:ascii="Arial" w:eastAsia="Calibri" w:hAnsi="Arial" w:cs="Arial"/>
                <w:szCs w:val="22"/>
              </w:rPr>
              <w:t>with  the</w:t>
            </w:r>
            <w:proofErr w:type="gramEnd"/>
            <w:r w:rsidRPr="00D60ADC">
              <w:rPr>
                <w:rFonts w:ascii="Arial" w:eastAsia="Calibri" w:hAnsi="Arial" w:cs="Arial"/>
                <w:szCs w:val="22"/>
              </w:rPr>
              <w:t xml:space="preserve"> sample size of Eight quoted DMBs. The study spanned a period of 14 years from 2010 to 2023. The study employed the secondary source of data collection. The study adopted the multiple regression analysis. The result of the study revealed that financial restructuring, assets restructuring, operational restructuring and capital restructuring had significant effects on financial Position (Z-score) of the Nigerian banking industry throughout the study periods. The study concluded that corporate restructuring vis-à-vis asset and capital restructuring is essential for achieving a banking industry that is financially resilient. The study recommended amongst others that Nigerian banks must place more emphasis on secured long-term borrowings, unsecured long-term borrowings, private unsecured loans, privately placed unsecured bonds, privately placed debentures, inter-corporate deposits, and over drafts facilities.</w:t>
            </w:r>
          </w:p>
        </w:tc>
      </w:tr>
    </w:tbl>
    <w:p w14:paraId="4AE9B298" w14:textId="48D8B827" w:rsidR="00790ADA" w:rsidRDefault="00A24E7E" w:rsidP="00441B6F">
      <w:pPr>
        <w:pStyle w:val="Body"/>
        <w:spacing w:after="0"/>
        <w:rPr>
          <w:rFonts w:ascii="Arial" w:hAnsi="Arial" w:cs="Arial"/>
          <w:i/>
        </w:rPr>
      </w:pPr>
      <w:r>
        <w:rPr>
          <w:rFonts w:ascii="Arial" w:hAnsi="Arial" w:cs="Arial"/>
          <w:i/>
        </w:rPr>
        <w:t xml:space="preserve">Keywords: </w:t>
      </w:r>
      <w:r w:rsidR="00E41298" w:rsidRPr="00E41298">
        <w:rPr>
          <w:rFonts w:ascii="Arial" w:hAnsi="Arial" w:cs="Arial"/>
          <w:i/>
        </w:rPr>
        <w:t>Corporate restructuring</w:t>
      </w:r>
      <w:r w:rsidR="00E41298">
        <w:rPr>
          <w:rFonts w:ascii="Arial" w:hAnsi="Arial" w:cs="Arial"/>
          <w:i/>
        </w:rPr>
        <w:t xml:space="preserve">, </w:t>
      </w:r>
      <w:r w:rsidR="00E41298" w:rsidRPr="00E41298">
        <w:rPr>
          <w:rFonts w:ascii="Arial" w:hAnsi="Arial" w:cs="Arial"/>
          <w:i/>
        </w:rPr>
        <w:t>Financial restructuring, Assets restructuring, Operational restructuring</w:t>
      </w:r>
      <w:r w:rsidR="00E41298">
        <w:rPr>
          <w:rFonts w:ascii="Arial" w:hAnsi="Arial" w:cs="Arial"/>
          <w:i/>
        </w:rPr>
        <w:t>,</w:t>
      </w:r>
      <w:r w:rsidR="00E41298" w:rsidRPr="00E41298">
        <w:rPr>
          <w:rFonts w:ascii="Arial" w:hAnsi="Arial" w:cs="Arial"/>
          <w:i/>
        </w:rPr>
        <w:t xml:space="preserve"> Capital restructuring</w:t>
      </w:r>
    </w:p>
    <w:p w14:paraId="173D12CD" w14:textId="3322E74C"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1D06F37A" w14:textId="77777777" w:rsidR="00790ADA" w:rsidRPr="00FB3A86" w:rsidRDefault="00790ADA" w:rsidP="00441B6F">
      <w:pPr>
        <w:pStyle w:val="AbstHead"/>
        <w:spacing w:after="0"/>
        <w:jc w:val="both"/>
        <w:rPr>
          <w:rFonts w:ascii="Arial" w:hAnsi="Arial" w:cs="Arial"/>
        </w:rPr>
      </w:pPr>
    </w:p>
    <w:p w14:paraId="0C1187C0" w14:textId="388EA1A8" w:rsidR="00DA05DA" w:rsidRPr="00DA05DA" w:rsidRDefault="00DA05DA" w:rsidP="00DA05DA">
      <w:pPr>
        <w:pStyle w:val="Body"/>
        <w:rPr>
          <w:rFonts w:ascii="Arial" w:hAnsi="Arial" w:cs="Arial"/>
          <w:b/>
          <w:bCs/>
        </w:rPr>
      </w:pPr>
      <w:r w:rsidRPr="00DA05DA">
        <w:rPr>
          <w:rFonts w:ascii="Arial" w:hAnsi="Arial" w:cs="Arial"/>
          <w:b/>
          <w:bCs/>
        </w:rPr>
        <w:t>Background to the Study</w:t>
      </w:r>
    </w:p>
    <w:p w14:paraId="2785ED28" w14:textId="2C77D420" w:rsidR="00DA05DA" w:rsidRPr="00DA05DA" w:rsidRDefault="00DA05DA" w:rsidP="00DA05DA">
      <w:pPr>
        <w:pStyle w:val="Body"/>
        <w:rPr>
          <w:rFonts w:ascii="Arial" w:hAnsi="Arial" w:cs="Arial"/>
        </w:rPr>
      </w:pPr>
      <w:r w:rsidRPr="00DA05DA">
        <w:rPr>
          <w:rFonts w:ascii="Arial" w:hAnsi="Arial" w:cs="Arial"/>
        </w:rPr>
        <w:t>A sound, efficient, financially resilient, stable and highly competitive banking industry is instrumental to the growth and development of every modern economy. This is because; the banking industry all over the world help to facilitate the implementation of monetary policies, capital formation (investment), helps to facilitate the financial intermediation process and also promotes economic growth and development by moving financial resources from the surplus economic units (savers) to the deficit economic units. These major roles cited above contribute to the reason why an efficient, financially resilient, stable and highly competitive banking industry is instrumental to the growth and development of every modern economy (</w:t>
      </w:r>
      <w:proofErr w:type="spellStart"/>
      <w:r w:rsidRPr="00DA05DA">
        <w:rPr>
          <w:rFonts w:ascii="Arial" w:hAnsi="Arial" w:cs="Arial"/>
        </w:rPr>
        <w:t>Challoumis</w:t>
      </w:r>
      <w:proofErr w:type="spellEnd"/>
      <w:r w:rsidRPr="00DA05DA">
        <w:rPr>
          <w:rFonts w:ascii="Arial" w:hAnsi="Arial" w:cs="Arial"/>
        </w:rPr>
        <w:t xml:space="preserve"> &amp; </w:t>
      </w:r>
      <w:proofErr w:type="spellStart"/>
      <w:r w:rsidRPr="00DA05DA">
        <w:rPr>
          <w:rFonts w:ascii="Arial" w:hAnsi="Arial" w:cs="Arial"/>
        </w:rPr>
        <w:t>Eriotis</w:t>
      </w:r>
      <w:proofErr w:type="spellEnd"/>
      <w:r w:rsidRPr="00DA05DA">
        <w:rPr>
          <w:rFonts w:ascii="Arial" w:hAnsi="Arial" w:cs="Arial"/>
        </w:rPr>
        <w:t>, 2024).</w:t>
      </w:r>
    </w:p>
    <w:p w14:paraId="57E7CF47" w14:textId="77777777" w:rsidR="00DA05DA" w:rsidRPr="00DA05DA" w:rsidRDefault="00DA05DA" w:rsidP="00DA05DA">
      <w:pPr>
        <w:pStyle w:val="Body"/>
        <w:rPr>
          <w:rFonts w:ascii="Arial" w:hAnsi="Arial" w:cs="Arial"/>
        </w:rPr>
      </w:pPr>
      <w:r w:rsidRPr="00DA05DA">
        <w:rPr>
          <w:rFonts w:ascii="Arial" w:hAnsi="Arial" w:cs="Arial"/>
        </w:rPr>
        <w:t xml:space="preserve">From the Nigerian perspective, the Nigerian banking industry since inception has experienced dramatic changes. One major factor which became a source of concern to both regulatory bodies and the general banking public and the policy analyst is the banking distress which occurred between 1993 and 2003 (Ali, 2024). This occurrence led to sharp decline in bank profit margin, exposed the banking industry to shock, increased the loan exposure of the banking industry, debased the asset base of the Nigerian banking industry </w:t>
      </w:r>
      <w:r w:rsidRPr="00DA05DA">
        <w:rPr>
          <w:rFonts w:ascii="Arial" w:hAnsi="Arial" w:cs="Arial"/>
        </w:rPr>
        <w:lastRenderedPageBreak/>
        <w:t xml:space="preserve">and at the same time led to the collapse of some highly promising banks. However, one of the approaches which the Central Bank of Nigeria used under the leadership of the CBN governor then (Prof. Charles Soludo) was majorly to restructure the capital base with a view to ensure that the Nigerian banking industry adopt global banking practices and is self-sufficient. More so, the corporate restructuring was also undertaken then to restore faith and public confidence in the industry which they once lost (Segura &amp; Suarez, 2023). </w:t>
      </w:r>
    </w:p>
    <w:p w14:paraId="7307B606" w14:textId="77777777" w:rsidR="00DA05DA" w:rsidRPr="00DA05DA" w:rsidRDefault="00DA05DA" w:rsidP="00DA05DA">
      <w:pPr>
        <w:pStyle w:val="Body"/>
        <w:rPr>
          <w:rFonts w:ascii="Arial" w:hAnsi="Arial" w:cs="Arial"/>
        </w:rPr>
      </w:pPr>
      <w:r w:rsidRPr="00DA05DA">
        <w:rPr>
          <w:rFonts w:ascii="Arial" w:hAnsi="Arial" w:cs="Arial"/>
        </w:rPr>
        <w:t xml:space="preserve">Umar (2023), documented that corporate restructuring in its widest sense must cover four main areas which include; financial restructuring, operational restructuring, asset restructuring and capital restructuring.  Firstly, financial restructuring focuses on the financial structure of the banking institution and is usually concerned with debt-equity mix of the banking industry (Njoki &amp; Reuben, 2024). Meanwhile, operational restructuring focuses on reorganizing the activities of banks changing governance structure of the banking and may also entails closing down or downsizing poorly performing branches, closing down product lines to reduce costs of banking operations (Umar, 2023). More so, asset restructuring entails increasing the asset base of the banking industry by setting off bad loans while making provisions for problem loans (Okonkwo, Okere Okoye &amp; </w:t>
      </w:r>
      <w:proofErr w:type="spellStart"/>
      <w:r w:rsidRPr="00DA05DA">
        <w:rPr>
          <w:rFonts w:ascii="Arial" w:hAnsi="Arial" w:cs="Arial"/>
        </w:rPr>
        <w:t>Mkparu</w:t>
      </w:r>
      <w:proofErr w:type="spellEnd"/>
      <w:r w:rsidRPr="00DA05DA">
        <w:rPr>
          <w:rFonts w:ascii="Arial" w:hAnsi="Arial" w:cs="Arial"/>
        </w:rPr>
        <w:t>, 2023). However, capital restructuring involves increasing banks’ financial position to shock by substituting both her short-term and medium-term debts to long-term debt obligations (Okonkwo et al., 2023). This in turn will necessitate most shareholders to direct managers to inject capital in the banking industry and may sometime also propel the monetary authority to institute a bailout strategy to ailing banks.</w:t>
      </w:r>
    </w:p>
    <w:p w14:paraId="05E88AA9" w14:textId="09DEFF37" w:rsidR="00B01FCD" w:rsidRDefault="00DA05DA" w:rsidP="00DA05DA">
      <w:pPr>
        <w:pStyle w:val="Body"/>
        <w:spacing w:after="0"/>
        <w:rPr>
          <w:rFonts w:ascii="Arial" w:hAnsi="Arial" w:cs="Arial"/>
        </w:rPr>
      </w:pPr>
      <w:r w:rsidRPr="00DA05DA">
        <w:rPr>
          <w:rFonts w:ascii="Arial" w:hAnsi="Arial" w:cs="Arial"/>
        </w:rPr>
        <w:t xml:space="preserve">Furthermore, Tran, Le, Vo and Vo (2024), submitted that, the above forms of corporate restructuring may involve market-based solutions, carving out bad assets, establishing an asset recovery agency, changing the guard, creating phoenixes, recapitalization, change of ownership structure, restructuring borrowers, institutional arrangements, counting the monetary and fiscal costs, appointment of interim management, operational reforms and legal, regulatory and policy review. Alao and </w:t>
      </w:r>
      <w:proofErr w:type="spellStart"/>
      <w:r w:rsidRPr="00DA05DA">
        <w:rPr>
          <w:rFonts w:ascii="Arial" w:hAnsi="Arial" w:cs="Arial"/>
        </w:rPr>
        <w:t>Tomomewo</w:t>
      </w:r>
      <w:proofErr w:type="spellEnd"/>
      <w:r w:rsidRPr="00DA05DA">
        <w:rPr>
          <w:rFonts w:ascii="Arial" w:hAnsi="Arial" w:cs="Arial"/>
        </w:rPr>
        <w:t>, (2024) opined that the aftermath of the COVID-19 pandemic has made banks to face a substantial increase in non-performing loans (NPLs) as a result of the increase in households and companies’ inability to meet up with their loan obligation as at and when due. This could limit banks’ capacities to absorb higher loan losses over time which in turn could undermine their ability to intermediate credit and support an economic recovery. As such, for Nigerian banks to be financially resilient, they must opt for corporate restructuring. In light of the above, this research paper sought to examine the effect of corporate restructuring on the financial position of quoted Deposit Money Banks in Nigeria.</w:t>
      </w:r>
    </w:p>
    <w:p w14:paraId="21E96BD4" w14:textId="77777777" w:rsidR="00DA05DA" w:rsidRDefault="00DA05DA" w:rsidP="00DA05DA">
      <w:pPr>
        <w:pStyle w:val="Body"/>
        <w:spacing w:after="0"/>
        <w:rPr>
          <w:rFonts w:ascii="Arial" w:hAnsi="Arial" w:cs="Arial"/>
        </w:rPr>
      </w:pPr>
    </w:p>
    <w:p w14:paraId="0FA0C3AD" w14:textId="77777777" w:rsidR="00DA05DA" w:rsidRPr="00DA05DA" w:rsidRDefault="00DA05DA" w:rsidP="00DA05DA">
      <w:pPr>
        <w:pStyle w:val="Body"/>
        <w:rPr>
          <w:rFonts w:ascii="Arial" w:hAnsi="Arial" w:cs="Arial"/>
          <w:b/>
          <w:bCs/>
        </w:rPr>
      </w:pPr>
      <w:r w:rsidRPr="00DA05DA">
        <w:rPr>
          <w:rFonts w:ascii="Arial" w:hAnsi="Arial" w:cs="Arial"/>
          <w:b/>
          <w:bCs/>
        </w:rPr>
        <w:t>Statement of the Problem</w:t>
      </w:r>
    </w:p>
    <w:p w14:paraId="02DF9724" w14:textId="77777777" w:rsidR="00DA05DA" w:rsidRDefault="00DA05DA" w:rsidP="00DA05DA">
      <w:pPr>
        <w:pStyle w:val="Body"/>
        <w:rPr>
          <w:rFonts w:ascii="Arial" w:hAnsi="Arial" w:cs="Arial"/>
        </w:rPr>
      </w:pPr>
      <w:r w:rsidRPr="00DA05DA">
        <w:rPr>
          <w:rFonts w:ascii="Arial" w:hAnsi="Arial" w:cs="Arial"/>
        </w:rPr>
        <w:t xml:space="preserve">The Nigerian banking Industry over the past few decades, has faced quite a number of transformative changes driven by both internal challenges and external economic forces. A central theme in this transformation has been corporate restructuring, a process through which banks reorganize their operations, financial structures, and governance to address financial difficulties or to adapt to evolving market conditions. Despite the importance of corporate restructuring in improving the financial health and competitive positioning of banks, the impact of these restructuring efforts on the overall financial position and performance of Nigerian banks remains a subject of debate. </w:t>
      </w:r>
    </w:p>
    <w:p w14:paraId="257F7454" w14:textId="24DB0F1D" w:rsidR="00DA05DA" w:rsidRPr="00DA05DA" w:rsidRDefault="00DA05DA" w:rsidP="00DA05DA">
      <w:pPr>
        <w:pStyle w:val="Body"/>
        <w:rPr>
          <w:rFonts w:ascii="Arial" w:hAnsi="Arial" w:cs="Arial"/>
        </w:rPr>
      </w:pPr>
      <w:r w:rsidRPr="00DA05DA">
        <w:rPr>
          <w:rFonts w:ascii="Arial" w:hAnsi="Arial" w:cs="Arial"/>
        </w:rPr>
        <w:t xml:space="preserve">More so, despite the milestone achievement of the recapitalization exercise, episodes of bank distress remain a constant irritant in the financial system in Nigeria Corporate restructuring exercise of 2009 focused majorly on capital restructuring without mentioning other aspects of corporate restructuring. In recent years, Nigeria’s banking sector has faced </w:t>
      </w:r>
      <w:r w:rsidRPr="00DA05DA">
        <w:rPr>
          <w:rFonts w:ascii="Arial" w:hAnsi="Arial" w:cs="Arial"/>
        </w:rPr>
        <w:lastRenderedPageBreak/>
        <w:t>several challenges, including high non-performing loans, liquidity issues, weak capital adequacy ratios, and the effects of macroeconomic instability. These challenges have prompted banks to engage in restructuring activities, such as mergers, acquisitions, divestitures, and changes in operational strategies. While some banks have successfully restructured and emerged stronger, others have struggled with the implementation of restructuring plans, leading to mixed outcomes in terms of financial stability and performance.</w:t>
      </w:r>
    </w:p>
    <w:p w14:paraId="4BDECD52" w14:textId="259E8200" w:rsidR="00DA05DA" w:rsidRDefault="00DA05DA" w:rsidP="00DA05DA">
      <w:pPr>
        <w:pStyle w:val="Body"/>
        <w:spacing w:after="0"/>
        <w:rPr>
          <w:rFonts w:ascii="Arial" w:hAnsi="Arial" w:cs="Arial"/>
        </w:rPr>
      </w:pPr>
      <w:r w:rsidRPr="00DA05DA">
        <w:rPr>
          <w:rFonts w:ascii="Arial" w:hAnsi="Arial" w:cs="Arial"/>
        </w:rPr>
        <w:t>To the best of our knowledge, there seem to be paucity in the number of researches conducted on corporate restructuring and its effect on the financial position of Deposit Money Banks, with the utilization of the variables under study to measure corporate restructuring. Furthermore, most of the existing studies on the subject matter focused on other countries other than Nigeria while studies in Nigeria only focused on merger and acquisition, a form of corporate restructuring. It is also note-mentioning that, their period scopes were limited to 2022. On this premise, this study seeks to examine effect of corporate restructuring on financial position of quoted Deposit Money Banks in Nigeria.</w:t>
      </w:r>
    </w:p>
    <w:p w14:paraId="360DB8A6" w14:textId="77777777" w:rsidR="00B42D64" w:rsidRDefault="00B42D64" w:rsidP="00DA05DA">
      <w:pPr>
        <w:pStyle w:val="Body"/>
        <w:spacing w:after="0"/>
        <w:rPr>
          <w:rFonts w:ascii="Arial" w:hAnsi="Arial" w:cs="Arial"/>
        </w:rPr>
      </w:pPr>
    </w:p>
    <w:p w14:paraId="0061596C" w14:textId="77777777" w:rsidR="00B42D64" w:rsidRPr="00B42D64" w:rsidRDefault="00B42D64" w:rsidP="00B42D64">
      <w:pPr>
        <w:pStyle w:val="Body"/>
        <w:rPr>
          <w:rFonts w:ascii="Arial" w:hAnsi="Arial" w:cs="Arial"/>
          <w:b/>
          <w:bCs/>
        </w:rPr>
      </w:pPr>
      <w:r w:rsidRPr="00B42D64">
        <w:rPr>
          <w:rFonts w:ascii="Arial" w:hAnsi="Arial" w:cs="Arial"/>
          <w:b/>
          <w:bCs/>
        </w:rPr>
        <w:t>Objectives of the Study</w:t>
      </w:r>
    </w:p>
    <w:p w14:paraId="31B0389C" w14:textId="77777777" w:rsidR="00B42D64" w:rsidRPr="00B42D64" w:rsidRDefault="00B42D64" w:rsidP="00B42D64">
      <w:pPr>
        <w:pStyle w:val="Body"/>
        <w:rPr>
          <w:rFonts w:ascii="Arial" w:hAnsi="Arial" w:cs="Arial"/>
        </w:rPr>
      </w:pPr>
      <w:r w:rsidRPr="00B42D64">
        <w:rPr>
          <w:rFonts w:ascii="Arial" w:hAnsi="Arial" w:cs="Arial"/>
        </w:rPr>
        <w:t>The following are the specific objectives of this study:</w:t>
      </w:r>
    </w:p>
    <w:p w14:paraId="5078913D" w14:textId="26ADF70A" w:rsidR="00B42D64" w:rsidRPr="00B42D64" w:rsidRDefault="00B42D64" w:rsidP="00B42D64">
      <w:pPr>
        <w:pStyle w:val="Body"/>
        <w:numPr>
          <w:ilvl w:val="0"/>
          <w:numId w:val="31"/>
        </w:numPr>
        <w:rPr>
          <w:rFonts w:ascii="Arial" w:hAnsi="Arial" w:cs="Arial"/>
        </w:rPr>
      </w:pPr>
      <w:r w:rsidRPr="00B42D64">
        <w:rPr>
          <w:rFonts w:ascii="Arial" w:hAnsi="Arial" w:cs="Arial"/>
        </w:rPr>
        <w:t>Evaluate the effect of financial restructuring on the financial position of quoted Deposit Money Banks in Nigeria.</w:t>
      </w:r>
    </w:p>
    <w:p w14:paraId="3C68ADD9" w14:textId="1F70E061" w:rsidR="00B42D64" w:rsidRPr="00B42D64" w:rsidRDefault="00B42D64" w:rsidP="00B42D64">
      <w:pPr>
        <w:pStyle w:val="Body"/>
        <w:numPr>
          <w:ilvl w:val="0"/>
          <w:numId w:val="31"/>
        </w:numPr>
        <w:rPr>
          <w:rFonts w:ascii="Arial" w:hAnsi="Arial" w:cs="Arial"/>
        </w:rPr>
      </w:pPr>
      <w:r w:rsidRPr="00B42D64">
        <w:rPr>
          <w:rFonts w:ascii="Arial" w:hAnsi="Arial" w:cs="Arial"/>
        </w:rPr>
        <w:t>Ascertain the effect of assets restructuring on the financial position of quoted Deposit Money Banks in Nigeria.</w:t>
      </w:r>
    </w:p>
    <w:p w14:paraId="16E22BC3" w14:textId="57B7D078" w:rsidR="00B42D64" w:rsidRPr="00B42D64" w:rsidRDefault="00B42D64" w:rsidP="00B42D64">
      <w:pPr>
        <w:pStyle w:val="Body"/>
        <w:numPr>
          <w:ilvl w:val="0"/>
          <w:numId w:val="31"/>
        </w:numPr>
        <w:rPr>
          <w:rFonts w:ascii="Arial" w:hAnsi="Arial" w:cs="Arial"/>
        </w:rPr>
      </w:pPr>
      <w:r w:rsidRPr="00B42D64">
        <w:rPr>
          <w:rFonts w:ascii="Arial" w:hAnsi="Arial" w:cs="Arial"/>
        </w:rPr>
        <w:t>Evaluate the effect of operational restructuring on the financial position of quoted Deposit Money Banks in Nigeria.</w:t>
      </w:r>
    </w:p>
    <w:p w14:paraId="01843C4A" w14:textId="6ED7D86C" w:rsidR="00B42D64" w:rsidRPr="00B42D64" w:rsidRDefault="00B42D64" w:rsidP="00B42D64">
      <w:pPr>
        <w:pStyle w:val="Body"/>
        <w:numPr>
          <w:ilvl w:val="0"/>
          <w:numId w:val="31"/>
        </w:numPr>
        <w:spacing w:after="0"/>
        <w:rPr>
          <w:rFonts w:ascii="Arial" w:hAnsi="Arial" w:cs="Arial"/>
        </w:rPr>
      </w:pPr>
      <w:r w:rsidRPr="00B42D64">
        <w:rPr>
          <w:rFonts w:ascii="Arial" w:hAnsi="Arial" w:cs="Arial"/>
        </w:rPr>
        <w:t>Ascertain the effect of capital restructuring on the financial position of quoted Deposit Money Banks in Nigeria.</w:t>
      </w:r>
    </w:p>
    <w:p w14:paraId="451C1BE8" w14:textId="77777777" w:rsidR="00790ADA" w:rsidRDefault="00790ADA" w:rsidP="00441B6F">
      <w:pPr>
        <w:pStyle w:val="Body"/>
        <w:spacing w:after="0"/>
        <w:rPr>
          <w:rFonts w:ascii="Arial" w:hAnsi="Arial" w:cs="Arial"/>
        </w:rPr>
      </w:pPr>
    </w:p>
    <w:p w14:paraId="6D013751" w14:textId="76E2EE60" w:rsidR="00CE4EF5" w:rsidRDefault="00CE4EF5" w:rsidP="00441B6F">
      <w:pPr>
        <w:pStyle w:val="AbstHead"/>
        <w:spacing w:after="0"/>
        <w:jc w:val="both"/>
        <w:rPr>
          <w:rFonts w:ascii="Arial" w:hAnsi="Arial" w:cs="Arial"/>
          <w:b w:val="0"/>
          <w:bCs/>
        </w:rPr>
      </w:pPr>
      <w:r>
        <w:rPr>
          <w:rFonts w:ascii="Arial" w:hAnsi="Arial" w:cs="Arial"/>
        </w:rPr>
        <w:t xml:space="preserve">2. </w:t>
      </w:r>
      <w:r w:rsidRPr="00CE4EF5">
        <w:rPr>
          <w:rFonts w:ascii="Arial" w:hAnsi="Arial" w:cs="Arial"/>
        </w:rPr>
        <w:t xml:space="preserve">LITERATURE REVIEW </w:t>
      </w:r>
    </w:p>
    <w:p w14:paraId="4242F702" w14:textId="77777777" w:rsidR="00CE4EF5" w:rsidRPr="00CE4EF5" w:rsidRDefault="00CE4EF5" w:rsidP="00441B6F">
      <w:pPr>
        <w:pStyle w:val="AbstHead"/>
        <w:spacing w:after="0"/>
        <w:jc w:val="both"/>
        <w:rPr>
          <w:rFonts w:ascii="Arial" w:hAnsi="Arial" w:cs="Arial"/>
          <w:b w:val="0"/>
          <w:bCs/>
          <w:sz w:val="16"/>
          <w:szCs w:val="16"/>
        </w:rPr>
      </w:pPr>
    </w:p>
    <w:p w14:paraId="19ACCA07" w14:textId="314F05DE" w:rsidR="00CE4EF5" w:rsidRPr="00CE4EF5" w:rsidRDefault="00CE4EF5" w:rsidP="00CE4EF5">
      <w:pPr>
        <w:pStyle w:val="AbstHead"/>
        <w:jc w:val="both"/>
        <w:rPr>
          <w:rFonts w:ascii="Arial" w:hAnsi="Arial" w:cs="Arial"/>
          <w:sz w:val="20"/>
        </w:rPr>
      </w:pPr>
      <w:r w:rsidRPr="00CE4EF5">
        <w:rPr>
          <w:rFonts w:ascii="Arial" w:hAnsi="Arial" w:cs="Arial"/>
          <w:caps w:val="0"/>
          <w:sz w:val="20"/>
        </w:rPr>
        <w:t>Corporate Restructuring</w:t>
      </w:r>
    </w:p>
    <w:p w14:paraId="14CF271E" w14:textId="7A4D98CB" w:rsidR="00CE4EF5" w:rsidRPr="00CE4EF5" w:rsidRDefault="00CE4EF5" w:rsidP="00CE4EF5">
      <w:pPr>
        <w:pStyle w:val="AbstHead"/>
        <w:jc w:val="both"/>
        <w:rPr>
          <w:rFonts w:ascii="Arial" w:hAnsi="Arial" w:cs="Arial"/>
          <w:b w:val="0"/>
          <w:bCs/>
          <w:sz w:val="20"/>
        </w:rPr>
      </w:pPr>
      <w:r w:rsidRPr="00CE4EF5">
        <w:rPr>
          <w:rFonts w:ascii="Arial" w:hAnsi="Arial" w:cs="Arial"/>
          <w:b w:val="0"/>
          <w:bCs/>
          <w:caps w:val="0"/>
          <w:sz w:val="20"/>
        </w:rPr>
        <w:t>The term “corporate restructuring” ordinarily is a corporate action undertaken by a corporate entity to modify her financial structure, capital base, asset base, and mode of operations (Sethi, Chaturvedi, &amp; Jain, 2024; Nguyen, 2024). This is usually done if the banking industry either envisages a distress or is faced with the issue of financial distress (</w:t>
      </w:r>
      <w:proofErr w:type="spellStart"/>
      <w:r w:rsidRPr="00CE4EF5">
        <w:rPr>
          <w:rFonts w:ascii="Arial" w:hAnsi="Arial" w:cs="Arial"/>
          <w:b w:val="0"/>
          <w:bCs/>
          <w:caps w:val="0"/>
          <w:sz w:val="20"/>
        </w:rPr>
        <w:t>Mavlutova</w:t>
      </w:r>
      <w:proofErr w:type="spellEnd"/>
      <w:r w:rsidRPr="00CE4EF5">
        <w:rPr>
          <w:rFonts w:ascii="Arial" w:hAnsi="Arial" w:cs="Arial"/>
          <w:b w:val="0"/>
          <w:bCs/>
          <w:caps w:val="0"/>
          <w:sz w:val="20"/>
        </w:rPr>
        <w:t xml:space="preserve"> et al., 2021). In other words, corporate restructuring could be viewed from two perspectives. These two perspectives include the expansionary program and contractionary </w:t>
      </w:r>
      <w:proofErr w:type="spellStart"/>
      <w:r w:rsidRPr="00CE4EF5">
        <w:rPr>
          <w:rFonts w:ascii="Arial" w:hAnsi="Arial" w:cs="Arial"/>
          <w:b w:val="0"/>
          <w:bCs/>
          <w:caps w:val="0"/>
          <w:sz w:val="20"/>
        </w:rPr>
        <w:t>programme</w:t>
      </w:r>
      <w:proofErr w:type="spellEnd"/>
      <w:r w:rsidRPr="00CE4EF5">
        <w:rPr>
          <w:rFonts w:ascii="Arial" w:hAnsi="Arial" w:cs="Arial"/>
          <w:b w:val="0"/>
          <w:bCs/>
          <w:caps w:val="0"/>
          <w:sz w:val="20"/>
        </w:rPr>
        <w:t xml:space="preserve">. From the expansionary program perspective, corporate restructuring involves mergers and acquisitions, takeovers and green-field investment while the contractionary program centers on divestiture, downsizing, down-scoping and debt restructuring (Ray, 2022). </w:t>
      </w:r>
    </w:p>
    <w:p w14:paraId="3032F4DF" w14:textId="6BD164B3" w:rsidR="00CE4EF5" w:rsidRDefault="00CE4EF5" w:rsidP="00CE4EF5">
      <w:pPr>
        <w:pStyle w:val="AbstHead"/>
        <w:spacing w:after="0"/>
        <w:jc w:val="both"/>
        <w:rPr>
          <w:rFonts w:ascii="Arial" w:hAnsi="Arial" w:cs="Arial"/>
          <w:b w:val="0"/>
          <w:bCs/>
          <w:caps w:val="0"/>
          <w:sz w:val="20"/>
        </w:rPr>
      </w:pPr>
      <w:r w:rsidRPr="00CE4EF5">
        <w:rPr>
          <w:rFonts w:ascii="Arial" w:hAnsi="Arial" w:cs="Arial"/>
          <w:b w:val="0"/>
          <w:bCs/>
          <w:caps w:val="0"/>
          <w:sz w:val="20"/>
        </w:rPr>
        <w:t xml:space="preserve">Silva and </w:t>
      </w:r>
      <w:proofErr w:type="spellStart"/>
      <w:r w:rsidRPr="00CE4EF5">
        <w:rPr>
          <w:rFonts w:ascii="Arial" w:hAnsi="Arial" w:cs="Arial"/>
          <w:b w:val="0"/>
          <w:bCs/>
          <w:caps w:val="0"/>
          <w:sz w:val="20"/>
        </w:rPr>
        <w:t>Saitho</w:t>
      </w:r>
      <w:proofErr w:type="spellEnd"/>
      <w:r w:rsidRPr="00CE4EF5">
        <w:rPr>
          <w:rFonts w:ascii="Arial" w:hAnsi="Arial" w:cs="Arial"/>
          <w:b w:val="0"/>
          <w:bCs/>
          <w:caps w:val="0"/>
          <w:sz w:val="20"/>
        </w:rPr>
        <w:t xml:space="preserve"> (2020) conceptualized corporate restructuring as the reorganization of the corporate operations to achieve higher levels of the operating efficiency. In other words, corporate restructuring involves changing the organization of a business. </w:t>
      </w:r>
      <w:proofErr w:type="spellStart"/>
      <w:r w:rsidRPr="00CE4EF5">
        <w:rPr>
          <w:rFonts w:ascii="Arial" w:hAnsi="Arial" w:cs="Arial"/>
          <w:b w:val="0"/>
          <w:bCs/>
          <w:caps w:val="0"/>
          <w:sz w:val="20"/>
        </w:rPr>
        <w:t>Isabwa</w:t>
      </w:r>
      <w:proofErr w:type="spellEnd"/>
      <w:r w:rsidRPr="00CE4EF5">
        <w:rPr>
          <w:rFonts w:ascii="Arial" w:hAnsi="Arial" w:cs="Arial"/>
          <w:b w:val="0"/>
          <w:bCs/>
          <w:caps w:val="0"/>
          <w:sz w:val="20"/>
        </w:rPr>
        <w:t xml:space="preserve">, and </w:t>
      </w:r>
      <w:proofErr w:type="spellStart"/>
      <w:r w:rsidRPr="00CE4EF5">
        <w:rPr>
          <w:rFonts w:ascii="Arial" w:hAnsi="Arial" w:cs="Arial"/>
          <w:b w:val="0"/>
          <w:bCs/>
          <w:caps w:val="0"/>
          <w:sz w:val="20"/>
        </w:rPr>
        <w:t>Mabonga</w:t>
      </w:r>
      <w:proofErr w:type="spellEnd"/>
      <w:r w:rsidRPr="00CE4EF5">
        <w:rPr>
          <w:rFonts w:ascii="Arial" w:hAnsi="Arial" w:cs="Arial"/>
          <w:b w:val="0"/>
          <w:bCs/>
          <w:caps w:val="0"/>
          <w:sz w:val="20"/>
        </w:rPr>
        <w:t xml:space="preserve"> (2019) conceptualized corporate restructuring as a business strategy which is aims to affect policies, programs, processes, products, and people to serve redefined policies and programs. It is a deliberate, important and unusual alteration in the organization </w:t>
      </w:r>
      <w:r w:rsidRPr="00CE4EF5">
        <w:rPr>
          <w:rFonts w:ascii="Arial" w:hAnsi="Arial" w:cs="Arial"/>
          <w:b w:val="0"/>
          <w:bCs/>
          <w:caps w:val="0"/>
          <w:sz w:val="20"/>
        </w:rPr>
        <w:lastRenderedPageBreak/>
        <w:t>and operation of business entities suffering from financial and operational crises, and it is typically associated with changes in ownership and financial structure of the firm (Nguyen, 2024). This suggests that the imperative to restructure often derives from challenges arising from dynamics of market variables and/or internal problems of management (</w:t>
      </w:r>
      <w:proofErr w:type="spellStart"/>
      <w:r w:rsidRPr="00CE4EF5">
        <w:rPr>
          <w:rFonts w:ascii="Arial" w:hAnsi="Arial" w:cs="Arial"/>
          <w:b w:val="0"/>
          <w:bCs/>
          <w:caps w:val="0"/>
          <w:sz w:val="20"/>
        </w:rPr>
        <w:t>Mavlutova</w:t>
      </w:r>
      <w:proofErr w:type="spellEnd"/>
      <w:r w:rsidRPr="00CE4EF5">
        <w:rPr>
          <w:rFonts w:ascii="Arial" w:hAnsi="Arial" w:cs="Arial"/>
          <w:b w:val="0"/>
          <w:bCs/>
          <w:caps w:val="0"/>
          <w:sz w:val="20"/>
        </w:rPr>
        <w:t>, 2021).</w:t>
      </w:r>
    </w:p>
    <w:p w14:paraId="1879D8CB" w14:textId="77777777" w:rsidR="00CE4EF5" w:rsidRPr="003C3C24" w:rsidRDefault="00CE4EF5" w:rsidP="00CE4EF5">
      <w:pPr>
        <w:pStyle w:val="AbstHead"/>
        <w:jc w:val="both"/>
        <w:rPr>
          <w:rFonts w:ascii="Arial" w:hAnsi="Arial" w:cs="Arial"/>
          <w:caps w:val="0"/>
          <w:sz w:val="20"/>
        </w:rPr>
      </w:pPr>
      <w:r w:rsidRPr="003C3C24">
        <w:rPr>
          <w:rFonts w:ascii="Arial" w:hAnsi="Arial" w:cs="Arial"/>
          <w:caps w:val="0"/>
          <w:sz w:val="20"/>
        </w:rPr>
        <w:t xml:space="preserve">Financial Restructuring  </w:t>
      </w:r>
    </w:p>
    <w:p w14:paraId="157EA370" w14:textId="77777777" w:rsidR="00CE4EF5" w:rsidRDefault="00CE4EF5" w:rsidP="003C3C24">
      <w:pPr>
        <w:pStyle w:val="AbstHead"/>
        <w:spacing w:after="0"/>
        <w:jc w:val="both"/>
        <w:rPr>
          <w:rFonts w:ascii="Arial" w:hAnsi="Arial" w:cs="Arial"/>
          <w:b w:val="0"/>
          <w:bCs/>
          <w:caps w:val="0"/>
          <w:sz w:val="20"/>
        </w:rPr>
      </w:pPr>
      <w:r w:rsidRPr="00CE4EF5">
        <w:rPr>
          <w:rFonts w:ascii="Arial" w:hAnsi="Arial" w:cs="Arial"/>
          <w:b w:val="0"/>
          <w:bCs/>
          <w:caps w:val="0"/>
          <w:sz w:val="20"/>
        </w:rPr>
        <w:t>The term financial restructuring involves reorganizing a business/bank’s assets and liabilities. In other words, this process involves re-organization of capital, corporate debt restructuring, buy-back, merger, acquisitions, mergers, strategic alliances, and joint ventures (Belay, 2024). It therefore involves effecting change in a firm’s capital structure to achieve balanced operative results. Financial restructuring accounts for any substantial change in a company’s financial structure, or ownership or control, or business portfolio with the sole intent to increase firm value (</w:t>
      </w:r>
      <w:proofErr w:type="spellStart"/>
      <w:r w:rsidRPr="00CE4EF5">
        <w:rPr>
          <w:rFonts w:ascii="Arial" w:hAnsi="Arial" w:cs="Arial"/>
          <w:b w:val="0"/>
          <w:bCs/>
          <w:caps w:val="0"/>
          <w:sz w:val="20"/>
        </w:rPr>
        <w:t>Alsharari</w:t>
      </w:r>
      <w:proofErr w:type="spellEnd"/>
      <w:r w:rsidRPr="00CE4EF5">
        <w:rPr>
          <w:rFonts w:ascii="Arial" w:hAnsi="Arial" w:cs="Arial"/>
          <w:b w:val="0"/>
          <w:bCs/>
          <w:caps w:val="0"/>
          <w:sz w:val="20"/>
        </w:rPr>
        <w:t xml:space="preserve">, 2024). Furthermore, financial restructuring is the process of reshuffling or reorganizing the financial structure, which primarily comprises of equity capital and debt capital. Financial restructuring can be done because of either compulsion or as part of the financial strategy of the company (Kithinji, 2019). </w:t>
      </w:r>
      <w:proofErr w:type="spellStart"/>
      <w:r w:rsidRPr="00CE4EF5">
        <w:rPr>
          <w:rFonts w:ascii="Arial" w:hAnsi="Arial" w:cs="Arial"/>
          <w:b w:val="0"/>
          <w:bCs/>
          <w:caps w:val="0"/>
          <w:sz w:val="20"/>
        </w:rPr>
        <w:t>Isabwa</w:t>
      </w:r>
      <w:proofErr w:type="spellEnd"/>
      <w:r w:rsidRPr="00CE4EF5">
        <w:rPr>
          <w:rFonts w:ascii="Arial" w:hAnsi="Arial" w:cs="Arial"/>
          <w:b w:val="0"/>
          <w:bCs/>
          <w:caps w:val="0"/>
          <w:sz w:val="20"/>
        </w:rPr>
        <w:t xml:space="preserve"> and </w:t>
      </w:r>
      <w:proofErr w:type="spellStart"/>
      <w:r w:rsidRPr="00CE4EF5">
        <w:rPr>
          <w:rFonts w:ascii="Arial" w:hAnsi="Arial" w:cs="Arial"/>
          <w:b w:val="0"/>
          <w:bCs/>
          <w:caps w:val="0"/>
          <w:sz w:val="20"/>
        </w:rPr>
        <w:t>Mabonga</w:t>
      </w:r>
      <w:proofErr w:type="spellEnd"/>
      <w:r w:rsidRPr="00CE4EF5">
        <w:rPr>
          <w:rFonts w:ascii="Arial" w:hAnsi="Arial" w:cs="Arial"/>
          <w:b w:val="0"/>
          <w:bCs/>
          <w:caps w:val="0"/>
          <w:sz w:val="20"/>
        </w:rPr>
        <w:t xml:space="preserve"> (2019) submitted that financial restructuring is geared towards avoiding liquidation. Usually, it involves agreement by third parties to satisfy creditors’ claims under certain terms and conditions. This enables the company to continue its operations and minimize creditors’ losses. Okonkwo et al., (2023) noted that financial restructuring is basically centered on debt-equity restructuring. The authors argued that Debt-equity restructuring involves reorganizing the whole debt-capital mix of the company is. In other words, it is the adjustment of debt-equity components of the company.  It is further categorized into secured long-term borrowings and unsecured long-term borrowing. While the former is done with a view to improve liquidity, increase the cash flows of an ailing company and also to reduce the cost of capital of a healthy company on a long-term basis, the latter cover public deposits, private unsecured loans, and privately placed unsecured (unstructured) bonds or debentures on short term basis (Bhuiya &amp; Russel, 2023). </w:t>
      </w:r>
    </w:p>
    <w:p w14:paraId="5CF77B95" w14:textId="77777777" w:rsidR="003C3C24" w:rsidRPr="00CE4EF5" w:rsidRDefault="003C3C24" w:rsidP="003C3C24">
      <w:pPr>
        <w:pStyle w:val="AbstHead"/>
        <w:spacing w:after="0"/>
        <w:jc w:val="both"/>
        <w:rPr>
          <w:rFonts w:ascii="Arial" w:hAnsi="Arial" w:cs="Arial"/>
          <w:b w:val="0"/>
          <w:bCs/>
          <w:caps w:val="0"/>
          <w:sz w:val="20"/>
        </w:rPr>
      </w:pPr>
    </w:p>
    <w:p w14:paraId="3650C24D" w14:textId="65377B99" w:rsidR="00CE4EF5" w:rsidRPr="003C3C24" w:rsidRDefault="00CE4EF5" w:rsidP="003C3C24">
      <w:pPr>
        <w:pStyle w:val="AbstHead"/>
        <w:spacing w:after="0"/>
        <w:jc w:val="both"/>
        <w:rPr>
          <w:rFonts w:ascii="Arial" w:hAnsi="Arial" w:cs="Arial"/>
          <w:caps w:val="0"/>
          <w:sz w:val="20"/>
        </w:rPr>
      </w:pPr>
      <w:r w:rsidRPr="003C3C24">
        <w:rPr>
          <w:rFonts w:ascii="Arial" w:hAnsi="Arial" w:cs="Arial"/>
          <w:caps w:val="0"/>
          <w:sz w:val="20"/>
        </w:rPr>
        <w:t>Operational Restructuring</w:t>
      </w:r>
    </w:p>
    <w:p w14:paraId="533AC9CE" w14:textId="77777777" w:rsidR="00CE4EF5" w:rsidRDefault="00CE4EF5" w:rsidP="003C3C24">
      <w:pPr>
        <w:pStyle w:val="AbstHead"/>
        <w:spacing w:after="0"/>
        <w:jc w:val="both"/>
        <w:rPr>
          <w:rFonts w:ascii="Arial" w:hAnsi="Arial" w:cs="Arial"/>
          <w:b w:val="0"/>
          <w:bCs/>
          <w:caps w:val="0"/>
          <w:sz w:val="20"/>
        </w:rPr>
      </w:pPr>
      <w:r w:rsidRPr="00CE4EF5">
        <w:rPr>
          <w:rFonts w:ascii="Arial" w:hAnsi="Arial" w:cs="Arial"/>
          <w:b w:val="0"/>
          <w:bCs/>
          <w:caps w:val="0"/>
          <w:sz w:val="20"/>
        </w:rPr>
        <w:t>Operational restructuring bothers on reorganizing banks’ activities (modes of operations). This process includes closing down or downsizing poorly performing entities or branches and product lines. This is with a view to reduce the overall operational costs of the bank operation (Umar, 2023). This suggests that should a bank focus more on other forms of restructuring without considering this form of restructuring, the benefits that are expected to be realized from bank restructuring are compromised. Hence, there are needs to strike a balance among all the forms of restructuring otherwise the profit motives of banks would be defeated. This operational restructuring process typically involves alterations in organizational structures, processes, and technology, as well as changes in business strategies (Kithinji, 2019). One of the most important aspects of operational restructuring is process optimization. Banks typically perform an analysis of existing processes (e.g., loan processing, account management, customer service) to identify inefficiencies. The goal is to streamline processes, reduce redundancies, minimize errors, and enhance service delivery (Nair, 2024).</w:t>
      </w:r>
    </w:p>
    <w:p w14:paraId="4E0A21DD" w14:textId="77777777" w:rsidR="003C3C24" w:rsidRPr="00CE4EF5" w:rsidRDefault="003C3C24" w:rsidP="003C3C24">
      <w:pPr>
        <w:pStyle w:val="AbstHead"/>
        <w:spacing w:after="0"/>
        <w:jc w:val="both"/>
        <w:rPr>
          <w:rFonts w:ascii="Arial" w:hAnsi="Arial" w:cs="Arial"/>
          <w:b w:val="0"/>
          <w:bCs/>
          <w:caps w:val="0"/>
          <w:sz w:val="20"/>
        </w:rPr>
      </w:pPr>
    </w:p>
    <w:p w14:paraId="115CC8C4" w14:textId="4669E4EE" w:rsidR="00CE4EF5" w:rsidRPr="003C3C24" w:rsidRDefault="00CE4EF5" w:rsidP="003C3C24">
      <w:pPr>
        <w:pStyle w:val="AbstHead"/>
        <w:spacing w:after="0"/>
        <w:jc w:val="both"/>
        <w:rPr>
          <w:rFonts w:ascii="Arial" w:hAnsi="Arial" w:cs="Arial"/>
          <w:caps w:val="0"/>
          <w:sz w:val="20"/>
        </w:rPr>
      </w:pPr>
      <w:r w:rsidRPr="003C3C24">
        <w:rPr>
          <w:rFonts w:ascii="Arial" w:hAnsi="Arial" w:cs="Arial"/>
          <w:caps w:val="0"/>
          <w:sz w:val="20"/>
        </w:rPr>
        <w:t>Asset Restructuring</w:t>
      </w:r>
    </w:p>
    <w:p w14:paraId="2F8ED461" w14:textId="77777777" w:rsidR="00CE4EF5" w:rsidRDefault="00CE4EF5" w:rsidP="003C3C24">
      <w:pPr>
        <w:pStyle w:val="AbstHead"/>
        <w:spacing w:after="0"/>
        <w:jc w:val="both"/>
        <w:rPr>
          <w:rFonts w:ascii="Arial" w:hAnsi="Arial" w:cs="Arial"/>
          <w:b w:val="0"/>
          <w:bCs/>
          <w:caps w:val="0"/>
          <w:sz w:val="20"/>
        </w:rPr>
      </w:pPr>
      <w:r w:rsidRPr="00CE4EF5">
        <w:rPr>
          <w:rFonts w:ascii="Arial" w:hAnsi="Arial" w:cs="Arial"/>
          <w:b w:val="0"/>
          <w:bCs/>
          <w:caps w:val="0"/>
          <w:sz w:val="20"/>
        </w:rPr>
        <w:t xml:space="preserve">Asset restructuring in banks refers to the process of reorganizing a bank's asset portfolio to improve its financial performance, risk management, and compliance with regulatory standards. The objective of asset restructuring is typically to enhance the quality of assets, reduce risk, optimize capital, and improve profitability (Liu, Ye &amp; Liu, 2023). Furthermore, asset restructuring is the intention of increasing the asset quality as measured using the nonperforming loan ratio. Reducing the nonperforming loans in the loan book tend to be </w:t>
      </w:r>
      <w:r w:rsidRPr="00CE4EF5">
        <w:rPr>
          <w:rFonts w:ascii="Arial" w:hAnsi="Arial" w:cs="Arial"/>
          <w:b w:val="0"/>
          <w:bCs/>
          <w:caps w:val="0"/>
          <w:sz w:val="20"/>
        </w:rPr>
        <w:lastRenderedPageBreak/>
        <w:t>associated with huge provisioning of non-performing loans which is an expense and therefore reduces bank profits (Bawa &amp; Basu, 2020). Segura and Suarez (2023) maintained that the reasons for asset restructuring is to raise fresh finance, to write off unrecognized expenditure, to maintain debt-equity ratio, to wipe out accumulated losses, reorganizing the capital for achieving better efficiency, to provide respectable exit mechanism for shareholders in the time of depressed markets by providing them liquidity through buy back and for correction of over capitalization.</w:t>
      </w:r>
    </w:p>
    <w:p w14:paraId="0BCD510F" w14:textId="77777777" w:rsidR="003C3C24" w:rsidRPr="00CE4EF5" w:rsidRDefault="003C3C24" w:rsidP="003C3C24">
      <w:pPr>
        <w:pStyle w:val="AbstHead"/>
        <w:spacing w:after="0"/>
        <w:jc w:val="both"/>
        <w:rPr>
          <w:rFonts w:ascii="Arial" w:hAnsi="Arial" w:cs="Arial"/>
          <w:b w:val="0"/>
          <w:bCs/>
          <w:caps w:val="0"/>
          <w:sz w:val="20"/>
        </w:rPr>
      </w:pPr>
    </w:p>
    <w:p w14:paraId="15766A87" w14:textId="38E43EFC" w:rsidR="00CE4EF5" w:rsidRPr="003C3C24" w:rsidRDefault="00CE4EF5" w:rsidP="003C3C24">
      <w:pPr>
        <w:pStyle w:val="AbstHead"/>
        <w:spacing w:after="0"/>
        <w:jc w:val="both"/>
        <w:rPr>
          <w:rFonts w:ascii="Arial" w:hAnsi="Arial" w:cs="Arial"/>
          <w:caps w:val="0"/>
          <w:sz w:val="20"/>
        </w:rPr>
      </w:pPr>
      <w:r w:rsidRPr="003C3C24">
        <w:rPr>
          <w:rFonts w:ascii="Arial" w:hAnsi="Arial" w:cs="Arial"/>
          <w:caps w:val="0"/>
          <w:sz w:val="20"/>
        </w:rPr>
        <w:t>Capital Restructuring</w:t>
      </w:r>
    </w:p>
    <w:p w14:paraId="05CC03F9" w14:textId="7AE175FC" w:rsidR="00CE4EF5" w:rsidRDefault="00CE4EF5" w:rsidP="003C3C24">
      <w:pPr>
        <w:pStyle w:val="AbstHead"/>
        <w:spacing w:after="0"/>
        <w:jc w:val="both"/>
        <w:rPr>
          <w:rFonts w:ascii="Arial" w:hAnsi="Arial" w:cs="Arial"/>
          <w:b w:val="0"/>
          <w:bCs/>
          <w:caps w:val="0"/>
          <w:sz w:val="20"/>
        </w:rPr>
      </w:pPr>
      <w:r w:rsidRPr="00CE4EF5">
        <w:rPr>
          <w:rFonts w:ascii="Arial" w:hAnsi="Arial" w:cs="Arial"/>
          <w:b w:val="0"/>
          <w:bCs/>
          <w:caps w:val="0"/>
          <w:sz w:val="20"/>
        </w:rPr>
        <w:t>Capital restructuring of banks refers to the process of reorganizing a bank’s capital structure in order to enhance financial stability, optimize profitability, and ensure compliance with regulatory requirements. Capital restructuring typically involves adjusting the mix of debt and equity, altering the sources of capital, and making strategic changes to improve the bank’s financial position (</w:t>
      </w:r>
      <w:proofErr w:type="spellStart"/>
      <w:r w:rsidRPr="00CE4EF5">
        <w:rPr>
          <w:rFonts w:ascii="Arial" w:hAnsi="Arial" w:cs="Arial"/>
          <w:b w:val="0"/>
          <w:bCs/>
          <w:caps w:val="0"/>
          <w:sz w:val="20"/>
        </w:rPr>
        <w:t>Obadire</w:t>
      </w:r>
      <w:proofErr w:type="spellEnd"/>
      <w:r w:rsidRPr="00CE4EF5">
        <w:rPr>
          <w:rFonts w:ascii="Arial" w:hAnsi="Arial" w:cs="Arial"/>
          <w:b w:val="0"/>
          <w:bCs/>
          <w:caps w:val="0"/>
          <w:sz w:val="20"/>
        </w:rPr>
        <w:t xml:space="preserve">, Moyo, &amp; </w:t>
      </w:r>
      <w:proofErr w:type="spellStart"/>
      <w:r w:rsidRPr="00CE4EF5">
        <w:rPr>
          <w:rFonts w:ascii="Arial" w:hAnsi="Arial" w:cs="Arial"/>
          <w:b w:val="0"/>
          <w:bCs/>
          <w:caps w:val="0"/>
          <w:sz w:val="20"/>
        </w:rPr>
        <w:t>Munzhelele</w:t>
      </w:r>
      <w:proofErr w:type="spellEnd"/>
      <w:r w:rsidRPr="00CE4EF5">
        <w:rPr>
          <w:rFonts w:ascii="Arial" w:hAnsi="Arial" w:cs="Arial"/>
          <w:b w:val="0"/>
          <w:bCs/>
          <w:caps w:val="0"/>
          <w:sz w:val="20"/>
        </w:rPr>
        <w:t xml:space="preserve">, 2023). According to Kithinji (2019), capital restructuring involves increasing the financial Position of the banking industry by modifying the capital base of the banking industry. Most times, shareholders may direct managers to inject capital in the banking industry and sometime the government may institute a bailout strategy to ailing banks.  This focuses on banks undergoing a period of unexpected financial or operational turbulence. This was evidenced during the recapitalization exercise in Nigeria (Izu, </w:t>
      </w:r>
      <w:proofErr w:type="spellStart"/>
      <w:r w:rsidRPr="00CE4EF5">
        <w:rPr>
          <w:rFonts w:ascii="Arial" w:hAnsi="Arial" w:cs="Arial"/>
          <w:b w:val="0"/>
          <w:bCs/>
          <w:caps w:val="0"/>
          <w:sz w:val="20"/>
        </w:rPr>
        <w:t>Sheidu</w:t>
      </w:r>
      <w:proofErr w:type="spellEnd"/>
      <w:r w:rsidRPr="00CE4EF5">
        <w:rPr>
          <w:rFonts w:ascii="Arial" w:hAnsi="Arial" w:cs="Arial"/>
          <w:b w:val="0"/>
          <w:bCs/>
          <w:caps w:val="0"/>
          <w:sz w:val="20"/>
        </w:rPr>
        <w:t xml:space="preserve">, &amp; Sule, 2024). Several strategies can be employed for capital restructuring in banks, including: Mergers and Acquisitions (M&amp;A), Rights Issues and Public Offerings, Government Bailouts or Support, Hybrid instruments (Cookey, </w:t>
      </w:r>
      <w:proofErr w:type="spellStart"/>
      <w:r w:rsidRPr="00CE4EF5">
        <w:rPr>
          <w:rFonts w:ascii="Arial" w:hAnsi="Arial" w:cs="Arial"/>
          <w:b w:val="0"/>
          <w:bCs/>
          <w:caps w:val="0"/>
          <w:sz w:val="20"/>
        </w:rPr>
        <w:t>Nwanyanwu</w:t>
      </w:r>
      <w:proofErr w:type="spellEnd"/>
      <w:r w:rsidRPr="00CE4EF5">
        <w:rPr>
          <w:rFonts w:ascii="Arial" w:hAnsi="Arial" w:cs="Arial"/>
          <w:b w:val="0"/>
          <w:bCs/>
          <w:caps w:val="0"/>
          <w:sz w:val="20"/>
        </w:rPr>
        <w:t xml:space="preserve">, &amp; </w:t>
      </w:r>
      <w:proofErr w:type="spellStart"/>
      <w:r w:rsidRPr="00CE4EF5">
        <w:rPr>
          <w:rFonts w:ascii="Arial" w:hAnsi="Arial" w:cs="Arial"/>
          <w:b w:val="0"/>
          <w:bCs/>
          <w:caps w:val="0"/>
          <w:sz w:val="20"/>
        </w:rPr>
        <w:t>Igbara</w:t>
      </w:r>
      <w:proofErr w:type="spellEnd"/>
      <w:r w:rsidRPr="00CE4EF5">
        <w:rPr>
          <w:rFonts w:ascii="Arial" w:hAnsi="Arial" w:cs="Arial"/>
          <w:b w:val="0"/>
          <w:bCs/>
          <w:caps w:val="0"/>
          <w:sz w:val="20"/>
        </w:rPr>
        <w:t>, 2023).</w:t>
      </w:r>
    </w:p>
    <w:p w14:paraId="04E37BF3" w14:textId="77777777" w:rsidR="003C3C24" w:rsidRPr="003C3C24" w:rsidRDefault="003C3C24" w:rsidP="003C3C24">
      <w:pPr>
        <w:autoSpaceDE w:val="0"/>
        <w:autoSpaceDN w:val="0"/>
        <w:adjustRightInd w:val="0"/>
        <w:spacing w:before="120" w:line="360" w:lineRule="auto"/>
        <w:jc w:val="both"/>
        <w:rPr>
          <w:rFonts w:ascii="Arial" w:eastAsia="Calibri" w:hAnsi="Arial" w:cs="Arial"/>
          <w:bCs/>
          <w:color w:val="000000"/>
        </w:rPr>
      </w:pPr>
      <w:r w:rsidRPr="003C3C24">
        <w:rPr>
          <w:rFonts w:ascii="Arial" w:eastAsia="Calibri" w:hAnsi="Arial" w:cs="Arial"/>
          <w:b/>
          <w:bCs/>
          <w:color w:val="000000"/>
        </w:rPr>
        <w:t>Financial Position</w:t>
      </w:r>
    </w:p>
    <w:p w14:paraId="13E22F47" w14:textId="2616D5D2" w:rsidR="00CE4EF5" w:rsidRPr="003C3C24" w:rsidRDefault="003C3C24" w:rsidP="003C3C24">
      <w:pPr>
        <w:pStyle w:val="AbstHead"/>
        <w:spacing w:after="0"/>
        <w:jc w:val="both"/>
        <w:rPr>
          <w:rFonts w:ascii="Arial" w:hAnsi="Arial" w:cs="Arial"/>
          <w:b w:val="0"/>
          <w:bCs/>
          <w:sz w:val="20"/>
        </w:rPr>
      </w:pPr>
      <w:r w:rsidRPr="003C3C24">
        <w:rPr>
          <w:rFonts w:ascii="Arial" w:eastAsia="Calibri" w:hAnsi="Arial" w:cs="Arial"/>
          <w:b w:val="0"/>
          <w:caps w:val="0"/>
          <w:kern w:val="2"/>
          <w:sz w:val="20"/>
        </w:rPr>
        <w:t xml:space="preserve">Financial Position accounts for the solvency of financial institutions, their liquidity positions, as well as their credit risk exposure. In other words, financial Position accounts for the extent to which the system withstands unplanned future occurrences (Putri &amp; </w:t>
      </w:r>
      <w:proofErr w:type="spellStart"/>
      <w:r w:rsidRPr="003C3C24">
        <w:rPr>
          <w:rFonts w:ascii="Arial" w:eastAsia="Calibri" w:hAnsi="Arial" w:cs="Arial"/>
          <w:b w:val="0"/>
          <w:caps w:val="0"/>
          <w:kern w:val="2"/>
          <w:sz w:val="20"/>
        </w:rPr>
        <w:t>Kusmila</w:t>
      </w:r>
      <w:proofErr w:type="spellEnd"/>
      <w:r w:rsidRPr="003C3C24">
        <w:rPr>
          <w:rFonts w:ascii="Arial" w:eastAsia="Calibri" w:hAnsi="Arial" w:cs="Arial"/>
          <w:b w:val="0"/>
          <w:caps w:val="0"/>
          <w:kern w:val="2"/>
          <w:sz w:val="20"/>
        </w:rPr>
        <w:t>, 2023).  To quantify financial Position, this research employed the Z-Score.   The Z-Score is a more comprehensive measure of financial Position than other measures of financial Position in that it combines information on financial leverage (equity to assets) of the industry alongside its performance (return on assets) and associated financial risk (standard deviation of return on assets) in a bid to more fully approximate the likelihood of insolvency in the banking sector (Kumar et al., 2023). This therefore indicates that a higher Z-score implies lower probability of bank insolvency or greater banking stability as the case may be.  However, lower Z-score implies higher probability of bank insolvency or lower banking stability as the case may be. This is because it is inversely related to the probability of bank insolvency (Patra et al., 2023).</w:t>
      </w:r>
    </w:p>
    <w:p w14:paraId="62677B0E" w14:textId="764572BA" w:rsidR="007F7B32" w:rsidRDefault="00CE4EF5" w:rsidP="00441B6F">
      <w:pPr>
        <w:pStyle w:val="AbstHead"/>
        <w:spacing w:after="0"/>
        <w:jc w:val="both"/>
        <w:rPr>
          <w:rFonts w:ascii="Arial" w:hAnsi="Arial" w:cs="Arial"/>
        </w:rPr>
      </w:pPr>
      <w:r>
        <w:rPr>
          <w:rFonts w:ascii="Arial" w:hAnsi="Arial" w:cs="Arial"/>
        </w:rPr>
        <w:t>3</w:t>
      </w:r>
      <w:r w:rsidR="00902823">
        <w:rPr>
          <w:rFonts w:ascii="Arial" w:hAnsi="Arial" w:cs="Arial"/>
        </w:rPr>
        <w:t xml:space="preserve">. </w:t>
      </w:r>
      <w:r w:rsidR="00EE4E49">
        <w:rPr>
          <w:rFonts w:ascii="Arial" w:hAnsi="Arial" w:cs="Arial"/>
        </w:rPr>
        <w:t xml:space="preserve">RESEACH </w:t>
      </w:r>
      <w:r w:rsidR="006B57D0">
        <w:rPr>
          <w:rFonts w:ascii="Arial" w:hAnsi="Arial" w:cs="Arial"/>
        </w:rPr>
        <w:t>methodology</w:t>
      </w:r>
      <w:r w:rsidR="007F7B32">
        <w:rPr>
          <w:rFonts w:ascii="Arial" w:hAnsi="Arial" w:cs="Arial"/>
        </w:rPr>
        <w:t xml:space="preserve"> </w:t>
      </w:r>
    </w:p>
    <w:p w14:paraId="36E8B7E1" w14:textId="77777777" w:rsidR="00790ADA" w:rsidRPr="00FB3A86" w:rsidRDefault="00790ADA" w:rsidP="00441B6F">
      <w:pPr>
        <w:pStyle w:val="AbstHead"/>
        <w:spacing w:after="0"/>
        <w:jc w:val="both"/>
        <w:rPr>
          <w:rFonts w:ascii="Arial" w:hAnsi="Arial" w:cs="Arial"/>
        </w:rPr>
      </w:pPr>
    </w:p>
    <w:p w14:paraId="6284A0C9" w14:textId="68AACDDE" w:rsidR="00EE4E49" w:rsidRPr="00EE4E49" w:rsidRDefault="00EE4E49" w:rsidP="00EE4E49">
      <w:pPr>
        <w:pStyle w:val="Body"/>
        <w:rPr>
          <w:rFonts w:ascii="Arial" w:hAnsi="Arial" w:cs="Arial"/>
        </w:rPr>
      </w:pPr>
      <w:r w:rsidRPr="00EE4E49">
        <w:rPr>
          <w:rFonts w:ascii="Arial" w:hAnsi="Arial" w:cs="Arial"/>
        </w:rPr>
        <w:t xml:space="preserve">This study adopted the Ex post facto research design. The choice for this design was informed on the fact that the data under study have occurred in retrospect and as a result, it is very difficult for one to manipulate its outcomes. More so, this research design is amenable for studies in that it deals with cause-and-effect relationship. </w:t>
      </w:r>
    </w:p>
    <w:p w14:paraId="01BE405C" w14:textId="62089A95" w:rsidR="00EE4E49" w:rsidRPr="00EE4E49" w:rsidRDefault="00EE4E49" w:rsidP="00EE4E49">
      <w:pPr>
        <w:pStyle w:val="Body"/>
        <w:rPr>
          <w:rFonts w:ascii="Arial" w:hAnsi="Arial" w:cs="Arial"/>
        </w:rPr>
      </w:pPr>
      <w:r w:rsidRPr="00EE4E49">
        <w:rPr>
          <w:rFonts w:ascii="Arial" w:hAnsi="Arial" w:cs="Arial"/>
        </w:rPr>
        <w:t>This research covered the twenty-one banks quoted on the floor of the Nigerian Exchange Group. However, the sample size of the study is only concerned to Eight quoted DMBs. The selected DMBs include: Access Bank Nigeria Plc, Fidelity Bank Nigeria Plc, First City Monument Bank Limited; Guaranty Trust Bank Plc; United Bank for Africa Plc; Zenith Bank Nigeria Plc, Eco Bank Nigeria Plc and Wema Nigeria Plc. The choice of the selected DMBs lies in the fact that they are acclaimed to be financially resilient. The study spanned a period of 14 years from 2010 to 2023.</w:t>
      </w:r>
    </w:p>
    <w:p w14:paraId="78071C02" w14:textId="1A5EBF09" w:rsidR="00EE4E49" w:rsidRPr="00EE4E49" w:rsidRDefault="00EE4E49" w:rsidP="00EE4E49">
      <w:pPr>
        <w:pStyle w:val="Body"/>
        <w:rPr>
          <w:rFonts w:ascii="Arial" w:hAnsi="Arial" w:cs="Arial"/>
        </w:rPr>
      </w:pPr>
      <w:r w:rsidRPr="00EE4E49">
        <w:rPr>
          <w:rFonts w:ascii="Arial" w:hAnsi="Arial" w:cs="Arial"/>
        </w:rPr>
        <w:lastRenderedPageBreak/>
        <w:t>This study employed the secondary source of data collection. The justification for the use of secondary data is based on the reason that this study is quantitative research, which tries to find out an after-math effect of the regressors against the regressed. Accordingly, relevant data were gotten from audited annual financial reports of the DMBs under study</w:t>
      </w:r>
    </w:p>
    <w:p w14:paraId="477D2C01" w14:textId="2C7764A2" w:rsidR="00EE4E49" w:rsidRPr="00EE4E49" w:rsidRDefault="00EE4E49" w:rsidP="00EE4E49">
      <w:pPr>
        <w:pStyle w:val="Body"/>
        <w:rPr>
          <w:rFonts w:ascii="Arial" w:hAnsi="Arial" w:cs="Arial"/>
        </w:rPr>
      </w:pPr>
      <w:r w:rsidRPr="00EE4E49">
        <w:rPr>
          <w:rFonts w:ascii="Arial" w:hAnsi="Arial" w:cs="Arial"/>
        </w:rPr>
        <w:t>The study adopted the multiple regression analysis. In order to check for endogeneity, the study employed the Hausman specification test. This test is necessary given that there is a tradeoff between fixed effect and random effect model. Additional robustness tests adopted in this research includes the test for multi-collinearity using the Variance Inflation Factor (VIF) and the Breusch-Pagan test for Heteroskedasticity, to check for the fitness of model and reliability of findings.</w:t>
      </w:r>
    </w:p>
    <w:p w14:paraId="280DF9BB" w14:textId="77777777" w:rsidR="00EE4E49" w:rsidRPr="00EE4E49" w:rsidRDefault="00EE4E49" w:rsidP="00EE4E49">
      <w:pPr>
        <w:pStyle w:val="Body"/>
        <w:rPr>
          <w:rFonts w:ascii="Arial" w:hAnsi="Arial" w:cs="Arial"/>
        </w:rPr>
      </w:pPr>
      <w:r w:rsidRPr="00EE4E49">
        <w:rPr>
          <w:rFonts w:ascii="Arial" w:hAnsi="Arial" w:cs="Arial"/>
        </w:rPr>
        <w:t xml:space="preserve">This study examined the effect of corporate restructuring (financial, operational, asset, and capital restructuring) on financial Position (Z-Score) of quoted DMBs in Nigeria. Based on the foregoing, the Panel Least Square Estimates (PLSE) was used for the purpose of predicting the regressed variable Yit given the regressor variable(s) </w:t>
      </w:r>
      <w:proofErr w:type="spellStart"/>
      <w:r w:rsidRPr="00EE4E49">
        <w:rPr>
          <w:rFonts w:ascii="Arial" w:hAnsi="Arial" w:cs="Arial"/>
        </w:rPr>
        <w:t>Xit</w:t>
      </w:r>
      <w:proofErr w:type="spellEnd"/>
      <w:r w:rsidRPr="00EE4E49">
        <w:rPr>
          <w:rFonts w:ascii="Arial" w:hAnsi="Arial" w:cs="Arial"/>
        </w:rPr>
        <w:t xml:space="preserve"> </w:t>
      </w:r>
    </w:p>
    <w:p w14:paraId="748E8D8D" w14:textId="77777777" w:rsidR="008418A2" w:rsidRPr="008418A2" w:rsidRDefault="008418A2" w:rsidP="008418A2">
      <w:pPr>
        <w:pStyle w:val="BodyTextIndent"/>
        <w:spacing w:before="120"/>
        <w:jc w:val="both"/>
        <w:rPr>
          <w:rFonts w:ascii="Arial" w:hAnsi="Arial" w:cs="Arial"/>
        </w:rPr>
      </w:pPr>
      <w:r w:rsidRPr="008418A2">
        <w:rPr>
          <w:rFonts w:ascii="Arial" w:hAnsi="Arial" w:cs="Arial"/>
        </w:rPr>
        <w:t xml:space="preserve">Where </w:t>
      </w:r>
      <w:proofErr w:type="spellStart"/>
      <w:r w:rsidRPr="008418A2">
        <w:rPr>
          <w:rFonts w:ascii="Arial" w:hAnsi="Arial" w:cs="Arial"/>
        </w:rPr>
        <w:t>i</w:t>
      </w:r>
      <w:proofErr w:type="spellEnd"/>
      <w:r w:rsidRPr="008418A2">
        <w:rPr>
          <w:rFonts w:ascii="Arial" w:hAnsi="Arial" w:cs="Arial"/>
        </w:rPr>
        <w:t>=</w:t>
      </w:r>
      <w:proofErr w:type="gramStart"/>
      <w:r w:rsidRPr="008418A2">
        <w:rPr>
          <w:rFonts w:ascii="Arial" w:hAnsi="Arial" w:cs="Arial"/>
        </w:rPr>
        <w:t>1,2,…</w:t>
      </w:r>
      <w:proofErr w:type="gramEnd"/>
      <w:r w:rsidRPr="008418A2">
        <w:rPr>
          <w:rFonts w:ascii="Arial" w:hAnsi="Arial" w:cs="Arial"/>
        </w:rPr>
        <w:t>,n, t=</w:t>
      </w:r>
      <w:proofErr w:type="gramStart"/>
      <w:r w:rsidRPr="008418A2">
        <w:rPr>
          <w:rFonts w:ascii="Arial" w:hAnsi="Arial" w:cs="Arial"/>
        </w:rPr>
        <w:t>1,2,….,T.</w:t>
      </w:r>
      <w:proofErr w:type="gramEnd"/>
      <w:r w:rsidRPr="008418A2">
        <w:rPr>
          <w:rFonts w:ascii="Arial" w:hAnsi="Arial" w:cs="Arial"/>
        </w:rPr>
        <w:t xml:space="preserve"> </w:t>
      </w:r>
    </w:p>
    <w:p w14:paraId="1BD94F7D" w14:textId="77777777" w:rsidR="008418A2" w:rsidRPr="008418A2" w:rsidRDefault="008418A2" w:rsidP="008418A2">
      <w:pPr>
        <w:pStyle w:val="BodyTextIndent"/>
        <w:spacing w:before="120"/>
        <w:jc w:val="both"/>
        <w:rPr>
          <w:rFonts w:ascii="Arial" w:hAnsi="Arial" w:cs="Arial"/>
        </w:rPr>
      </w:pPr>
      <w:r w:rsidRPr="008418A2">
        <w:rPr>
          <w:rFonts w:ascii="Arial" w:hAnsi="Arial" w:cs="Arial"/>
        </w:rPr>
        <w:t>The Panel regression model is functionally specified as:</w:t>
      </w:r>
    </w:p>
    <w:p w14:paraId="7ACB2C39" w14:textId="77777777" w:rsidR="008418A2" w:rsidRPr="008418A2" w:rsidRDefault="008418A2" w:rsidP="008418A2">
      <w:pPr>
        <w:pStyle w:val="BodyTextIndent"/>
        <w:spacing w:before="120"/>
        <w:jc w:val="both"/>
        <w:rPr>
          <w:rFonts w:ascii="Arial" w:hAnsi="Arial" w:cs="Arial"/>
        </w:rPr>
      </w:pPr>
      <w:proofErr w:type="spellStart"/>
      <w:r w:rsidRPr="008418A2">
        <w:rPr>
          <w:rFonts w:ascii="Arial" w:hAnsi="Arial" w:cs="Arial"/>
        </w:rPr>
        <w:t>FIRE</w:t>
      </w:r>
      <w:r w:rsidRPr="008418A2">
        <w:rPr>
          <w:rFonts w:ascii="Arial" w:hAnsi="Arial" w:cs="Arial"/>
          <w:vertAlign w:val="subscript"/>
        </w:rPr>
        <w:t>it</w:t>
      </w:r>
      <w:proofErr w:type="spellEnd"/>
      <w:r w:rsidRPr="008418A2">
        <w:rPr>
          <w:rFonts w:ascii="Arial" w:hAnsi="Arial" w:cs="Arial"/>
        </w:rPr>
        <w:t xml:space="preserve">= </w:t>
      </w:r>
      <w:proofErr w:type="gramStart"/>
      <w:r w:rsidRPr="008418A2">
        <w:rPr>
          <w:rFonts w:ascii="Arial" w:hAnsi="Arial" w:cs="Arial"/>
        </w:rPr>
        <w:t>f(</w:t>
      </w:r>
      <w:proofErr w:type="spellStart"/>
      <w:proofErr w:type="gramEnd"/>
      <w:r w:rsidRPr="008418A2">
        <w:rPr>
          <w:rFonts w:ascii="Arial" w:hAnsi="Arial" w:cs="Arial"/>
        </w:rPr>
        <w:t>FINR</w:t>
      </w:r>
      <w:r w:rsidRPr="008418A2">
        <w:rPr>
          <w:rFonts w:ascii="Arial" w:hAnsi="Arial" w:cs="Arial"/>
          <w:vertAlign w:val="subscript"/>
        </w:rPr>
        <w:t>it</w:t>
      </w:r>
      <w:proofErr w:type="spellEnd"/>
      <w:r w:rsidRPr="008418A2">
        <w:rPr>
          <w:rFonts w:ascii="Arial" w:hAnsi="Arial" w:cs="Arial"/>
        </w:rPr>
        <w:t xml:space="preserve">, </w:t>
      </w:r>
      <w:proofErr w:type="spellStart"/>
      <w:r w:rsidRPr="008418A2">
        <w:rPr>
          <w:rFonts w:ascii="Arial" w:hAnsi="Arial" w:cs="Arial"/>
        </w:rPr>
        <w:t>OPR</w:t>
      </w:r>
      <w:r w:rsidRPr="008418A2">
        <w:rPr>
          <w:rFonts w:ascii="Arial" w:hAnsi="Arial" w:cs="Arial"/>
          <w:vertAlign w:val="subscript"/>
        </w:rPr>
        <w:t>it</w:t>
      </w:r>
      <w:proofErr w:type="spellEnd"/>
      <w:r w:rsidRPr="008418A2">
        <w:rPr>
          <w:rFonts w:ascii="Arial" w:hAnsi="Arial" w:cs="Arial"/>
        </w:rPr>
        <w:t xml:space="preserve">, </w:t>
      </w:r>
      <w:proofErr w:type="spellStart"/>
      <w:r w:rsidRPr="008418A2">
        <w:rPr>
          <w:rFonts w:ascii="Arial" w:hAnsi="Arial" w:cs="Arial"/>
        </w:rPr>
        <w:t>ASSR</w:t>
      </w:r>
      <w:r w:rsidRPr="008418A2">
        <w:rPr>
          <w:rFonts w:ascii="Arial" w:hAnsi="Arial" w:cs="Arial"/>
          <w:vertAlign w:val="subscript"/>
        </w:rPr>
        <w:t>it</w:t>
      </w:r>
      <w:proofErr w:type="spellEnd"/>
      <w:r w:rsidRPr="008418A2">
        <w:rPr>
          <w:rFonts w:ascii="Arial" w:hAnsi="Arial" w:cs="Arial"/>
        </w:rPr>
        <w:t xml:space="preserve">, </w:t>
      </w:r>
      <w:proofErr w:type="gramStart"/>
      <w:r w:rsidRPr="008418A2">
        <w:rPr>
          <w:rFonts w:ascii="Arial" w:hAnsi="Arial" w:cs="Arial"/>
        </w:rPr>
        <w:t>CAR</w:t>
      </w:r>
      <w:r w:rsidRPr="008418A2">
        <w:rPr>
          <w:rFonts w:ascii="Arial" w:hAnsi="Arial" w:cs="Arial"/>
          <w:vertAlign w:val="subscript"/>
        </w:rPr>
        <w:t>it</w:t>
      </w:r>
      <w:r w:rsidRPr="008418A2">
        <w:rPr>
          <w:rFonts w:ascii="Arial" w:hAnsi="Arial" w:cs="Arial"/>
        </w:rPr>
        <w:t>)-----------------------------------------------------</w:t>
      </w:r>
      <w:proofErr w:type="gramEnd"/>
      <w:r w:rsidRPr="008418A2">
        <w:rPr>
          <w:rFonts w:ascii="Arial" w:hAnsi="Arial" w:cs="Arial"/>
        </w:rPr>
        <w:t>1</w:t>
      </w:r>
    </w:p>
    <w:p w14:paraId="5F6C814A" w14:textId="77777777" w:rsidR="008418A2" w:rsidRPr="008418A2" w:rsidRDefault="008418A2" w:rsidP="008418A2">
      <w:pPr>
        <w:pStyle w:val="BodyTextIndent"/>
        <w:spacing w:before="120"/>
        <w:jc w:val="both"/>
        <w:rPr>
          <w:rFonts w:ascii="Arial" w:hAnsi="Arial" w:cs="Arial"/>
        </w:rPr>
      </w:pPr>
      <w:r w:rsidRPr="008418A2">
        <w:rPr>
          <w:rFonts w:ascii="Arial" w:hAnsi="Arial" w:cs="Arial"/>
        </w:rPr>
        <w:t>Where;</w:t>
      </w:r>
    </w:p>
    <w:p w14:paraId="60A8D404" w14:textId="77777777" w:rsidR="008418A2" w:rsidRPr="008418A2" w:rsidRDefault="008418A2" w:rsidP="008418A2">
      <w:pPr>
        <w:pStyle w:val="BodyTextIndent"/>
        <w:spacing w:before="120"/>
        <w:jc w:val="both"/>
        <w:rPr>
          <w:rFonts w:ascii="Arial" w:hAnsi="Arial" w:cs="Arial"/>
        </w:rPr>
      </w:pPr>
      <w:r w:rsidRPr="008418A2">
        <w:rPr>
          <w:rFonts w:ascii="Arial" w:hAnsi="Arial" w:cs="Arial"/>
        </w:rPr>
        <w:t xml:space="preserve"> </w:t>
      </w:r>
      <w:proofErr w:type="spellStart"/>
      <w:r w:rsidRPr="008418A2">
        <w:rPr>
          <w:rFonts w:ascii="Arial" w:hAnsi="Arial" w:cs="Arial"/>
        </w:rPr>
        <w:t>i</w:t>
      </w:r>
      <w:proofErr w:type="spellEnd"/>
      <w:r w:rsidRPr="008418A2">
        <w:rPr>
          <w:rFonts w:ascii="Arial" w:hAnsi="Arial" w:cs="Arial"/>
        </w:rPr>
        <w:t xml:space="preserve"> = 1, </w:t>
      </w:r>
      <w:proofErr w:type="gramStart"/>
      <w:r w:rsidRPr="008418A2">
        <w:rPr>
          <w:rFonts w:ascii="Arial" w:hAnsi="Arial" w:cs="Arial"/>
        </w:rPr>
        <w:t>2,..</w:t>
      </w:r>
      <w:proofErr w:type="gramEnd"/>
      <w:r w:rsidRPr="008418A2">
        <w:rPr>
          <w:rFonts w:ascii="Arial" w:hAnsi="Arial" w:cs="Arial"/>
        </w:rPr>
        <w:t xml:space="preserve">, is the individual (banks) index t = 1, 2, ..., 13 is the time index </w:t>
      </w:r>
    </w:p>
    <w:p w14:paraId="47DA7904" w14:textId="77777777" w:rsidR="008418A2" w:rsidRPr="008418A2" w:rsidRDefault="008418A2" w:rsidP="008418A2">
      <w:pPr>
        <w:pStyle w:val="BodyTextIndent"/>
        <w:spacing w:before="120"/>
        <w:jc w:val="both"/>
        <w:rPr>
          <w:rFonts w:ascii="Arial" w:hAnsi="Arial" w:cs="Arial"/>
        </w:rPr>
      </w:pPr>
      <w:r w:rsidRPr="008418A2">
        <w:rPr>
          <w:rFonts w:ascii="Arial" w:hAnsi="Arial" w:cs="Arial"/>
        </w:rPr>
        <w:t>FIRE</w:t>
      </w:r>
      <w:r w:rsidRPr="008418A2">
        <w:rPr>
          <w:rFonts w:ascii="Arial" w:hAnsi="Arial" w:cs="Arial"/>
        </w:rPr>
        <w:tab/>
        <w:t>=</w:t>
      </w:r>
      <w:r w:rsidRPr="008418A2">
        <w:rPr>
          <w:rFonts w:ascii="Arial" w:hAnsi="Arial" w:cs="Arial"/>
        </w:rPr>
        <w:tab/>
        <w:t>Financial Position</w:t>
      </w:r>
    </w:p>
    <w:p w14:paraId="236166F2" w14:textId="77777777" w:rsidR="008418A2" w:rsidRPr="008418A2" w:rsidRDefault="008418A2" w:rsidP="008418A2">
      <w:pPr>
        <w:pStyle w:val="BodyTextIndent"/>
        <w:spacing w:before="120"/>
        <w:jc w:val="both"/>
        <w:rPr>
          <w:rFonts w:ascii="Arial" w:hAnsi="Arial" w:cs="Arial"/>
        </w:rPr>
      </w:pPr>
      <w:r w:rsidRPr="008418A2">
        <w:rPr>
          <w:rFonts w:ascii="Arial" w:hAnsi="Arial" w:cs="Arial"/>
        </w:rPr>
        <w:t>FINR</w:t>
      </w:r>
      <w:r w:rsidRPr="008418A2">
        <w:rPr>
          <w:rFonts w:ascii="Arial" w:hAnsi="Arial" w:cs="Arial"/>
        </w:rPr>
        <w:tab/>
        <w:t>=</w:t>
      </w:r>
      <w:r w:rsidRPr="008418A2">
        <w:rPr>
          <w:rFonts w:ascii="Arial" w:hAnsi="Arial" w:cs="Arial"/>
        </w:rPr>
        <w:tab/>
        <w:t xml:space="preserve">Financial Restructuring </w:t>
      </w:r>
    </w:p>
    <w:p w14:paraId="6AB7193E" w14:textId="77777777" w:rsidR="008418A2" w:rsidRPr="008418A2" w:rsidRDefault="008418A2" w:rsidP="008418A2">
      <w:pPr>
        <w:pStyle w:val="BodyTextIndent"/>
        <w:spacing w:before="120"/>
        <w:jc w:val="both"/>
        <w:rPr>
          <w:rFonts w:ascii="Arial" w:hAnsi="Arial" w:cs="Arial"/>
        </w:rPr>
      </w:pPr>
      <w:r w:rsidRPr="008418A2">
        <w:rPr>
          <w:rFonts w:ascii="Arial" w:hAnsi="Arial" w:cs="Arial"/>
        </w:rPr>
        <w:t>OPR</w:t>
      </w:r>
      <w:r w:rsidRPr="008418A2">
        <w:rPr>
          <w:rFonts w:ascii="Arial" w:hAnsi="Arial" w:cs="Arial"/>
        </w:rPr>
        <w:tab/>
        <w:t>=</w:t>
      </w:r>
      <w:r w:rsidRPr="008418A2">
        <w:rPr>
          <w:rFonts w:ascii="Arial" w:hAnsi="Arial" w:cs="Arial"/>
        </w:rPr>
        <w:tab/>
        <w:t xml:space="preserve">Operational Restructuring </w:t>
      </w:r>
    </w:p>
    <w:p w14:paraId="0D505CBB" w14:textId="77777777" w:rsidR="008418A2" w:rsidRPr="008418A2" w:rsidRDefault="008418A2" w:rsidP="008418A2">
      <w:pPr>
        <w:pStyle w:val="BodyTextIndent"/>
        <w:spacing w:before="120"/>
        <w:jc w:val="both"/>
        <w:rPr>
          <w:rFonts w:ascii="Arial" w:hAnsi="Arial" w:cs="Arial"/>
        </w:rPr>
      </w:pPr>
      <w:r w:rsidRPr="008418A2">
        <w:rPr>
          <w:rFonts w:ascii="Arial" w:hAnsi="Arial" w:cs="Arial"/>
        </w:rPr>
        <w:t>ASSR</w:t>
      </w:r>
      <w:r w:rsidRPr="008418A2">
        <w:rPr>
          <w:rFonts w:ascii="Arial" w:hAnsi="Arial" w:cs="Arial"/>
        </w:rPr>
        <w:tab/>
        <w:t>=</w:t>
      </w:r>
      <w:r w:rsidRPr="008418A2">
        <w:rPr>
          <w:rFonts w:ascii="Arial" w:hAnsi="Arial" w:cs="Arial"/>
        </w:rPr>
        <w:tab/>
        <w:t>Asset Restructuring</w:t>
      </w:r>
    </w:p>
    <w:p w14:paraId="5F02396A" w14:textId="77777777" w:rsidR="008418A2" w:rsidRPr="008418A2" w:rsidRDefault="008418A2" w:rsidP="008418A2">
      <w:pPr>
        <w:pStyle w:val="BodyTextIndent"/>
        <w:spacing w:before="120"/>
        <w:jc w:val="both"/>
        <w:rPr>
          <w:rFonts w:ascii="Arial" w:hAnsi="Arial" w:cs="Arial"/>
        </w:rPr>
      </w:pPr>
      <w:r w:rsidRPr="008418A2">
        <w:rPr>
          <w:rFonts w:ascii="Arial" w:hAnsi="Arial" w:cs="Arial"/>
        </w:rPr>
        <w:t>CAR</w:t>
      </w:r>
      <w:r w:rsidRPr="008418A2">
        <w:rPr>
          <w:rFonts w:ascii="Arial" w:hAnsi="Arial" w:cs="Arial"/>
        </w:rPr>
        <w:tab/>
        <w:t>=</w:t>
      </w:r>
      <w:r w:rsidRPr="008418A2">
        <w:rPr>
          <w:rFonts w:ascii="Arial" w:hAnsi="Arial" w:cs="Arial"/>
        </w:rPr>
        <w:tab/>
        <w:t>Capital Restructuring</w:t>
      </w:r>
    </w:p>
    <w:p w14:paraId="73617C49" w14:textId="77777777" w:rsidR="008418A2" w:rsidRPr="008418A2" w:rsidRDefault="008418A2" w:rsidP="008418A2">
      <w:pPr>
        <w:pStyle w:val="BodyTextIndent"/>
        <w:spacing w:before="120"/>
        <w:jc w:val="both"/>
        <w:rPr>
          <w:rFonts w:ascii="Arial" w:hAnsi="Arial" w:cs="Arial"/>
        </w:rPr>
      </w:pPr>
      <w:r w:rsidRPr="008418A2">
        <w:rPr>
          <w:rFonts w:ascii="Arial" w:hAnsi="Arial" w:cs="Arial"/>
        </w:rPr>
        <w:t>Thus, the econometric model is:</w:t>
      </w:r>
    </w:p>
    <w:p w14:paraId="7DE9E21E" w14:textId="77777777" w:rsidR="008418A2" w:rsidRPr="008418A2" w:rsidRDefault="008418A2" w:rsidP="008418A2">
      <w:pPr>
        <w:pStyle w:val="BodyTextIndent"/>
        <w:spacing w:before="120"/>
        <w:jc w:val="both"/>
        <w:rPr>
          <w:rFonts w:ascii="Arial" w:hAnsi="Arial" w:cs="Arial"/>
        </w:rPr>
      </w:pPr>
      <w:r w:rsidRPr="008418A2">
        <w:rPr>
          <w:rFonts w:ascii="Arial" w:hAnsi="Arial" w:cs="Arial"/>
        </w:rPr>
        <w:t xml:space="preserve">FIRE= </w:t>
      </w:r>
      <w:r w:rsidRPr="008418A2">
        <w:rPr>
          <w:rFonts w:ascii="Arial" w:hAnsi="Arial" w:cs="Arial"/>
        </w:rPr>
        <w:sym w:font="Symbol" w:char="F062"/>
      </w:r>
      <w:r w:rsidRPr="008418A2">
        <w:rPr>
          <w:rFonts w:ascii="Arial" w:hAnsi="Arial" w:cs="Arial"/>
          <w:vertAlign w:val="subscript"/>
        </w:rPr>
        <w:t xml:space="preserve">0 </w:t>
      </w:r>
      <w:r w:rsidRPr="008418A2">
        <w:rPr>
          <w:rFonts w:ascii="Arial" w:hAnsi="Arial" w:cs="Arial"/>
        </w:rPr>
        <w:t xml:space="preserve">+ </w:t>
      </w:r>
      <w:r w:rsidRPr="008418A2">
        <w:rPr>
          <w:rFonts w:ascii="Arial" w:hAnsi="Arial" w:cs="Arial"/>
        </w:rPr>
        <w:sym w:font="Symbol" w:char="F062"/>
      </w:r>
      <w:r w:rsidRPr="008418A2">
        <w:rPr>
          <w:rFonts w:ascii="Arial" w:hAnsi="Arial" w:cs="Arial"/>
          <w:vertAlign w:val="subscript"/>
        </w:rPr>
        <w:t>1</w:t>
      </w:r>
      <w:r w:rsidRPr="008418A2">
        <w:rPr>
          <w:rFonts w:ascii="Arial" w:hAnsi="Arial" w:cs="Arial"/>
        </w:rPr>
        <w:t>FINR+</w:t>
      </w:r>
      <w:r w:rsidRPr="008418A2">
        <w:rPr>
          <w:rFonts w:ascii="Arial" w:hAnsi="Arial" w:cs="Arial"/>
        </w:rPr>
        <w:sym w:font="Symbol" w:char="F062"/>
      </w:r>
      <w:r w:rsidRPr="008418A2">
        <w:rPr>
          <w:rFonts w:ascii="Arial" w:hAnsi="Arial" w:cs="Arial"/>
          <w:vertAlign w:val="subscript"/>
        </w:rPr>
        <w:t>2</w:t>
      </w:r>
      <w:r w:rsidRPr="008418A2">
        <w:rPr>
          <w:rFonts w:ascii="Arial" w:hAnsi="Arial" w:cs="Arial"/>
        </w:rPr>
        <w:t>OPR +</w:t>
      </w:r>
      <w:r w:rsidRPr="008418A2">
        <w:rPr>
          <w:rFonts w:ascii="Arial" w:hAnsi="Arial" w:cs="Arial"/>
        </w:rPr>
        <w:sym w:font="Symbol" w:char="F062"/>
      </w:r>
      <w:r w:rsidRPr="008418A2">
        <w:rPr>
          <w:rFonts w:ascii="Arial" w:hAnsi="Arial" w:cs="Arial"/>
          <w:vertAlign w:val="subscript"/>
        </w:rPr>
        <w:t>3</w:t>
      </w:r>
      <w:r w:rsidRPr="008418A2">
        <w:rPr>
          <w:rFonts w:ascii="Arial" w:hAnsi="Arial" w:cs="Arial"/>
        </w:rPr>
        <w:t>ASSR +</w:t>
      </w:r>
      <w:r w:rsidRPr="008418A2">
        <w:rPr>
          <w:rFonts w:ascii="Arial" w:hAnsi="Arial" w:cs="Arial"/>
        </w:rPr>
        <w:sym w:font="Symbol" w:char="F062"/>
      </w:r>
      <w:r w:rsidRPr="008418A2">
        <w:rPr>
          <w:rFonts w:ascii="Arial" w:hAnsi="Arial" w:cs="Arial"/>
          <w:vertAlign w:val="subscript"/>
        </w:rPr>
        <w:t>4</w:t>
      </w:r>
      <w:r w:rsidRPr="008418A2">
        <w:rPr>
          <w:rFonts w:ascii="Arial" w:hAnsi="Arial" w:cs="Arial"/>
        </w:rPr>
        <w:t>CAR+</w:t>
      </w:r>
      <w:r w:rsidRPr="008418A2">
        <w:rPr>
          <w:rFonts w:ascii="Arial" w:hAnsi="Arial" w:cs="Arial"/>
        </w:rPr>
        <w:sym w:font="Symbol" w:char="F06D"/>
      </w:r>
      <w:r w:rsidRPr="008418A2">
        <w:rPr>
          <w:rFonts w:ascii="Arial" w:hAnsi="Arial" w:cs="Arial"/>
        </w:rPr>
        <w:t>-----------------------------------------2</w:t>
      </w:r>
    </w:p>
    <w:p w14:paraId="1094A4CB" w14:textId="77777777" w:rsidR="008418A2" w:rsidRPr="008418A2" w:rsidRDefault="008418A2" w:rsidP="008418A2">
      <w:pPr>
        <w:pStyle w:val="BodyTextIndent"/>
        <w:spacing w:before="120"/>
        <w:jc w:val="both"/>
        <w:rPr>
          <w:rFonts w:ascii="Arial" w:hAnsi="Arial" w:cs="Arial"/>
        </w:rPr>
      </w:pPr>
      <w:r w:rsidRPr="008418A2">
        <w:rPr>
          <w:rFonts w:ascii="Arial" w:hAnsi="Arial" w:cs="Arial"/>
        </w:rPr>
        <w:t>Where:</w:t>
      </w:r>
    </w:p>
    <w:p w14:paraId="3182B805" w14:textId="77777777" w:rsidR="008418A2" w:rsidRPr="008418A2" w:rsidRDefault="008418A2" w:rsidP="008418A2">
      <w:pPr>
        <w:pStyle w:val="BodyTextIndent"/>
        <w:spacing w:before="120"/>
        <w:jc w:val="both"/>
        <w:rPr>
          <w:rFonts w:ascii="Arial" w:hAnsi="Arial" w:cs="Arial"/>
        </w:rPr>
      </w:pPr>
      <w:r w:rsidRPr="008418A2">
        <w:rPr>
          <w:rFonts w:ascii="Arial" w:hAnsi="Arial" w:cs="Arial"/>
        </w:rPr>
        <w:t>Y</w:t>
      </w:r>
      <w:r w:rsidRPr="008418A2">
        <w:rPr>
          <w:rFonts w:ascii="Arial" w:hAnsi="Arial" w:cs="Arial"/>
        </w:rPr>
        <w:tab/>
      </w:r>
      <w:r w:rsidRPr="008418A2">
        <w:rPr>
          <w:rFonts w:ascii="Arial" w:hAnsi="Arial" w:cs="Arial"/>
        </w:rPr>
        <w:tab/>
        <w:t>=</w:t>
      </w:r>
      <w:r w:rsidRPr="008418A2">
        <w:rPr>
          <w:rFonts w:ascii="Arial" w:hAnsi="Arial" w:cs="Arial"/>
        </w:rPr>
        <w:tab/>
        <w:t>Dependent Variable</w:t>
      </w:r>
    </w:p>
    <w:p w14:paraId="7EDA5B19" w14:textId="77777777" w:rsidR="008418A2" w:rsidRPr="008418A2" w:rsidRDefault="008418A2" w:rsidP="008418A2">
      <w:pPr>
        <w:pStyle w:val="BodyTextIndent"/>
        <w:spacing w:before="120"/>
        <w:jc w:val="both"/>
        <w:rPr>
          <w:rFonts w:ascii="Arial" w:hAnsi="Arial" w:cs="Arial"/>
        </w:rPr>
      </w:pPr>
      <w:r w:rsidRPr="008418A2">
        <w:rPr>
          <w:rFonts w:ascii="Arial" w:hAnsi="Arial" w:cs="Arial"/>
        </w:rPr>
        <w:sym w:font="Symbol" w:char="F062"/>
      </w:r>
      <w:r w:rsidRPr="008418A2">
        <w:rPr>
          <w:rFonts w:ascii="Arial" w:hAnsi="Arial" w:cs="Arial"/>
          <w:vertAlign w:val="subscript"/>
        </w:rPr>
        <w:t xml:space="preserve">0 </w:t>
      </w:r>
      <w:r w:rsidRPr="008418A2">
        <w:rPr>
          <w:rFonts w:ascii="Arial" w:hAnsi="Arial" w:cs="Arial"/>
        </w:rPr>
        <w:tab/>
      </w:r>
      <w:r w:rsidRPr="008418A2">
        <w:rPr>
          <w:rFonts w:ascii="Arial" w:hAnsi="Arial" w:cs="Arial"/>
        </w:rPr>
        <w:tab/>
        <w:t>=</w:t>
      </w:r>
      <w:r w:rsidRPr="008418A2">
        <w:rPr>
          <w:rFonts w:ascii="Arial" w:hAnsi="Arial" w:cs="Arial"/>
        </w:rPr>
        <w:tab/>
        <w:t>Constant Term</w:t>
      </w:r>
    </w:p>
    <w:p w14:paraId="19E5D2A2" w14:textId="70450972" w:rsidR="008418A2" w:rsidRPr="008418A2" w:rsidRDefault="008418A2" w:rsidP="008418A2">
      <w:pPr>
        <w:pStyle w:val="BodyTextIndent"/>
        <w:spacing w:before="120"/>
        <w:jc w:val="both"/>
        <w:rPr>
          <w:rFonts w:ascii="Arial" w:hAnsi="Arial" w:cs="Arial"/>
        </w:rPr>
      </w:pPr>
      <w:r w:rsidRPr="008418A2">
        <w:rPr>
          <w:rFonts w:ascii="Arial" w:hAnsi="Arial" w:cs="Arial"/>
        </w:rPr>
        <w:sym w:font="Symbol" w:char="F062"/>
      </w:r>
      <w:r w:rsidRPr="008418A2">
        <w:rPr>
          <w:rFonts w:ascii="Arial" w:hAnsi="Arial" w:cs="Arial"/>
          <w:vertAlign w:val="subscript"/>
        </w:rPr>
        <w:t>1-</w:t>
      </w:r>
      <w:r w:rsidRPr="008418A2">
        <w:rPr>
          <w:rFonts w:ascii="Arial" w:hAnsi="Arial" w:cs="Arial"/>
        </w:rPr>
        <w:sym w:font="Symbol" w:char="F062"/>
      </w:r>
      <w:r w:rsidRPr="008418A2">
        <w:rPr>
          <w:rFonts w:ascii="Arial" w:hAnsi="Arial" w:cs="Arial"/>
          <w:vertAlign w:val="subscript"/>
        </w:rPr>
        <w:t>4</w:t>
      </w:r>
      <w:r w:rsidRPr="008418A2">
        <w:rPr>
          <w:rFonts w:ascii="Arial" w:hAnsi="Arial" w:cs="Arial"/>
          <w:vertAlign w:val="subscript"/>
        </w:rPr>
        <w:tab/>
        <w:t>=</w:t>
      </w:r>
      <w:r w:rsidRPr="008418A2">
        <w:rPr>
          <w:rFonts w:ascii="Arial" w:hAnsi="Arial" w:cs="Arial"/>
          <w:vertAlign w:val="subscript"/>
        </w:rPr>
        <w:tab/>
      </w:r>
      <w:r w:rsidRPr="008418A2">
        <w:rPr>
          <w:rFonts w:ascii="Arial" w:hAnsi="Arial" w:cs="Arial"/>
        </w:rPr>
        <w:t xml:space="preserve">Intercept </w:t>
      </w:r>
    </w:p>
    <w:p w14:paraId="20CE50C5" w14:textId="34E1F783" w:rsidR="008418A2" w:rsidRPr="008418A2" w:rsidRDefault="008418A2" w:rsidP="008418A2">
      <w:pPr>
        <w:pStyle w:val="BodyTextIndent"/>
        <w:spacing w:before="120"/>
        <w:jc w:val="both"/>
        <w:rPr>
          <w:rFonts w:ascii="Arial" w:hAnsi="Arial" w:cs="Arial"/>
        </w:rPr>
      </w:pPr>
      <w:r w:rsidRPr="008418A2">
        <w:rPr>
          <w:rFonts w:ascii="Arial" w:hAnsi="Arial" w:cs="Arial"/>
        </w:rPr>
        <w:t>x</w:t>
      </w:r>
      <w:r w:rsidRPr="008418A2">
        <w:rPr>
          <w:rFonts w:ascii="Arial" w:hAnsi="Arial" w:cs="Arial"/>
          <w:vertAlign w:val="subscript"/>
        </w:rPr>
        <w:t>1-</w:t>
      </w:r>
      <w:r w:rsidRPr="008418A2">
        <w:rPr>
          <w:rFonts w:ascii="Arial" w:hAnsi="Arial" w:cs="Arial"/>
        </w:rPr>
        <w:t xml:space="preserve"> x</w:t>
      </w:r>
      <w:r w:rsidRPr="008418A2">
        <w:rPr>
          <w:rFonts w:ascii="Arial" w:hAnsi="Arial" w:cs="Arial"/>
          <w:vertAlign w:val="subscript"/>
        </w:rPr>
        <w:t>4</w:t>
      </w:r>
      <w:r w:rsidRPr="008418A2">
        <w:rPr>
          <w:rFonts w:ascii="Arial" w:hAnsi="Arial" w:cs="Arial"/>
          <w:vertAlign w:val="subscript"/>
        </w:rPr>
        <w:tab/>
        <w:t>=</w:t>
      </w:r>
      <w:r w:rsidRPr="008418A2">
        <w:rPr>
          <w:rFonts w:ascii="Arial" w:hAnsi="Arial" w:cs="Arial"/>
          <w:vertAlign w:val="subscript"/>
        </w:rPr>
        <w:tab/>
      </w:r>
      <w:r w:rsidRPr="008418A2">
        <w:rPr>
          <w:rFonts w:ascii="Arial" w:hAnsi="Arial" w:cs="Arial"/>
        </w:rPr>
        <w:t>Regressor (Four Independent Variables)</w:t>
      </w:r>
    </w:p>
    <w:p w14:paraId="25FD46B9" w14:textId="77777777" w:rsidR="008418A2" w:rsidRPr="008418A2" w:rsidRDefault="008418A2" w:rsidP="008418A2">
      <w:pPr>
        <w:pStyle w:val="BodyTextIndent"/>
        <w:spacing w:before="120"/>
        <w:jc w:val="both"/>
        <w:rPr>
          <w:rFonts w:ascii="Arial" w:hAnsi="Arial" w:cs="Arial"/>
        </w:rPr>
      </w:pPr>
      <w:r w:rsidRPr="008418A2">
        <w:rPr>
          <w:rFonts w:ascii="Arial" w:hAnsi="Arial" w:cs="Arial"/>
        </w:rPr>
        <w:sym w:font="Symbol" w:char="F06D"/>
      </w:r>
      <w:r w:rsidRPr="008418A2">
        <w:rPr>
          <w:rFonts w:ascii="Arial" w:hAnsi="Arial" w:cs="Arial"/>
          <w:vertAlign w:val="subscript"/>
        </w:rPr>
        <w:t>t</w:t>
      </w:r>
      <w:r w:rsidRPr="008418A2">
        <w:rPr>
          <w:rFonts w:ascii="Arial" w:hAnsi="Arial" w:cs="Arial"/>
          <w:vertAlign w:val="subscript"/>
        </w:rPr>
        <w:tab/>
      </w:r>
      <w:r w:rsidRPr="008418A2">
        <w:rPr>
          <w:rFonts w:ascii="Arial" w:hAnsi="Arial" w:cs="Arial"/>
          <w:vertAlign w:val="subscript"/>
        </w:rPr>
        <w:tab/>
        <w:t>=</w:t>
      </w:r>
      <w:r w:rsidRPr="008418A2">
        <w:rPr>
          <w:rFonts w:ascii="Arial" w:hAnsi="Arial" w:cs="Arial"/>
          <w:vertAlign w:val="subscript"/>
        </w:rPr>
        <w:tab/>
      </w:r>
      <w:r w:rsidRPr="008418A2">
        <w:rPr>
          <w:rFonts w:ascii="Arial" w:hAnsi="Arial" w:cs="Arial"/>
        </w:rPr>
        <w:t>Error Term or noisy variable</w:t>
      </w:r>
    </w:p>
    <w:p w14:paraId="008EE0AE" w14:textId="77777777" w:rsidR="008418A2" w:rsidRPr="008418A2" w:rsidRDefault="008418A2" w:rsidP="008418A2">
      <w:pPr>
        <w:pStyle w:val="BodyTextIndent"/>
        <w:spacing w:before="120"/>
        <w:jc w:val="both"/>
        <w:rPr>
          <w:rFonts w:ascii="Arial" w:hAnsi="Arial" w:cs="Arial"/>
        </w:rPr>
      </w:pPr>
      <w:r w:rsidRPr="008418A2">
        <w:rPr>
          <w:rFonts w:ascii="Arial" w:hAnsi="Arial" w:cs="Arial"/>
        </w:rPr>
        <w:t>In the case of log transformation so as to avoid scaling problem, we write the equation as:</w:t>
      </w:r>
    </w:p>
    <w:p w14:paraId="044E32E7" w14:textId="77777777" w:rsidR="008418A2" w:rsidRPr="008418A2" w:rsidRDefault="008418A2" w:rsidP="008418A2">
      <w:pPr>
        <w:pStyle w:val="BodyTextIndent"/>
        <w:spacing w:before="120"/>
        <w:jc w:val="both"/>
        <w:rPr>
          <w:rFonts w:ascii="Arial" w:hAnsi="Arial" w:cs="Arial"/>
        </w:rPr>
      </w:pPr>
      <w:r w:rsidRPr="008418A2">
        <w:rPr>
          <w:rFonts w:ascii="Arial" w:hAnsi="Arial" w:cs="Arial"/>
        </w:rPr>
        <w:t xml:space="preserve">RFIRE= </w:t>
      </w:r>
      <w:r w:rsidRPr="008418A2">
        <w:rPr>
          <w:rFonts w:ascii="Arial" w:hAnsi="Arial" w:cs="Arial"/>
        </w:rPr>
        <w:sym w:font="Symbol" w:char="F062"/>
      </w:r>
      <w:r w:rsidRPr="008418A2">
        <w:rPr>
          <w:rFonts w:ascii="Arial" w:hAnsi="Arial" w:cs="Arial"/>
          <w:vertAlign w:val="subscript"/>
        </w:rPr>
        <w:t xml:space="preserve">0 </w:t>
      </w:r>
      <w:r w:rsidRPr="008418A2">
        <w:rPr>
          <w:rFonts w:ascii="Arial" w:hAnsi="Arial" w:cs="Arial"/>
        </w:rPr>
        <w:t xml:space="preserve">+ </w:t>
      </w:r>
      <w:r w:rsidRPr="008418A2">
        <w:rPr>
          <w:rFonts w:ascii="Arial" w:hAnsi="Arial" w:cs="Arial"/>
        </w:rPr>
        <w:sym w:font="Symbol" w:char="F062"/>
      </w:r>
      <w:r w:rsidRPr="008418A2">
        <w:rPr>
          <w:rFonts w:ascii="Arial" w:hAnsi="Arial" w:cs="Arial"/>
          <w:vertAlign w:val="subscript"/>
        </w:rPr>
        <w:t>1</w:t>
      </w:r>
      <w:r w:rsidRPr="008418A2">
        <w:rPr>
          <w:rFonts w:ascii="Arial" w:hAnsi="Arial" w:cs="Arial"/>
        </w:rPr>
        <w:t>LnFINR+</w:t>
      </w:r>
      <w:r w:rsidRPr="008418A2">
        <w:rPr>
          <w:rFonts w:ascii="Arial" w:hAnsi="Arial" w:cs="Arial"/>
        </w:rPr>
        <w:sym w:font="Symbol" w:char="F062"/>
      </w:r>
      <w:r w:rsidRPr="008418A2">
        <w:rPr>
          <w:rFonts w:ascii="Arial" w:hAnsi="Arial" w:cs="Arial"/>
          <w:vertAlign w:val="subscript"/>
        </w:rPr>
        <w:t>2</w:t>
      </w:r>
      <w:r w:rsidRPr="008418A2">
        <w:rPr>
          <w:rFonts w:ascii="Arial" w:hAnsi="Arial" w:cs="Arial"/>
        </w:rPr>
        <w:t xml:space="preserve"> </w:t>
      </w:r>
      <w:proofErr w:type="spellStart"/>
      <w:r w:rsidRPr="008418A2">
        <w:rPr>
          <w:rFonts w:ascii="Arial" w:hAnsi="Arial" w:cs="Arial"/>
        </w:rPr>
        <w:t>LnOPR</w:t>
      </w:r>
      <w:proofErr w:type="spellEnd"/>
      <w:r w:rsidRPr="008418A2">
        <w:rPr>
          <w:rFonts w:ascii="Arial" w:hAnsi="Arial" w:cs="Arial"/>
        </w:rPr>
        <w:t xml:space="preserve"> +</w:t>
      </w:r>
      <w:r w:rsidRPr="008418A2">
        <w:rPr>
          <w:rFonts w:ascii="Arial" w:hAnsi="Arial" w:cs="Arial"/>
        </w:rPr>
        <w:sym w:font="Symbol" w:char="F062"/>
      </w:r>
      <w:r w:rsidRPr="008418A2">
        <w:rPr>
          <w:rFonts w:ascii="Arial" w:hAnsi="Arial" w:cs="Arial"/>
          <w:vertAlign w:val="subscript"/>
        </w:rPr>
        <w:t>3</w:t>
      </w:r>
      <w:r w:rsidRPr="008418A2">
        <w:rPr>
          <w:rFonts w:ascii="Arial" w:hAnsi="Arial" w:cs="Arial"/>
        </w:rPr>
        <w:t>LnASSR +</w:t>
      </w:r>
      <w:r w:rsidRPr="008418A2">
        <w:rPr>
          <w:rFonts w:ascii="Arial" w:hAnsi="Arial" w:cs="Arial"/>
        </w:rPr>
        <w:sym w:font="Symbol" w:char="F062"/>
      </w:r>
      <w:r w:rsidRPr="008418A2">
        <w:rPr>
          <w:rFonts w:ascii="Arial" w:hAnsi="Arial" w:cs="Arial"/>
          <w:vertAlign w:val="subscript"/>
        </w:rPr>
        <w:t>4</w:t>
      </w:r>
      <w:r w:rsidRPr="008418A2">
        <w:rPr>
          <w:rFonts w:ascii="Arial" w:hAnsi="Arial" w:cs="Arial"/>
        </w:rPr>
        <w:t>LnCAR +</w:t>
      </w:r>
      <w:r w:rsidRPr="008418A2">
        <w:rPr>
          <w:rFonts w:ascii="Arial" w:hAnsi="Arial" w:cs="Arial"/>
        </w:rPr>
        <w:sym w:font="Symbol" w:char="F06D"/>
      </w:r>
      <w:r w:rsidRPr="008418A2">
        <w:rPr>
          <w:rFonts w:ascii="Arial" w:hAnsi="Arial" w:cs="Arial"/>
        </w:rPr>
        <w:t>------------------------3</w:t>
      </w:r>
    </w:p>
    <w:p w14:paraId="33EA84F8" w14:textId="77777777" w:rsidR="00A03B96" w:rsidRDefault="00A03B96" w:rsidP="00441B6F">
      <w:pPr>
        <w:pStyle w:val="Body"/>
        <w:spacing w:after="0"/>
        <w:rPr>
          <w:rFonts w:ascii="Arial" w:hAnsi="Arial" w:cs="Arial"/>
        </w:rPr>
      </w:pPr>
    </w:p>
    <w:p w14:paraId="1C019D04" w14:textId="77777777" w:rsidR="00790ADA" w:rsidRPr="00FB3A86" w:rsidRDefault="00790ADA" w:rsidP="00441B6F">
      <w:pPr>
        <w:pStyle w:val="Body"/>
        <w:spacing w:after="0"/>
        <w:rPr>
          <w:rFonts w:ascii="Arial" w:hAnsi="Arial" w:cs="Arial"/>
        </w:rPr>
      </w:pPr>
    </w:p>
    <w:p w14:paraId="04F15BDA" w14:textId="1A859955" w:rsidR="00902823" w:rsidRDefault="0062479F" w:rsidP="00441B6F">
      <w:pPr>
        <w:pStyle w:val="Head1"/>
        <w:spacing w:after="0"/>
        <w:jc w:val="both"/>
        <w:rPr>
          <w:rFonts w:ascii="Arial" w:hAnsi="Arial" w:cs="Arial"/>
        </w:rPr>
      </w:pPr>
      <w:r>
        <w:rPr>
          <w:rFonts w:ascii="Arial" w:hAnsi="Arial" w:cs="Arial"/>
        </w:rPr>
        <w:lastRenderedPageBreak/>
        <w:t>4</w:t>
      </w:r>
      <w:r w:rsidR="00902823">
        <w:rPr>
          <w:rFonts w:ascii="Arial" w:hAnsi="Arial" w:cs="Arial"/>
        </w:rPr>
        <w:t xml:space="preserve">. </w:t>
      </w:r>
      <w:r w:rsidR="00000F8F">
        <w:rPr>
          <w:rFonts w:ascii="Arial" w:hAnsi="Arial" w:cs="Arial"/>
        </w:rPr>
        <w:t>results and discussion</w:t>
      </w:r>
    </w:p>
    <w:p w14:paraId="3A5D72EB" w14:textId="77777777" w:rsidR="00790ADA" w:rsidRPr="00FB3A86" w:rsidRDefault="00790ADA" w:rsidP="00441B6F">
      <w:pPr>
        <w:pStyle w:val="Head1"/>
        <w:spacing w:after="0"/>
        <w:jc w:val="both"/>
        <w:rPr>
          <w:rFonts w:ascii="Arial" w:hAnsi="Arial" w:cs="Arial"/>
        </w:rPr>
      </w:pPr>
    </w:p>
    <w:p w14:paraId="2E0E681B" w14:textId="4C5A1EA2" w:rsidR="00B95236" w:rsidRPr="007C2230" w:rsidRDefault="007C2230" w:rsidP="00441B6F">
      <w:pPr>
        <w:pStyle w:val="Body"/>
        <w:spacing w:after="0"/>
        <w:rPr>
          <w:rFonts w:ascii="Arial" w:hAnsi="Arial" w:cs="Arial"/>
          <w:b/>
          <w:bCs/>
        </w:rPr>
      </w:pPr>
      <w:r w:rsidRPr="007C2230">
        <w:rPr>
          <w:rFonts w:ascii="Arial" w:hAnsi="Arial" w:cs="Arial"/>
          <w:b/>
          <w:bCs/>
        </w:rPr>
        <w:t>Data Analysis</w:t>
      </w:r>
    </w:p>
    <w:p w14:paraId="79BC9944" w14:textId="77777777" w:rsidR="00790ADA" w:rsidRDefault="00790ADA" w:rsidP="00441B6F">
      <w:pPr>
        <w:pStyle w:val="Body"/>
        <w:spacing w:after="0"/>
        <w:rPr>
          <w:rFonts w:ascii="Arial" w:hAnsi="Arial" w:cs="Arial"/>
        </w:rPr>
      </w:pPr>
    </w:p>
    <w:p w14:paraId="737BA3F0" w14:textId="77777777" w:rsidR="007C2230" w:rsidRPr="007C2230" w:rsidRDefault="007C2230" w:rsidP="007C2230">
      <w:pPr>
        <w:autoSpaceDE w:val="0"/>
        <w:autoSpaceDN w:val="0"/>
        <w:adjustRightInd w:val="0"/>
        <w:spacing w:line="480" w:lineRule="auto"/>
        <w:jc w:val="both"/>
        <w:rPr>
          <w:rFonts w:ascii="Arial" w:eastAsia="Calibri" w:hAnsi="Arial" w:cs="Arial"/>
        </w:rPr>
      </w:pPr>
      <w:r w:rsidRPr="007C2230">
        <w:rPr>
          <w:rFonts w:ascii="Arial" w:eastAsia="Calibri" w:hAnsi="Arial" w:cs="Arial"/>
          <w:b/>
        </w:rPr>
        <w:t>Table 1: Summary of Descriptive Statistics for the Observations</w:t>
      </w:r>
    </w:p>
    <w:tbl>
      <w:tblPr>
        <w:tblW w:w="9555" w:type="dxa"/>
        <w:tblInd w:w="30"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766"/>
        <w:gridCol w:w="1557"/>
        <w:gridCol w:w="1558"/>
        <w:gridCol w:w="1558"/>
        <w:gridCol w:w="1558"/>
        <w:gridCol w:w="1558"/>
      </w:tblGrid>
      <w:tr w:rsidR="007C2230" w:rsidRPr="007C2230" w14:paraId="6D9FEBCA" w14:textId="77777777" w:rsidTr="007C2230">
        <w:trPr>
          <w:trHeight w:val="178"/>
        </w:trPr>
        <w:tc>
          <w:tcPr>
            <w:tcW w:w="1768" w:type="dxa"/>
            <w:tcBorders>
              <w:top w:val="single" w:sz="4" w:space="0" w:color="auto"/>
              <w:bottom w:val="single" w:sz="4" w:space="0" w:color="auto"/>
            </w:tcBorders>
            <w:vAlign w:val="bottom"/>
          </w:tcPr>
          <w:p w14:paraId="694D24B9" w14:textId="77777777" w:rsidR="007C2230" w:rsidRPr="007C2230" w:rsidRDefault="007C2230" w:rsidP="00B37849">
            <w:pPr>
              <w:autoSpaceDE w:val="0"/>
              <w:autoSpaceDN w:val="0"/>
              <w:adjustRightInd w:val="0"/>
              <w:spacing w:line="276" w:lineRule="auto"/>
              <w:jc w:val="center"/>
              <w:rPr>
                <w:rFonts w:ascii="Arial" w:eastAsia="Calibri" w:hAnsi="Arial" w:cs="Arial"/>
                <w:b/>
                <w:color w:val="000000"/>
              </w:rPr>
            </w:pPr>
          </w:p>
        </w:tc>
        <w:tc>
          <w:tcPr>
            <w:tcW w:w="1558" w:type="dxa"/>
            <w:tcBorders>
              <w:top w:val="single" w:sz="4" w:space="0" w:color="auto"/>
              <w:bottom w:val="single" w:sz="4" w:space="0" w:color="auto"/>
            </w:tcBorders>
            <w:vAlign w:val="bottom"/>
            <w:hideMark/>
          </w:tcPr>
          <w:p w14:paraId="4F86B4D5" w14:textId="77777777" w:rsidR="007C2230" w:rsidRPr="007C2230" w:rsidRDefault="007C2230" w:rsidP="00B37849">
            <w:pPr>
              <w:autoSpaceDE w:val="0"/>
              <w:autoSpaceDN w:val="0"/>
              <w:adjustRightInd w:val="0"/>
              <w:spacing w:line="276" w:lineRule="auto"/>
              <w:jc w:val="center"/>
              <w:rPr>
                <w:rFonts w:ascii="Arial" w:eastAsia="Calibri" w:hAnsi="Arial" w:cs="Arial"/>
                <w:b/>
                <w:color w:val="000000"/>
              </w:rPr>
            </w:pPr>
            <w:r w:rsidRPr="007C2230">
              <w:rPr>
                <w:rFonts w:ascii="Arial" w:eastAsia="Calibri" w:hAnsi="Arial" w:cs="Arial"/>
                <w:b/>
                <w:color w:val="000000"/>
              </w:rPr>
              <w:t>FIRE</w:t>
            </w:r>
          </w:p>
        </w:tc>
        <w:tc>
          <w:tcPr>
            <w:tcW w:w="1558" w:type="dxa"/>
            <w:tcBorders>
              <w:top w:val="single" w:sz="4" w:space="0" w:color="auto"/>
              <w:bottom w:val="single" w:sz="4" w:space="0" w:color="auto"/>
            </w:tcBorders>
            <w:vAlign w:val="bottom"/>
            <w:hideMark/>
          </w:tcPr>
          <w:p w14:paraId="7DD4313B" w14:textId="77777777" w:rsidR="007C2230" w:rsidRPr="007C2230" w:rsidRDefault="007C2230" w:rsidP="00B37849">
            <w:pPr>
              <w:autoSpaceDE w:val="0"/>
              <w:autoSpaceDN w:val="0"/>
              <w:adjustRightInd w:val="0"/>
              <w:spacing w:line="276" w:lineRule="auto"/>
              <w:jc w:val="center"/>
              <w:rPr>
                <w:rFonts w:ascii="Arial" w:eastAsia="Calibri" w:hAnsi="Arial" w:cs="Arial"/>
                <w:b/>
                <w:color w:val="000000"/>
              </w:rPr>
            </w:pPr>
            <w:r w:rsidRPr="007C2230">
              <w:rPr>
                <w:rFonts w:ascii="Arial" w:eastAsia="Calibri" w:hAnsi="Arial" w:cs="Arial"/>
                <w:b/>
                <w:color w:val="000000"/>
              </w:rPr>
              <w:t>FINR</w:t>
            </w:r>
          </w:p>
        </w:tc>
        <w:tc>
          <w:tcPr>
            <w:tcW w:w="1558" w:type="dxa"/>
            <w:tcBorders>
              <w:top w:val="single" w:sz="4" w:space="0" w:color="auto"/>
              <w:bottom w:val="single" w:sz="4" w:space="0" w:color="auto"/>
            </w:tcBorders>
            <w:vAlign w:val="bottom"/>
            <w:hideMark/>
          </w:tcPr>
          <w:p w14:paraId="5071AD2D" w14:textId="77777777" w:rsidR="007C2230" w:rsidRPr="007C2230" w:rsidRDefault="007C2230" w:rsidP="00B37849">
            <w:pPr>
              <w:autoSpaceDE w:val="0"/>
              <w:autoSpaceDN w:val="0"/>
              <w:adjustRightInd w:val="0"/>
              <w:spacing w:line="276" w:lineRule="auto"/>
              <w:jc w:val="center"/>
              <w:rPr>
                <w:rFonts w:ascii="Arial" w:eastAsia="Calibri" w:hAnsi="Arial" w:cs="Arial"/>
                <w:b/>
                <w:color w:val="000000"/>
              </w:rPr>
            </w:pPr>
            <w:r w:rsidRPr="007C2230">
              <w:rPr>
                <w:rFonts w:ascii="Arial" w:eastAsia="Calibri" w:hAnsi="Arial" w:cs="Arial"/>
                <w:b/>
                <w:color w:val="000000"/>
              </w:rPr>
              <w:t>ASSR</w:t>
            </w:r>
          </w:p>
        </w:tc>
        <w:tc>
          <w:tcPr>
            <w:tcW w:w="1558" w:type="dxa"/>
            <w:tcBorders>
              <w:top w:val="single" w:sz="4" w:space="0" w:color="auto"/>
              <w:bottom w:val="single" w:sz="4" w:space="0" w:color="auto"/>
            </w:tcBorders>
            <w:vAlign w:val="bottom"/>
            <w:hideMark/>
          </w:tcPr>
          <w:p w14:paraId="340D8438" w14:textId="77777777" w:rsidR="007C2230" w:rsidRPr="007C2230" w:rsidRDefault="007C2230" w:rsidP="00B37849">
            <w:pPr>
              <w:autoSpaceDE w:val="0"/>
              <w:autoSpaceDN w:val="0"/>
              <w:adjustRightInd w:val="0"/>
              <w:spacing w:line="276" w:lineRule="auto"/>
              <w:jc w:val="center"/>
              <w:rPr>
                <w:rFonts w:ascii="Arial" w:eastAsia="Calibri" w:hAnsi="Arial" w:cs="Arial"/>
                <w:b/>
                <w:color w:val="000000"/>
              </w:rPr>
            </w:pPr>
            <w:r w:rsidRPr="007C2230">
              <w:rPr>
                <w:rFonts w:ascii="Arial" w:eastAsia="Calibri" w:hAnsi="Arial" w:cs="Arial"/>
                <w:b/>
                <w:color w:val="000000"/>
              </w:rPr>
              <w:t>OPR</w:t>
            </w:r>
          </w:p>
        </w:tc>
        <w:tc>
          <w:tcPr>
            <w:tcW w:w="1558" w:type="dxa"/>
            <w:tcBorders>
              <w:top w:val="single" w:sz="4" w:space="0" w:color="auto"/>
              <w:bottom w:val="single" w:sz="4" w:space="0" w:color="auto"/>
            </w:tcBorders>
            <w:vAlign w:val="bottom"/>
            <w:hideMark/>
          </w:tcPr>
          <w:p w14:paraId="05962F44" w14:textId="77777777" w:rsidR="007C2230" w:rsidRPr="007C2230" w:rsidRDefault="007C2230" w:rsidP="00B37849">
            <w:pPr>
              <w:autoSpaceDE w:val="0"/>
              <w:autoSpaceDN w:val="0"/>
              <w:adjustRightInd w:val="0"/>
              <w:spacing w:line="276" w:lineRule="auto"/>
              <w:jc w:val="center"/>
              <w:rPr>
                <w:rFonts w:ascii="Arial" w:eastAsia="Calibri" w:hAnsi="Arial" w:cs="Arial"/>
                <w:b/>
                <w:color w:val="000000"/>
              </w:rPr>
            </w:pPr>
            <w:r w:rsidRPr="007C2230">
              <w:rPr>
                <w:rFonts w:ascii="Arial" w:eastAsia="Calibri" w:hAnsi="Arial" w:cs="Arial"/>
                <w:b/>
                <w:color w:val="000000"/>
              </w:rPr>
              <w:t>CAR</w:t>
            </w:r>
          </w:p>
        </w:tc>
      </w:tr>
      <w:tr w:rsidR="007C2230" w:rsidRPr="007C2230" w14:paraId="29D47FAF" w14:textId="77777777" w:rsidTr="007C2230">
        <w:trPr>
          <w:trHeight w:val="178"/>
        </w:trPr>
        <w:tc>
          <w:tcPr>
            <w:tcW w:w="1768" w:type="dxa"/>
            <w:tcBorders>
              <w:top w:val="single" w:sz="4" w:space="0" w:color="auto"/>
            </w:tcBorders>
            <w:vAlign w:val="bottom"/>
            <w:hideMark/>
          </w:tcPr>
          <w:p w14:paraId="2B25850B" w14:textId="77777777" w:rsidR="007C2230" w:rsidRPr="007C2230" w:rsidRDefault="007C2230" w:rsidP="00B37849">
            <w:pPr>
              <w:autoSpaceDE w:val="0"/>
              <w:autoSpaceDN w:val="0"/>
              <w:adjustRightInd w:val="0"/>
              <w:spacing w:line="276" w:lineRule="auto"/>
              <w:rPr>
                <w:rFonts w:ascii="Arial" w:eastAsia="Calibri" w:hAnsi="Arial" w:cs="Arial"/>
                <w:color w:val="000000"/>
              </w:rPr>
            </w:pPr>
            <w:r w:rsidRPr="007C2230">
              <w:rPr>
                <w:rFonts w:ascii="Arial" w:eastAsia="Calibri" w:hAnsi="Arial" w:cs="Arial"/>
                <w:color w:val="000000"/>
              </w:rPr>
              <w:t> Mean</w:t>
            </w:r>
          </w:p>
        </w:tc>
        <w:tc>
          <w:tcPr>
            <w:tcW w:w="1558" w:type="dxa"/>
            <w:tcBorders>
              <w:top w:val="single" w:sz="4" w:space="0" w:color="auto"/>
            </w:tcBorders>
            <w:vAlign w:val="bottom"/>
            <w:hideMark/>
          </w:tcPr>
          <w:p w14:paraId="596DB6C2"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0.467081</w:t>
            </w:r>
          </w:p>
        </w:tc>
        <w:tc>
          <w:tcPr>
            <w:tcW w:w="1558" w:type="dxa"/>
            <w:tcBorders>
              <w:top w:val="single" w:sz="4" w:space="0" w:color="auto"/>
            </w:tcBorders>
            <w:vAlign w:val="bottom"/>
            <w:hideMark/>
          </w:tcPr>
          <w:p w14:paraId="6109206B"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0.443085</w:t>
            </w:r>
          </w:p>
        </w:tc>
        <w:tc>
          <w:tcPr>
            <w:tcW w:w="1558" w:type="dxa"/>
            <w:tcBorders>
              <w:top w:val="single" w:sz="4" w:space="0" w:color="auto"/>
            </w:tcBorders>
            <w:vAlign w:val="bottom"/>
            <w:hideMark/>
          </w:tcPr>
          <w:p w14:paraId="362D90F3"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0.098442</w:t>
            </w:r>
          </w:p>
        </w:tc>
        <w:tc>
          <w:tcPr>
            <w:tcW w:w="1558" w:type="dxa"/>
            <w:tcBorders>
              <w:top w:val="single" w:sz="4" w:space="0" w:color="auto"/>
            </w:tcBorders>
            <w:vAlign w:val="bottom"/>
            <w:hideMark/>
          </w:tcPr>
          <w:p w14:paraId="0D1E7938"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0.375014</w:t>
            </w:r>
          </w:p>
        </w:tc>
        <w:tc>
          <w:tcPr>
            <w:tcW w:w="1558" w:type="dxa"/>
            <w:tcBorders>
              <w:top w:val="single" w:sz="4" w:space="0" w:color="auto"/>
            </w:tcBorders>
            <w:vAlign w:val="bottom"/>
            <w:hideMark/>
          </w:tcPr>
          <w:p w14:paraId="651D22FF"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0.196254</w:t>
            </w:r>
          </w:p>
        </w:tc>
      </w:tr>
      <w:tr w:rsidR="007C2230" w:rsidRPr="007C2230" w14:paraId="168CB8A8" w14:textId="77777777" w:rsidTr="007C2230">
        <w:trPr>
          <w:trHeight w:val="178"/>
        </w:trPr>
        <w:tc>
          <w:tcPr>
            <w:tcW w:w="1768" w:type="dxa"/>
            <w:vAlign w:val="bottom"/>
            <w:hideMark/>
          </w:tcPr>
          <w:p w14:paraId="58331764" w14:textId="77777777" w:rsidR="007C2230" w:rsidRPr="007C2230" w:rsidRDefault="007C2230" w:rsidP="00B37849">
            <w:pPr>
              <w:autoSpaceDE w:val="0"/>
              <w:autoSpaceDN w:val="0"/>
              <w:adjustRightInd w:val="0"/>
              <w:spacing w:line="276" w:lineRule="auto"/>
              <w:rPr>
                <w:rFonts w:ascii="Arial" w:eastAsia="Calibri" w:hAnsi="Arial" w:cs="Arial"/>
                <w:color w:val="000000"/>
              </w:rPr>
            </w:pPr>
            <w:r w:rsidRPr="007C2230">
              <w:rPr>
                <w:rFonts w:ascii="Arial" w:eastAsia="Calibri" w:hAnsi="Arial" w:cs="Arial"/>
                <w:color w:val="000000"/>
              </w:rPr>
              <w:t> Median</w:t>
            </w:r>
          </w:p>
        </w:tc>
        <w:tc>
          <w:tcPr>
            <w:tcW w:w="1558" w:type="dxa"/>
            <w:vAlign w:val="bottom"/>
            <w:hideMark/>
          </w:tcPr>
          <w:p w14:paraId="3B1547B9"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0.367250</w:t>
            </w:r>
          </w:p>
        </w:tc>
        <w:tc>
          <w:tcPr>
            <w:tcW w:w="1558" w:type="dxa"/>
            <w:vAlign w:val="bottom"/>
            <w:hideMark/>
          </w:tcPr>
          <w:p w14:paraId="3A6D495E"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0.287650</w:t>
            </w:r>
          </w:p>
        </w:tc>
        <w:tc>
          <w:tcPr>
            <w:tcW w:w="1558" w:type="dxa"/>
            <w:vAlign w:val="bottom"/>
            <w:hideMark/>
          </w:tcPr>
          <w:p w14:paraId="0DA467BB"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0.049600</w:t>
            </w:r>
          </w:p>
        </w:tc>
        <w:tc>
          <w:tcPr>
            <w:tcW w:w="1558" w:type="dxa"/>
            <w:vAlign w:val="bottom"/>
            <w:hideMark/>
          </w:tcPr>
          <w:p w14:paraId="772C1678"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0.330900</w:t>
            </w:r>
          </w:p>
        </w:tc>
        <w:tc>
          <w:tcPr>
            <w:tcW w:w="1558" w:type="dxa"/>
            <w:vAlign w:val="bottom"/>
            <w:hideMark/>
          </w:tcPr>
          <w:p w14:paraId="7166F9DE"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0.181050</w:t>
            </w:r>
          </w:p>
        </w:tc>
      </w:tr>
      <w:tr w:rsidR="007C2230" w:rsidRPr="007C2230" w14:paraId="453BF3E0" w14:textId="77777777" w:rsidTr="007C2230">
        <w:trPr>
          <w:trHeight w:val="178"/>
        </w:trPr>
        <w:tc>
          <w:tcPr>
            <w:tcW w:w="1768" w:type="dxa"/>
            <w:vAlign w:val="bottom"/>
            <w:hideMark/>
          </w:tcPr>
          <w:p w14:paraId="2F94B403" w14:textId="77777777" w:rsidR="007C2230" w:rsidRPr="007C2230" w:rsidRDefault="007C2230" w:rsidP="00B37849">
            <w:pPr>
              <w:autoSpaceDE w:val="0"/>
              <w:autoSpaceDN w:val="0"/>
              <w:adjustRightInd w:val="0"/>
              <w:spacing w:line="276" w:lineRule="auto"/>
              <w:rPr>
                <w:rFonts w:ascii="Arial" w:eastAsia="Calibri" w:hAnsi="Arial" w:cs="Arial"/>
                <w:color w:val="000000"/>
              </w:rPr>
            </w:pPr>
            <w:r w:rsidRPr="007C2230">
              <w:rPr>
                <w:rFonts w:ascii="Arial" w:eastAsia="Calibri" w:hAnsi="Arial" w:cs="Arial"/>
                <w:color w:val="000000"/>
              </w:rPr>
              <w:t> Maximum</w:t>
            </w:r>
          </w:p>
        </w:tc>
        <w:tc>
          <w:tcPr>
            <w:tcW w:w="1558" w:type="dxa"/>
            <w:vAlign w:val="bottom"/>
            <w:hideMark/>
          </w:tcPr>
          <w:p w14:paraId="76CAACA8"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0.982900</w:t>
            </w:r>
          </w:p>
        </w:tc>
        <w:tc>
          <w:tcPr>
            <w:tcW w:w="1558" w:type="dxa"/>
            <w:vAlign w:val="bottom"/>
            <w:hideMark/>
          </w:tcPr>
          <w:p w14:paraId="584E9381"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1.702200</w:t>
            </w:r>
          </w:p>
        </w:tc>
        <w:tc>
          <w:tcPr>
            <w:tcW w:w="1558" w:type="dxa"/>
            <w:vAlign w:val="bottom"/>
            <w:hideMark/>
          </w:tcPr>
          <w:p w14:paraId="597D9A0C"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0.488900</w:t>
            </w:r>
          </w:p>
        </w:tc>
        <w:tc>
          <w:tcPr>
            <w:tcW w:w="1558" w:type="dxa"/>
            <w:vAlign w:val="bottom"/>
            <w:hideMark/>
          </w:tcPr>
          <w:p w14:paraId="428BA490"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027600</w:t>
            </w:r>
          </w:p>
        </w:tc>
        <w:tc>
          <w:tcPr>
            <w:tcW w:w="1558" w:type="dxa"/>
            <w:vAlign w:val="bottom"/>
            <w:hideMark/>
          </w:tcPr>
          <w:p w14:paraId="0234F8DD"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0.707900</w:t>
            </w:r>
          </w:p>
        </w:tc>
      </w:tr>
      <w:tr w:rsidR="007C2230" w:rsidRPr="007C2230" w14:paraId="0963F460" w14:textId="77777777" w:rsidTr="007C2230">
        <w:trPr>
          <w:trHeight w:val="178"/>
        </w:trPr>
        <w:tc>
          <w:tcPr>
            <w:tcW w:w="1768" w:type="dxa"/>
            <w:vAlign w:val="bottom"/>
            <w:hideMark/>
          </w:tcPr>
          <w:p w14:paraId="2807BE0F" w14:textId="77777777" w:rsidR="007C2230" w:rsidRPr="007C2230" w:rsidRDefault="007C2230" w:rsidP="00B37849">
            <w:pPr>
              <w:autoSpaceDE w:val="0"/>
              <w:autoSpaceDN w:val="0"/>
              <w:adjustRightInd w:val="0"/>
              <w:spacing w:line="276" w:lineRule="auto"/>
              <w:rPr>
                <w:rFonts w:ascii="Arial" w:eastAsia="Calibri" w:hAnsi="Arial" w:cs="Arial"/>
                <w:color w:val="000000"/>
              </w:rPr>
            </w:pPr>
            <w:r w:rsidRPr="007C2230">
              <w:rPr>
                <w:rFonts w:ascii="Arial" w:eastAsia="Calibri" w:hAnsi="Arial" w:cs="Arial"/>
                <w:color w:val="000000"/>
              </w:rPr>
              <w:t> Minimum</w:t>
            </w:r>
          </w:p>
        </w:tc>
        <w:tc>
          <w:tcPr>
            <w:tcW w:w="1558" w:type="dxa"/>
            <w:vAlign w:val="bottom"/>
            <w:hideMark/>
          </w:tcPr>
          <w:p w14:paraId="4C12FC39"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-0.010600</w:t>
            </w:r>
          </w:p>
        </w:tc>
        <w:tc>
          <w:tcPr>
            <w:tcW w:w="1558" w:type="dxa"/>
            <w:vAlign w:val="bottom"/>
            <w:hideMark/>
          </w:tcPr>
          <w:p w14:paraId="0F62E815"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-0.049400</w:t>
            </w:r>
          </w:p>
        </w:tc>
        <w:tc>
          <w:tcPr>
            <w:tcW w:w="1558" w:type="dxa"/>
            <w:vAlign w:val="bottom"/>
            <w:hideMark/>
          </w:tcPr>
          <w:p w14:paraId="606E2B25"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0.000900</w:t>
            </w:r>
          </w:p>
        </w:tc>
        <w:tc>
          <w:tcPr>
            <w:tcW w:w="1558" w:type="dxa"/>
            <w:vAlign w:val="bottom"/>
            <w:hideMark/>
          </w:tcPr>
          <w:p w14:paraId="7D7A0926"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0.007500</w:t>
            </w:r>
          </w:p>
        </w:tc>
        <w:tc>
          <w:tcPr>
            <w:tcW w:w="1558" w:type="dxa"/>
            <w:vAlign w:val="bottom"/>
            <w:hideMark/>
          </w:tcPr>
          <w:p w14:paraId="4DBDE76C"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0.100200</w:t>
            </w:r>
          </w:p>
        </w:tc>
      </w:tr>
      <w:tr w:rsidR="007C2230" w:rsidRPr="007C2230" w14:paraId="38398366" w14:textId="77777777" w:rsidTr="007C2230">
        <w:trPr>
          <w:trHeight w:val="178"/>
        </w:trPr>
        <w:tc>
          <w:tcPr>
            <w:tcW w:w="1768" w:type="dxa"/>
            <w:vAlign w:val="bottom"/>
            <w:hideMark/>
          </w:tcPr>
          <w:p w14:paraId="5AA2CE0E" w14:textId="77777777" w:rsidR="007C2230" w:rsidRPr="007C2230" w:rsidRDefault="007C2230" w:rsidP="00B37849">
            <w:pPr>
              <w:autoSpaceDE w:val="0"/>
              <w:autoSpaceDN w:val="0"/>
              <w:adjustRightInd w:val="0"/>
              <w:spacing w:line="276" w:lineRule="auto"/>
              <w:rPr>
                <w:rFonts w:ascii="Arial" w:eastAsia="Calibri" w:hAnsi="Arial" w:cs="Arial"/>
                <w:color w:val="000000"/>
              </w:rPr>
            </w:pPr>
            <w:r w:rsidRPr="007C2230">
              <w:rPr>
                <w:rFonts w:ascii="Arial" w:eastAsia="Calibri" w:hAnsi="Arial" w:cs="Arial"/>
                <w:color w:val="000000"/>
              </w:rPr>
              <w:t> Std. Dev.</w:t>
            </w:r>
          </w:p>
        </w:tc>
        <w:tc>
          <w:tcPr>
            <w:tcW w:w="1558" w:type="dxa"/>
            <w:vAlign w:val="bottom"/>
            <w:hideMark/>
          </w:tcPr>
          <w:p w14:paraId="32C7DE5B"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0.205381</w:t>
            </w:r>
          </w:p>
        </w:tc>
        <w:tc>
          <w:tcPr>
            <w:tcW w:w="1558" w:type="dxa"/>
            <w:vAlign w:val="bottom"/>
            <w:hideMark/>
          </w:tcPr>
          <w:p w14:paraId="38AA18C8"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0.396579</w:t>
            </w:r>
          </w:p>
        </w:tc>
        <w:tc>
          <w:tcPr>
            <w:tcW w:w="1558" w:type="dxa"/>
            <w:vAlign w:val="bottom"/>
            <w:hideMark/>
          </w:tcPr>
          <w:p w14:paraId="708594AF"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0.010846</w:t>
            </w:r>
          </w:p>
        </w:tc>
        <w:tc>
          <w:tcPr>
            <w:tcW w:w="1558" w:type="dxa"/>
            <w:vAlign w:val="bottom"/>
            <w:hideMark/>
          </w:tcPr>
          <w:p w14:paraId="4FA5EA38"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0.261591</w:t>
            </w:r>
          </w:p>
        </w:tc>
        <w:tc>
          <w:tcPr>
            <w:tcW w:w="1558" w:type="dxa"/>
            <w:vAlign w:val="bottom"/>
            <w:hideMark/>
          </w:tcPr>
          <w:p w14:paraId="2B174EDF"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0.082557</w:t>
            </w:r>
          </w:p>
        </w:tc>
      </w:tr>
      <w:tr w:rsidR="007C2230" w:rsidRPr="007C2230" w14:paraId="51950A8F" w14:textId="77777777" w:rsidTr="007C2230">
        <w:trPr>
          <w:trHeight w:val="178"/>
        </w:trPr>
        <w:tc>
          <w:tcPr>
            <w:tcW w:w="1768" w:type="dxa"/>
            <w:vAlign w:val="bottom"/>
            <w:hideMark/>
          </w:tcPr>
          <w:p w14:paraId="1172B759" w14:textId="77777777" w:rsidR="007C2230" w:rsidRPr="007C2230" w:rsidRDefault="007C2230" w:rsidP="00B37849">
            <w:pPr>
              <w:autoSpaceDE w:val="0"/>
              <w:autoSpaceDN w:val="0"/>
              <w:adjustRightInd w:val="0"/>
              <w:spacing w:line="276" w:lineRule="auto"/>
              <w:rPr>
                <w:rFonts w:ascii="Arial" w:eastAsia="Calibri" w:hAnsi="Arial" w:cs="Arial"/>
                <w:color w:val="000000"/>
              </w:rPr>
            </w:pPr>
            <w:r w:rsidRPr="007C2230">
              <w:rPr>
                <w:rFonts w:ascii="Arial" w:eastAsia="Calibri" w:hAnsi="Arial" w:cs="Arial"/>
                <w:color w:val="000000"/>
              </w:rPr>
              <w:t> Skewness</w:t>
            </w:r>
          </w:p>
        </w:tc>
        <w:tc>
          <w:tcPr>
            <w:tcW w:w="1558" w:type="dxa"/>
            <w:vAlign w:val="bottom"/>
            <w:hideMark/>
          </w:tcPr>
          <w:p w14:paraId="78F09C42"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0.826738</w:t>
            </w:r>
          </w:p>
        </w:tc>
        <w:tc>
          <w:tcPr>
            <w:tcW w:w="1558" w:type="dxa"/>
            <w:vAlign w:val="bottom"/>
            <w:hideMark/>
          </w:tcPr>
          <w:p w14:paraId="41A78264"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0.978419</w:t>
            </w:r>
          </w:p>
        </w:tc>
        <w:tc>
          <w:tcPr>
            <w:tcW w:w="1558" w:type="dxa"/>
            <w:vAlign w:val="bottom"/>
            <w:hideMark/>
          </w:tcPr>
          <w:p w14:paraId="52421E41"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1.532285</w:t>
            </w:r>
          </w:p>
        </w:tc>
        <w:tc>
          <w:tcPr>
            <w:tcW w:w="1558" w:type="dxa"/>
            <w:vAlign w:val="bottom"/>
            <w:hideMark/>
          </w:tcPr>
          <w:p w14:paraId="4D8F7AFB"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0.508576</w:t>
            </w:r>
          </w:p>
        </w:tc>
        <w:tc>
          <w:tcPr>
            <w:tcW w:w="1558" w:type="dxa"/>
            <w:vAlign w:val="bottom"/>
            <w:hideMark/>
          </w:tcPr>
          <w:p w14:paraId="146DC115"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2.962635</w:t>
            </w:r>
          </w:p>
        </w:tc>
      </w:tr>
      <w:tr w:rsidR="007C2230" w:rsidRPr="007C2230" w14:paraId="6F521AA0" w14:textId="77777777" w:rsidTr="007C2230">
        <w:trPr>
          <w:trHeight w:val="178"/>
        </w:trPr>
        <w:tc>
          <w:tcPr>
            <w:tcW w:w="1768" w:type="dxa"/>
            <w:vAlign w:val="bottom"/>
            <w:hideMark/>
          </w:tcPr>
          <w:p w14:paraId="5DC2F82C" w14:textId="77777777" w:rsidR="007C2230" w:rsidRPr="007C2230" w:rsidRDefault="007C2230" w:rsidP="00B37849">
            <w:pPr>
              <w:autoSpaceDE w:val="0"/>
              <w:autoSpaceDN w:val="0"/>
              <w:adjustRightInd w:val="0"/>
              <w:spacing w:line="276" w:lineRule="auto"/>
              <w:rPr>
                <w:rFonts w:ascii="Arial" w:eastAsia="Calibri" w:hAnsi="Arial" w:cs="Arial"/>
                <w:color w:val="000000"/>
              </w:rPr>
            </w:pPr>
            <w:r w:rsidRPr="007C2230">
              <w:rPr>
                <w:rFonts w:ascii="Arial" w:eastAsia="Calibri" w:hAnsi="Arial" w:cs="Arial"/>
                <w:color w:val="000000"/>
              </w:rPr>
              <w:t> Kurtosis</w:t>
            </w:r>
          </w:p>
        </w:tc>
        <w:tc>
          <w:tcPr>
            <w:tcW w:w="1558" w:type="dxa"/>
            <w:vAlign w:val="bottom"/>
            <w:hideMark/>
          </w:tcPr>
          <w:p w14:paraId="1BB7A33A"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2.633513</w:t>
            </w:r>
          </w:p>
        </w:tc>
        <w:tc>
          <w:tcPr>
            <w:tcW w:w="1558" w:type="dxa"/>
            <w:vAlign w:val="bottom"/>
            <w:hideMark/>
          </w:tcPr>
          <w:p w14:paraId="6EFDA97B"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2.202792</w:t>
            </w:r>
          </w:p>
        </w:tc>
        <w:tc>
          <w:tcPr>
            <w:tcW w:w="1558" w:type="dxa"/>
            <w:vAlign w:val="bottom"/>
            <w:hideMark/>
          </w:tcPr>
          <w:p w14:paraId="145BC37B"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2.140854</w:t>
            </w:r>
          </w:p>
        </w:tc>
        <w:tc>
          <w:tcPr>
            <w:tcW w:w="1558" w:type="dxa"/>
            <w:vAlign w:val="bottom"/>
            <w:hideMark/>
          </w:tcPr>
          <w:p w14:paraId="1F66F976"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2.146457</w:t>
            </w:r>
          </w:p>
        </w:tc>
        <w:tc>
          <w:tcPr>
            <w:tcW w:w="1558" w:type="dxa"/>
            <w:vAlign w:val="bottom"/>
            <w:hideMark/>
          </w:tcPr>
          <w:p w14:paraId="4C7CEB0C"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1.051636</w:t>
            </w:r>
          </w:p>
        </w:tc>
      </w:tr>
      <w:tr w:rsidR="007C2230" w:rsidRPr="007C2230" w14:paraId="5991D15B" w14:textId="77777777" w:rsidTr="007C2230">
        <w:trPr>
          <w:trHeight w:val="178"/>
        </w:trPr>
        <w:tc>
          <w:tcPr>
            <w:tcW w:w="1768" w:type="dxa"/>
            <w:vAlign w:val="bottom"/>
            <w:hideMark/>
          </w:tcPr>
          <w:p w14:paraId="3BD46236" w14:textId="77777777" w:rsidR="007C2230" w:rsidRPr="007C2230" w:rsidRDefault="007C2230" w:rsidP="00B37849">
            <w:pPr>
              <w:autoSpaceDE w:val="0"/>
              <w:autoSpaceDN w:val="0"/>
              <w:adjustRightInd w:val="0"/>
              <w:spacing w:line="276" w:lineRule="auto"/>
              <w:rPr>
                <w:rFonts w:ascii="Arial" w:eastAsia="Calibri" w:hAnsi="Arial" w:cs="Arial"/>
                <w:color w:val="000000"/>
              </w:rPr>
            </w:pPr>
            <w:r w:rsidRPr="007C2230">
              <w:rPr>
                <w:rFonts w:ascii="Arial" w:eastAsia="Calibri" w:hAnsi="Arial" w:cs="Arial"/>
                <w:color w:val="000000"/>
              </w:rPr>
              <w:t> Jarque-Bera</w:t>
            </w:r>
          </w:p>
        </w:tc>
        <w:tc>
          <w:tcPr>
            <w:tcW w:w="1558" w:type="dxa"/>
            <w:vAlign w:val="bottom"/>
            <w:hideMark/>
          </w:tcPr>
          <w:p w14:paraId="5DC895A5"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2.742918</w:t>
            </w:r>
          </w:p>
        </w:tc>
        <w:tc>
          <w:tcPr>
            <w:tcW w:w="1558" w:type="dxa"/>
            <w:vAlign w:val="bottom"/>
            <w:hideMark/>
          </w:tcPr>
          <w:p w14:paraId="7321C796"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2.413908</w:t>
            </w:r>
          </w:p>
        </w:tc>
        <w:tc>
          <w:tcPr>
            <w:tcW w:w="1558" w:type="dxa"/>
            <w:vAlign w:val="bottom"/>
            <w:hideMark/>
          </w:tcPr>
          <w:p w14:paraId="71F2ADDD"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2.527352</w:t>
            </w:r>
          </w:p>
        </w:tc>
        <w:tc>
          <w:tcPr>
            <w:tcW w:w="1558" w:type="dxa"/>
            <w:vAlign w:val="bottom"/>
            <w:hideMark/>
          </w:tcPr>
          <w:p w14:paraId="0604F88A"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2.734193</w:t>
            </w:r>
          </w:p>
        </w:tc>
        <w:tc>
          <w:tcPr>
            <w:tcW w:w="1558" w:type="dxa"/>
            <w:vAlign w:val="bottom"/>
            <w:hideMark/>
          </w:tcPr>
          <w:p w14:paraId="07BF865A"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3.826320</w:t>
            </w:r>
          </w:p>
        </w:tc>
      </w:tr>
      <w:tr w:rsidR="007C2230" w:rsidRPr="007C2230" w14:paraId="35015909" w14:textId="77777777" w:rsidTr="007C2230">
        <w:trPr>
          <w:trHeight w:val="178"/>
        </w:trPr>
        <w:tc>
          <w:tcPr>
            <w:tcW w:w="1768" w:type="dxa"/>
            <w:vAlign w:val="bottom"/>
            <w:hideMark/>
          </w:tcPr>
          <w:p w14:paraId="4A1985C5" w14:textId="77777777" w:rsidR="007C2230" w:rsidRPr="007C2230" w:rsidRDefault="007C2230" w:rsidP="00B37849">
            <w:pPr>
              <w:autoSpaceDE w:val="0"/>
              <w:autoSpaceDN w:val="0"/>
              <w:adjustRightInd w:val="0"/>
              <w:spacing w:line="276" w:lineRule="auto"/>
              <w:rPr>
                <w:rFonts w:ascii="Arial" w:eastAsia="Calibri" w:hAnsi="Arial" w:cs="Arial"/>
                <w:color w:val="000000"/>
              </w:rPr>
            </w:pPr>
            <w:r w:rsidRPr="007C2230">
              <w:rPr>
                <w:rFonts w:ascii="Arial" w:eastAsia="Calibri" w:hAnsi="Arial" w:cs="Arial"/>
                <w:color w:val="000000"/>
              </w:rPr>
              <w:t> Probability</w:t>
            </w:r>
          </w:p>
        </w:tc>
        <w:tc>
          <w:tcPr>
            <w:tcW w:w="1558" w:type="dxa"/>
            <w:vAlign w:val="bottom"/>
            <w:hideMark/>
          </w:tcPr>
          <w:p w14:paraId="502DBE1E"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0.253736</w:t>
            </w:r>
          </w:p>
        </w:tc>
        <w:tc>
          <w:tcPr>
            <w:tcW w:w="1558" w:type="dxa"/>
            <w:vAlign w:val="bottom"/>
            <w:hideMark/>
          </w:tcPr>
          <w:p w14:paraId="05E35FCA"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0.299107</w:t>
            </w:r>
          </w:p>
        </w:tc>
        <w:tc>
          <w:tcPr>
            <w:tcW w:w="1558" w:type="dxa"/>
            <w:vAlign w:val="bottom"/>
            <w:hideMark/>
          </w:tcPr>
          <w:p w14:paraId="7EDE8885"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0.254862</w:t>
            </w:r>
          </w:p>
        </w:tc>
        <w:tc>
          <w:tcPr>
            <w:tcW w:w="1558" w:type="dxa"/>
            <w:vAlign w:val="bottom"/>
            <w:hideMark/>
          </w:tcPr>
          <w:p w14:paraId="3A2842BD"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0.253736</w:t>
            </w:r>
          </w:p>
        </w:tc>
        <w:tc>
          <w:tcPr>
            <w:tcW w:w="1558" w:type="dxa"/>
            <w:vAlign w:val="bottom"/>
            <w:hideMark/>
          </w:tcPr>
          <w:p w14:paraId="35952035"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0.147613</w:t>
            </w:r>
          </w:p>
        </w:tc>
      </w:tr>
      <w:tr w:rsidR="007C2230" w:rsidRPr="007C2230" w14:paraId="5D5893E8" w14:textId="77777777" w:rsidTr="007C2230">
        <w:trPr>
          <w:trHeight w:val="178"/>
        </w:trPr>
        <w:tc>
          <w:tcPr>
            <w:tcW w:w="1768" w:type="dxa"/>
            <w:vAlign w:val="bottom"/>
            <w:hideMark/>
          </w:tcPr>
          <w:p w14:paraId="0FC18890" w14:textId="77777777" w:rsidR="007C2230" w:rsidRPr="007C2230" w:rsidRDefault="007C2230" w:rsidP="00B37849">
            <w:pPr>
              <w:autoSpaceDE w:val="0"/>
              <w:autoSpaceDN w:val="0"/>
              <w:adjustRightInd w:val="0"/>
              <w:spacing w:line="276" w:lineRule="auto"/>
              <w:rPr>
                <w:rFonts w:ascii="Arial" w:eastAsia="Calibri" w:hAnsi="Arial" w:cs="Arial"/>
                <w:color w:val="000000"/>
              </w:rPr>
            </w:pPr>
            <w:r w:rsidRPr="007C2230">
              <w:rPr>
                <w:rFonts w:ascii="Arial" w:eastAsia="Calibri" w:hAnsi="Arial" w:cs="Arial"/>
                <w:color w:val="000000"/>
              </w:rPr>
              <w:t> Sum</w:t>
            </w:r>
          </w:p>
        </w:tc>
        <w:tc>
          <w:tcPr>
            <w:tcW w:w="1558" w:type="dxa"/>
            <w:vAlign w:val="bottom"/>
            <w:hideMark/>
          </w:tcPr>
          <w:p w14:paraId="0EA0AB12"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78.46960</w:t>
            </w:r>
          </w:p>
        </w:tc>
        <w:tc>
          <w:tcPr>
            <w:tcW w:w="1558" w:type="dxa"/>
            <w:vAlign w:val="bottom"/>
            <w:hideMark/>
          </w:tcPr>
          <w:p w14:paraId="44CF9234"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74.43832</w:t>
            </w:r>
          </w:p>
        </w:tc>
        <w:tc>
          <w:tcPr>
            <w:tcW w:w="1558" w:type="dxa"/>
            <w:vAlign w:val="bottom"/>
            <w:hideMark/>
          </w:tcPr>
          <w:p w14:paraId="6A28A55D"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16.53827</w:t>
            </w:r>
          </w:p>
        </w:tc>
        <w:tc>
          <w:tcPr>
            <w:tcW w:w="1558" w:type="dxa"/>
            <w:vAlign w:val="bottom"/>
            <w:hideMark/>
          </w:tcPr>
          <w:p w14:paraId="345CBDC6"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63.00227</w:t>
            </w:r>
          </w:p>
        </w:tc>
        <w:tc>
          <w:tcPr>
            <w:tcW w:w="1558" w:type="dxa"/>
            <w:vAlign w:val="bottom"/>
            <w:hideMark/>
          </w:tcPr>
          <w:p w14:paraId="64E9185D"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32.97070</w:t>
            </w:r>
          </w:p>
        </w:tc>
      </w:tr>
      <w:tr w:rsidR="007C2230" w:rsidRPr="007C2230" w14:paraId="4D2400C4" w14:textId="77777777" w:rsidTr="007C2230">
        <w:trPr>
          <w:trHeight w:val="178"/>
        </w:trPr>
        <w:tc>
          <w:tcPr>
            <w:tcW w:w="1768" w:type="dxa"/>
            <w:vAlign w:val="bottom"/>
            <w:hideMark/>
          </w:tcPr>
          <w:p w14:paraId="2A2F093E" w14:textId="77777777" w:rsidR="007C2230" w:rsidRPr="007C2230" w:rsidRDefault="007C2230" w:rsidP="00B37849">
            <w:pPr>
              <w:autoSpaceDE w:val="0"/>
              <w:autoSpaceDN w:val="0"/>
              <w:adjustRightInd w:val="0"/>
              <w:spacing w:line="276" w:lineRule="auto"/>
              <w:rPr>
                <w:rFonts w:ascii="Arial" w:eastAsia="Calibri" w:hAnsi="Arial" w:cs="Arial"/>
                <w:color w:val="000000"/>
              </w:rPr>
            </w:pPr>
            <w:r w:rsidRPr="007C2230">
              <w:rPr>
                <w:rFonts w:ascii="Arial" w:eastAsia="Calibri" w:hAnsi="Arial" w:cs="Arial"/>
                <w:color w:val="000000"/>
              </w:rPr>
              <w:t> Sum Sq. Dev.</w:t>
            </w:r>
          </w:p>
        </w:tc>
        <w:tc>
          <w:tcPr>
            <w:tcW w:w="1558" w:type="dxa"/>
            <w:vAlign w:val="bottom"/>
            <w:hideMark/>
          </w:tcPr>
          <w:p w14:paraId="698260D2"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7.044266</w:t>
            </w:r>
          </w:p>
        </w:tc>
        <w:tc>
          <w:tcPr>
            <w:tcW w:w="1558" w:type="dxa"/>
            <w:vAlign w:val="bottom"/>
            <w:hideMark/>
          </w:tcPr>
          <w:p w14:paraId="49C93533"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26.26491</w:t>
            </w:r>
          </w:p>
        </w:tc>
        <w:tc>
          <w:tcPr>
            <w:tcW w:w="1558" w:type="dxa"/>
            <w:vAlign w:val="bottom"/>
            <w:hideMark/>
          </w:tcPr>
          <w:p w14:paraId="470AC85C"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2.051884</w:t>
            </w:r>
          </w:p>
        </w:tc>
        <w:tc>
          <w:tcPr>
            <w:tcW w:w="1558" w:type="dxa"/>
            <w:vAlign w:val="bottom"/>
            <w:hideMark/>
          </w:tcPr>
          <w:p w14:paraId="03B53B4E"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11.42778</w:t>
            </w:r>
          </w:p>
        </w:tc>
        <w:tc>
          <w:tcPr>
            <w:tcW w:w="1558" w:type="dxa"/>
            <w:vAlign w:val="bottom"/>
            <w:hideMark/>
          </w:tcPr>
          <w:p w14:paraId="5AB0D68F"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1.138216</w:t>
            </w:r>
          </w:p>
        </w:tc>
      </w:tr>
      <w:tr w:rsidR="007C2230" w:rsidRPr="007C2230" w14:paraId="72D849BC" w14:textId="77777777" w:rsidTr="007C2230">
        <w:trPr>
          <w:trHeight w:val="178"/>
        </w:trPr>
        <w:tc>
          <w:tcPr>
            <w:tcW w:w="1768" w:type="dxa"/>
            <w:vAlign w:val="bottom"/>
            <w:hideMark/>
          </w:tcPr>
          <w:p w14:paraId="793E50B7" w14:textId="77777777" w:rsidR="007C2230" w:rsidRPr="007C2230" w:rsidRDefault="007C2230" w:rsidP="00B37849">
            <w:pPr>
              <w:autoSpaceDE w:val="0"/>
              <w:autoSpaceDN w:val="0"/>
              <w:adjustRightInd w:val="0"/>
              <w:spacing w:line="276" w:lineRule="auto"/>
              <w:rPr>
                <w:rFonts w:ascii="Arial" w:eastAsia="Calibri" w:hAnsi="Arial" w:cs="Arial"/>
                <w:color w:val="000000"/>
              </w:rPr>
            </w:pPr>
            <w:r w:rsidRPr="007C2230">
              <w:rPr>
                <w:rFonts w:ascii="Arial" w:eastAsia="Calibri" w:hAnsi="Arial" w:cs="Arial"/>
                <w:color w:val="000000"/>
              </w:rPr>
              <w:t> Observations</w:t>
            </w:r>
          </w:p>
        </w:tc>
        <w:tc>
          <w:tcPr>
            <w:tcW w:w="1558" w:type="dxa"/>
            <w:vAlign w:val="bottom"/>
            <w:hideMark/>
          </w:tcPr>
          <w:p w14:paraId="66AB83CD"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 112</w:t>
            </w:r>
          </w:p>
        </w:tc>
        <w:tc>
          <w:tcPr>
            <w:tcW w:w="1558" w:type="dxa"/>
            <w:vAlign w:val="bottom"/>
            <w:hideMark/>
          </w:tcPr>
          <w:p w14:paraId="5CEC2B1C"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112</w:t>
            </w:r>
          </w:p>
        </w:tc>
        <w:tc>
          <w:tcPr>
            <w:tcW w:w="1558" w:type="dxa"/>
            <w:vAlign w:val="bottom"/>
            <w:hideMark/>
          </w:tcPr>
          <w:p w14:paraId="6B3EB0A1"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112</w:t>
            </w:r>
          </w:p>
        </w:tc>
        <w:tc>
          <w:tcPr>
            <w:tcW w:w="1558" w:type="dxa"/>
            <w:vAlign w:val="bottom"/>
            <w:hideMark/>
          </w:tcPr>
          <w:p w14:paraId="5F0AFA10"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112</w:t>
            </w:r>
          </w:p>
        </w:tc>
        <w:tc>
          <w:tcPr>
            <w:tcW w:w="1558" w:type="dxa"/>
            <w:vAlign w:val="bottom"/>
            <w:hideMark/>
          </w:tcPr>
          <w:p w14:paraId="43280F1B" w14:textId="77777777" w:rsidR="007C2230" w:rsidRPr="007C2230" w:rsidRDefault="007C2230" w:rsidP="00B37849">
            <w:pPr>
              <w:autoSpaceDE w:val="0"/>
              <w:autoSpaceDN w:val="0"/>
              <w:adjustRightInd w:val="0"/>
              <w:spacing w:line="276" w:lineRule="auto"/>
              <w:jc w:val="center"/>
              <w:rPr>
                <w:rFonts w:ascii="Arial" w:eastAsia="Calibri" w:hAnsi="Arial" w:cs="Arial"/>
                <w:color w:val="000000"/>
              </w:rPr>
            </w:pPr>
            <w:r w:rsidRPr="007C2230">
              <w:rPr>
                <w:rFonts w:ascii="Arial" w:eastAsia="Calibri" w:hAnsi="Arial" w:cs="Arial"/>
                <w:color w:val="000000"/>
              </w:rPr>
              <w:t>112</w:t>
            </w:r>
          </w:p>
        </w:tc>
      </w:tr>
    </w:tbl>
    <w:p w14:paraId="520924A1" w14:textId="75CE95D3" w:rsidR="007C2230" w:rsidRDefault="007C2230" w:rsidP="00441B6F">
      <w:pPr>
        <w:pStyle w:val="Body"/>
        <w:spacing w:after="0"/>
        <w:rPr>
          <w:rFonts w:ascii="Arial" w:hAnsi="Arial" w:cs="Arial"/>
          <w:i/>
          <w:iCs/>
          <w:sz w:val="18"/>
          <w:szCs w:val="18"/>
        </w:rPr>
      </w:pPr>
      <w:r w:rsidRPr="007C2230">
        <w:rPr>
          <w:rFonts w:ascii="Arial" w:hAnsi="Arial" w:cs="Arial"/>
          <w:i/>
          <w:iCs/>
          <w:sz w:val="18"/>
          <w:szCs w:val="18"/>
        </w:rPr>
        <w:t xml:space="preserve">FIRE </w:t>
      </w:r>
      <w:proofErr w:type="gramStart"/>
      <w:r w:rsidRPr="007C2230">
        <w:rPr>
          <w:rFonts w:ascii="Arial" w:hAnsi="Arial" w:cs="Arial"/>
          <w:i/>
          <w:iCs/>
          <w:sz w:val="18"/>
          <w:szCs w:val="18"/>
        </w:rPr>
        <w:t>=  Financial</w:t>
      </w:r>
      <w:proofErr w:type="gramEnd"/>
      <w:r w:rsidRPr="007C2230">
        <w:rPr>
          <w:rFonts w:ascii="Arial" w:hAnsi="Arial" w:cs="Arial"/>
          <w:i/>
          <w:iCs/>
          <w:sz w:val="18"/>
          <w:szCs w:val="18"/>
        </w:rPr>
        <w:t xml:space="preserve"> Position    FINR = Financial Restructuring    ASSR = Asset Restructuring </w:t>
      </w:r>
      <w:r w:rsidR="00756D65">
        <w:rPr>
          <w:rFonts w:ascii="Arial" w:hAnsi="Arial" w:cs="Arial"/>
          <w:i/>
          <w:iCs/>
          <w:sz w:val="18"/>
          <w:szCs w:val="18"/>
        </w:rPr>
        <w:t xml:space="preserve">           </w:t>
      </w:r>
      <w:r w:rsidRPr="007C2230">
        <w:rPr>
          <w:rFonts w:ascii="Arial" w:hAnsi="Arial" w:cs="Arial"/>
          <w:i/>
          <w:iCs/>
          <w:sz w:val="18"/>
          <w:szCs w:val="18"/>
        </w:rPr>
        <w:t xml:space="preserve"> OPR = Operational restructuring    CAR = Capital Restructuring</w:t>
      </w:r>
    </w:p>
    <w:p w14:paraId="720258B9" w14:textId="77777777" w:rsidR="007C2230" w:rsidRPr="007C2230" w:rsidRDefault="007C2230" w:rsidP="00441B6F">
      <w:pPr>
        <w:pStyle w:val="Body"/>
        <w:spacing w:after="0"/>
        <w:rPr>
          <w:rFonts w:ascii="Arial" w:hAnsi="Arial" w:cs="Arial"/>
          <w:i/>
          <w:iCs/>
          <w:sz w:val="18"/>
          <w:szCs w:val="18"/>
        </w:rPr>
      </w:pPr>
    </w:p>
    <w:p w14:paraId="65DE2B2D" w14:textId="77777777" w:rsidR="00756D65" w:rsidRPr="00756D65" w:rsidRDefault="00756D65" w:rsidP="00756D65">
      <w:pPr>
        <w:pStyle w:val="Body"/>
        <w:rPr>
          <w:rFonts w:ascii="Arial" w:hAnsi="Arial" w:cs="Arial"/>
        </w:rPr>
      </w:pPr>
      <w:r w:rsidRPr="00756D65">
        <w:rPr>
          <w:rFonts w:ascii="Arial" w:hAnsi="Arial" w:cs="Arial"/>
        </w:rPr>
        <w:t>Table 1 above shows the result of the descriptive statistics. From the result, it could be observed that the mean (average) values of financial Position (Z-score), financial restructuring, asset restructuring, operational restructuring, and capital restructuring are 0.467081, 0.443085, 0.098442, 0.375014 and 0.196254 respectively. Comparably, their standard deviation values are 0.205381, 0.396579, 0.010846, 0.261591, and 0.082557. This implies that their standard deviation values are lower than their mean values suggesting that they exhibited low volatility.</w:t>
      </w:r>
    </w:p>
    <w:p w14:paraId="172B5D67" w14:textId="77777777" w:rsidR="00756D65" w:rsidRPr="00756D65" w:rsidRDefault="00756D65" w:rsidP="00756D65">
      <w:pPr>
        <w:pStyle w:val="Body"/>
        <w:rPr>
          <w:rFonts w:ascii="Arial" w:hAnsi="Arial" w:cs="Arial"/>
        </w:rPr>
      </w:pPr>
      <w:r w:rsidRPr="00756D65">
        <w:rPr>
          <w:rFonts w:ascii="Arial" w:hAnsi="Arial" w:cs="Arial"/>
        </w:rPr>
        <w:t>Furthermore, it could be observed that the maximum (highest) values of financial Position (Z-score), financial restructuring, asset restructuring, operational restructuring, and capital restructuring are:  0.982900, 1.702200, 0.488900, 0.927600, and 0.707900. Meanwhile, they reported minimum values of -0.010600, -0.049400, 0.000900, 0.007500, and 0.100200.</w:t>
      </w:r>
    </w:p>
    <w:p w14:paraId="75AAFC26" w14:textId="77777777" w:rsidR="00756D65" w:rsidRPr="00756D65" w:rsidRDefault="00756D65" w:rsidP="00756D65">
      <w:pPr>
        <w:pStyle w:val="Body"/>
        <w:rPr>
          <w:rFonts w:ascii="Arial" w:hAnsi="Arial" w:cs="Arial"/>
        </w:rPr>
      </w:pPr>
      <w:r w:rsidRPr="00756D65">
        <w:rPr>
          <w:rFonts w:ascii="Arial" w:hAnsi="Arial" w:cs="Arial"/>
        </w:rPr>
        <w:t>Furthermore, a close look at the descriptive statistics in table 1 above revealed that all the study variables are Skewed to the right since they are all positively signed. This means that their means are peak at the right side. Again, the Kurtosis revealed that the distribution produces fewer extreme values. This is because none of the study variables reported a Kurtosis value higher or equals 3.</w:t>
      </w:r>
    </w:p>
    <w:p w14:paraId="2990E83A" w14:textId="3B9845CD" w:rsidR="00756D65" w:rsidRDefault="00756D65" w:rsidP="00756D65">
      <w:pPr>
        <w:pStyle w:val="Body"/>
        <w:spacing w:after="0"/>
        <w:rPr>
          <w:rFonts w:ascii="Arial" w:hAnsi="Arial" w:cs="Arial"/>
        </w:rPr>
      </w:pPr>
      <w:r w:rsidRPr="00756D65">
        <w:rPr>
          <w:rFonts w:ascii="Arial" w:hAnsi="Arial" w:cs="Arial"/>
        </w:rPr>
        <w:t>Lastly, the Jarque-Bera test with p-values all greater than 5% revealed that the study variables are all normally distributed.</w:t>
      </w:r>
    </w:p>
    <w:p w14:paraId="5350AE27" w14:textId="37F76956" w:rsidR="00502516" w:rsidRDefault="00502516" w:rsidP="00441B6F">
      <w:pPr>
        <w:pStyle w:val="Body"/>
        <w:spacing w:after="0"/>
        <w:rPr>
          <w:rFonts w:ascii="Arial" w:hAnsi="Arial" w:cs="Arial"/>
        </w:rPr>
      </w:pPr>
      <w:r w:rsidRPr="00502516">
        <w:rPr>
          <w:rFonts w:ascii="Arial" w:hAnsi="Arial" w:cs="Arial"/>
        </w:rPr>
        <w:t xml:space="preserve">Results should be clearly described in a concise manner. Results for different parameters should be described under subheadings or in separate paragraph. Table or figure numbers should be mentioned in parentheses for better understanding. </w:t>
      </w:r>
    </w:p>
    <w:p w14:paraId="5935F019" w14:textId="77777777" w:rsidR="00790ADA" w:rsidRPr="00502516" w:rsidRDefault="00790ADA" w:rsidP="00441B6F">
      <w:pPr>
        <w:pStyle w:val="Body"/>
        <w:spacing w:after="0"/>
        <w:rPr>
          <w:rFonts w:ascii="Arial" w:hAnsi="Arial" w:cs="Arial"/>
        </w:rPr>
      </w:pPr>
    </w:p>
    <w:p w14:paraId="1383B72F" w14:textId="77777777" w:rsidR="00756D65" w:rsidRPr="00756D65" w:rsidRDefault="00756D65" w:rsidP="00756D65">
      <w:pPr>
        <w:pStyle w:val="Body"/>
        <w:rPr>
          <w:rFonts w:ascii="Arial" w:hAnsi="Arial" w:cs="Arial"/>
          <w:b/>
          <w:bCs/>
        </w:rPr>
      </w:pPr>
      <w:r w:rsidRPr="00756D65">
        <w:rPr>
          <w:rFonts w:ascii="Arial" w:hAnsi="Arial" w:cs="Arial"/>
          <w:b/>
          <w:bCs/>
        </w:rPr>
        <w:t>Correlation Analysis</w:t>
      </w:r>
    </w:p>
    <w:p w14:paraId="3F1745EA" w14:textId="77777777" w:rsidR="00756D65" w:rsidRPr="00756D65" w:rsidRDefault="00756D65" w:rsidP="00756D65">
      <w:pPr>
        <w:pStyle w:val="Body"/>
        <w:rPr>
          <w:rFonts w:ascii="Arial" w:hAnsi="Arial" w:cs="Arial"/>
        </w:rPr>
      </w:pPr>
      <w:r w:rsidRPr="00756D65">
        <w:rPr>
          <w:rFonts w:ascii="Arial" w:hAnsi="Arial" w:cs="Arial"/>
        </w:rPr>
        <w:lastRenderedPageBreak/>
        <w:t>The relationship among the study variables was analyzed using the Pearson correlation coefficient. The table below shows the matrix of coefficients of the correlation among the variables of the study:</w:t>
      </w:r>
    </w:p>
    <w:p w14:paraId="676CEA6B" w14:textId="7AE1F28D" w:rsidR="00756D65" w:rsidRPr="00756D65" w:rsidRDefault="00756D65" w:rsidP="00756D65">
      <w:pPr>
        <w:pStyle w:val="Body"/>
        <w:spacing w:after="0"/>
        <w:rPr>
          <w:rFonts w:ascii="Arial" w:hAnsi="Arial" w:cs="Arial"/>
          <w:b/>
          <w:bCs/>
        </w:rPr>
      </w:pPr>
      <w:r w:rsidRPr="00756D65">
        <w:rPr>
          <w:rFonts w:ascii="Arial" w:hAnsi="Arial" w:cs="Arial"/>
          <w:b/>
          <w:bCs/>
        </w:rPr>
        <w:t>Table 2: Summary of Correlation Analysis</w:t>
      </w:r>
    </w:p>
    <w:tbl>
      <w:tblPr>
        <w:tblW w:w="4812" w:type="pct"/>
        <w:tblInd w:w="-27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753"/>
        <w:gridCol w:w="1250"/>
        <w:gridCol w:w="1264"/>
        <w:gridCol w:w="1185"/>
        <w:gridCol w:w="1185"/>
        <w:gridCol w:w="1262"/>
      </w:tblGrid>
      <w:tr w:rsidR="00756D65" w:rsidRPr="00756D65" w14:paraId="2092E9B1" w14:textId="77777777" w:rsidTr="00CC4383">
        <w:trPr>
          <w:trHeight w:val="164"/>
        </w:trPr>
        <w:tc>
          <w:tcPr>
            <w:tcW w:w="1110" w:type="pct"/>
            <w:tcBorders>
              <w:top w:val="single" w:sz="4" w:space="0" w:color="auto"/>
              <w:bottom w:val="single" w:sz="4" w:space="0" w:color="auto"/>
            </w:tcBorders>
            <w:vAlign w:val="bottom"/>
            <w:hideMark/>
          </w:tcPr>
          <w:p w14:paraId="65A5BD5B" w14:textId="77777777" w:rsidR="00756D65" w:rsidRPr="00756D65" w:rsidRDefault="00756D65" w:rsidP="00B37849">
            <w:pPr>
              <w:autoSpaceDE w:val="0"/>
              <w:autoSpaceDN w:val="0"/>
              <w:adjustRightInd w:val="0"/>
              <w:spacing w:line="480" w:lineRule="auto"/>
              <w:jc w:val="both"/>
              <w:rPr>
                <w:rFonts w:ascii="Arial" w:eastAsia="Calibri" w:hAnsi="Arial" w:cs="Arial"/>
                <w:b/>
                <w:color w:val="000000"/>
              </w:rPr>
            </w:pPr>
            <w:r w:rsidRPr="00756D65">
              <w:rPr>
                <w:rFonts w:ascii="Arial" w:eastAsia="Calibri" w:hAnsi="Arial" w:cs="Arial"/>
                <w:b/>
                <w:color w:val="000000"/>
              </w:rPr>
              <w:t>Study Variables</w:t>
            </w:r>
          </w:p>
        </w:tc>
        <w:tc>
          <w:tcPr>
            <w:tcW w:w="791" w:type="pct"/>
            <w:tcBorders>
              <w:top w:val="single" w:sz="4" w:space="0" w:color="auto"/>
              <w:bottom w:val="single" w:sz="4" w:space="0" w:color="auto"/>
            </w:tcBorders>
            <w:vAlign w:val="bottom"/>
            <w:hideMark/>
          </w:tcPr>
          <w:p w14:paraId="225E3483" w14:textId="77777777" w:rsidR="00756D65" w:rsidRPr="00756D65" w:rsidRDefault="00756D65" w:rsidP="00B37849">
            <w:pPr>
              <w:autoSpaceDE w:val="0"/>
              <w:autoSpaceDN w:val="0"/>
              <w:adjustRightInd w:val="0"/>
              <w:spacing w:line="480" w:lineRule="auto"/>
              <w:jc w:val="both"/>
              <w:rPr>
                <w:rFonts w:ascii="Arial" w:eastAsia="Calibri" w:hAnsi="Arial" w:cs="Arial"/>
                <w:b/>
                <w:color w:val="000000"/>
              </w:rPr>
            </w:pPr>
            <w:r w:rsidRPr="00756D65">
              <w:rPr>
                <w:rFonts w:ascii="Arial" w:eastAsia="Calibri" w:hAnsi="Arial" w:cs="Arial"/>
                <w:b/>
                <w:color w:val="000000"/>
              </w:rPr>
              <w:t>FIRE</w:t>
            </w:r>
          </w:p>
        </w:tc>
        <w:tc>
          <w:tcPr>
            <w:tcW w:w="800" w:type="pct"/>
            <w:tcBorders>
              <w:top w:val="single" w:sz="4" w:space="0" w:color="auto"/>
              <w:bottom w:val="single" w:sz="4" w:space="0" w:color="auto"/>
            </w:tcBorders>
            <w:vAlign w:val="bottom"/>
            <w:hideMark/>
          </w:tcPr>
          <w:p w14:paraId="13114103" w14:textId="77777777" w:rsidR="00756D65" w:rsidRPr="00756D65" w:rsidRDefault="00756D65" w:rsidP="00B37849">
            <w:pPr>
              <w:autoSpaceDE w:val="0"/>
              <w:autoSpaceDN w:val="0"/>
              <w:adjustRightInd w:val="0"/>
              <w:spacing w:line="480" w:lineRule="auto"/>
              <w:jc w:val="both"/>
              <w:rPr>
                <w:rFonts w:ascii="Arial" w:eastAsia="Calibri" w:hAnsi="Arial" w:cs="Arial"/>
                <w:b/>
                <w:color w:val="000000"/>
              </w:rPr>
            </w:pPr>
            <w:r w:rsidRPr="00756D65">
              <w:rPr>
                <w:rFonts w:ascii="Arial" w:eastAsia="Calibri" w:hAnsi="Arial" w:cs="Arial"/>
                <w:b/>
                <w:color w:val="000000"/>
              </w:rPr>
              <w:t>FINR</w:t>
            </w:r>
          </w:p>
        </w:tc>
        <w:tc>
          <w:tcPr>
            <w:tcW w:w="750" w:type="pct"/>
            <w:tcBorders>
              <w:top w:val="single" w:sz="4" w:space="0" w:color="auto"/>
              <w:bottom w:val="single" w:sz="4" w:space="0" w:color="auto"/>
            </w:tcBorders>
            <w:vAlign w:val="bottom"/>
            <w:hideMark/>
          </w:tcPr>
          <w:p w14:paraId="17F7C524" w14:textId="77777777" w:rsidR="00756D65" w:rsidRPr="00756D65" w:rsidRDefault="00756D65" w:rsidP="00B37849">
            <w:pPr>
              <w:autoSpaceDE w:val="0"/>
              <w:autoSpaceDN w:val="0"/>
              <w:adjustRightInd w:val="0"/>
              <w:spacing w:line="480" w:lineRule="auto"/>
              <w:jc w:val="both"/>
              <w:rPr>
                <w:rFonts w:ascii="Arial" w:eastAsia="Calibri" w:hAnsi="Arial" w:cs="Arial"/>
                <w:b/>
                <w:color w:val="000000"/>
              </w:rPr>
            </w:pPr>
            <w:r w:rsidRPr="00756D65">
              <w:rPr>
                <w:rFonts w:ascii="Arial" w:eastAsia="Calibri" w:hAnsi="Arial" w:cs="Arial"/>
                <w:b/>
                <w:color w:val="000000"/>
              </w:rPr>
              <w:t>ASSR</w:t>
            </w:r>
          </w:p>
        </w:tc>
        <w:tc>
          <w:tcPr>
            <w:tcW w:w="750" w:type="pct"/>
            <w:tcBorders>
              <w:top w:val="single" w:sz="4" w:space="0" w:color="auto"/>
              <w:bottom w:val="single" w:sz="4" w:space="0" w:color="auto"/>
            </w:tcBorders>
            <w:vAlign w:val="bottom"/>
            <w:hideMark/>
          </w:tcPr>
          <w:p w14:paraId="1752C0A2" w14:textId="77777777" w:rsidR="00756D65" w:rsidRPr="00756D65" w:rsidRDefault="00756D65" w:rsidP="00B37849">
            <w:pPr>
              <w:autoSpaceDE w:val="0"/>
              <w:autoSpaceDN w:val="0"/>
              <w:adjustRightInd w:val="0"/>
              <w:spacing w:line="480" w:lineRule="auto"/>
              <w:jc w:val="both"/>
              <w:rPr>
                <w:rFonts w:ascii="Arial" w:eastAsia="Calibri" w:hAnsi="Arial" w:cs="Arial"/>
                <w:b/>
                <w:color w:val="000000"/>
              </w:rPr>
            </w:pPr>
            <w:r w:rsidRPr="00756D65">
              <w:rPr>
                <w:rFonts w:ascii="Arial" w:eastAsia="Calibri" w:hAnsi="Arial" w:cs="Arial"/>
                <w:b/>
                <w:color w:val="000000"/>
              </w:rPr>
              <w:t>OPR</w:t>
            </w:r>
          </w:p>
        </w:tc>
        <w:tc>
          <w:tcPr>
            <w:tcW w:w="799" w:type="pct"/>
            <w:tcBorders>
              <w:top w:val="single" w:sz="4" w:space="0" w:color="auto"/>
              <w:bottom w:val="single" w:sz="4" w:space="0" w:color="auto"/>
            </w:tcBorders>
            <w:vAlign w:val="bottom"/>
            <w:hideMark/>
          </w:tcPr>
          <w:p w14:paraId="5CB4D66D" w14:textId="77777777" w:rsidR="00756D65" w:rsidRPr="00756D65" w:rsidRDefault="00756D65" w:rsidP="00B37849">
            <w:pPr>
              <w:autoSpaceDE w:val="0"/>
              <w:autoSpaceDN w:val="0"/>
              <w:adjustRightInd w:val="0"/>
              <w:spacing w:line="480" w:lineRule="auto"/>
              <w:jc w:val="both"/>
              <w:rPr>
                <w:rFonts w:ascii="Arial" w:eastAsia="Calibri" w:hAnsi="Arial" w:cs="Arial"/>
                <w:b/>
                <w:color w:val="000000"/>
              </w:rPr>
            </w:pPr>
            <w:r w:rsidRPr="00756D65">
              <w:rPr>
                <w:rFonts w:ascii="Arial" w:eastAsia="Calibri" w:hAnsi="Arial" w:cs="Arial"/>
                <w:b/>
                <w:color w:val="000000"/>
              </w:rPr>
              <w:t>CAR</w:t>
            </w:r>
          </w:p>
        </w:tc>
      </w:tr>
      <w:tr w:rsidR="00756D65" w:rsidRPr="00756D65" w14:paraId="5C337170" w14:textId="77777777" w:rsidTr="00CC4383">
        <w:trPr>
          <w:trHeight w:val="164"/>
        </w:trPr>
        <w:tc>
          <w:tcPr>
            <w:tcW w:w="1110" w:type="pct"/>
            <w:tcBorders>
              <w:top w:val="single" w:sz="4" w:space="0" w:color="auto"/>
            </w:tcBorders>
            <w:vAlign w:val="bottom"/>
            <w:hideMark/>
          </w:tcPr>
          <w:p w14:paraId="3F1BF9D3"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FIRE</w:t>
            </w:r>
          </w:p>
        </w:tc>
        <w:tc>
          <w:tcPr>
            <w:tcW w:w="791" w:type="pct"/>
            <w:tcBorders>
              <w:top w:val="single" w:sz="4" w:space="0" w:color="auto"/>
            </w:tcBorders>
            <w:vAlign w:val="bottom"/>
            <w:hideMark/>
          </w:tcPr>
          <w:p w14:paraId="2F4BFB48"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 1.000000</w:t>
            </w:r>
          </w:p>
        </w:tc>
        <w:tc>
          <w:tcPr>
            <w:tcW w:w="800" w:type="pct"/>
            <w:tcBorders>
              <w:top w:val="single" w:sz="4" w:space="0" w:color="auto"/>
            </w:tcBorders>
            <w:vAlign w:val="bottom"/>
          </w:tcPr>
          <w:p w14:paraId="10F3B4A7"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p>
        </w:tc>
        <w:tc>
          <w:tcPr>
            <w:tcW w:w="750" w:type="pct"/>
            <w:tcBorders>
              <w:top w:val="single" w:sz="4" w:space="0" w:color="auto"/>
            </w:tcBorders>
            <w:vAlign w:val="bottom"/>
          </w:tcPr>
          <w:p w14:paraId="706626AF"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p>
        </w:tc>
        <w:tc>
          <w:tcPr>
            <w:tcW w:w="750" w:type="pct"/>
            <w:tcBorders>
              <w:top w:val="single" w:sz="4" w:space="0" w:color="auto"/>
            </w:tcBorders>
            <w:vAlign w:val="bottom"/>
          </w:tcPr>
          <w:p w14:paraId="19E6F45F"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p>
        </w:tc>
        <w:tc>
          <w:tcPr>
            <w:tcW w:w="799" w:type="pct"/>
            <w:tcBorders>
              <w:top w:val="single" w:sz="4" w:space="0" w:color="auto"/>
            </w:tcBorders>
            <w:vAlign w:val="bottom"/>
          </w:tcPr>
          <w:p w14:paraId="4C39B076"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p>
        </w:tc>
      </w:tr>
      <w:tr w:rsidR="00756D65" w:rsidRPr="00756D65" w14:paraId="32F880B7" w14:textId="77777777" w:rsidTr="00CC4383">
        <w:trPr>
          <w:trHeight w:val="164"/>
        </w:trPr>
        <w:tc>
          <w:tcPr>
            <w:tcW w:w="1110" w:type="pct"/>
            <w:vAlign w:val="bottom"/>
            <w:hideMark/>
          </w:tcPr>
          <w:p w14:paraId="3C93B5F9"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FINR</w:t>
            </w:r>
          </w:p>
        </w:tc>
        <w:tc>
          <w:tcPr>
            <w:tcW w:w="791" w:type="pct"/>
            <w:vAlign w:val="bottom"/>
            <w:hideMark/>
          </w:tcPr>
          <w:p w14:paraId="09B8D499"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 -0.529281</w:t>
            </w:r>
          </w:p>
        </w:tc>
        <w:tc>
          <w:tcPr>
            <w:tcW w:w="800" w:type="pct"/>
            <w:vAlign w:val="bottom"/>
            <w:hideMark/>
          </w:tcPr>
          <w:p w14:paraId="12C09B78"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 1.000000</w:t>
            </w:r>
          </w:p>
        </w:tc>
        <w:tc>
          <w:tcPr>
            <w:tcW w:w="750" w:type="pct"/>
            <w:vAlign w:val="bottom"/>
          </w:tcPr>
          <w:p w14:paraId="021912AE" w14:textId="77777777" w:rsidR="00756D65" w:rsidRPr="00756D65" w:rsidRDefault="00756D65" w:rsidP="00B37849">
            <w:pPr>
              <w:tabs>
                <w:tab w:val="left" w:pos="571"/>
              </w:tabs>
              <w:autoSpaceDE w:val="0"/>
              <w:autoSpaceDN w:val="0"/>
              <w:adjustRightInd w:val="0"/>
              <w:spacing w:line="480" w:lineRule="auto"/>
              <w:jc w:val="both"/>
              <w:rPr>
                <w:rFonts w:ascii="Arial" w:eastAsia="Calibri" w:hAnsi="Arial" w:cs="Arial"/>
                <w:color w:val="000000"/>
              </w:rPr>
            </w:pPr>
          </w:p>
        </w:tc>
        <w:tc>
          <w:tcPr>
            <w:tcW w:w="750" w:type="pct"/>
            <w:vAlign w:val="bottom"/>
          </w:tcPr>
          <w:p w14:paraId="16EE46A6" w14:textId="77777777" w:rsidR="00756D65" w:rsidRPr="00756D65" w:rsidRDefault="00756D65" w:rsidP="00B37849">
            <w:pPr>
              <w:tabs>
                <w:tab w:val="left" w:pos="571"/>
              </w:tabs>
              <w:autoSpaceDE w:val="0"/>
              <w:autoSpaceDN w:val="0"/>
              <w:adjustRightInd w:val="0"/>
              <w:spacing w:line="480" w:lineRule="auto"/>
              <w:jc w:val="both"/>
              <w:rPr>
                <w:rFonts w:ascii="Arial" w:eastAsia="Calibri" w:hAnsi="Arial" w:cs="Arial"/>
                <w:color w:val="000000"/>
              </w:rPr>
            </w:pPr>
          </w:p>
        </w:tc>
        <w:tc>
          <w:tcPr>
            <w:tcW w:w="799" w:type="pct"/>
            <w:vAlign w:val="bottom"/>
          </w:tcPr>
          <w:p w14:paraId="4E1912F1"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p>
        </w:tc>
      </w:tr>
      <w:tr w:rsidR="00756D65" w:rsidRPr="00756D65" w14:paraId="3F37C08D" w14:textId="77777777" w:rsidTr="00CC4383">
        <w:trPr>
          <w:trHeight w:val="164"/>
        </w:trPr>
        <w:tc>
          <w:tcPr>
            <w:tcW w:w="1110" w:type="pct"/>
            <w:vAlign w:val="bottom"/>
            <w:hideMark/>
          </w:tcPr>
          <w:p w14:paraId="026ECC2B"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ASSR</w:t>
            </w:r>
          </w:p>
        </w:tc>
        <w:tc>
          <w:tcPr>
            <w:tcW w:w="791" w:type="pct"/>
            <w:vAlign w:val="bottom"/>
            <w:hideMark/>
          </w:tcPr>
          <w:p w14:paraId="6F9B3F5F"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 0.436646</w:t>
            </w:r>
          </w:p>
        </w:tc>
        <w:tc>
          <w:tcPr>
            <w:tcW w:w="800" w:type="pct"/>
            <w:vAlign w:val="bottom"/>
            <w:hideMark/>
          </w:tcPr>
          <w:p w14:paraId="31DB10BB"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 0.240424</w:t>
            </w:r>
          </w:p>
        </w:tc>
        <w:tc>
          <w:tcPr>
            <w:tcW w:w="750" w:type="pct"/>
            <w:vAlign w:val="bottom"/>
            <w:hideMark/>
          </w:tcPr>
          <w:p w14:paraId="3C1DB205"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 1.000000</w:t>
            </w:r>
          </w:p>
        </w:tc>
        <w:tc>
          <w:tcPr>
            <w:tcW w:w="750" w:type="pct"/>
            <w:vAlign w:val="bottom"/>
          </w:tcPr>
          <w:p w14:paraId="5A434CB8"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p>
        </w:tc>
        <w:tc>
          <w:tcPr>
            <w:tcW w:w="799" w:type="pct"/>
            <w:vAlign w:val="bottom"/>
          </w:tcPr>
          <w:p w14:paraId="62E3260E"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p>
        </w:tc>
      </w:tr>
      <w:tr w:rsidR="00756D65" w:rsidRPr="00756D65" w14:paraId="323DC33C" w14:textId="77777777" w:rsidTr="00CC4383">
        <w:trPr>
          <w:trHeight w:val="164"/>
        </w:trPr>
        <w:tc>
          <w:tcPr>
            <w:tcW w:w="1110" w:type="pct"/>
            <w:vAlign w:val="bottom"/>
            <w:hideMark/>
          </w:tcPr>
          <w:p w14:paraId="58E2B66A"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OPR</w:t>
            </w:r>
          </w:p>
        </w:tc>
        <w:tc>
          <w:tcPr>
            <w:tcW w:w="791" w:type="pct"/>
            <w:vAlign w:val="bottom"/>
            <w:hideMark/>
          </w:tcPr>
          <w:p w14:paraId="0C7CEE82"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 -0.398804</w:t>
            </w:r>
          </w:p>
        </w:tc>
        <w:tc>
          <w:tcPr>
            <w:tcW w:w="800" w:type="pct"/>
            <w:vAlign w:val="bottom"/>
            <w:hideMark/>
          </w:tcPr>
          <w:p w14:paraId="2FD69737"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 0.256768</w:t>
            </w:r>
          </w:p>
        </w:tc>
        <w:tc>
          <w:tcPr>
            <w:tcW w:w="750" w:type="pct"/>
            <w:vAlign w:val="bottom"/>
            <w:hideMark/>
          </w:tcPr>
          <w:p w14:paraId="5673F657"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-0.125121</w:t>
            </w:r>
          </w:p>
        </w:tc>
        <w:tc>
          <w:tcPr>
            <w:tcW w:w="750" w:type="pct"/>
            <w:vAlign w:val="bottom"/>
            <w:hideMark/>
          </w:tcPr>
          <w:p w14:paraId="39BE4DE2"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 1.000000</w:t>
            </w:r>
          </w:p>
        </w:tc>
        <w:tc>
          <w:tcPr>
            <w:tcW w:w="799" w:type="pct"/>
            <w:vAlign w:val="bottom"/>
          </w:tcPr>
          <w:p w14:paraId="54BEAE9E"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p>
        </w:tc>
      </w:tr>
      <w:tr w:rsidR="00756D65" w:rsidRPr="00756D65" w14:paraId="5ECC9055" w14:textId="77777777" w:rsidTr="00CC4383">
        <w:trPr>
          <w:trHeight w:val="164"/>
        </w:trPr>
        <w:tc>
          <w:tcPr>
            <w:tcW w:w="1110" w:type="pct"/>
            <w:vAlign w:val="bottom"/>
            <w:hideMark/>
          </w:tcPr>
          <w:p w14:paraId="0677947D"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CAR</w:t>
            </w:r>
          </w:p>
        </w:tc>
        <w:tc>
          <w:tcPr>
            <w:tcW w:w="791" w:type="pct"/>
            <w:vAlign w:val="bottom"/>
            <w:hideMark/>
          </w:tcPr>
          <w:p w14:paraId="34884206"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 -0.413070</w:t>
            </w:r>
          </w:p>
        </w:tc>
        <w:tc>
          <w:tcPr>
            <w:tcW w:w="800" w:type="pct"/>
            <w:vAlign w:val="bottom"/>
            <w:hideMark/>
          </w:tcPr>
          <w:p w14:paraId="6A59A603"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-0.257239</w:t>
            </w:r>
          </w:p>
        </w:tc>
        <w:tc>
          <w:tcPr>
            <w:tcW w:w="750" w:type="pct"/>
            <w:vAlign w:val="bottom"/>
            <w:hideMark/>
          </w:tcPr>
          <w:p w14:paraId="0C42A606"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-0.154211</w:t>
            </w:r>
          </w:p>
        </w:tc>
        <w:tc>
          <w:tcPr>
            <w:tcW w:w="750" w:type="pct"/>
            <w:vAlign w:val="bottom"/>
            <w:hideMark/>
          </w:tcPr>
          <w:p w14:paraId="73E7DAFD"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 0.049337</w:t>
            </w:r>
          </w:p>
        </w:tc>
        <w:tc>
          <w:tcPr>
            <w:tcW w:w="799" w:type="pct"/>
            <w:vAlign w:val="bottom"/>
            <w:hideMark/>
          </w:tcPr>
          <w:p w14:paraId="20C91F90" w14:textId="77777777" w:rsidR="00756D65" w:rsidRPr="00756D65" w:rsidRDefault="00756D65" w:rsidP="00B37849">
            <w:pPr>
              <w:autoSpaceDE w:val="0"/>
              <w:autoSpaceDN w:val="0"/>
              <w:adjustRightInd w:val="0"/>
              <w:spacing w:line="480" w:lineRule="auto"/>
              <w:jc w:val="both"/>
              <w:rPr>
                <w:rFonts w:ascii="Arial" w:eastAsia="Calibri" w:hAnsi="Arial" w:cs="Arial"/>
                <w:color w:val="000000"/>
              </w:rPr>
            </w:pPr>
            <w:r w:rsidRPr="00756D65">
              <w:rPr>
                <w:rFonts w:ascii="Arial" w:eastAsia="Calibri" w:hAnsi="Arial" w:cs="Arial"/>
                <w:color w:val="000000"/>
              </w:rPr>
              <w:t> 1.000000</w:t>
            </w:r>
          </w:p>
        </w:tc>
      </w:tr>
    </w:tbl>
    <w:p w14:paraId="19EC60B4" w14:textId="08CCF193" w:rsidR="00756D65" w:rsidRPr="00CC4383" w:rsidRDefault="00CC4383" w:rsidP="00756D65">
      <w:pPr>
        <w:pStyle w:val="Body"/>
        <w:spacing w:after="0"/>
        <w:rPr>
          <w:rFonts w:ascii="Arial" w:hAnsi="Arial" w:cs="Arial"/>
          <w:i/>
          <w:iCs/>
          <w:sz w:val="18"/>
          <w:szCs w:val="18"/>
        </w:rPr>
      </w:pPr>
      <w:r w:rsidRPr="00CC4383">
        <w:rPr>
          <w:rFonts w:ascii="Arial" w:hAnsi="Arial" w:cs="Arial"/>
          <w:i/>
          <w:iCs/>
          <w:sz w:val="18"/>
          <w:szCs w:val="18"/>
        </w:rPr>
        <w:t>Source: Econometric Views Version 9.0 (2024)</w:t>
      </w:r>
    </w:p>
    <w:p w14:paraId="79764968" w14:textId="77777777" w:rsidR="00CC4383" w:rsidRDefault="00CC4383" w:rsidP="00441B6F">
      <w:pPr>
        <w:pStyle w:val="Body"/>
        <w:spacing w:after="0"/>
        <w:rPr>
          <w:rFonts w:ascii="Arial" w:hAnsi="Arial" w:cs="Arial"/>
        </w:rPr>
      </w:pPr>
    </w:p>
    <w:p w14:paraId="2B69A6F9" w14:textId="77777777" w:rsidR="00CC4383" w:rsidRPr="00CC4383" w:rsidRDefault="00CC4383" w:rsidP="00CC4383">
      <w:pPr>
        <w:pStyle w:val="Body"/>
        <w:rPr>
          <w:rFonts w:ascii="Arial" w:hAnsi="Arial" w:cs="Arial"/>
        </w:rPr>
      </w:pPr>
      <w:r w:rsidRPr="00CC4383">
        <w:rPr>
          <w:rFonts w:ascii="Arial" w:hAnsi="Arial" w:cs="Arial"/>
        </w:rPr>
        <w:t>In terms of direction of relationship, financial restructuring denoted by FINR, operational restructuring (OPR), and capital restructuring (CAR) are negatively correlated with financial Position proxy (FIRE). This is adjudged on the fact that financial restructuring denoted by FINR, operational restructuring (OPR), and capital restructuring (CAR) have negative coefficient values of -0.52928, -0.398804, and -0.413070 respectively. Meanwhile, asset restructuring (ASSR) is positively correlated with financial Position proxy (FIRE). This suggests that the higher the financial restructuring denoted by FINR, operational restructuring (OPR), and capital restructuring (CAR), the lower the tendency for the bank industry to experience bank failure as depicted by the negative financial Position value (Z-score). By extension, higher the financial restructuring denoted by FINR, operational restructuring (OPR), and capital restructuring (CAR), the more financially resilient the banking industry would become. However, asset restructuring with a correlation coefficient of 0.436646 suggests that the higher the lower asset restructuring, the higher the bank failure.</w:t>
      </w:r>
    </w:p>
    <w:p w14:paraId="0F376724" w14:textId="77777777" w:rsidR="00CC4383" w:rsidRPr="00CC4383" w:rsidRDefault="00CC4383" w:rsidP="00CC4383">
      <w:pPr>
        <w:pStyle w:val="Body"/>
        <w:rPr>
          <w:rFonts w:ascii="Arial" w:hAnsi="Arial" w:cs="Arial"/>
        </w:rPr>
      </w:pPr>
      <w:r w:rsidRPr="00CC4383">
        <w:rPr>
          <w:rFonts w:ascii="Arial" w:hAnsi="Arial" w:cs="Arial"/>
        </w:rPr>
        <w:t xml:space="preserve">In terms of magnitude of relationship, financial restructuring denoted by FINR, operational restructuring (OPR), asset restructuring (ASSR), and capital restructuring (CAR) have moderate correlation with financial Position.  </w:t>
      </w:r>
    </w:p>
    <w:p w14:paraId="0C8A8095" w14:textId="5B7C8AE5" w:rsidR="00CC4383" w:rsidRDefault="00CC4383" w:rsidP="00CC4383">
      <w:pPr>
        <w:pStyle w:val="Body"/>
        <w:spacing w:after="0"/>
        <w:rPr>
          <w:rFonts w:ascii="Arial" w:hAnsi="Arial" w:cs="Arial"/>
        </w:rPr>
      </w:pPr>
      <w:r w:rsidRPr="00CC4383">
        <w:rPr>
          <w:rFonts w:ascii="Arial" w:hAnsi="Arial" w:cs="Arial"/>
        </w:rPr>
        <w:t>The result further revealed that none of the independent variables reported high correlation with each other. This suggests the possibility of no multi-collinearity problem. However, the model was further tested to check if this assertion is true or false.</w:t>
      </w:r>
    </w:p>
    <w:p w14:paraId="0548D86F" w14:textId="477FCA8E" w:rsidR="00502516" w:rsidRDefault="00502516" w:rsidP="00441B6F">
      <w:pPr>
        <w:pStyle w:val="Body"/>
        <w:spacing w:after="0"/>
        <w:rPr>
          <w:rFonts w:ascii="Arial" w:hAnsi="Arial" w:cs="Arial"/>
        </w:rPr>
      </w:pPr>
      <w:r w:rsidRPr="00502516">
        <w:rPr>
          <w:rFonts w:ascii="Arial" w:hAnsi="Arial" w:cs="Arial"/>
        </w:rPr>
        <w:t>The discussion should not repeat the results, but provide detailed interpretation of data. This should interpret the significance of the findings of the work. Citations should be given in support of the findings. The results and discussion part can also be described as separate, if appropriate.</w:t>
      </w:r>
    </w:p>
    <w:p w14:paraId="35A3CFEC" w14:textId="77777777" w:rsidR="000E5205" w:rsidRDefault="000E5205" w:rsidP="00441B6F">
      <w:pPr>
        <w:pStyle w:val="Body"/>
        <w:spacing w:after="0"/>
        <w:rPr>
          <w:rFonts w:ascii="Arial" w:hAnsi="Arial" w:cs="Arial"/>
          <w:b/>
          <w:bCs/>
        </w:rPr>
      </w:pPr>
    </w:p>
    <w:p w14:paraId="71A1FB4D" w14:textId="77777777" w:rsidR="002B41F5" w:rsidRDefault="002B41F5" w:rsidP="00441B6F">
      <w:pPr>
        <w:pStyle w:val="Body"/>
        <w:spacing w:after="0"/>
        <w:rPr>
          <w:rFonts w:ascii="Arial" w:hAnsi="Arial" w:cs="Arial"/>
          <w:b/>
          <w:bCs/>
        </w:rPr>
      </w:pPr>
    </w:p>
    <w:p w14:paraId="74C0A4A2" w14:textId="77777777" w:rsidR="002B41F5" w:rsidRDefault="002B41F5" w:rsidP="00441B6F">
      <w:pPr>
        <w:pStyle w:val="Body"/>
        <w:spacing w:after="0"/>
        <w:rPr>
          <w:rFonts w:ascii="Arial" w:hAnsi="Arial" w:cs="Arial"/>
          <w:b/>
          <w:bCs/>
        </w:rPr>
      </w:pPr>
    </w:p>
    <w:p w14:paraId="7F343ABD" w14:textId="77777777" w:rsidR="002B41F5" w:rsidRDefault="002B41F5" w:rsidP="00441B6F">
      <w:pPr>
        <w:pStyle w:val="Body"/>
        <w:spacing w:after="0"/>
        <w:rPr>
          <w:rFonts w:ascii="Arial" w:hAnsi="Arial" w:cs="Arial"/>
          <w:b/>
          <w:bCs/>
        </w:rPr>
      </w:pPr>
    </w:p>
    <w:p w14:paraId="3182CE3E" w14:textId="77777777" w:rsidR="002B41F5" w:rsidRDefault="002B41F5" w:rsidP="00441B6F">
      <w:pPr>
        <w:pStyle w:val="Body"/>
        <w:spacing w:after="0"/>
        <w:rPr>
          <w:rFonts w:ascii="Arial" w:hAnsi="Arial" w:cs="Arial"/>
          <w:b/>
          <w:bCs/>
        </w:rPr>
      </w:pPr>
    </w:p>
    <w:p w14:paraId="2804BA04" w14:textId="77777777" w:rsidR="002B41F5" w:rsidRDefault="002B41F5" w:rsidP="00441B6F">
      <w:pPr>
        <w:pStyle w:val="Body"/>
        <w:spacing w:after="0"/>
        <w:rPr>
          <w:rFonts w:ascii="Arial" w:hAnsi="Arial" w:cs="Arial"/>
          <w:b/>
          <w:bCs/>
        </w:rPr>
      </w:pPr>
    </w:p>
    <w:p w14:paraId="2E5840C1" w14:textId="77777777" w:rsidR="002B41F5" w:rsidRDefault="002B41F5" w:rsidP="00441B6F">
      <w:pPr>
        <w:pStyle w:val="Body"/>
        <w:spacing w:after="0"/>
        <w:rPr>
          <w:rFonts w:ascii="Arial" w:hAnsi="Arial" w:cs="Arial"/>
          <w:b/>
          <w:bCs/>
        </w:rPr>
      </w:pPr>
    </w:p>
    <w:p w14:paraId="42A194E7" w14:textId="77777777" w:rsidR="002B41F5" w:rsidRDefault="002B41F5" w:rsidP="00441B6F">
      <w:pPr>
        <w:pStyle w:val="Body"/>
        <w:spacing w:after="0"/>
        <w:rPr>
          <w:rFonts w:ascii="Arial" w:hAnsi="Arial" w:cs="Arial"/>
          <w:b/>
          <w:bCs/>
        </w:rPr>
      </w:pPr>
    </w:p>
    <w:p w14:paraId="7C211207" w14:textId="77777777" w:rsidR="002B41F5" w:rsidRDefault="002B41F5" w:rsidP="00441B6F">
      <w:pPr>
        <w:pStyle w:val="Body"/>
        <w:spacing w:after="0"/>
        <w:rPr>
          <w:rFonts w:ascii="Arial" w:hAnsi="Arial" w:cs="Arial"/>
          <w:b/>
          <w:bCs/>
        </w:rPr>
      </w:pPr>
    </w:p>
    <w:p w14:paraId="56A3DCA2" w14:textId="7FABC7E8" w:rsidR="00790ADA" w:rsidRDefault="000E5205" w:rsidP="00441B6F">
      <w:pPr>
        <w:pStyle w:val="Body"/>
        <w:spacing w:after="0"/>
        <w:rPr>
          <w:rFonts w:ascii="Arial" w:hAnsi="Arial" w:cs="Arial"/>
        </w:rPr>
      </w:pPr>
      <w:r>
        <w:rPr>
          <w:rFonts w:ascii="Arial" w:hAnsi="Arial" w:cs="Arial"/>
          <w:b/>
          <w:bCs/>
        </w:rPr>
        <w:lastRenderedPageBreak/>
        <w:t>Regression</w:t>
      </w:r>
    </w:p>
    <w:p w14:paraId="252BE1C7" w14:textId="12DC134D" w:rsidR="000E5205" w:rsidRPr="000E5205" w:rsidRDefault="000E5205" w:rsidP="00441B6F">
      <w:pPr>
        <w:pStyle w:val="Body"/>
        <w:spacing w:after="0"/>
        <w:rPr>
          <w:rFonts w:ascii="Arial" w:hAnsi="Arial" w:cs="Arial"/>
          <w:b/>
          <w:bCs/>
        </w:rPr>
      </w:pPr>
      <w:r w:rsidRPr="000E5205">
        <w:rPr>
          <w:rFonts w:ascii="Arial" w:hAnsi="Arial" w:cs="Arial"/>
          <w:b/>
          <w:bCs/>
        </w:rPr>
        <w:t xml:space="preserve">Table </w:t>
      </w:r>
      <w:r>
        <w:rPr>
          <w:rFonts w:ascii="Arial" w:hAnsi="Arial" w:cs="Arial"/>
          <w:b/>
          <w:bCs/>
        </w:rPr>
        <w:t>3</w:t>
      </w:r>
      <w:r w:rsidRPr="000E5205">
        <w:rPr>
          <w:rFonts w:ascii="Arial" w:hAnsi="Arial" w:cs="Arial"/>
          <w:b/>
          <w:bCs/>
        </w:rPr>
        <w:t>: Robustness Check-Hausman Test and Breusch-Pagan Test</w:t>
      </w:r>
    </w:p>
    <w:tbl>
      <w:tblPr>
        <w:tblW w:w="0" w:type="auto"/>
        <w:tblInd w:w="30" w:type="dxa"/>
        <w:tblLayout w:type="fixed"/>
        <w:tblCellMar>
          <w:left w:w="0" w:type="dxa"/>
          <w:right w:w="0" w:type="dxa"/>
        </w:tblCellMar>
        <w:tblLook w:val="04A0" w:firstRow="1" w:lastRow="0" w:firstColumn="1" w:lastColumn="0" w:noHBand="0" w:noVBand="1"/>
      </w:tblPr>
      <w:tblGrid>
        <w:gridCol w:w="1842"/>
        <w:gridCol w:w="864"/>
        <w:gridCol w:w="144"/>
        <w:gridCol w:w="1056"/>
        <w:gridCol w:w="48"/>
        <w:gridCol w:w="864"/>
        <w:gridCol w:w="240"/>
        <w:gridCol w:w="672"/>
        <w:gridCol w:w="240"/>
      </w:tblGrid>
      <w:tr w:rsidR="000E5205" w:rsidRPr="000E5205" w14:paraId="10097C08" w14:textId="77777777" w:rsidTr="00B37849">
        <w:trPr>
          <w:trHeight w:val="204"/>
        </w:trPr>
        <w:tc>
          <w:tcPr>
            <w:tcW w:w="3954" w:type="dxa"/>
            <w:gridSpan w:val="5"/>
            <w:vAlign w:val="bottom"/>
            <w:hideMark/>
          </w:tcPr>
          <w:p w14:paraId="62EE8333"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Equation: Untitled</w:t>
            </w:r>
          </w:p>
        </w:tc>
        <w:tc>
          <w:tcPr>
            <w:tcW w:w="1104" w:type="dxa"/>
            <w:gridSpan w:val="2"/>
            <w:vAlign w:val="bottom"/>
          </w:tcPr>
          <w:p w14:paraId="732C259F"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912" w:type="dxa"/>
            <w:gridSpan w:val="2"/>
            <w:vAlign w:val="bottom"/>
          </w:tcPr>
          <w:p w14:paraId="7FAC4CC1" w14:textId="77777777" w:rsidR="000E5205" w:rsidRPr="000E5205" w:rsidRDefault="000E5205" w:rsidP="000E5205">
            <w:pPr>
              <w:autoSpaceDE w:val="0"/>
              <w:autoSpaceDN w:val="0"/>
              <w:adjustRightInd w:val="0"/>
              <w:jc w:val="both"/>
              <w:rPr>
                <w:rFonts w:ascii="Arial" w:eastAsia="Calibri" w:hAnsi="Arial" w:cs="Arial"/>
                <w:color w:val="000000"/>
              </w:rPr>
            </w:pPr>
          </w:p>
        </w:tc>
      </w:tr>
      <w:tr w:rsidR="000E5205" w:rsidRPr="000E5205" w14:paraId="110235D3" w14:textId="77777777" w:rsidTr="00B37849">
        <w:trPr>
          <w:trHeight w:val="204"/>
        </w:trPr>
        <w:tc>
          <w:tcPr>
            <w:tcW w:w="5058" w:type="dxa"/>
            <w:gridSpan w:val="7"/>
            <w:vAlign w:val="bottom"/>
            <w:hideMark/>
          </w:tcPr>
          <w:p w14:paraId="56E7F262"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Test cross-section random effects</w:t>
            </w:r>
          </w:p>
        </w:tc>
        <w:tc>
          <w:tcPr>
            <w:tcW w:w="912" w:type="dxa"/>
            <w:gridSpan w:val="2"/>
            <w:vAlign w:val="bottom"/>
          </w:tcPr>
          <w:p w14:paraId="1B4A6B47" w14:textId="77777777" w:rsidR="000E5205" w:rsidRPr="000E5205" w:rsidRDefault="000E5205" w:rsidP="000E5205">
            <w:pPr>
              <w:autoSpaceDE w:val="0"/>
              <w:autoSpaceDN w:val="0"/>
              <w:adjustRightInd w:val="0"/>
              <w:jc w:val="both"/>
              <w:rPr>
                <w:rFonts w:ascii="Arial" w:eastAsia="Calibri" w:hAnsi="Arial" w:cs="Arial"/>
                <w:color w:val="000000"/>
              </w:rPr>
            </w:pPr>
          </w:p>
        </w:tc>
      </w:tr>
      <w:tr w:rsidR="000E5205" w:rsidRPr="000E5205" w14:paraId="6C7EE40E" w14:textId="77777777" w:rsidTr="00B37849">
        <w:trPr>
          <w:trHeight w:hRule="exact" w:val="81"/>
        </w:trPr>
        <w:tc>
          <w:tcPr>
            <w:tcW w:w="1842" w:type="dxa"/>
            <w:tcBorders>
              <w:top w:val="nil"/>
              <w:left w:val="nil"/>
              <w:bottom w:val="double" w:sz="6" w:space="0" w:color="auto"/>
              <w:right w:val="nil"/>
            </w:tcBorders>
            <w:vAlign w:val="bottom"/>
          </w:tcPr>
          <w:p w14:paraId="1CD78784"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008" w:type="dxa"/>
            <w:gridSpan w:val="2"/>
            <w:tcBorders>
              <w:top w:val="nil"/>
              <w:left w:val="nil"/>
              <w:bottom w:val="double" w:sz="6" w:space="0" w:color="auto"/>
              <w:right w:val="nil"/>
            </w:tcBorders>
            <w:vAlign w:val="bottom"/>
          </w:tcPr>
          <w:p w14:paraId="13769EB5"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104" w:type="dxa"/>
            <w:gridSpan w:val="2"/>
            <w:tcBorders>
              <w:top w:val="nil"/>
              <w:left w:val="nil"/>
              <w:bottom w:val="double" w:sz="6" w:space="0" w:color="auto"/>
              <w:right w:val="nil"/>
            </w:tcBorders>
            <w:vAlign w:val="bottom"/>
          </w:tcPr>
          <w:p w14:paraId="48B351BB"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104" w:type="dxa"/>
            <w:gridSpan w:val="2"/>
            <w:tcBorders>
              <w:top w:val="nil"/>
              <w:left w:val="nil"/>
              <w:bottom w:val="double" w:sz="6" w:space="0" w:color="auto"/>
              <w:right w:val="nil"/>
            </w:tcBorders>
            <w:vAlign w:val="bottom"/>
          </w:tcPr>
          <w:p w14:paraId="225353D1"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912" w:type="dxa"/>
            <w:gridSpan w:val="2"/>
            <w:tcBorders>
              <w:top w:val="nil"/>
              <w:left w:val="nil"/>
              <w:bottom w:val="double" w:sz="6" w:space="0" w:color="auto"/>
              <w:right w:val="nil"/>
            </w:tcBorders>
            <w:vAlign w:val="bottom"/>
          </w:tcPr>
          <w:p w14:paraId="71C34D71" w14:textId="77777777" w:rsidR="000E5205" w:rsidRPr="000E5205" w:rsidRDefault="000E5205" w:rsidP="000E5205">
            <w:pPr>
              <w:autoSpaceDE w:val="0"/>
              <w:autoSpaceDN w:val="0"/>
              <w:adjustRightInd w:val="0"/>
              <w:jc w:val="both"/>
              <w:rPr>
                <w:rFonts w:ascii="Arial" w:eastAsia="Calibri" w:hAnsi="Arial" w:cs="Arial"/>
                <w:color w:val="000000"/>
              </w:rPr>
            </w:pPr>
          </w:p>
        </w:tc>
      </w:tr>
      <w:tr w:rsidR="000E5205" w:rsidRPr="000E5205" w14:paraId="392E9839" w14:textId="77777777" w:rsidTr="00B37849">
        <w:trPr>
          <w:trHeight w:hRule="exact" w:val="122"/>
        </w:trPr>
        <w:tc>
          <w:tcPr>
            <w:tcW w:w="1842" w:type="dxa"/>
            <w:vAlign w:val="bottom"/>
          </w:tcPr>
          <w:p w14:paraId="5AFFDE9A"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008" w:type="dxa"/>
            <w:gridSpan w:val="2"/>
            <w:vAlign w:val="bottom"/>
          </w:tcPr>
          <w:p w14:paraId="250B9AFB"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104" w:type="dxa"/>
            <w:gridSpan w:val="2"/>
            <w:vAlign w:val="bottom"/>
          </w:tcPr>
          <w:p w14:paraId="49454B47"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104" w:type="dxa"/>
            <w:gridSpan w:val="2"/>
            <w:vAlign w:val="bottom"/>
          </w:tcPr>
          <w:p w14:paraId="0265B033"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912" w:type="dxa"/>
            <w:gridSpan w:val="2"/>
            <w:vAlign w:val="bottom"/>
          </w:tcPr>
          <w:p w14:paraId="122539FF" w14:textId="77777777" w:rsidR="000E5205" w:rsidRPr="000E5205" w:rsidRDefault="000E5205" w:rsidP="000E5205">
            <w:pPr>
              <w:autoSpaceDE w:val="0"/>
              <w:autoSpaceDN w:val="0"/>
              <w:adjustRightInd w:val="0"/>
              <w:jc w:val="both"/>
              <w:rPr>
                <w:rFonts w:ascii="Arial" w:eastAsia="Calibri" w:hAnsi="Arial" w:cs="Arial"/>
                <w:color w:val="000000"/>
              </w:rPr>
            </w:pPr>
          </w:p>
        </w:tc>
      </w:tr>
      <w:tr w:rsidR="000E5205" w:rsidRPr="000E5205" w14:paraId="7B36C9E3" w14:textId="77777777" w:rsidTr="00B37849">
        <w:trPr>
          <w:trHeight w:val="204"/>
        </w:trPr>
        <w:tc>
          <w:tcPr>
            <w:tcW w:w="2850" w:type="dxa"/>
            <w:gridSpan w:val="3"/>
            <w:vAlign w:val="bottom"/>
            <w:hideMark/>
          </w:tcPr>
          <w:p w14:paraId="4B92901C"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Test Summary</w:t>
            </w:r>
          </w:p>
        </w:tc>
        <w:tc>
          <w:tcPr>
            <w:tcW w:w="1104" w:type="dxa"/>
            <w:gridSpan w:val="2"/>
            <w:vAlign w:val="bottom"/>
            <w:hideMark/>
          </w:tcPr>
          <w:p w14:paraId="50AF4E00"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Chi-Sq. Statistic</w:t>
            </w:r>
          </w:p>
        </w:tc>
        <w:tc>
          <w:tcPr>
            <w:tcW w:w="1104" w:type="dxa"/>
            <w:gridSpan w:val="2"/>
            <w:vAlign w:val="bottom"/>
            <w:hideMark/>
          </w:tcPr>
          <w:p w14:paraId="705028F1"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 xml:space="preserve">Chi-Sq. </w:t>
            </w:r>
            <w:proofErr w:type="spellStart"/>
            <w:r w:rsidRPr="000E5205">
              <w:rPr>
                <w:rFonts w:ascii="Arial" w:eastAsia="Calibri" w:hAnsi="Arial" w:cs="Arial"/>
                <w:color w:val="000000"/>
              </w:rPr>
              <w:t>d.f.</w:t>
            </w:r>
            <w:proofErr w:type="spellEnd"/>
          </w:p>
        </w:tc>
        <w:tc>
          <w:tcPr>
            <w:tcW w:w="912" w:type="dxa"/>
            <w:gridSpan w:val="2"/>
            <w:vAlign w:val="bottom"/>
            <w:hideMark/>
          </w:tcPr>
          <w:p w14:paraId="4E3FA8AD"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Prob. </w:t>
            </w:r>
          </w:p>
        </w:tc>
      </w:tr>
      <w:tr w:rsidR="000E5205" w:rsidRPr="000E5205" w14:paraId="28EA2C7E" w14:textId="77777777" w:rsidTr="00B37849">
        <w:trPr>
          <w:trHeight w:hRule="exact" w:val="81"/>
        </w:trPr>
        <w:tc>
          <w:tcPr>
            <w:tcW w:w="1842" w:type="dxa"/>
            <w:tcBorders>
              <w:top w:val="nil"/>
              <w:left w:val="nil"/>
              <w:bottom w:val="double" w:sz="6" w:space="0" w:color="auto"/>
              <w:right w:val="nil"/>
            </w:tcBorders>
            <w:vAlign w:val="bottom"/>
          </w:tcPr>
          <w:p w14:paraId="7FEC0FE2"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008" w:type="dxa"/>
            <w:gridSpan w:val="2"/>
            <w:tcBorders>
              <w:top w:val="nil"/>
              <w:left w:val="nil"/>
              <w:bottom w:val="double" w:sz="6" w:space="0" w:color="auto"/>
              <w:right w:val="nil"/>
            </w:tcBorders>
            <w:vAlign w:val="bottom"/>
          </w:tcPr>
          <w:p w14:paraId="1E2A4C36"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104" w:type="dxa"/>
            <w:gridSpan w:val="2"/>
            <w:tcBorders>
              <w:top w:val="nil"/>
              <w:left w:val="nil"/>
              <w:bottom w:val="double" w:sz="6" w:space="0" w:color="auto"/>
              <w:right w:val="nil"/>
            </w:tcBorders>
            <w:vAlign w:val="bottom"/>
          </w:tcPr>
          <w:p w14:paraId="57BA77E0"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104" w:type="dxa"/>
            <w:gridSpan w:val="2"/>
            <w:tcBorders>
              <w:top w:val="nil"/>
              <w:left w:val="nil"/>
              <w:bottom w:val="double" w:sz="6" w:space="0" w:color="auto"/>
              <w:right w:val="nil"/>
            </w:tcBorders>
            <w:vAlign w:val="bottom"/>
          </w:tcPr>
          <w:p w14:paraId="2795B86C"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912" w:type="dxa"/>
            <w:gridSpan w:val="2"/>
            <w:tcBorders>
              <w:top w:val="nil"/>
              <w:left w:val="nil"/>
              <w:bottom w:val="double" w:sz="6" w:space="0" w:color="auto"/>
              <w:right w:val="nil"/>
            </w:tcBorders>
            <w:vAlign w:val="bottom"/>
          </w:tcPr>
          <w:p w14:paraId="35D0DE3A" w14:textId="77777777" w:rsidR="000E5205" w:rsidRPr="000E5205" w:rsidRDefault="000E5205" w:rsidP="000E5205">
            <w:pPr>
              <w:autoSpaceDE w:val="0"/>
              <w:autoSpaceDN w:val="0"/>
              <w:adjustRightInd w:val="0"/>
              <w:jc w:val="both"/>
              <w:rPr>
                <w:rFonts w:ascii="Arial" w:eastAsia="Calibri" w:hAnsi="Arial" w:cs="Arial"/>
                <w:color w:val="000000"/>
              </w:rPr>
            </w:pPr>
          </w:p>
        </w:tc>
      </w:tr>
      <w:tr w:rsidR="000E5205" w:rsidRPr="000E5205" w14:paraId="17FA3FC8" w14:textId="77777777" w:rsidTr="00B37849">
        <w:trPr>
          <w:trHeight w:hRule="exact" w:val="122"/>
        </w:trPr>
        <w:tc>
          <w:tcPr>
            <w:tcW w:w="1842" w:type="dxa"/>
            <w:vAlign w:val="bottom"/>
          </w:tcPr>
          <w:p w14:paraId="3AB993F2"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008" w:type="dxa"/>
            <w:gridSpan w:val="2"/>
            <w:vAlign w:val="bottom"/>
          </w:tcPr>
          <w:p w14:paraId="7C6D9143"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104" w:type="dxa"/>
            <w:gridSpan w:val="2"/>
            <w:vAlign w:val="bottom"/>
          </w:tcPr>
          <w:p w14:paraId="126ABC31"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104" w:type="dxa"/>
            <w:gridSpan w:val="2"/>
            <w:vAlign w:val="bottom"/>
          </w:tcPr>
          <w:p w14:paraId="23C2593A"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912" w:type="dxa"/>
            <w:gridSpan w:val="2"/>
            <w:vAlign w:val="bottom"/>
          </w:tcPr>
          <w:p w14:paraId="71E5CD1A" w14:textId="77777777" w:rsidR="000E5205" w:rsidRPr="000E5205" w:rsidRDefault="000E5205" w:rsidP="000E5205">
            <w:pPr>
              <w:autoSpaceDE w:val="0"/>
              <w:autoSpaceDN w:val="0"/>
              <w:adjustRightInd w:val="0"/>
              <w:jc w:val="both"/>
              <w:rPr>
                <w:rFonts w:ascii="Arial" w:eastAsia="Calibri" w:hAnsi="Arial" w:cs="Arial"/>
                <w:color w:val="000000"/>
              </w:rPr>
            </w:pPr>
          </w:p>
        </w:tc>
      </w:tr>
      <w:tr w:rsidR="000E5205" w:rsidRPr="000E5205" w14:paraId="47157A62" w14:textId="77777777" w:rsidTr="00B37849">
        <w:trPr>
          <w:trHeight w:val="204"/>
        </w:trPr>
        <w:tc>
          <w:tcPr>
            <w:tcW w:w="2850" w:type="dxa"/>
            <w:gridSpan w:val="3"/>
            <w:vAlign w:val="bottom"/>
            <w:hideMark/>
          </w:tcPr>
          <w:p w14:paraId="766D8D55"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Cross-section random</w:t>
            </w:r>
          </w:p>
        </w:tc>
        <w:tc>
          <w:tcPr>
            <w:tcW w:w="1104" w:type="dxa"/>
            <w:gridSpan w:val="2"/>
            <w:vAlign w:val="bottom"/>
            <w:hideMark/>
          </w:tcPr>
          <w:p w14:paraId="63D3E020"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1.772583</w:t>
            </w:r>
          </w:p>
        </w:tc>
        <w:tc>
          <w:tcPr>
            <w:tcW w:w="1104" w:type="dxa"/>
            <w:gridSpan w:val="2"/>
            <w:vAlign w:val="bottom"/>
            <w:hideMark/>
          </w:tcPr>
          <w:p w14:paraId="524A1B58"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4</w:t>
            </w:r>
          </w:p>
        </w:tc>
        <w:tc>
          <w:tcPr>
            <w:tcW w:w="912" w:type="dxa"/>
            <w:gridSpan w:val="2"/>
            <w:vAlign w:val="bottom"/>
            <w:hideMark/>
          </w:tcPr>
          <w:p w14:paraId="0007D225"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0.7775</w:t>
            </w:r>
          </w:p>
        </w:tc>
      </w:tr>
      <w:tr w:rsidR="000E5205" w:rsidRPr="000E5205" w14:paraId="72E5B641" w14:textId="77777777" w:rsidTr="00B37849">
        <w:trPr>
          <w:trHeight w:hRule="exact" w:val="81"/>
        </w:trPr>
        <w:tc>
          <w:tcPr>
            <w:tcW w:w="1842" w:type="dxa"/>
            <w:tcBorders>
              <w:top w:val="nil"/>
              <w:left w:val="nil"/>
              <w:bottom w:val="double" w:sz="6" w:space="0" w:color="auto"/>
              <w:right w:val="nil"/>
            </w:tcBorders>
            <w:vAlign w:val="bottom"/>
          </w:tcPr>
          <w:p w14:paraId="1E04CA23"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008" w:type="dxa"/>
            <w:gridSpan w:val="2"/>
            <w:tcBorders>
              <w:top w:val="nil"/>
              <w:left w:val="nil"/>
              <w:bottom w:val="double" w:sz="6" w:space="0" w:color="auto"/>
              <w:right w:val="nil"/>
            </w:tcBorders>
            <w:vAlign w:val="bottom"/>
          </w:tcPr>
          <w:p w14:paraId="38CB5B3C"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104" w:type="dxa"/>
            <w:gridSpan w:val="2"/>
            <w:tcBorders>
              <w:top w:val="nil"/>
              <w:left w:val="nil"/>
              <w:bottom w:val="double" w:sz="6" w:space="0" w:color="auto"/>
              <w:right w:val="nil"/>
            </w:tcBorders>
            <w:vAlign w:val="bottom"/>
          </w:tcPr>
          <w:p w14:paraId="6C77E150"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104" w:type="dxa"/>
            <w:gridSpan w:val="2"/>
            <w:tcBorders>
              <w:top w:val="nil"/>
              <w:left w:val="nil"/>
              <w:bottom w:val="double" w:sz="6" w:space="0" w:color="auto"/>
              <w:right w:val="nil"/>
            </w:tcBorders>
            <w:vAlign w:val="bottom"/>
          </w:tcPr>
          <w:p w14:paraId="4E0BB611"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912" w:type="dxa"/>
            <w:gridSpan w:val="2"/>
            <w:tcBorders>
              <w:top w:val="nil"/>
              <w:left w:val="nil"/>
              <w:bottom w:val="double" w:sz="6" w:space="0" w:color="auto"/>
              <w:right w:val="nil"/>
            </w:tcBorders>
            <w:vAlign w:val="bottom"/>
          </w:tcPr>
          <w:p w14:paraId="32549BB1" w14:textId="77777777" w:rsidR="000E5205" w:rsidRPr="000E5205" w:rsidRDefault="000E5205" w:rsidP="000E5205">
            <w:pPr>
              <w:autoSpaceDE w:val="0"/>
              <w:autoSpaceDN w:val="0"/>
              <w:adjustRightInd w:val="0"/>
              <w:jc w:val="both"/>
              <w:rPr>
                <w:rFonts w:ascii="Arial" w:eastAsia="Calibri" w:hAnsi="Arial" w:cs="Arial"/>
                <w:color w:val="000000"/>
              </w:rPr>
            </w:pPr>
          </w:p>
        </w:tc>
      </w:tr>
      <w:tr w:rsidR="000E5205" w:rsidRPr="000E5205" w14:paraId="27ABED55" w14:textId="77777777" w:rsidTr="00B37849">
        <w:trPr>
          <w:trHeight w:hRule="exact" w:val="122"/>
        </w:trPr>
        <w:tc>
          <w:tcPr>
            <w:tcW w:w="1842" w:type="dxa"/>
            <w:vAlign w:val="bottom"/>
          </w:tcPr>
          <w:p w14:paraId="718DDD76" w14:textId="77777777" w:rsidR="000E5205" w:rsidRPr="000E5205" w:rsidRDefault="000E5205" w:rsidP="000E5205">
            <w:pPr>
              <w:autoSpaceDE w:val="0"/>
              <w:autoSpaceDN w:val="0"/>
              <w:adjustRightInd w:val="0"/>
              <w:jc w:val="both"/>
              <w:rPr>
                <w:rFonts w:ascii="Arial" w:eastAsia="Calibri" w:hAnsi="Arial" w:cs="Arial"/>
                <w:color w:val="000000"/>
              </w:rPr>
            </w:pPr>
          </w:p>
          <w:p w14:paraId="6A75EFD3"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From table 4.5</w:t>
            </w:r>
          </w:p>
        </w:tc>
        <w:tc>
          <w:tcPr>
            <w:tcW w:w="1008" w:type="dxa"/>
            <w:gridSpan w:val="2"/>
            <w:vAlign w:val="bottom"/>
          </w:tcPr>
          <w:p w14:paraId="497E6A83"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104" w:type="dxa"/>
            <w:gridSpan w:val="2"/>
            <w:vAlign w:val="bottom"/>
          </w:tcPr>
          <w:p w14:paraId="11C8FCE8"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104" w:type="dxa"/>
            <w:gridSpan w:val="2"/>
            <w:vAlign w:val="bottom"/>
          </w:tcPr>
          <w:p w14:paraId="669B1789"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912" w:type="dxa"/>
            <w:gridSpan w:val="2"/>
            <w:vAlign w:val="bottom"/>
          </w:tcPr>
          <w:p w14:paraId="66E2D901" w14:textId="77777777" w:rsidR="000E5205" w:rsidRPr="000E5205" w:rsidRDefault="000E5205" w:rsidP="000E5205">
            <w:pPr>
              <w:autoSpaceDE w:val="0"/>
              <w:autoSpaceDN w:val="0"/>
              <w:adjustRightInd w:val="0"/>
              <w:jc w:val="both"/>
              <w:rPr>
                <w:rFonts w:ascii="Arial" w:eastAsia="Calibri" w:hAnsi="Arial" w:cs="Arial"/>
                <w:color w:val="000000"/>
              </w:rPr>
            </w:pPr>
          </w:p>
        </w:tc>
      </w:tr>
      <w:tr w:rsidR="000E5205" w:rsidRPr="000E5205" w14:paraId="75FAAE04" w14:textId="77777777" w:rsidTr="00B37849">
        <w:trPr>
          <w:gridAfter w:val="1"/>
          <w:wAfter w:w="240" w:type="dxa"/>
          <w:trHeight w:val="204"/>
        </w:trPr>
        <w:tc>
          <w:tcPr>
            <w:tcW w:w="2706" w:type="dxa"/>
            <w:gridSpan w:val="2"/>
            <w:vAlign w:val="bottom"/>
            <w:hideMark/>
          </w:tcPr>
          <w:p w14:paraId="09BC93EC"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Test</w:t>
            </w:r>
          </w:p>
        </w:tc>
        <w:tc>
          <w:tcPr>
            <w:tcW w:w="1200" w:type="dxa"/>
            <w:gridSpan w:val="2"/>
            <w:vAlign w:val="bottom"/>
            <w:hideMark/>
          </w:tcPr>
          <w:p w14:paraId="2283877F"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Statistic  </w:t>
            </w:r>
          </w:p>
        </w:tc>
        <w:tc>
          <w:tcPr>
            <w:tcW w:w="912" w:type="dxa"/>
            <w:gridSpan w:val="2"/>
            <w:vAlign w:val="bottom"/>
            <w:hideMark/>
          </w:tcPr>
          <w:p w14:paraId="2AF1E6E8" w14:textId="77777777" w:rsidR="000E5205" w:rsidRPr="000E5205" w:rsidRDefault="000E5205" w:rsidP="000E5205">
            <w:pPr>
              <w:autoSpaceDE w:val="0"/>
              <w:autoSpaceDN w:val="0"/>
              <w:adjustRightInd w:val="0"/>
              <w:jc w:val="both"/>
              <w:rPr>
                <w:rFonts w:ascii="Arial" w:eastAsia="Calibri" w:hAnsi="Arial" w:cs="Arial"/>
                <w:color w:val="000000"/>
              </w:rPr>
            </w:pPr>
            <w:proofErr w:type="spellStart"/>
            <w:r w:rsidRPr="000E5205">
              <w:rPr>
                <w:rFonts w:ascii="Arial" w:eastAsia="Calibri" w:hAnsi="Arial" w:cs="Arial"/>
                <w:color w:val="000000"/>
              </w:rPr>
              <w:t>d.f.</w:t>
            </w:r>
            <w:proofErr w:type="spellEnd"/>
            <w:r w:rsidRPr="000E5205">
              <w:rPr>
                <w:rFonts w:ascii="Arial" w:eastAsia="Calibri" w:hAnsi="Arial" w:cs="Arial"/>
                <w:color w:val="000000"/>
              </w:rPr>
              <w:t>  </w:t>
            </w:r>
          </w:p>
        </w:tc>
        <w:tc>
          <w:tcPr>
            <w:tcW w:w="912" w:type="dxa"/>
            <w:gridSpan w:val="2"/>
            <w:vAlign w:val="bottom"/>
            <w:hideMark/>
          </w:tcPr>
          <w:p w14:paraId="1D342EF8"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Prob.  </w:t>
            </w:r>
          </w:p>
        </w:tc>
      </w:tr>
      <w:tr w:rsidR="000E5205" w:rsidRPr="000E5205" w14:paraId="52461D29" w14:textId="77777777" w:rsidTr="00B37849">
        <w:trPr>
          <w:gridAfter w:val="1"/>
          <w:wAfter w:w="240" w:type="dxa"/>
          <w:trHeight w:hRule="exact" w:val="81"/>
        </w:trPr>
        <w:tc>
          <w:tcPr>
            <w:tcW w:w="2706" w:type="dxa"/>
            <w:gridSpan w:val="2"/>
            <w:tcBorders>
              <w:top w:val="nil"/>
              <w:left w:val="nil"/>
              <w:bottom w:val="double" w:sz="6" w:space="0" w:color="auto"/>
              <w:right w:val="nil"/>
            </w:tcBorders>
            <w:vAlign w:val="bottom"/>
          </w:tcPr>
          <w:p w14:paraId="2CF2CC0F"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200" w:type="dxa"/>
            <w:gridSpan w:val="2"/>
            <w:tcBorders>
              <w:top w:val="nil"/>
              <w:left w:val="nil"/>
              <w:bottom w:val="double" w:sz="6" w:space="0" w:color="auto"/>
              <w:right w:val="nil"/>
            </w:tcBorders>
            <w:vAlign w:val="bottom"/>
          </w:tcPr>
          <w:p w14:paraId="798B37FC"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912" w:type="dxa"/>
            <w:gridSpan w:val="2"/>
            <w:tcBorders>
              <w:top w:val="nil"/>
              <w:left w:val="nil"/>
              <w:bottom w:val="double" w:sz="6" w:space="0" w:color="auto"/>
              <w:right w:val="nil"/>
            </w:tcBorders>
            <w:vAlign w:val="bottom"/>
          </w:tcPr>
          <w:p w14:paraId="6CEFA4E6"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912" w:type="dxa"/>
            <w:gridSpan w:val="2"/>
            <w:tcBorders>
              <w:top w:val="nil"/>
              <w:left w:val="nil"/>
              <w:bottom w:val="double" w:sz="6" w:space="0" w:color="auto"/>
              <w:right w:val="nil"/>
            </w:tcBorders>
            <w:vAlign w:val="bottom"/>
          </w:tcPr>
          <w:p w14:paraId="4095EA30" w14:textId="77777777" w:rsidR="000E5205" w:rsidRPr="000E5205" w:rsidRDefault="000E5205" w:rsidP="000E5205">
            <w:pPr>
              <w:autoSpaceDE w:val="0"/>
              <w:autoSpaceDN w:val="0"/>
              <w:adjustRightInd w:val="0"/>
              <w:jc w:val="both"/>
              <w:rPr>
                <w:rFonts w:ascii="Arial" w:eastAsia="Calibri" w:hAnsi="Arial" w:cs="Arial"/>
                <w:color w:val="000000"/>
              </w:rPr>
            </w:pPr>
          </w:p>
        </w:tc>
      </w:tr>
      <w:tr w:rsidR="000E5205" w:rsidRPr="000E5205" w14:paraId="7BE7CBE6" w14:textId="77777777" w:rsidTr="00B37849">
        <w:trPr>
          <w:gridAfter w:val="1"/>
          <w:wAfter w:w="240" w:type="dxa"/>
          <w:trHeight w:hRule="exact" w:val="122"/>
        </w:trPr>
        <w:tc>
          <w:tcPr>
            <w:tcW w:w="2706" w:type="dxa"/>
            <w:gridSpan w:val="2"/>
            <w:vAlign w:val="bottom"/>
          </w:tcPr>
          <w:p w14:paraId="66D9930C"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200" w:type="dxa"/>
            <w:gridSpan w:val="2"/>
            <w:vAlign w:val="bottom"/>
          </w:tcPr>
          <w:p w14:paraId="43EB1571"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912" w:type="dxa"/>
            <w:gridSpan w:val="2"/>
            <w:vAlign w:val="bottom"/>
          </w:tcPr>
          <w:p w14:paraId="2CA260FA"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912" w:type="dxa"/>
            <w:gridSpan w:val="2"/>
            <w:vAlign w:val="bottom"/>
          </w:tcPr>
          <w:p w14:paraId="6C6F10E3" w14:textId="77777777" w:rsidR="000E5205" w:rsidRPr="000E5205" w:rsidRDefault="000E5205" w:rsidP="000E5205">
            <w:pPr>
              <w:autoSpaceDE w:val="0"/>
              <w:autoSpaceDN w:val="0"/>
              <w:adjustRightInd w:val="0"/>
              <w:jc w:val="both"/>
              <w:rPr>
                <w:rFonts w:ascii="Arial" w:eastAsia="Calibri" w:hAnsi="Arial" w:cs="Arial"/>
                <w:color w:val="000000"/>
              </w:rPr>
            </w:pPr>
          </w:p>
        </w:tc>
      </w:tr>
      <w:tr w:rsidR="000E5205" w:rsidRPr="000E5205" w14:paraId="4434D633" w14:textId="77777777" w:rsidTr="00B37849">
        <w:trPr>
          <w:gridAfter w:val="1"/>
          <w:wAfter w:w="240" w:type="dxa"/>
          <w:trHeight w:val="204"/>
        </w:trPr>
        <w:tc>
          <w:tcPr>
            <w:tcW w:w="2706" w:type="dxa"/>
            <w:gridSpan w:val="2"/>
            <w:vAlign w:val="bottom"/>
            <w:hideMark/>
          </w:tcPr>
          <w:p w14:paraId="06862514"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Breusch-Pagan LM</w:t>
            </w:r>
          </w:p>
        </w:tc>
        <w:tc>
          <w:tcPr>
            <w:tcW w:w="1200" w:type="dxa"/>
            <w:gridSpan w:val="2"/>
            <w:vAlign w:val="bottom"/>
            <w:hideMark/>
          </w:tcPr>
          <w:p w14:paraId="634920BE"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135.9157</w:t>
            </w:r>
          </w:p>
        </w:tc>
        <w:tc>
          <w:tcPr>
            <w:tcW w:w="912" w:type="dxa"/>
            <w:gridSpan w:val="2"/>
            <w:vAlign w:val="bottom"/>
            <w:hideMark/>
          </w:tcPr>
          <w:p w14:paraId="077A06DF"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91</w:t>
            </w:r>
          </w:p>
        </w:tc>
        <w:tc>
          <w:tcPr>
            <w:tcW w:w="912" w:type="dxa"/>
            <w:gridSpan w:val="2"/>
            <w:vAlign w:val="bottom"/>
            <w:hideMark/>
          </w:tcPr>
          <w:p w14:paraId="6F66576D"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0.0016</w:t>
            </w:r>
          </w:p>
        </w:tc>
      </w:tr>
      <w:tr w:rsidR="000E5205" w:rsidRPr="000E5205" w14:paraId="35BCA701" w14:textId="77777777" w:rsidTr="00B37849">
        <w:trPr>
          <w:gridAfter w:val="1"/>
          <w:wAfter w:w="240" w:type="dxa"/>
          <w:trHeight w:val="204"/>
        </w:trPr>
        <w:tc>
          <w:tcPr>
            <w:tcW w:w="2706" w:type="dxa"/>
            <w:gridSpan w:val="2"/>
            <w:vAlign w:val="bottom"/>
            <w:hideMark/>
          </w:tcPr>
          <w:p w14:paraId="3A0A480E" w14:textId="77777777" w:rsidR="000E5205" w:rsidRPr="000E5205" w:rsidRDefault="000E5205" w:rsidP="000E5205">
            <w:pPr>
              <w:autoSpaceDE w:val="0"/>
              <w:autoSpaceDN w:val="0"/>
              <w:adjustRightInd w:val="0"/>
              <w:jc w:val="both"/>
              <w:rPr>
                <w:rFonts w:ascii="Arial" w:eastAsia="Calibri" w:hAnsi="Arial" w:cs="Arial"/>
                <w:color w:val="000000"/>
              </w:rPr>
            </w:pPr>
            <w:proofErr w:type="spellStart"/>
            <w:r w:rsidRPr="000E5205">
              <w:rPr>
                <w:rFonts w:ascii="Arial" w:eastAsia="Calibri" w:hAnsi="Arial" w:cs="Arial"/>
                <w:color w:val="000000"/>
              </w:rPr>
              <w:t>Pesaran</w:t>
            </w:r>
            <w:proofErr w:type="spellEnd"/>
            <w:r w:rsidRPr="000E5205">
              <w:rPr>
                <w:rFonts w:ascii="Arial" w:eastAsia="Calibri" w:hAnsi="Arial" w:cs="Arial"/>
                <w:color w:val="000000"/>
              </w:rPr>
              <w:t xml:space="preserve"> scaled LM</w:t>
            </w:r>
          </w:p>
        </w:tc>
        <w:tc>
          <w:tcPr>
            <w:tcW w:w="1200" w:type="dxa"/>
            <w:gridSpan w:val="2"/>
            <w:vAlign w:val="bottom"/>
            <w:hideMark/>
          </w:tcPr>
          <w:p w14:paraId="377B1FA5"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2.291628</w:t>
            </w:r>
          </w:p>
        </w:tc>
        <w:tc>
          <w:tcPr>
            <w:tcW w:w="912" w:type="dxa"/>
            <w:gridSpan w:val="2"/>
            <w:vAlign w:val="bottom"/>
          </w:tcPr>
          <w:p w14:paraId="0979DFA0"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912" w:type="dxa"/>
            <w:gridSpan w:val="2"/>
            <w:vAlign w:val="bottom"/>
            <w:hideMark/>
          </w:tcPr>
          <w:p w14:paraId="2384B912"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0.0219</w:t>
            </w:r>
          </w:p>
        </w:tc>
      </w:tr>
      <w:tr w:rsidR="000E5205" w:rsidRPr="000E5205" w14:paraId="3F7038BD" w14:textId="77777777" w:rsidTr="00B37849">
        <w:trPr>
          <w:gridAfter w:val="1"/>
          <w:wAfter w:w="240" w:type="dxa"/>
          <w:trHeight w:val="204"/>
        </w:trPr>
        <w:tc>
          <w:tcPr>
            <w:tcW w:w="2706" w:type="dxa"/>
            <w:gridSpan w:val="2"/>
            <w:vAlign w:val="bottom"/>
            <w:hideMark/>
          </w:tcPr>
          <w:p w14:paraId="215FA56F" w14:textId="77777777" w:rsidR="000E5205" w:rsidRPr="000E5205" w:rsidRDefault="000E5205" w:rsidP="000E5205">
            <w:pPr>
              <w:autoSpaceDE w:val="0"/>
              <w:autoSpaceDN w:val="0"/>
              <w:adjustRightInd w:val="0"/>
              <w:jc w:val="both"/>
              <w:rPr>
                <w:rFonts w:ascii="Arial" w:eastAsia="Calibri" w:hAnsi="Arial" w:cs="Arial"/>
                <w:color w:val="000000"/>
              </w:rPr>
            </w:pPr>
            <w:proofErr w:type="spellStart"/>
            <w:r w:rsidRPr="000E5205">
              <w:rPr>
                <w:rFonts w:ascii="Arial" w:eastAsia="Calibri" w:hAnsi="Arial" w:cs="Arial"/>
                <w:color w:val="000000"/>
              </w:rPr>
              <w:t>Pesaran</w:t>
            </w:r>
            <w:proofErr w:type="spellEnd"/>
            <w:r w:rsidRPr="000E5205">
              <w:rPr>
                <w:rFonts w:ascii="Arial" w:eastAsia="Calibri" w:hAnsi="Arial" w:cs="Arial"/>
                <w:color w:val="000000"/>
              </w:rPr>
              <w:t xml:space="preserve"> CD</w:t>
            </w:r>
          </w:p>
        </w:tc>
        <w:tc>
          <w:tcPr>
            <w:tcW w:w="1200" w:type="dxa"/>
            <w:gridSpan w:val="2"/>
            <w:vAlign w:val="bottom"/>
            <w:hideMark/>
          </w:tcPr>
          <w:p w14:paraId="6D5A6585"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2.118854</w:t>
            </w:r>
          </w:p>
        </w:tc>
        <w:tc>
          <w:tcPr>
            <w:tcW w:w="912" w:type="dxa"/>
            <w:gridSpan w:val="2"/>
            <w:vAlign w:val="bottom"/>
          </w:tcPr>
          <w:p w14:paraId="3FF5831F"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912" w:type="dxa"/>
            <w:gridSpan w:val="2"/>
            <w:vAlign w:val="bottom"/>
            <w:hideMark/>
          </w:tcPr>
          <w:p w14:paraId="48B41401" w14:textId="77777777" w:rsidR="000E5205" w:rsidRPr="000E5205" w:rsidRDefault="000E5205" w:rsidP="000E5205">
            <w:pPr>
              <w:autoSpaceDE w:val="0"/>
              <w:autoSpaceDN w:val="0"/>
              <w:adjustRightInd w:val="0"/>
              <w:jc w:val="both"/>
              <w:rPr>
                <w:rFonts w:ascii="Arial" w:eastAsia="Calibri" w:hAnsi="Arial" w:cs="Arial"/>
                <w:color w:val="000000"/>
              </w:rPr>
            </w:pPr>
            <w:r w:rsidRPr="000E5205">
              <w:rPr>
                <w:rFonts w:ascii="Arial" w:eastAsia="Calibri" w:hAnsi="Arial" w:cs="Arial"/>
                <w:color w:val="000000"/>
              </w:rPr>
              <w:t>0.0341</w:t>
            </w:r>
          </w:p>
        </w:tc>
      </w:tr>
      <w:tr w:rsidR="000E5205" w:rsidRPr="000E5205" w14:paraId="549B4C9C" w14:textId="77777777" w:rsidTr="00B37849">
        <w:trPr>
          <w:gridAfter w:val="1"/>
          <w:wAfter w:w="240" w:type="dxa"/>
          <w:trHeight w:hRule="exact" w:val="81"/>
        </w:trPr>
        <w:tc>
          <w:tcPr>
            <w:tcW w:w="2706" w:type="dxa"/>
            <w:gridSpan w:val="2"/>
            <w:tcBorders>
              <w:top w:val="nil"/>
              <w:left w:val="nil"/>
              <w:bottom w:val="double" w:sz="6" w:space="0" w:color="auto"/>
              <w:right w:val="nil"/>
            </w:tcBorders>
            <w:vAlign w:val="bottom"/>
          </w:tcPr>
          <w:p w14:paraId="4F3D8459"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200" w:type="dxa"/>
            <w:gridSpan w:val="2"/>
            <w:tcBorders>
              <w:top w:val="nil"/>
              <w:left w:val="nil"/>
              <w:bottom w:val="double" w:sz="6" w:space="0" w:color="auto"/>
              <w:right w:val="nil"/>
            </w:tcBorders>
            <w:vAlign w:val="bottom"/>
          </w:tcPr>
          <w:p w14:paraId="060B346F"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912" w:type="dxa"/>
            <w:gridSpan w:val="2"/>
            <w:tcBorders>
              <w:top w:val="nil"/>
              <w:left w:val="nil"/>
              <w:bottom w:val="double" w:sz="6" w:space="0" w:color="auto"/>
              <w:right w:val="nil"/>
            </w:tcBorders>
            <w:vAlign w:val="bottom"/>
          </w:tcPr>
          <w:p w14:paraId="76E74197"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912" w:type="dxa"/>
            <w:gridSpan w:val="2"/>
            <w:tcBorders>
              <w:top w:val="nil"/>
              <w:left w:val="nil"/>
              <w:bottom w:val="double" w:sz="6" w:space="0" w:color="auto"/>
              <w:right w:val="nil"/>
            </w:tcBorders>
            <w:vAlign w:val="bottom"/>
          </w:tcPr>
          <w:p w14:paraId="20CC31B2" w14:textId="77777777" w:rsidR="000E5205" w:rsidRPr="000E5205" w:rsidRDefault="000E5205" w:rsidP="000E5205">
            <w:pPr>
              <w:autoSpaceDE w:val="0"/>
              <w:autoSpaceDN w:val="0"/>
              <w:adjustRightInd w:val="0"/>
              <w:jc w:val="both"/>
              <w:rPr>
                <w:rFonts w:ascii="Arial" w:eastAsia="Calibri" w:hAnsi="Arial" w:cs="Arial"/>
                <w:color w:val="000000"/>
              </w:rPr>
            </w:pPr>
          </w:p>
        </w:tc>
      </w:tr>
      <w:tr w:rsidR="000E5205" w:rsidRPr="000E5205" w14:paraId="4068F40A" w14:textId="77777777" w:rsidTr="00B37849">
        <w:trPr>
          <w:gridAfter w:val="1"/>
          <w:wAfter w:w="240" w:type="dxa"/>
          <w:trHeight w:hRule="exact" w:val="122"/>
        </w:trPr>
        <w:tc>
          <w:tcPr>
            <w:tcW w:w="2706" w:type="dxa"/>
            <w:gridSpan w:val="2"/>
            <w:vAlign w:val="bottom"/>
          </w:tcPr>
          <w:p w14:paraId="64D6D96E"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1200" w:type="dxa"/>
            <w:gridSpan w:val="2"/>
            <w:vAlign w:val="bottom"/>
          </w:tcPr>
          <w:p w14:paraId="21604C38"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912" w:type="dxa"/>
            <w:gridSpan w:val="2"/>
            <w:vAlign w:val="bottom"/>
          </w:tcPr>
          <w:p w14:paraId="0658D278" w14:textId="77777777" w:rsidR="000E5205" w:rsidRPr="000E5205" w:rsidRDefault="000E5205" w:rsidP="000E5205">
            <w:pPr>
              <w:autoSpaceDE w:val="0"/>
              <w:autoSpaceDN w:val="0"/>
              <w:adjustRightInd w:val="0"/>
              <w:jc w:val="both"/>
              <w:rPr>
                <w:rFonts w:ascii="Arial" w:eastAsia="Calibri" w:hAnsi="Arial" w:cs="Arial"/>
                <w:color w:val="000000"/>
              </w:rPr>
            </w:pPr>
          </w:p>
        </w:tc>
        <w:tc>
          <w:tcPr>
            <w:tcW w:w="912" w:type="dxa"/>
            <w:gridSpan w:val="2"/>
            <w:vAlign w:val="bottom"/>
          </w:tcPr>
          <w:p w14:paraId="188EFC12" w14:textId="77777777" w:rsidR="000E5205" w:rsidRPr="000E5205" w:rsidRDefault="000E5205" w:rsidP="000E5205">
            <w:pPr>
              <w:autoSpaceDE w:val="0"/>
              <w:autoSpaceDN w:val="0"/>
              <w:adjustRightInd w:val="0"/>
              <w:jc w:val="both"/>
              <w:rPr>
                <w:rFonts w:ascii="Arial" w:eastAsia="Calibri" w:hAnsi="Arial" w:cs="Arial"/>
                <w:color w:val="000000"/>
              </w:rPr>
            </w:pPr>
          </w:p>
        </w:tc>
      </w:tr>
    </w:tbl>
    <w:p w14:paraId="008EBAD4" w14:textId="02BCA0A9" w:rsidR="000E5205" w:rsidRPr="000E5205" w:rsidRDefault="000E5205" w:rsidP="00441B6F">
      <w:pPr>
        <w:pStyle w:val="Body"/>
        <w:spacing w:after="0"/>
        <w:rPr>
          <w:rFonts w:ascii="Arial" w:hAnsi="Arial" w:cs="Arial"/>
          <w:i/>
          <w:iCs/>
          <w:sz w:val="18"/>
          <w:szCs w:val="18"/>
        </w:rPr>
      </w:pPr>
      <w:r w:rsidRPr="000E5205">
        <w:rPr>
          <w:rFonts w:ascii="Arial" w:hAnsi="Arial" w:cs="Arial"/>
          <w:i/>
          <w:iCs/>
          <w:sz w:val="18"/>
          <w:szCs w:val="18"/>
        </w:rPr>
        <w:t>Source: Econometric Views Version 9.0 (2024)</w:t>
      </w:r>
    </w:p>
    <w:p w14:paraId="03192A84" w14:textId="77777777" w:rsidR="007A451C" w:rsidRDefault="007A451C" w:rsidP="00441B6F">
      <w:pPr>
        <w:pStyle w:val="Body"/>
        <w:spacing w:after="0"/>
        <w:rPr>
          <w:rFonts w:ascii="Arial" w:hAnsi="Arial" w:cs="Arial"/>
        </w:rPr>
      </w:pPr>
    </w:p>
    <w:p w14:paraId="003742C5" w14:textId="130A0973" w:rsidR="000E5205" w:rsidRDefault="007A451C" w:rsidP="00441B6F">
      <w:pPr>
        <w:pStyle w:val="Body"/>
        <w:spacing w:after="0"/>
        <w:rPr>
          <w:rFonts w:ascii="Arial" w:hAnsi="Arial" w:cs="Arial"/>
        </w:rPr>
      </w:pPr>
      <w:r w:rsidRPr="007A451C">
        <w:rPr>
          <w:rFonts w:ascii="Arial" w:hAnsi="Arial" w:cs="Arial"/>
        </w:rPr>
        <w:t xml:space="preserve">From Table 4 above, the choice of the estimation method for financial Position (Z-score) of the banking industry </w:t>
      </w:r>
      <w:proofErr w:type="spellStart"/>
      <w:r w:rsidRPr="007A451C">
        <w:rPr>
          <w:rFonts w:ascii="Arial" w:hAnsi="Arial" w:cs="Arial"/>
        </w:rPr>
        <w:t>favours</w:t>
      </w:r>
      <w:proofErr w:type="spellEnd"/>
      <w:r w:rsidRPr="007A451C">
        <w:rPr>
          <w:rFonts w:ascii="Arial" w:hAnsi="Arial" w:cs="Arial"/>
        </w:rPr>
        <w:t xml:space="preserve"> random effect model. This is because its Prob. &gt; Chi2 value estimated at 0.7775 is not significant (p &gt; 0.05). This means the non-rejection of the null hypothesis. Meanwhile, the Breusch -Pagan </w:t>
      </w:r>
      <w:proofErr w:type="spellStart"/>
      <w:r w:rsidRPr="007A451C">
        <w:rPr>
          <w:rFonts w:ascii="Arial" w:hAnsi="Arial" w:cs="Arial"/>
        </w:rPr>
        <w:t>Lm</w:t>
      </w:r>
      <w:proofErr w:type="spellEnd"/>
      <w:r w:rsidRPr="007A451C">
        <w:rPr>
          <w:rFonts w:ascii="Arial" w:hAnsi="Arial" w:cs="Arial"/>
        </w:rPr>
        <w:t xml:space="preserve"> test with a P-value of 0.00016 reaffirmed that the Random effect model is the most appropriate model for this study. Hence, the Random effect model was used to test the research hypotheses stated in the earlier chapter in this study.</w:t>
      </w:r>
    </w:p>
    <w:p w14:paraId="4143E976" w14:textId="7B508F95" w:rsidR="007A451C" w:rsidRDefault="007A451C" w:rsidP="00441B6F">
      <w:pPr>
        <w:pStyle w:val="Body"/>
        <w:spacing w:after="0"/>
        <w:rPr>
          <w:rFonts w:ascii="Arial" w:hAnsi="Arial" w:cs="Arial"/>
        </w:rPr>
      </w:pPr>
      <w:r>
        <w:rPr>
          <w:rFonts w:ascii="Arial" w:hAnsi="Arial" w:cs="Arial"/>
          <w:b/>
          <w:bCs/>
        </w:rPr>
        <w:t>Discussion</w:t>
      </w:r>
    </w:p>
    <w:p w14:paraId="3134FC1F" w14:textId="074BF6EA" w:rsidR="007A451C" w:rsidRPr="007A451C" w:rsidRDefault="00992182" w:rsidP="007A451C">
      <w:pPr>
        <w:pStyle w:val="Body"/>
        <w:rPr>
          <w:rFonts w:ascii="Arial" w:hAnsi="Arial" w:cs="Arial"/>
        </w:rPr>
      </w:pPr>
      <w:r>
        <w:rPr>
          <w:rFonts w:ascii="Arial" w:hAnsi="Arial" w:cs="Arial"/>
        </w:rPr>
        <w:t xml:space="preserve">Table 3 </w:t>
      </w:r>
      <w:r w:rsidR="007A451C" w:rsidRPr="007A451C">
        <w:rPr>
          <w:rFonts w:ascii="Arial" w:hAnsi="Arial" w:cs="Arial"/>
        </w:rPr>
        <w:t xml:space="preserve">above evidenced that financial restructuring had significant effect on financial Position (Z-score) of the Nigerian banking industry throughout the study periods. This is because its p-value estimated at 0.0106 is lower than 5% significant level but higher than 95% confidence. Thus, we rejected the null hypothesis one. This result is in tandem with the findings of Njoki and Reuben (2024); Osuji and </w:t>
      </w:r>
      <w:proofErr w:type="spellStart"/>
      <w:r w:rsidR="007A451C" w:rsidRPr="007A451C">
        <w:rPr>
          <w:rFonts w:ascii="Arial" w:hAnsi="Arial" w:cs="Arial"/>
        </w:rPr>
        <w:t>Okwuagwu</w:t>
      </w:r>
      <w:proofErr w:type="spellEnd"/>
      <w:r w:rsidR="007A451C" w:rsidRPr="007A451C">
        <w:rPr>
          <w:rFonts w:ascii="Arial" w:hAnsi="Arial" w:cs="Arial"/>
        </w:rPr>
        <w:t xml:space="preserve"> (2022) but deviated sharply from the findings of Waweru and Maina (2019) and Kithinji (2019).</w:t>
      </w:r>
    </w:p>
    <w:p w14:paraId="58B90F72" w14:textId="2C947BF5" w:rsidR="007A451C" w:rsidRPr="007A451C" w:rsidRDefault="007A451C" w:rsidP="007A451C">
      <w:pPr>
        <w:pStyle w:val="Body"/>
        <w:rPr>
          <w:rFonts w:ascii="Arial" w:hAnsi="Arial" w:cs="Arial"/>
        </w:rPr>
      </w:pPr>
      <w:r w:rsidRPr="007A451C">
        <w:rPr>
          <w:rFonts w:ascii="Arial" w:hAnsi="Arial" w:cs="Arial"/>
        </w:rPr>
        <w:t xml:space="preserve">In addition, From the Random effect model in Table </w:t>
      </w:r>
      <w:r w:rsidR="00992182">
        <w:rPr>
          <w:rFonts w:ascii="Arial" w:hAnsi="Arial" w:cs="Arial"/>
        </w:rPr>
        <w:t>3</w:t>
      </w:r>
      <w:r w:rsidRPr="007A451C">
        <w:rPr>
          <w:rFonts w:ascii="Arial" w:hAnsi="Arial" w:cs="Arial"/>
        </w:rPr>
        <w:t xml:space="preserve"> above, asset restructuring has a significant effect on financial Position (Z-score) of the Nigerian banking industry. This is premised on the high t-ratio estimated at 4.252396. Again, </w:t>
      </w:r>
      <w:proofErr w:type="gramStart"/>
      <w:r w:rsidRPr="007A451C">
        <w:rPr>
          <w:rFonts w:ascii="Arial" w:hAnsi="Arial" w:cs="Arial"/>
        </w:rPr>
        <w:t>it</w:t>
      </w:r>
      <w:proofErr w:type="gramEnd"/>
      <w:r w:rsidRPr="007A451C">
        <w:rPr>
          <w:rFonts w:ascii="Arial" w:hAnsi="Arial" w:cs="Arial"/>
        </w:rPr>
        <w:t xml:space="preserve"> p-value estimated at 0.0000 is lesser than 5% significant level but greater than 95% confidence level. Hence, null hypothesis 2 is rejected. This implies that proper asset restructuring is instrumental to achieving a banking industry that is resilient financially. This result is in tandem with the findings of Ramzan and Lau (2023) but deviated sharply from the findings of </w:t>
      </w:r>
      <w:proofErr w:type="spellStart"/>
      <w:r w:rsidRPr="007A451C">
        <w:rPr>
          <w:rFonts w:ascii="Arial" w:hAnsi="Arial" w:cs="Arial"/>
        </w:rPr>
        <w:t>Ingow</w:t>
      </w:r>
      <w:proofErr w:type="spellEnd"/>
      <w:r w:rsidRPr="007A451C">
        <w:rPr>
          <w:rFonts w:ascii="Arial" w:hAnsi="Arial" w:cs="Arial"/>
        </w:rPr>
        <w:t xml:space="preserve"> and </w:t>
      </w:r>
      <w:proofErr w:type="spellStart"/>
      <w:r w:rsidRPr="007A451C">
        <w:rPr>
          <w:rFonts w:ascii="Arial" w:hAnsi="Arial" w:cs="Arial"/>
        </w:rPr>
        <w:t>Opuodho</w:t>
      </w:r>
      <w:proofErr w:type="spellEnd"/>
      <w:r w:rsidRPr="007A451C">
        <w:rPr>
          <w:rFonts w:ascii="Arial" w:hAnsi="Arial" w:cs="Arial"/>
        </w:rPr>
        <w:t xml:space="preserve"> (2019); </w:t>
      </w:r>
      <w:proofErr w:type="spellStart"/>
      <w:r w:rsidRPr="007A451C">
        <w:rPr>
          <w:rFonts w:ascii="Arial" w:hAnsi="Arial" w:cs="Arial"/>
        </w:rPr>
        <w:t>Isabwa</w:t>
      </w:r>
      <w:proofErr w:type="spellEnd"/>
      <w:r w:rsidRPr="007A451C">
        <w:rPr>
          <w:rFonts w:ascii="Arial" w:hAnsi="Arial" w:cs="Arial"/>
        </w:rPr>
        <w:t xml:space="preserve">, and </w:t>
      </w:r>
      <w:proofErr w:type="spellStart"/>
      <w:r w:rsidRPr="007A451C">
        <w:rPr>
          <w:rFonts w:ascii="Arial" w:hAnsi="Arial" w:cs="Arial"/>
        </w:rPr>
        <w:t>Mabonga</w:t>
      </w:r>
      <w:proofErr w:type="spellEnd"/>
      <w:r w:rsidRPr="007A451C">
        <w:rPr>
          <w:rFonts w:ascii="Arial" w:hAnsi="Arial" w:cs="Arial"/>
        </w:rPr>
        <w:t xml:space="preserve"> (2019).</w:t>
      </w:r>
    </w:p>
    <w:p w14:paraId="4E926E9E" w14:textId="38DCA8C1" w:rsidR="007A451C" w:rsidRPr="007A451C" w:rsidRDefault="007A451C" w:rsidP="007A451C">
      <w:pPr>
        <w:pStyle w:val="Body"/>
        <w:rPr>
          <w:rFonts w:ascii="Arial" w:hAnsi="Arial" w:cs="Arial"/>
        </w:rPr>
      </w:pPr>
      <w:r w:rsidRPr="007A451C">
        <w:rPr>
          <w:rFonts w:ascii="Arial" w:hAnsi="Arial" w:cs="Arial"/>
        </w:rPr>
        <w:t xml:space="preserve">Furthermore, the Random effect model in Table </w:t>
      </w:r>
      <w:r w:rsidR="00992182">
        <w:rPr>
          <w:rFonts w:ascii="Arial" w:hAnsi="Arial" w:cs="Arial"/>
        </w:rPr>
        <w:t>3</w:t>
      </w:r>
      <w:r w:rsidRPr="007A451C">
        <w:rPr>
          <w:rFonts w:ascii="Arial" w:hAnsi="Arial" w:cs="Arial"/>
        </w:rPr>
        <w:t xml:space="preserve"> above revealed that operational restructuring exerted insignificant effect on financial Position (Z-score) of the Nigerian banking industry. This is premised on the, low t-ratio estimated at 0.071691. Again, its p-value estimated at 0.9429 is greater than 5% significant level and less than 95% confidence level. Hence, null hypothesis 4 was retained. This result is in tandem with the findings of </w:t>
      </w:r>
      <w:proofErr w:type="spellStart"/>
      <w:r w:rsidRPr="007A451C">
        <w:rPr>
          <w:rFonts w:ascii="Arial" w:hAnsi="Arial" w:cs="Arial"/>
        </w:rPr>
        <w:t>Closset</w:t>
      </w:r>
      <w:proofErr w:type="spellEnd"/>
      <w:r w:rsidRPr="007A451C">
        <w:rPr>
          <w:rFonts w:ascii="Arial" w:hAnsi="Arial" w:cs="Arial"/>
        </w:rPr>
        <w:t xml:space="preserve"> et al., (2023) and Bui et al., (2023) but deviated sharply from the findings of </w:t>
      </w:r>
      <w:proofErr w:type="spellStart"/>
      <w:r w:rsidRPr="007A451C">
        <w:rPr>
          <w:rFonts w:ascii="Arial" w:hAnsi="Arial" w:cs="Arial"/>
        </w:rPr>
        <w:t>Inim</w:t>
      </w:r>
      <w:proofErr w:type="spellEnd"/>
      <w:r w:rsidRPr="007A451C">
        <w:rPr>
          <w:rFonts w:ascii="Arial" w:hAnsi="Arial" w:cs="Arial"/>
        </w:rPr>
        <w:t xml:space="preserve">, </w:t>
      </w:r>
      <w:proofErr w:type="spellStart"/>
      <w:r w:rsidRPr="007A451C">
        <w:rPr>
          <w:rFonts w:ascii="Arial" w:hAnsi="Arial" w:cs="Arial"/>
        </w:rPr>
        <w:t>Njogo</w:t>
      </w:r>
      <w:proofErr w:type="spellEnd"/>
      <w:r w:rsidRPr="007A451C">
        <w:rPr>
          <w:rFonts w:ascii="Arial" w:hAnsi="Arial" w:cs="Arial"/>
        </w:rPr>
        <w:t>, and Oladele (2019).</w:t>
      </w:r>
    </w:p>
    <w:p w14:paraId="49172823" w14:textId="3B63A23A" w:rsidR="007A451C" w:rsidRPr="007A451C" w:rsidRDefault="007A451C" w:rsidP="007A451C">
      <w:pPr>
        <w:pStyle w:val="Body"/>
        <w:spacing w:after="0"/>
        <w:rPr>
          <w:rFonts w:ascii="Arial" w:hAnsi="Arial" w:cs="Arial"/>
        </w:rPr>
      </w:pPr>
      <w:r w:rsidRPr="007A451C">
        <w:rPr>
          <w:rFonts w:ascii="Arial" w:hAnsi="Arial" w:cs="Arial"/>
        </w:rPr>
        <w:t xml:space="preserve">Finally, from the Random effect model in Table </w:t>
      </w:r>
      <w:r w:rsidR="00992182">
        <w:rPr>
          <w:rFonts w:ascii="Arial" w:hAnsi="Arial" w:cs="Arial"/>
        </w:rPr>
        <w:t>3</w:t>
      </w:r>
      <w:r w:rsidRPr="007A451C">
        <w:rPr>
          <w:rFonts w:ascii="Arial" w:hAnsi="Arial" w:cs="Arial"/>
        </w:rPr>
        <w:t xml:space="preserve"> above, capital restructuring (CAR) exerted significant effect on financial Position (Z-score) of the Nigerian banking industry. This is premised on the high t-ratio estimated at 4.102825. Again, its p-value estimated at 0.0001 is less than 5% significant level and greater than 95% confidence level. Hence, null hypothesis </w:t>
      </w:r>
      <w:r w:rsidRPr="007A451C">
        <w:rPr>
          <w:rFonts w:ascii="Arial" w:hAnsi="Arial" w:cs="Arial"/>
        </w:rPr>
        <w:lastRenderedPageBreak/>
        <w:t xml:space="preserve">4 was rejected. This result is in line with the findings of Olawale, and Obinna (2023) but deviated sharply from the findings of </w:t>
      </w:r>
      <w:proofErr w:type="spellStart"/>
      <w:r w:rsidRPr="007A451C">
        <w:rPr>
          <w:rFonts w:ascii="Arial" w:hAnsi="Arial" w:cs="Arial"/>
        </w:rPr>
        <w:t>Inim</w:t>
      </w:r>
      <w:proofErr w:type="spellEnd"/>
      <w:r w:rsidRPr="007A451C">
        <w:rPr>
          <w:rFonts w:ascii="Arial" w:hAnsi="Arial" w:cs="Arial"/>
        </w:rPr>
        <w:t xml:space="preserve"> et al., (2019).</w:t>
      </w:r>
    </w:p>
    <w:p w14:paraId="21BCE1DA" w14:textId="77777777" w:rsidR="00790ADA" w:rsidRPr="00FB3A86" w:rsidRDefault="00790ADA" w:rsidP="00441B6F">
      <w:pPr>
        <w:pStyle w:val="Body"/>
        <w:spacing w:after="0"/>
        <w:rPr>
          <w:rFonts w:ascii="Arial" w:hAnsi="Arial" w:cs="Arial"/>
        </w:rPr>
      </w:pPr>
    </w:p>
    <w:p w14:paraId="126F1B94" w14:textId="23CB924A" w:rsidR="00960356" w:rsidRPr="00960356" w:rsidRDefault="00000F8F" w:rsidP="00960356">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4B81AEBE" w14:textId="77777777" w:rsidR="00960356" w:rsidRPr="00960356" w:rsidRDefault="00960356" w:rsidP="00960356">
      <w:pPr>
        <w:pStyle w:val="Body"/>
        <w:rPr>
          <w:rFonts w:ascii="Arial" w:hAnsi="Arial" w:cs="Arial"/>
        </w:rPr>
      </w:pPr>
      <w:r w:rsidRPr="00960356">
        <w:rPr>
          <w:rFonts w:ascii="Arial" w:hAnsi="Arial" w:cs="Arial"/>
        </w:rPr>
        <w:t>The study was carried out to empirically examine the effect of corporate restructuring on the financial Position of DMBs in Nigeria from 2010 to 2023. The panel regression technique was adopted in this study to capture the effect of corporate restructuring on DMBs’ financial stability in Nigeria. On the overall, the study supported the Random Effect Model as evidenced by both the Hausman test and Breusch Pagan Test. Meanwhile, the cross-dependence test revealed that the selected DMBs have common heterogeneous factors that determine the effect of corporate restructuring on the financial Position of DMBs in Nigeria over the study periods. More so, the empirical analysis was rich and robust as various transmission patterns emerged from the analysis conducted in the study. Accordingly, the study concluded that corporate restructuring vis-à-vis asset and capital restructuring is essential for achieving a banking industry that is financially resilient.</w:t>
      </w:r>
    </w:p>
    <w:p w14:paraId="49198EC8" w14:textId="24C243EA" w:rsidR="00960356" w:rsidRPr="00960356" w:rsidRDefault="00960356" w:rsidP="00960356">
      <w:pPr>
        <w:pStyle w:val="Body"/>
        <w:rPr>
          <w:rFonts w:ascii="Arial" w:hAnsi="Arial" w:cs="Arial"/>
        </w:rPr>
      </w:pPr>
      <w:r w:rsidRPr="00960356">
        <w:rPr>
          <w:rFonts w:ascii="Arial" w:hAnsi="Arial" w:cs="Arial"/>
          <w:b/>
          <w:bCs/>
        </w:rPr>
        <w:t>Recommendations</w:t>
      </w:r>
    </w:p>
    <w:p w14:paraId="74876DBD" w14:textId="77777777" w:rsidR="00960356" w:rsidRPr="00960356" w:rsidRDefault="00960356" w:rsidP="00960356">
      <w:pPr>
        <w:pStyle w:val="Body"/>
        <w:rPr>
          <w:rFonts w:ascii="Arial" w:hAnsi="Arial" w:cs="Arial"/>
        </w:rPr>
      </w:pPr>
      <w:r w:rsidRPr="00960356">
        <w:rPr>
          <w:rFonts w:ascii="Arial" w:hAnsi="Arial" w:cs="Arial"/>
        </w:rPr>
        <w:t>Stemming from the empirical findings as well as the conclusion reached above, the following policy recommendations were proffered:</w:t>
      </w:r>
    </w:p>
    <w:p w14:paraId="0A89D8C2" w14:textId="0A28CE2D" w:rsidR="00960356" w:rsidRPr="00960356" w:rsidRDefault="00960356" w:rsidP="00556645">
      <w:pPr>
        <w:pStyle w:val="Body"/>
        <w:numPr>
          <w:ilvl w:val="0"/>
          <w:numId w:val="32"/>
        </w:numPr>
        <w:rPr>
          <w:rFonts w:ascii="Arial" w:hAnsi="Arial" w:cs="Arial"/>
        </w:rPr>
      </w:pPr>
      <w:r w:rsidRPr="00960356">
        <w:rPr>
          <w:rFonts w:ascii="Arial" w:hAnsi="Arial" w:cs="Arial"/>
        </w:rPr>
        <w:t>Nigerian</w:t>
      </w:r>
      <w:r w:rsidR="005F2C4E">
        <w:rPr>
          <w:rFonts w:ascii="Arial" w:hAnsi="Arial" w:cs="Arial"/>
        </w:rPr>
        <w:t xml:space="preserve"> </w:t>
      </w:r>
      <w:r w:rsidRPr="00960356">
        <w:rPr>
          <w:rFonts w:ascii="Arial" w:hAnsi="Arial" w:cs="Arial"/>
        </w:rPr>
        <w:t>banks must place more emphasis on secured long-term borrowings, unsecured long-term borrowings, private unsecured loans, privately placed unsecured bonds, privately placed debentures, inter-corporate deposits, and over drafts facilities. This is owing to the fact financial restructuring has a negative significant effect on the financial Position of DMBs in Nigeria.</w:t>
      </w:r>
    </w:p>
    <w:p w14:paraId="654D4FEF" w14:textId="7AABB28D" w:rsidR="00960356" w:rsidRPr="00960356" w:rsidRDefault="00960356" w:rsidP="00556645">
      <w:pPr>
        <w:pStyle w:val="Body"/>
        <w:numPr>
          <w:ilvl w:val="0"/>
          <w:numId w:val="32"/>
        </w:numPr>
        <w:rPr>
          <w:rFonts w:ascii="Arial" w:hAnsi="Arial" w:cs="Arial"/>
        </w:rPr>
      </w:pPr>
      <w:r w:rsidRPr="00960356">
        <w:rPr>
          <w:rFonts w:ascii="Arial" w:hAnsi="Arial" w:cs="Arial"/>
        </w:rPr>
        <w:t>Efforts should be made to ensure that all toxic asset of the Nigerian banking industry are addressed. This is owing to the fact that bank asset restructuring exerted positive significant effect on the financial Position of DMBs in Nigeria.</w:t>
      </w:r>
    </w:p>
    <w:p w14:paraId="62006C46" w14:textId="5A5858D4" w:rsidR="00960356" w:rsidRPr="00960356" w:rsidRDefault="00960356" w:rsidP="00556645">
      <w:pPr>
        <w:pStyle w:val="Body"/>
        <w:numPr>
          <w:ilvl w:val="0"/>
          <w:numId w:val="32"/>
        </w:numPr>
        <w:rPr>
          <w:rFonts w:ascii="Arial" w:hAnsi="Arial" w:cs="Arial"/>
        </w:rPr>
      </w:pPr>
      <w:r w:rsidRPr="00960356">
        <w:rPr>
          <w:rFonts w:ascii="Arial" w:hAnsi="Arial" w:cs="Arial"/>
        </w:rPr>
        <w:t>To ensure that the Nigerian banking industry is financially Position, DMBs must ensure that they focus on widen their ATM network and must also place more emphasis on the most efficient approaches they can use to reduce their overall operational cost. This is owing to the fact that at the moment operational restructuring has a positive insignificant effect on the financial position of DMBs in Nigeria.</w:t>
      </w:r>
    </w:p>
    <w:p w14:paraId="2755D6A3" w14:textId="5FC11381" w:rsidR="00B01FCD" w:rsidRDefault="00960356" w:rsidP="00556645">
      <w:pPr>
        <w:pStyle w:val="Body"/>
        <w:numPr>
          <w:ilvl w:val="0"/>
          <w:numId w:val="32"/>
        </w:numPr>
        <w:spacing w:after="0"/>
        <w:rPr>
          <w:rFonts w:ascii="Arial" w:hAnsi="Arial" w:cs="Arial"/>
        </w:rPr>
      </w:pPr>
      <w:r w:rsidRPr="00960356">
        <w:rPr>
          <w:rFonts w:ascii="Arial" w:hAnsi="Arial" w:cs="Arial"/>
        </w:rPr>
        <w:t>To avoid instances of bank crisis, bank management should consider capital restructuring as one of the most feasible bank policies for ensuring that the banking industry is stable. This is owing to the fact that capital restructuring has a positive significant effect on the financial position of DMBs in Nigeria.</w:t>
      </w:r>
    </w:p>
    <w:p w14:paraId="2317EE21" w14:textId="77777777" w:rsidR="00790ADA" w:rsidRPr="00FB3A86" w:rsidRDefault="00790ADA" w:rsidP="00441B6F">
      <w:pPr>
        <w:pStyle w:val="Body"/>
        <w:spacing w:after="0"/>
        <w:rPr>
          <w:rFonts w:ascii="Arial" w:hAnsi="Arial" w:cs="Arial"/>
        </w:rPr>
      </w:pPr>
    </w:p>
    <w:p w14:paraId="7D77A236" w14:textId="77777777" w:rsidR="00315186" w:rsidRPr="00315186" w:rsidRDefault="00315186" w:rsidP="00441B6F"/>
    <w:p w14:paraId="7196F198" w14:textId="77777777" w:rsidR="00315186" w:rsidRPr="00315186" w:rsidRDefault="00315186" w:rsidP="00441B6F"/>
    <w:p w14:paraId="193FF3F7" w14:textId="77777777" w:rsidR="00860000" w:rsidRPr="00786D36" w:rsidRDefault="00860000" w:rsidP="00441B6F">
      <w:pPr>
        <w:pStyle w:val="ReferHead"/>
        <w:spacing w:after="0"/>
        <w:jc w:val="both"/>
        <w:rPr>
          <w:rFonts w:ascii="Arial" w:hAnsi="Arial" w:cs="Arial"/>
          <w:bCs/>
        </w:rPr>
      </w:pPr>
      <w:r w:rsidRPr="00786D36">
        <w:rPr>
          <w:rFonts w:ascii="Arial" w:hAnsi="Arial" w:cs="Arial"/>
          <w:bCs/>
        </w:rPr>
        <w:t>Competing interests</w:t>
      </w:r>
    </w:p>
    <w:p w14:paraId="457F1CED" w14:textId="77777777" w:rsidR="00860000" w:rsidRPr="00786D36" w:rsidRDefault="00860000" w:rsidP="00441B6F">
      <w:pPr>
        <w:pStyle w:val="ReferHead"/>
        <w:spacing w:after="0"/>
        <w:jc w:val="both"/>
        <w:rPr>
          <w:rFonts w:ascii="Arial" w:hAnsi="Arial" w:cs="Arial"/>
        </w:rPr>
      </w:pPr>
    </w:p>
    <w:p w14:paraId="388593E7" w14:textId="62660464" w:rsidR="00860000" w:rsidRPr="00CE4EF5" w:rsidRDefault="00E66E10" w:rsidP="00441B6F">
      <w:pPr>
        <w:pStyle w:val="ReferHead"/>
        <w:spacing w:after="0"/>
        <w:jc w:val="both"/>
        <w:rPr>
          <w:rFonts w:ascii="Arial" w:hAnsi="Arial" w:cs="Arial"/>
          <w:b w:val="0"/>
          <w:caps w:val="0"/>
          <w:sz w:val="20"/>
        </w:rPr>
      </w:pPr>
      <w:r w:rsidRPr="00CE4EF5">
        <w:rPr>
          <w:rFonts w:ascii="Arial" w:hAnsi="Arial" w:cs="Arial"/>
          <w:b w:val="0"/>
          <w:caps w:val="0"/>
          <w:sz w:val="20"/>
        </w:rPr>
        <w:t>Authors have declared that no competing interests exist.</w:t>
      </w:r>
    </w:p>
    <w:p w14:paraId="7787DCA8" w14:textId="77777777" w:rsidR="00371FB6" w:rsidRDefault="00371FB6" w:rsidP="00441B6F">
      <w:pPr>
        <w:pStyle w:val="ReferHead"/>
        <w:spacing w:after="0"/>
        <w:jc w:val="both"/>
        <w:rPr>
          <w:rFonts w:ascii="Arial" w:hAnsi="Arial" w:cs="Arial"/>
          <w:b w:val="0"/>
          <w:caps w:val="0"/>
          <w:sz w:val="20"/>
        </w:rPr>
      </w:pPr>
    </w:p>
    <w:p w14:paraId="714493D6" w14:textId="77777777" w:rsidR="00013C37" w:rsidRPr="000839CE" w:rsidRDefault="00013C37" w:rsidP="00013C37">
      <w:pPr>
        <w:rPr>
          <w:rFonts w:ascii="Times New Roman" w:hAnsi="Times New Roman"/>
          <w:b/>
        </w:rPr>
      </w:pPr>
      <w:bookmarkStart w:id="0" w:name="_Hlk234486585"/>
      <w:bookmarkStart w:id="1" w:name="_Hlk234075571"/>
      <w:bookmarkStart w:id="2" w:name="_Hlk232755622"/>
      <w:r w:rsidRPr="000839CE">
        <w:rPr>
          <w:rFonts w:ascii="Times New Roman" w:hAnsi="Times New Roman"/>
          <w:b/>
        </w:rPr>
        <w:t>Declaration of AI Use</w:t>
      </w:r>
    </w:p>
    <w:p w14:paraId="6EE8617D" w14:textId="77777777" w:rsidR="00013C37" w:rsidRPr="000839CE" w:rsidRDefault="00013C37" w:rsidP="00013C37">
      <w:pPr>
        <w:rPr>
          <w:rFonts w:ascii="Times New Roman" w:hAnsi="Times New Roman"/>
        </w:rPr>
      </w:pPr>
      <w:bookmarkStart w:id="3" w:name="_Hlk234486575"/>
      <w:bookmarkEnd w:id="0"/>
    </w:p>
    <w:p w14:paraId="63F0F637" w14:textId="77777777" w:rsidR="00013C37" w:rsidRPr="000839CE" w:rsidRDefault="00013C37" w:rsidP="00013C37">
      <w:pPr>
        <w:jc w:val="both"/>
        <w:rPr>
          <w:rFonts w:ascii="Times New Roman" w:hAnsi="Times New Roman"/>
        </w:rPr>
      </w:pPr>
      <w:r w:rsidRPr="00C56790">
        <w:rPr>
          <w:rFonts w:ascii="Times New Roman" w:hAnsi="Times New Roman"/>
        </w:rPr>
        <w:t xml:space="preserve">This manuscript was prepared through the combined contributions of all author(s), including contributions to the study design, data, content development, results, interpretation, and related </w:t>
      </w:r>
      <w:r w:rsidRPr="00C56790">
        <w:rPr>
          <w:rFonts w:ascii="Times New Roman" w:hAnsi="Times New Roman"/>
        </w:rPr>
        <w:lastRenderedPageBreak/>
        <w:t>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C56790">
        <w:rPr>
          <w:rFonts w:ascii="Times New Roman" w:hAnsi="Times New Roman"/>
        </w:rPr>
        <w:t>.</w:t>
      </w:r>
    </w:p>
    <w:bookmarkEnd w:id="2"/>
    <w:bookmarkEnd w:id="3"/>
    <w:p w14:paraId="24E7615D" w14:textId="77777777" w:rsidR="00475F41" w:rsidRPr="002B41F5" w:rsidRDefault="00475F41" w:rsidP="00441B6F">
      <w:pPr>
        <w:pStyle w:val="ReferHead"/>
        <w:spacing w:after="0"/>
        <w:jc w:val="both"/>
        <w:rPr>
          <w:rFonts w:ascii="Arial" w:hAnsi="Arial" w:cs="Arial"/>
          <w:b w:val="0"/>
          <w:caps w:val="0"/>
          <w:sz w:val="20"/>
        </w:rPr>
      </w:pPr>
    </w:p>
    <w:p w14:paraId="6D167EAD" w14:textId="77777777" w:rsidR="002B685A" w:rsidRDefault="002B685A" w:rsidP="00441B6F">
      <w:pPr>
        <w:pStyle w:val="ReferHead"/>
        <w:spacing w:after="0"/>
        <w:jc w:val="both"/>
        <w:rPr>
          <w:rFonts w:ascii="Arial" w:hAnsi="Arial" w:cs="Arial"/>
          <w:b w:val="0"/>
          <w:caps w:val="0"/>
          <w:sz w:val="20"/>
        </w:rPr>
      </w:pPr>
    </w:p>
    <w:p w14:paraId="65210D50"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4008B238" w14:textId="77777777" w:rsidR="00790ADA" w:rsidRPr="00FB3A86" w:rsidRDefault="00790ADA" w:rsidP="00441B6F">
      <w:pPr>
        <w:pStyle w:val="ReferHead"/>
        <w:spacing w:after="0"/>
        <w:jc w:val="both"/>
        <w:rPr>
          <w:rFonts w:ascii="Arial" w:hAnsi="Arial" w:cs="Arial"/>
        </w:rPr>
      </w:pPr>
    </w:p>
    <w:p w14:paraId="6D402FD9" w14:textId="77777777" w:rsidR="00AD1A48" w:rsidRDefault="00AD1A48" w:rsidP="00AD1A48">
      <w:pPr>
        <w:pStyle w:val="Body"/>
      </w:pPr>
      <w:r>
        <w:t>Adhikari, B., Kavanagh, M., &amp; Hampson, B. (2023). A comparative analysis of the financial performance of commercial banks after mergers and acquisitions using Nepalese data. Central Bank Review, 23(3), 100128.</w:t>
      </w:r>
    </w:p>
    <w:p w14:paraId="52787963" w14:textId="77777777" w:rsidR="00AD1A48" w:rsidRDefault="00AD1A48" w:rsidP="00AD1A48">
      <w:pPr>
        <w:pStyle w:val="Body"/>
      </w:pPr>
      <w:r>
        <w:t xml:space="preserve">Alao, O., Joshua, A. A., &amp; </w:t>
      </w:r>
      <w:proofErr w:type="spellStart"/>
      <w:r>
        <w:t>Tomomewo</w:t>
      </w:r>
      <w:proofErr w:type="spellEnd"/>
      <w:r>
        <w:t>, A. (2024). strategic survival of the Nigerian banking system post covid-19: an exploratory analysis. International Journal of Research Science and Management, 11(2), 15-27.</w:t>
      </w:r>
    </w:p>
    <w:p w14:paraId="72D5B7FC" w14:textId="77777777" w:rsidR="00AD1A48" w:rsidRDefault="00AD1A48" w:rsidP="00AD1A48">
      <w:pPr>
        <w:pStyle w:val="Body"/>
      </w:pPr>
      <w:r>
        <w:t>Ali, U. M. (2024). A comparative assessment of the performance of deposit money banks in Nigeria. The American Journal of Management and Economics Innovations, 6(05), 14-24.</w:t>
      </w:r>
    </w:p>
    <w:p w14:paraId="0C002367" w14:textId="77777777" w:rsidR="00AD1A48" w:rsidRDefault="00AD1A48" w:rsidP="00AD1A48">
      <w:pPr>
        <w:pStyle w:val="Body"/>
      </w:pPr>
      <w:proofErr w:type="spellStart"/>
      <w:r>
        <w:t>Alsharari</w:t>
      </w:r>
      <w:proofErr w:type="spellEnd"/>
      <w:r>
        <w:t>, N. M. (2024). The interplay of strategic management accounting, business strategy and organizational change: as influenced by a configurational theory. Journal of Accounting &amp; Organizational Change, 20(1), 153-176.</w:t>
      </w:r>
    </w:p>
    <w:p w14:paraId="7C5AECC6" w14:textId="77777777" w:rsidR="00AD1A48" w:rsidRDefault="00AD1A48" w:rsidP="00AD1A48">
      <w:pPr>
        <w:pStyle w:val="Body"/>
      </w:pPr>
      <w:r>
        <w:t xml:space="preserve">Baker, H., </w:t>
      </w:r>
      <w:proofErr w:type="spellStart"/>
      <w:r>
        <w:t>Kaddumi</w:t>
      </w:r>
      <w:proofErr w:type="spellEnd"/>
      <w:r>
        <w:t xml:space="preserve">, T. A., Nassar, M. D., &amp; </w:t>
      </w:r>
      <w:proofErr w:type="spellStart"/>
      <w:r>
        <w:t>Muqattash</w:t>
      </w:r>
      <w:proofErr w:type="spellEnd"/>
      <w:r>
        <w:t>, R. S. (2023). Impact of financial technology on improvement of banks’ financial performance. Journal of Risk and Financial Management, 16(4), 230.</w:t>
      </w:r>
    </w:p>
    <w:p w14:paraId="473A5746" w14:textId="77777777" w:rsidR="00AD1A48" w:rsidRDefault="00AD1A48" w:rsidP="00AD1A48">
      <w:pPr>
        <w:pStyle w:val="Body"/>
      </w:pPr>
      <w:r>
        <w:t>Bawa, J. K., &amp; Basu, S. (2020). Restructuring assets reform, 2013: Impact of operational ability, liquidity, bank capital, profitability and capital on bank credit risk. IIMB Management Review, 32(3), 267-279.</w:t>
      </w:r>
    </w:p>
    <w:p w14:paraId="2432EF46" w14:textId="77777777" w:rsidR="00AD1A48" w:rsidRDefault="00AD1A48" w:rsidP="00AD1A48">
      <w:pPr>
        <w:pStyle w:val="Body"/>
      </w:pPr>
      <w:proofErr w:type="spellStart"/>
      <w:r>
        <w:t>Bayoud</w:t>
      </w:r>
      <w:proofErr w:type="spellEnd"/>
      <w:r>
        <w:t>, S. (2024). Financial intermediation: an exploration of the theoretical foundations. HAL.</w:t>
      </w:r>
    </w:p>
    <w:p w14:paraId="511217E9" w14:textId="77777777" w:rsidR="00AD1A48" w:rsidRDefault="00AD1A48" w:rsidP="00AD1A48">
      <w:pPr>
        <w:pStyle w:val="Body"/>
      </w:pPr>
      <w:r>
        <w:t>Belay, N. A. (2024). Effect of Asset and Liability Management on Profitability: Empirical Evidence from Commercial Banks in Ethiopia. Available at SSRN 4844740.</w:t>
      </w:r>
    </w:p>
    <w:p w14:paraId="3E2C2A6C" w14:textId="77777777" w:rsidR="00AD1A48" w:rsidRDefault="00AD1A48" w:rsidP="00AD1A48">
      <w:pPr>
        <w:pStyle w:val="Body"/>
      </w:pPr>
      <w:r>
        <w:t xml:space="preserve">Bethune, Z., </w:t>
      </w:r>
      <w:proofErr w:type="spellStart"/>
      <w:r>
        <w:t>Sultanum</w:t>
      </w:r>
      <w:proofErr w:type="spellEnd"/>
      <w:r>
        <w:t xml:space="preserve">, B., &amp; </w:t>
      </w:r>
      <w:proofErr w:type="spellStart"/>
      <w:r>
        <w:t>Trachter</w:t>
      </w:r>
      <w:proofErr w:type="spellEnd"/>
      <w:r>
        <w:t>, N. (2022). An information-based theory of financial intermediation. The Review of Economic Studies, 89(5), 2381-2444.</w:t>
      </w:r>
    </w:p>
    <w:p w14:paraId="3F6456D6" w14:textId="77777777" w:rsidR="00AD1A48" w:rsidRDefault="00AD1A48" w:rsidP="00AD1A48">
      <w:pPr>
        <w:pStyle w:val="Body"/>
      </w:pPr>
      <w:r>
        <w:t>Bhuiya, M. M. M., &amp; Russel, A. H. (2023). Green finance for sustainable banking: The Australian perspective. In Environmental Finance and Green Banking (pp. 85-108). Routledge.</w:t>
      </w:r>
    </w:p>
    <w:p w14:paraId="07643546" w14:textId="77777777" w:rsidR="00AD1A48" w:rsidRDefault="00AD1A48" w:rsidP="00AD1A48">
      <w:pPr>
        <w:pStyle w:val="Body"/>
      </w:pPr>
      <w:r>
        <w:t xml:space="preserve">Bui, H., &amp; </w:t>
      </w:r>
      <w:proofErr w:type="spellStart"/>
      <w:r>
        <w:t>Krajcsák</w:t>
      </w:r>
      <w:proofErr w:type="spellEnd"/>
      <w:r>
        <w:t>, Z. (2023). The impacts of corporate governance on firms’ performance: from theories and approaches to empirical findings. Journal of Financial Regulation and Compliance, 32(1), 18-46.</w:t>
      </w:r>
    </w:p>
    <w:p w14:paraId="2A5C76A1" w14:textId="77777777" w:rsidR="00AD1A48" w:rsidRDefault="00AD1A48" w:rsidP="00AD1A48">
      <w:pPr>
        <w:pStyle w:val="Body"/>
      </w:pPr>
      <w:proofErr w:type="spellStart"/>
      <w:r>
        <w:t>Challoumis</w:t>
      </w:r>
      <w:proofErr w:type="spellEnd"/>
      <w:r>
        <w:t xml:space="preserve">, C., &amp; </w:t>
      </w:r>
      <w:proofErr w:type="spellStart"/>
      <w:r>
        <w:t>Eriotis</w:t>
      </w:r>
      <w:proofErr w:type="spellEnd"/>
      <w:r>
        <w:t>, N. (2024). A historical analysis of the banking system and its impact on Greek economy. Edelweiss Applied Science and Technology, 8(6), 1598-1617.</w:t>
      </w:r>
    </w:p>
    <w:p w14:paraId="383FBACE" w14:textId="77777777" w:rsidR="00AD1A48" w:rsidRDefault="00AD1A48" w:rsidP="00AD1A48">
      <w:pPr>
        <w:pStyle w:val="Body"/>
      </w:pPr>
      <w:proofErr w:type="spellStart"/>
      <w:r>
        <w:lastRenderedPageBreak/>
        <w:t>Closset</w:t>
      </w:r>
      <w:proofErr w:type="spellEnd"/>
      <w:r>
        <w:t xml:space="preserve">, F., Grobmann, C., </w:t>
      </w:r>
      <w:proofErr w:type="spellStart"/>
      <w:r>
        <w:t>Kaserer</w:t>
      </w:r>
      <w:proofErr w:type="spellEnd"/>
      <w:r>
        <w:t>, C., &amp; Urban, D. (2023). Corporate restructuring and creditor power: Evidence from European insolvency law reforms. Journal of Banking &amp; Finance, 149, 106756.</w:t>
      </w:r>
    </w:p>
    <w:p w14:paraId="7FEE5323" w14:textId="77777777" w:rsidR="00AD1A48" w:rsidRDefault="00AD1A48" w:rsidP="00AD1A48">
      <w:pPr>
        <w:pStyle w:val="Body"/>
      </w:pPr>
      <w:r>
        <w:t xml:space="preserve">Cookey, S. C. M., </w:t>
      </w:r>
      <w:proofErr w:type="spellStart"/>
      <w:r>
        <w:t>Nwanyanwu</w:t>
      </w:r>
      <w:proofErr w:type="spellEnd"/>
      <w:r>
        <w:t xml:space="preserve">, H. D., &amp; </w:t>
      </w:r>
      <w:proofErr w:type="spellStart"/>
      <w:r>
        <w:t>Igbara</w:t>
      </w:r>
      <w:proofErr w:type="spellEnd"/>
      <w:r>
        <w:t xml:space="preserve">, N. (2023). Empirical Analysis of Banking Sector </w:t>
      </w:r>
      <w:proofErr w:type="spellStart"/>
      <w:r>
        <w:t>Recapitalisation</w:t>
      </w:r>
      <w:proofErr w:type="spellEnd"/>
      <w:r>
        <w:t xml:space="preserve"> and Performance in Nigeria: A Holistic Approach. Journal of Global Interdependence and Economic Sustainability, 2(8), 1-13.</w:t>
      </w:r>
    </w:p>
    <w:p w14:paraId="74F871E7" w14:textId="77777777" w:rsidR="00AD1A48" w:rsidRDefault="00AD1A48" w:rsidP="00AD1A48">
      <w:pPr>
        <w:pStyle w:val="Body"/>
      </w:pPr>
      <w:proofErr w:type="spellStart"/>
      <w:r>
        <w:t>Darmayanthi</w:t>
      </w:r>
      <w:proofErr w:type="spellEnd"/>
      <w:r>
        <w:t xml:space="preserve">, J., Rama N.P., </w:t>
      </w:r>
      <w:proofErr w:type="spellStart"/>
      <w:r>
        <w:t>Susanthi</w:t>
      </w:r>
      <w:proofErr w:type="spellEnd"/>
      <w:r>
        <w:t>, P.R. &amp; Sari, A. P. (2024). Analysis Of Financial Performance Due to Credit Restructuring Policy at Batam City BPR. International Journal of Islamic Business and Management Review, 4(1), 42–54. https://doi.org/10.54099/ijibmr.v4i1.1025</w:t>
      </w:r>
    </w:p>
    <w:p w14:paraId="7A36A56C" w14:textId="77777777" w:rsidR="00AD1A48" w:rsidRDefault="00AD1A48" w:rsidP="00AD1A48">
      <w:pPr>
        <w:pStyle w:val="Body"/>
      </w:pPr>
      <w:r>
        <w:t xml:space="preserve">Dzingirai, M. &amp; </w:t>
      </w:r>
      <w:proofErr w:type="spellStart"/>
      <w:r>
        <w:t>Baporikar</w:t>
      </w:r>
      <w:proofErr w:type="spellEnd"/>
      <w:r>
        <w:t>, N. (2022). Financial Restructuring and Commercial Banks Performance Nexus in Zimbabwe. International Journal of Corporate Finance and Accounting. 9. 1-13. 10.4018/IJCFA.312567.</w:t>
      </w:r>
    </w:p>
    <w:p w14:paraId="1D751FD7" w14:textId="77777777" w:rsidR="00AD1A48" w:rsidRDefault="00AD1A48" w:rsidP="00AD1A48">
      <w:pPr>
        <w:pStyle w:val="Body"/>
      </w:pPr>
      <w:r>
        <w:t xml:space="preserve">Elrayah, M., &amp; </w:t>
      </w:r>
      <w:proofErr w:type="spellStart"/>
      <w:r>
        <w:t>Jalingo</w:t>
      </w:r>
      <w:proofErr w:type="spellEnd"/>
      <w:r>
        <w:t xml:space="preserve">, M. U. (2023). Capital Structure Dynamics: Evaluating Financial Performance through Financial Accountability and Investment Decision: Moderating Influence of Internal Control Systems. </w:t>
      </w:r>
      <w:proofErr w:type="spellStart"/>
      <w:r>
        <w:t>Cuadernos</w:t>
      </w:r>
      <w:proofErr w:type="spellEnd"/>
      <w:r>
        <w:t xml:space="preserve"> de Economía, 46(132), 79-91.</w:t>
      </w:r>
    </w:p>
    <w:p w14:paraId="31533B78" w14:textId="77777777" w:rsidR="00AD1A48" w:rsidRDefault="00AD1A48" w:rsidP="00AD1A48">
      <w:pPr>
        <w:pStyle w:val="Body"/>
      </w:pPr>
      <w:r>
        <w:t xml:space="preserve">Indy, L. A., </w:t>
      </w:r>
      <w:proofErr w:type="spellStart"/>
      <w:r>
        <w:t>Uzliawati</w:t>
      </w:r>
      <w:proofErr w:type="spellEnd"/>
      <w:r>
        <w:t>, L., &amp; Yulianto, A. S. (2023). Managerial ownership profitability and firm value agency theory perspective. Enrichment: Journal of Management, 13(1), 619-626.</w:t>
      </w:r>
    </w:p>
    <w:p w14:paraId="611D458E" w14:textId="77777777" w:rsidR="00AD1A48" w:rsidRDefault="00AD1A48" w:rsidP="00AD1A48">
      <w:pPr>
        <w:pStyle w:val="Body"/>
      </w:pPr>
      <w:proofErr w:type="spellStart"/>
      <w:r>
        <w:t>Ingow</w:t>
      </w:r>
      <w:proofErr w:type="spellEnd"/>
      <w:r>
        <w:t xml:space="preserve">, L.U. &amp; </w:t>
      </w:r>
      <w:proofErr w:type="spellStart"/>
      <w:r>
        <w:t>Opuodho</w:t>
      </w:r>
      <w:proofErr w:type="spellEnd"/>
      <w:r>
        <w:t>, G. (2019). Effect of corporate restructuring on financial performance of SACCOs in Kenya. International Journal of Recent Research in Commerce Economics and Management (IJRRCEM), 6(4), 199-204.</w:t>
      </w:r>
    </w:p>
    <w:p w14:paraId="3B02460F" w14:textId="77777777" w:rsidR="00AD1A48" w:rsidRDefault="00AD1A48" w:rsidP="00AD1A48">
      <w:pPr>
        <w:pStyle w:val="Body"/>
      </w:pPr>
      <w:proofErr w:type="spellStart"/>
      <w:r>
        <w:t>Isabwa</w:t>
      </w:r>
      <w:proofErr w:type="spellEnd"/>
      <w:r>
        <w:t>, H.K. Mabonga, W.M. (2019). Financial Restructuring and Non-Financial Performance of Pan Africa Insurance Holding Company, Kenya. International Journal of Research in Finance and Marketing (IJRFM), 9(4), 20-40.</w:t>
      </w:r>
    </w:p>
    <w:p w14:paraId="61466F62" w14:textId="77777777" w:rsidR="00AD1A48" w:rsidRDefault="00AD1A48" w:rsidP="00AD1A48">
      <w:pPr>
        <w:pStyle w:val="Body"/>
      </w:pPr>
      <w:r>
        <w:t xml:space="preserve">Izu, I. S., </w:t>
      </w:r>
      <w:proofErr w:type="spellStart"/>
      <w:r>
        <w:t>Sheidu</w:t>
      </w:r>
      <w:proofErr w:type="spellEnd"/>
      <w:r>
        <w:t>, C. F., &amp; Sule, G. A. (2024). two decades of bank recapitalization and economic stabilization measures in Nigeria. Journal of Political Discourse, 2(1), 103-114.</w:t>
      </w:r>
    </w:p>
    <w:p w14:paraId="662BFCCF" w14:textId="77777777" w:rsidR="00AD1A48" w:rsidRDefault="00AD1A48" w:rsidP="00AD1A48">
      <w:pPr>
        <w:pStyle w:val="Body"/>
      </w:pPr>
      <w:r>
        <w:t>Johnstone, S. (2024). Human resource management in recession: Restructuring and alternatives to downsizing in times of crisis. Human Resource Management Journal, 34(1), 138-157.</w:t>
      </w:r>
    </w:p>
    <w:p w14:paraId="408E74DB" w14:textId="77777777" w:rsidR="00AD1A48" w:rsidRDefault="00AD1A48" w:rsidP="00AD1A48">
      <w:pPr>
        <w:pStyle w:val="Body"/>
      </w:pPr>
      <w:r>
        <w:t>Kariuki, N.M. &amp; Njuguna, R. (2024). The Influence of Financial Restructuring on Organizational Performance at Equity Bank Kenya Limited. Journal of Finance and Accounting, 8(9), 69–79. https://doi.org/10.53819/81018102t2443</w:t>
      </w:r>
    </w:p>
    <w:p w14:paraId="3425BF5D" w14:textId="77777777" w:rsidR="00AD1A48" w:rsidRDefault="00AD1A48" w:rsidP="00AD1A48">
      <w:pPr>
        <w:pStyle w:val="Body"/>
      </w:pPr>
      <w:r>
        <w:t>Kithinji AM. (2019). The effect of bank restructuring on financial performance controlled by customer deposits: an empirical investigation of commercial banks in Kenya. International Journal for Innovative Research in Multidisciplinary Field, 5(1), 13-19.</w:t>
      </w:r>
    </w:p>
    <w:p w14:paraId="272B2967" w14:textId="77777777" w:rsidR="00AD1A48" w:rsidRDefault="00AD1A48" w:rsidP="00AD1A48">
      <w:pPr>
        <w:pStyle w:val="Body"/>
      </w:pPr>
      <w:proofErr w:type="spellStart"/>
      <w:r>
        <w:t>Konstantakopoulou</w:t>
      </w:r>
      <w:proofErr w:type="spellEnd"/>
      <w:r>
        <w:t>, I. (2023). Financial intermediation, economic growth, and business cycles. Journal of Risk and Financial Management, 16(12), 514.</w:t>
      </w:r>
    </w:p>
    <w:p w14:paraId="3DE02D5C" w14:textId="77777777" w:rsidR="00AD1A48" w:rsidRDefault="00AD1A48" w:rsidP="00AD1A48">
      <w:pPr>
        <w:pStyle w:val="Body"/>
      </w:pPr>
      <w:r>
        <w:t xml:space="preserve">Kumar, P., Verma, P., Bhatnagar, M., Taneja, S., </w:t>
      </w:r>
      <w:proofErr w:type="spellStart"/>
      <w:r>
        <w:t>Seychel</w:t>
      </w:r>
      <w:proofErr w:type="spellEnd"/>
      <w:r>
        <w:t>, S., Todorović, I., &amp; Grima, S. (2023). The financial performance and solvency status of the Indian public sector banks: a CAMELS rating and Z index approach.</w:t>
      </w:r>
    </w:p>
    <w:p w14:paraId="5C38ED33" w14:textId="77777777" w:rsidR="00AD1A48" w:rsidRDefault="00AD1A48" w:rsidP="00AD1A48">
      <w:pPr>
        <w:pStyle w:val="Body"/>
      </w:pPr>
      <w:r>
        <w:lastRenderedPageBreak/>
        <w:t>Liu, X., &amp; Zhao, Q. (2024). Banking competition, credit financing and the efficiency of corporate technology innovation. International Review of Financial Analysis, 94, 103248.</w:t>
      </w:r>
    </w:p>
    <w:p w14:paraId="0EF0A202" w14:textId="77777777" w:rsidR="00AD1A48" w:rsidRDefault="00AD1A48" w:rsidP="00AD1A48">
      <w:pPr>
        <w:pStyle w:val="Body"/>
      </w:pPr>
      <w:r>
        <w:t>Liu, Y., Ye, K., &amp; Liu, J. (2023). Major asset restructuring performance commitments and classification shifting through non-recurring items. China Journal of Accounting Studies, 11(2), 270-299.</w:t>
      </w:r>
    </w:p>
    <w:p w14:paraId="4083F075" w14:textId="77777777" w:rsidR="00AD1A48" w:rsidRDefault="00AD1A48" w:rsidP="00AD1A48">
      <w:pPr>
        <w:pStyle w:val="Body"/>
      </w:pPr>
      <w:r>
        <w:t xml:space="preserve">Mavlutova, I., Babenko, V., Dykan, V., Prokopenko, N., </w:t>
      </w:r>
      <w:proofErr w:type="spellStart"/>
      <w:r>
        <w:t>Kalinichenko</w:t>
      </w:r>
      <w:proofErr w:type="spellEnd"/>
      <w:r>
        <w:t xml:space="preserve">, S., &amp; </w:t>
      </w:r>
      <w:proofErr w:type="spellStart"/>
      <w:r>
        <w:t>Tokmakova</w:t>
      </w:r>
      <w:proofErr w:type="spellEnd"/>
      <w:r>
        <w:t xml:space="preserve">, I. (2021). Business restructuring as a method of </w:t>
      </w:r>
      <w:proofErr w:type="spellStart"/>
      <w:r>
        <w:t>strengtening</w:t>
      </w:r>
      <w:proofErr w:type="spellEnd"/>
      <w:r>
        <w:t xml:space="preserve"> company’s financial position. Journal of Optimization in Industrial Engineering, 14(1), 129-139.</w:t>
      </w:r>
    </w:p>
    <w:p w14:paraId="20AC8828" w14:textId="77777777" w:rsidR="00AD1A48" w:rsidRDefault="00AD1A48" w:rsidP="00AD1A48">
      <w:pPr>
        <w:pStyle w:val="Body"/>
      </w:pPr>
      <w:proofErr w:type="spellStart"/>
      <w:r>
        <w:t>Moudud</w:t>
      </w:r>
      <w:proofErr w:type="spellEnd"/>
      <w:r>
        <w:t xml:space="preserve">-Ul-Huq, S., Zheng, C., Gupta, A. D., Hossain, S. A., &amp; Biswas, T. (2023). Risk and performance in emerging economies: do bank diversification and financial crisis </w:t>
      </w:r>
      <w:proofErr w:type="gramStart"/>
      <w:r>
        <w:t>matter?.</w:t>
      </w:r>
      <w:proofErr w:type="gramEnd"/>
      <w:r>
        <w:t xml:space="preserve"> Global Business Review, 24(4), 663-689.</w:t>
      </w:r>
    </w:p>
    <w:p w14:paraId="15F01D3B" w14:textId="77777777" w:rsidR="00AD1A48" w:rsidRDefault="00AD1A48" w:rsidP="00AD1A48">
      <w:pPr>
        <w:pStyle w:val="Body"/>
      </w:pPr>
      <w:r>
        <w:t>Nagarajan, V., Mohanty, P., &amp; Khatua, A. (2023). Financing effects of corporate diversification: A review. Review of Managerial Science, 17(7), 2555-2585.</w:t>
      </w:r>
    </w:p>
    <w:p w14:paraId="379E2AD7" w14:textId="77777777" w:rsidR="00AD1A48" w:rsidRDefault="00AD1A48" w:rsidP="00AD1A48">
      <w:pPr>
        <w:pStyle w:val="Body"/>
      </w:pPr>
      <w:r>
        <w:t xml:space="preserve">Nair, T. (2024). Restructuring of banks and financial deepening: tracing the Indian discourse. International Journal of Business and </w:t>
      </w:r>
      <w:proofErr w:type="spellStart"/>
      <w:r>
        <w:t>Globalisation</w:t>
      </w:r>
      <w:proofErr w:type="spellEnd"/>
      <w:r>
        <w:t>, 37(2), 283-296.</w:t>
      </w:r>
    </w:p>
    <w:p w14:paraId="49DE3BBE" w14:textId="77777777" w:rsidR="00AD1A48" w:rsidRDefault="00AD1A48" w:rsidP="00AD1A48">
      <w:pPr>
        <w:pStyle w:val="Body"/>
      </w:pPr>
      <w:r>
        <w:t>Nguyen, T. D. (2024). Corporate Restructuring and Environmental, Social, and Governance Improvement (Doctoral dissertation).</w:t>
      </w:r>
    </w:p>
    <w:p w14:paraId="6DA6C65B" w14:textId="77777777" w:rsidR="00AD1A48" w:rsidRDefault="00AD1A48" w:rsidP="00AD1A48">
      <w:pPr>
        <w:pStyle w:val="Body"/>
      </w:pPr>
      <w:r>
        <w:t>Njoki, K. M., &amp; Reuben, N. (2024). The Influence of Financial Restructuring on Organizational Performance at Equity Bank Kenya Limited. Journal of Finance and Accounting, 8(9), 69-79.</w:t>
      </w:r>
    </w:p>
    <w:p w14:paraId="32148533" w14:textId="77777777" w:rsidR="00AD1A48" w:rsidRDefault="00AD1A48" w:rsidP="00AD1A48">
      <w:pPr>
        <w:pStyle w:val="Body"/>
      </w:pPr>
      <w:r>
        <w:t xml:space="preserve">Obadire, A. M., Moyo, V., &amp; </w:t>
      </w:r>
      <w:proofErr w:type="spellStart"/>
      <w:r>
        <w:t>Munzhelele</w:t>
      </w:r>
      <w:proofErr w:type="spellEnd"/>
      <w:r>
        <w:t>, N. F. (2023). An empirical analysis of the dynamics influencing bank capital structure in Africa. International Journal of Financial Studies, 11(4), 127.</w:t>
      </w:r>
    </w:p>
    <w:p w14:paraId="5846BDFB" w14:textId="77777777" w:rsidR="00AD1A48" w:rsidRDefault="00AD1A48" w:rsidP="00AD1A48">
      <w:pPr>
        <w:pStyle w:val="Body"/>
      </w:pPr>
      <w:r>
        <w:t xml:space="preserve">Okonkwo, J. J., Okere, W., Okoye, N. J., &amp; </w:t>
      </w:r>
      <w:proofErr w:type="spellStart"/>
      <w:r>
        <w:t>Mkparu</w:t>
      </w:r>
      <w:proofErr w:type="spellEnd"/>
      <w:r>
        <w:t xml:space="preserve">, E. T. (2023). The Effect of Capital Restructuring on Bank Financial Performance. AKRUAL: </w:t>
      </w:r>
      <w:proofErr w:type="spellStart"/>
      <w:r>
        <w:t>Jurnal</w:t>
      </w:r>
      <w:proofErr w:type="spellEnd"/>
      <w:r>
        <w:t xml:space="preserve"> </w:t>
      </w:r>
      <w:proofErr w:type="spellStart"/>
      <w:r>
        <w:t>Akuntansi</w:t>
      </w:r>
      <w:proofErr w:type="spellEnd"/>
      <w:r>
        <w:t>, 15(1), 14-25.</w:t>
      </w:r>
    </w:p>
    <w:p w14:paraId="2CF338D3" w14:textId="77777777" w:rsidR="00AD1A48" w:rsidRDefault="00AD1A48" w:rsidP="00AD1A48">
      <w:pPr>
        <w:pStyle w:val="Body"/>
      </w:pPr>
      <w:r>
        <w:t xml:space="preserve">Okonkwo, J. J., Okere, W., Okoye, N. J., &amp; </w:t>
      </w:r>
      <w:proofErr w:type="spellStart"/>
      <w:r>
        <w:t>Mkparu</w:t>
      </w:r>
      <w:proofErr w:type="spellEnd"/>
      <w:r>
        <w:t xml:space="preserve">, E. T. (2023). The Effect of Capital Restructuring on Bank Financial Performance. AKRUAL: </w:t>
      </w:r>
      <w:proofErr w:type="spellStart"/>
      <w:r>
        <w:t>Jurnal</w:t>
      </w:r>
      <w:proofErr w:type="spellEnd"/>
      <w:r>
        <w:t xml:space="preserve"> </w:t>
      </w:r>
      <w:proofErr w:type="spellStart"/>
      <w:r>
        <w:t>Akuntansi</w:t>
      </w:r>
      <w:proofErr w:type="spellEnd"/>
      <w:r>
        <w:t>, 15(1), 14-25.</w:t>
      </w:r>
    </w:p>
    <w:p w14:paraId="09D7CD0C" w14:textId="77777777" w:rsidR="00AD1A48" w:rsidRDefault="00AD1A48" w:rsidP="00AD1A48">
      <w:pPr>
        <w:pStyle w:val="Body"/>
      </w:pPr>
      <w:r>
        <w:t>Olawale, A., &amp; Obinna, E. (2023). An Empirical Analysis of Capital Structure, Liquidity and Banking Sector Performance in Nigeria (2011-2021). Journal of Finance and Economics, 11(3), 149-159.</w:t>
      </w:r>
    </w:p>
    <w:p w14:paraId="36E20965" w14:textId="77777777" w:rsidR="00AD1A48" w:rsidRDefault="00AD1A48" w:rsidP="00AD1A48">
      <w:pPr>
        <w:pStyle w:val="Body"/>
      </w:pPr>
      <w:r>
        <w:t xml:space="preserve">Osuji, C. &amp; </w:t>
      </w:r>
      <w:proofErr w:type="spellStart"/>
      <w:r>
        <w:t>Okwuagwu</w:t>
      </w:r>
      <w:proofErr w:type="spellEnd"/>
      <w:r>
        <w:t>, P. (2022). Corporate Restructuring and Financial Resilience of Deposit Money Banks in Nigeria. Asian Journal of Economics, Business and Accounting. 15-24. 10.9734/</w:t>
      </w:r>
      <w:proofErr w:type="spellStart"/>
      <w:r>
        <w:t>ajeba</w:t>
      </w:r>
      <w:proofErr w:type="spellEnd"/>
      <w:r>
        <w:t>/2022/v22i1930655.</w:t>
      </w:r>
    </w:p>
    <w:p w14:paraId="188F3ED6" w14:textId="77777777" w:rsidR="00AD1A48" w:rsidRDefault="00AD1A48" w:rsidP="00AD1A48">
      <w:pPr>
        <w:pStyle w:val="Body"/>
      </w:pPr>
      <w:r>
        <w:t>Patra, B., Padhan, P. C., &amp; Padhi, P. (2023). Efficiency of Indian Banks–private versus public sector banks: A two-stage analysis. Cogent Economics &amp; Finance, 11(1), 2163081.</w:t>
      </w:r>
    </w:p>
    <w:p w14:paraId="4A6A54BC" w14:textId="77777777" w:rsidR="00AD1A48" w:rsidRDefault="00AD1A48" w:rsidP="00AD1A48">
      <w:pPr>
        <w:pStyle w:val="Body"/>
      </w:pPr>
      <w:r>
        <w:t>Purnomo, O. A. P., &amp; Aswin, T. A. (2024). Efficiency Analysis of Islamic Banks Post-Merger Using DEA Methods. International Journal of Economics Development Research (IJEDR), 5(2), 1049-1061.</w:t>
      </w:r>
    </w:p>
    <w:p w14:paraId="6C418497" w14:textId="77777777" w:rsidR="00AD1A48" w:rsidRDefault="00AD1A48" w:rsidP="00AD1A48">
      <w:pPr>
        <w:pStyle w:val="Body"/>
      </w:pPr>
      <w:r>
        <w:lastRenderedPageBreak/>
        <w:t xml:space="preserve">Putri, N. J., &amp; </w:t>
      </w:r>
      <w:proofErr w:type="spellStart"/>
      <w:r>
        <w:t>Kusmila</w:t>
      </w:r>
      <w:proofErr w:type="spellEnd"/>
      <w:r>
        <w:t xml:space="preserve">, Z. (2023). Factors Affecting </w:t>
      </w:r>
      <w:proofErr w:type="gramStart"/>
      <w:r>
        <w:t>The</w:t>
      </w:r>
      <w:proofErr w:type="gramEnd"/>
      <w:r>
        <w:t xml:space="preserve"> Preparation </w:t>
      </w:r>
      <w:proofErr w:type="gramStart"/>
      <w:r>
        <w:t>Of</w:t>
      </w:r>
      <w:proofErr w:type="gramEnd"/>
      <w:r>
        <w:t xml:space="preserve"> Financial Statements Based on FAS MSME. International Journal of Economics Development Research (IJEDR), 4(2), 1009-1021.</w:t>
      </w:r>
    </w:p>
    <w:p w14:paraId="28887BF5" w14:textId="77777777" w:rsidR="00AD1A48" w:rsidRDefault="00AD1A48" w:rsidP="00AD1A48">
      <w:pPr>
        <w:pStyle w:val="Body"/>
      </w:pPr>
      <w:r>
        <w:t>Ramzan, M., &amp; Lau, W. Y. (2023). Impact of asset preferences on firm performance over its life cycle: Is agency theory or neo</w:t>
      </w:r>
      <w:r>
        <w:rPr>
          <w:rFonts w:ascii="Cambria Math" w:hAnsi="Cambria Math" w:cs="Cambria Math"/>
        </w:rPr>
        <w:t>‐</w:t>
      </w:r>
      <w:r>
        <w:t>classical theory more relevant? Managerial and Decision Economics, 44(1), 595-607.</w:t>
      </w:r>
    </w:p>
    <w:p w14:paraId="17083D73" w14:textId="77777777" w:rsidR="00AD1A48" w:rsidRDefault="00AD1A48" w:rsidP="00AD1A48">
      <w:pPr>
        <w:pStyle w:val="Body"/>
      </w:pPr>
      <w:r>
        <w:t xml:space="preserve">Ray, K. G. (2022). Mergers and acquisitions: Strategy, valuation and integration. PHI Learning Pvt. </w:t>
      </w:r>
      <w:proofErr w:type="gramStart"/>
      <w:r>
        <w:t>Ltd..</w:t>
      </w:r>
      <w:proofErr w:type="gramEnd"/>
    </w:p>
    <w:p w14:paraId="322A1748" w14:textId="77777777" w:rsidR="00AD1A48" w:rsidRDefault="00AD1A48" w:rsidP="00AD1A48">
      <w:pPr>
        <w:pStyle w:val="Body"/>
      </w:pPr>
      <w:r>
        <w:t>Segura, A., &amp; Suarez, J. (2023). Bank restructuring under asymmetric information: The role of bad loan sales. Journal of Financial Intermediation, 56, 101058.</w:t>
      </w:r>
    </w:p>
    <w:p w14:paraId="13CBE8F8" w14:textId="77777777" w:rsidR="00AD1A48" w:rsidRDefault="00AD1A48" w:rsidP="00AD1A48">
      <w:pPr>
        <w:pStyle w:val="Body"/>
      </w:pPr>
      <w:r>
        <w:t>Sethi, D., Chaturvedi, V., Sethi, A., &amp; Jain, N. (2024). Assessing the Effect of Ethnocentrism and Cultural Intelligence on Employees During Corporate Restructuring. Employee Responsibilities and Rights Journal, 36(1), 19-39.</w:t>
      </w:r>
    </w:p>
    <w:p w14:paraId="10B53455" w14:textId="77777777" w:rsidR="00AD1A48" w:rsidRDefault="00AD1A48" w:rsidP="00AD1A48">
      <w:pPr>
        <w:pStyle w:val="Body"/>
      </w:pPr>
      <w:r>
        <w:t xml:space="preserve">Silva, V. A. B., &amp; Saito, R. (2020). Corporate financial distress and reorganization: A survey of theoretical and empirical contributions. Revista Brasileira de </w:t>
      </w:r>
      <w:proofErr w:type="spellStart"/>
      <w:r>
        <w:t>Gestão</w:t>
      </w:r>
      <w:proofErr w:type="spellEnd"/>
      <w:r>
        <w:t xml:space="preserve"> de </w:t>
      </w:r>
      <w:proofErr w:type="spellStart"/>
      <w:r>
        <w:t>Negócios</w:t>
      </w:r>
      <w:proofErr w:type="spellEnd"/>
      <w:r>
        <w:t>, 22(</w:t>
      </w:r>
      <w:proofErr w:type="spellStart"/>
      <w:r>
        <w:t>spe</w:t>
      </w:r>
      <w:proofErr w:type="spellEnd"/>
      <w:r>
        <w:t>), 401-420.</w:t>
      </w:r>
    </w:p>
    <w:p w14:paraId="12A56A3D" w14:textId="77777777" w:rsidR="00AD1A48" w:rsidRDefault="00AD1A48" w:rsidP="00AD1A48">
      <w:pPr>
        <w:pStyle w:val="Body"/>
      </w:pPr>
      <w:r>
        <w:t>Tomar, P. S., &amp; Chauhan, A. Corporate Finance, Capital Structure and Financing Strategies. Media Education and National Educational Policy, 450.</w:t>
      </w:r>
    </w:p>
    <w:p w14:paraId="6EE952F7" w14:textId="77777777" w:rsidR="00AD1A48" w:rsidRDefault="00AD1A48" w:rsidP="00AD1A48">
      <w:pPr>
        <w:pStyle w:val="Body"/>
      </w:pPr>
      <w:r>
        <w:t>Tran, N. P., Le, Q. T. T., Vo, A. T., &amp; Vo, D. H. (2024). Digital transformation and corporate restructuring: does corporate governance matter? Journal of Strategy and Management.</w:t>
      </w:r>
    </w:p>
    <w:p w14:paraId="423A5374" w14:textId="147D66BB" w:rsidR="004D4277" w:rsidRPr="002B41F5" w:rsidRDefault="00AD1A48" w:rsidP="002B41F5">
      <w:pPr>
        <w:pStyle w:val="Body"/>
        <w:spacing w:after="0"/>
        <w:rPr>
          <w:rFonts w:ascii="Arial" w:hAnsi="Arial" w:cs="Arial"/>
        </w:rPr>
        <w:sectPr w:rsidR="004D4277" w:rsidRPr="002B41F5" w:rsidSect="007145E5">
          <w:headerReference w:type="even" r:id="rId14"/>
          <w:headerReference w:type="default" r:id="rId15"/>
          <w:footerReference w:type="default" r:id="rId16"/>
          <w:headerReference w:type="first" r:id="rId17"/>
          <w:type w:val="continuous"/>
          <w:pgSz w:w="12240" w:h="15840"/>
          <w:pgMar w:top="1440" w:right="2016" w:bottom="2016" w:left="2016" w:header="720" w:footer="1123" w:gutter="0"/>
          <w:cols w:space="720"/>
          <w:docGrid w:linePitch="272"/>
        </w:sectPr>
      </w:pPr>
      <w:r>
        <w:t>Umar, M. A. (2023). Corporate Restructuring: A Strategy for Improving Organizational Performance. International Journal of Strategic Decision Sciences (IJSDS), 14(1), 1-11.</w:t>
      </w:r>
    </w:p>
    <w:p w14:paraId="52A04F33" w14:textId="77777777" w:rsidR="00B01FCD" w:rsidRPr="00FB3A86" w:rsidRDefault="00B01FCD" w:rsidP="00441B6F">
      <w:pPr>
        <w:pStyle w:val="Appendix"/>
        <w:spacing w:after="0"/>
        <w:jc w:val="both"/>
        <w:rPr>
          <w:rFonts w:ascii="Arial" w:hAnsi="Arial" w:cs="Arial"/>
          <w:b w:val="0"/>
        </w:rPr>
      </w:pPr>
    </w:p>
    <w:sectPr w:rsidR="00B01FCD" w:rsidRPr="00FB3A86" w:rsidSect="007145E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15743" w14:textId="77777777" w:rsidR="00C3058B" w:rsidRDefault="00C3058B" w:rsidP="00C37E61">
      <w:r>
        <w:separator/>
      </w:r>
    </w:p>
  </w:endnote>
  <w:endnote w:type="continuationSeparator" w:id="0">
    <w:p w14:paraId="7869ECFC" w14:textId="77777777" w:rsidR="00C3058B" w:rsidRDefault="00C3058B"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237D5" w14:textId="77777777" w:rsidR="007145E5" w:rsidRDefault="007145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5A7C" w14:textId="77777777" w:rsidR="007145E5" w:rsidRDefault="007145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7C96F" w14:textId="5BCFCFEB" w:rsidR="00754C9A" w:rsidRPr="007145E5" w:rsidRDefault="00754C9A" w:rsidP="007145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5525"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6611F" w14:textId="77777777" w:rsidR="00C3058B" w:rsidRDefault="00C3058B" w:rsidP="00C37E61">
      <w:r>
        <w:separator/>
      </w:r>
    </w:p>
  </w:footnote>
  <w:footnote w:type="continuationSeparator" w:id="0">
    <w:p w14:paraId="71FE2982" w14:textId="77777777" w:rsidR="00C3058B" w:rsidRDefault="00C3058B"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240A0" w14:textId="65A30EBD" w:rsidR="007145E5" w:rsidRDefault="007145E5">
    <w:pPr>
      <w:pStyle w:val="Header"/>
    </w:pPr>
    <w:r>
      <w:rPr>
        <w:noProof/>
      </w:rPr>
      <w:pict w14:anchorId="3AABA3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7821016"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7C25" w14:textId="6BFC16A6" w:rsidR="007145E5" w:rsidRDefault="007145E5">
    <w:pPr>
      <w:pStyle w:val="Header"/>
    </w:pPr>
    <w:r>
      <w:rPr>
        <w:noProof/>
      </w:rPr>
      <w:pict w14:anchorId="26DC49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7821017"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BAEAF" w14:textId="0C0265CD" w:rsidR="00296529" w:rsidRPr="00296529" w:rsidRDefault="007145E5" w:rsidP="00296529">
    <w:pPr>
      <w:ind w:left="2160"/>
      <w:jc w:val="center"/>
      <w:rPr>
        <w:rFonts w:ascii="Times New Roman" w:eastAsia="Calibri" w:hAnsi="Times New Roman"/>
        <w:i/>
        <w:sz w:val="18"/>
        <w:szCs w:val="22"/>
      </w:rPr>
    </w:pPr>
    <w:r>
      <w:rPr>
        <w:noProof/>
      </w:rPr>
      <w:pict w14:anchorId="01CF62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7821015"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3F092560"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5CEB9762"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51B7DB1"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1AB1C924"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17E3BC0"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52C70E23"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4A19A" w14:textId="5AD42280" w:rsidR="007145E5" w:rsidRDefault="007145E5">
    <w:pPr>
      <w:pStyle w:val="Header"/>
    </w:pPr>
    <w:r>
      <w:rPr>
        <w:noProof/>
      </w:rPr>
      <w:pict w14:anchorId="599F99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7821019"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0744EBBF">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4CE50" w14:textId="4E959707" w:rsidR="007145E5" w:rsidRDefault="007145E5">
    <w:pPr>
      <w:pStyle w:val="Header"/>
    </w:pPr>
    <w:r>
      <w:rPr>
        <w:noProof/>
      </w:rPr>
      <w:pict w14:anchorId="5303A9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7821020"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18B8E6A4">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1FE7" w14:textId="27CF5508" w:rsidR="007145E5" w:rsidRPr="00296529" w:rsidRDefault="007145E5" w:rsidP="00296529">
    <w:pPr>
      <w:ind w:left="2160"/>
      <w:jc w:val="center"/>
      <w:rPr>
        <w:rFonts w:ascii="Times New Roman" w:eastAsia="Calibri" w:hAnsi="Times New Roman"/>
        <w:i/>
        <w:sz w:val="18"/>
        <w:szCs w:val="22"/>
      </w:rPr>
    </w:pPr>
    <w:r>
      <w:rPr>
        <w:noProof/>
      </w:rPr>
      <w:pict w14:anchorId="5E4C15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7821018"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2BECBF2E">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2627B2BE" w14:textId="77777777" w:rsidR="007145E5" w:rsidRPr="00296529" w:rsidRDefault="007145E5"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5C00E3FC" w14:textId="77777777" w:rsidR="007145E5" w:rsidRPr="00296529" w:rsidRDefault="007145E5"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93726E5" w14:textId="77777777" w:rsidR="007145E5" w:rsidRPr="00296529" w:rsidRDefault="007145E5"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3DBEBB1" w14:textId="77777777" w:rsidR="007145E5" w:rsidRDefault="007145E5"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6EDD099" w14:textId="77777777" w:rsidR="007145E5" w:rsidRDefault="007145E5"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C685B9E" w14:textId="77777777" w:rsidR="007145E5" w:rsidRDefault="007145E5">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94F7F36"/>
    <w:multiLevelType w:val="hybridMultilevel"/>
    <w:tmpl w:val="0AEA17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0" w15:restartNumberingAfterBreak="0">
    <w:nsid w:val="7F943824"/>
    <w:multiLevelType w:val="hybridMultilevel"/>
    <w:tmpl w:val="08527D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518014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893618750">
    <w:abstractNumId w:val="16"/>
  </w:num>
  <w:num w:numId="3" w16cid:durableId="1685551459">
    <w:abstractNumId w:val="24"/>
  </w:num>
  <w:num w:numId="4" w16cid:durableId="25756652">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895822558">
    <w:abstractNumId w:val="7"/>
  </w:num>
  <w:num w:numId="6" w16cid:durableId="943728573">
    <w:abstractNumId w:val="6"/>
  </w:num>
  <w:num w:numId="7" w16cid:durableId="1144006693">
    <w:abstractNumId w:val="1"/>
  </w:num>
  <w:num w:numId="8" w16cid:durableId="1768302928">
    <w:abstractNumId w:val="13"/>
  </w:num>
  <w:num w:numId="9" w16cid:durableId="259266967">
    <w:abstractNumId w:val="26"/>
  </w:num>
  <w:num w:numId="10" w16cid:durableId="648366740">
    <w:abstractNumId w:val="2"/>
  </w:num>
  <w:num w:numId="11" w16cid:durableId="698971352">
    <w:abstractNumId w:val="19"/>
  </w:num>
  <w:num w:numId="12" w16cid:durableId="1935746681">
    <w:abstractNumId w:val="3"/>
  </w:num>
  <w:num w:numId="13" w16cid:durableId="1122041970">
    <w:abstractNumId w:val="18"/>
  </w:num>
  <w:num w:numId="14" w16cid:durableId="1753315937">
    <w:abstractNumId w:val="8"/>
  </w:num>
  <w:num w:numId="15" w16cid:durableId="1521626609">
    <w:abstractNumId w:val="22"/>
  </w:num>
  <w:num w:numId="16" w16cid:durableId="591935010">
    <w:abstractNumId w:val="5"/>
  </w:num>
  <w:num w:numId="17" w16cid:durableId="1670329792">
    <w:abstractNumId w:val="23"/>
  </w:num>
  <w:num w:numId="18" w16cid:durableId="1301228686">
    <w:abstractNumId w:val="15"/>
  </w:num>
  <w:num w:numId="19" w16cid:durableId="328602590">
    <w:abstractNumId w:val="29"/>
  </w:num>
  <w:num w:numId="20" w16cid:durableId="13305845">
    <w:abstractNumId w:val="11"/>
  </w:num>
  <w:num w:numId="21" w16cid:durableId="1779837879">
    <w:abstractNumId w:val="9"/>
  </w:num>
  <w:num w:numId="22" w16cid:durableId="1440222291">
    <w:abstractNumId w:val="14"/>
  </w:num>
  <w:num w:numId="23" w16cid:durableId="1579944684">
    <w:abstractNumId w:val="20"/>
  </w:num>
  <w:num w:numId="24" w16cid:durableId="1640921173">
    <w:abstractNumId w:val="27"/>
  </w:num>
  <w:num w:numId="25" w16cid:durableId="1310400196">
    <w:abstractNumId w:val="4"/>
  </w:num>
  <w:num w:numId="26" w16cid:durableId="657802309">
    <w:abstractNumId w:val="17"/>
  </w:num>
  <w:num w:numId="27" w16cid:durableId="785586175">
    <w:abstractNumId w:val="21"/>
  </w:num>
  <w:num w:numId="28" w16cid:durableId="1851020410">
    <w:abstractNumId w:val="28"/>
  </w:num>
  <w:num w:numId="29" w16cid:durableId="717431802">
    <w:abstractNumId w:val="25"/>
  </w:num>
  <w:num w:numId="30" w16cid:durableId="1062407682">
    <w:abstractNumId w:val="10"/>
  </w:num>
  <w:num w:numId="31" w16cid:durableId="1781490871">
    <w:abstractNumId w:val="12"/>
  </w:num>
  <w:num w:numId="32" w16cid:durableId="86672310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13C37"/>
    <w:rsid w:val="00030174"/>
    <w:rsid w:val="0004205F"/>
    <w:rsid w:val="0004579C"/>
    <w:rsid w:val="000A47FA"/>
    <w:rsid w:val="000A65D3"/>
    <w:rsid w:val="000B1E33"/>
    <w:rsid w:val="000B287C"/>
    <w:rsid w:val="000D4948"/>
    <w:rsid w:val="000D689F"/>
    <w:rsid w:val="000E5205"/>
    <w:rsid w:val="000E7B7B"/>
    <w:rsid w:val="000E7D62"/>
    <w:rsid w:val="00103357"/>
    <w:rsid w:val="00123C9F"/>
    <w:rsid w:val="00126190"/>
    <w:rsid w:val="00130F17"/>
    <w:rsid w:val="001320BF"/>
    <w:rsid w:val="00163BC4"/>
    <w:rsid w:val="00191062"/>
    <w:rsid w:val="00192B72"/>
    <w:rsid w:val="001A29D8"/>
    <w:rsid w:val="001A5CAA"/>
    <w:rsid w:val="001B0427"/>
    <w:rsid w:val="001B41CC"/>
    <w:rsid w:val="001D3A51"/>
    <w:rsid w:val="001E10D2"/>
    <w:rsid w:val="001E25B4"/>
    <w:rsid w:val="001E44FE"/>
    <w:rsid w:val="00200595"/>
    <w:rsid w:val="00204835"/>
    <w:rsid w:val="00231920"/>
    <w:rsid w:val="0023195C"/>
    <w:rsid w:val="00234B3B"/>
    <w:rsid w:val="0024282C"/>
    <w:rsid w:val="002460DC"/>
    <w:rsid w:val="00250985"/>
    <w:rsid w:val="002556F6"/>
    <w:rsid w:val="00283105"/>
    <w:rsid w:val="00284C4C"/>
    <w:rsid w:val="00287E68"/>
    <w:rsid w:val="00296529"/>
    <w:rsid w:val="002B27FB"/>
    <w:rsid w:val="002B41F5"/>
    <w:rsid w:val="002B685A"/>
    <w:rsid w:val="002C57D2"/>
    <w:rsid w:val="002E0D56"/>
    <w:rsid w:val="00315186"/>
    <w:rsid w:val="003174EC"/>
    <w:rsid w:val="0033343E"/>
    <w:rsid w:val="003512C2"/>
    <w:rsid w:val="00371FB6"/>
    <w:rsid w:val="003763C1"/>
    <w:rsid w:val="00376BBE"/>
    <w:rsid w:val="0039224F"/>
    <w:rsid w:val="003A43A4"/>
    <w:rsid w:val="003A7E18"/>
    <w:rsid w:val="003C3C24"/>
    <w:rsid w:val="003C4C86"/>
    <w:rsid w:val="003C6258"/>
    <w:rsid w:val="003E2904"/>
    <w:rsid w:val="00401927"/>
    <w:rsid w:val="0041027F"/>
    <w:rsid w:val="00412475"/>
    <w:rsid w:val="00423789"/>
    <w:rsid w:val="00440F43"/>
    <w:rsid w:val="00441B6F"/>
    <w:rsid w:val="00446221"/>
    <w:rsid w:val="00450E62"/>
    <w:rsid w:val="004539DB"/>
    <w:rsid w:val="00471A80"/>
    <w:rsid w:val="00475F41"/>
    <w:rsid w:val="004D305E"/>
    <w:rsid w:val="004D4277"/>
    <w:rsid w:val="00502516"/>
    <w:rsid w:val="00505F06"/>
    <w:rsid w:val="00506828"/>
    <w:rsid w:val="00507575"/>
    <w:rsid w:val="0053056E"/>
    <w:rsid w:val="00554FDA"/>
    <w:rsid w:val="00556645"/>
    <w:rsid w:val="005711D7"/>
    <w:rsid w:val="00586B19"/>
    <w:rsid w:val="005C784C"/>
    <w:rsid w:val="005D17F6"/>
    <w:rsid w:val="005E5539"/>
    <w:rsid w:val="005F0184"/>
    <w:rsid w:val="005F2C4E"/>
    <w:rsid w:val="00602BF5"/>
    <w:rsid w:val="00617FDD"/>
    <w:rsid w:val="0062479F"/>
    <w:rsid w:val="00633614"/>
    <w:rsid w:val="00633F68"/>
    <w:rsid w:val="00636EB2"/>
    <w:rsid w:val="006375B8"/>
    <w:rsid w:val="00643DE4"/>
    <w:rsid w:val="0066510A"/>
    <w:rsid w:val="00673F9F"/>
    <w:rsid w:val="00686953"/>
    <w:rsid w:val="00687DEA"/>
    <w:rsid w:val="00687E67"/>
    <w:rsid w:val="00692589"/>
    <w:rsid w:val="006967F7"/>
    <w:rsid w:val="006A250C"/>
    <w:rsid w:val="006B21D3"/>
    <w:rsid w:val="006B57D0"/>
    <w:rsid w:val="006D30FF"/>
    <w:rsid w:val="006D6940"/>
    <w:rsid w:val="006F11EC"/>
    <w:rsid w:val="0070082C"/>
    <w:rsid w:val="007145E5"/>
    <w:rsid w:val="00730DA5"/>
    <w:rsid w:val="007369E6"/>
    <w:rsid w:val="00746E59"/>
    <w:rsid w:val="00754C9A"/>
    <w:rsid w:val="0075599A"/>
    <w:rsid w:val="00756D65"/>
    <w:rsid w:val="00761D52"/>
    <w:rsid w:val="0077749E"/>
    <w:rsid w:val="00790ADA"/>
    <w:rsid w:val="007A451C"/>
    <w:rsid w:val="007C2230"/>
    <w:rsid w:val="007D1714"/>
    <w:rsid w:val="007D2288"/>
    <w:rsid w:val="007E088F"/>
    <w:rsid w:val="007F7B32"/>
    <w:rsid w:val="00804BC2"/>
    <w:rsid w:val="0081431A"/>
    <w:rsid w:val="0083216F"/>
    <w:rsid w:val="008418A2"/>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500A6"/>
    <w:rsid w:val="00957C18"/>
    <w:rsid w:val="00960356"/>
    <w:rsid w:val="009659BA"/>
    <w:rsid w:val="00983040"/>
    <w:rsid w:val="00992182"/>
    <w:rsid w:val="009B3FB9"/>
    <w:rsid w:val="009C2465"/>
    <w:rsid w:val="009D35A0"/>
    <w:rsid w:val="009D7EB7"/>
    <w:rsid w:val="009E048A"/>
    <w:rsid w:val="009E08E9"/>
    <w:rsid w:val="009E3DB9"/>
    <w:rsid w:val="009E6E35"/>
    <w:rsid w:val="009F0EDA"/>
    <w:rsid w:val="009F70ED"/>
    <w:rsid w:val="00A03B96"/>
    <w:rsid w:val="00A05B19"/>
    <w:rsid w:val="00A1134E"/>
    <w:rsid w:val="00A24E7E"/>
    <w:rsid w:val="00A258C3"/>
    <w:rsid w:val="00A347C0"/>
    <w:rsid w:val="00A51431"/>
    <w:rsid w:val="00A539AD"/>
    <w:rsid w:val="00A94063"/>
    <w:rsid w:val="00AA6219"/>
    <w:rsid w:val="00AA74E0"/>
    <w:rsid w:val="00AB703F"/>
    <w:rsid w:val="00AC2C13"/>
    <w:rsid w:val="00AC6BB8"/>
    <w:rsid w:val="00AD1A48"/>
    <w:rsid w:val="00AE008F"/>
    <w:rsid w:val="00B01FCD"/>
    <w:rsid w:val="00B1776C"/>
    <w:rsid w:val="00B42D64"/>
    <w:rsid w:val="00B52583"/>
    <w:rsid w:val="00B52896"/>
    <w:rsid w:val="00B95236"/>
    <w:rsid w:val="00B96BD9"/>
    <w:rsid w:val="00BA1B01"/>
    <w:rsid w:val="00BA2641"/>
    <w:rsid w:val="00BB37AA"/>
    <w:rsid w:val="00BC53A0"/>
    <w:rsid w:val="00BE62AD"/>
    <w:rsid w:val="00BF121F"/>
    <w:rsid w:val="00BF1F80"/>
    <w:rsid w:val="00C166EF"/>
    <w:rsid w:val="00C17EB0"/>
    <w:rsid w:val="00C27F5F"/>
    <w:rsid w:val="00C3058B"/>
    <w:rsid w:val="00C30A0F"/>
    <w:rsid w:val="00C37E61"/>
    <w:rsid w:val="00C70F1B"/>
    <w:rsid w:val="00C71A47"/>
    <w:rsid w:val="00C7464C"/>
    <w:rsid w:val="00C85588"/>
    <w:rsid w:val="00CC4383"/>
    <w:rsid w:val="00CD6755"/>
    <w:rsid w:val="00CD6856"/>
    <w:rsid w:val="00CE0089"/>
    <w:rsid w:val="00CE4EF5"/>
    <w:rsid w:val="00CE793C"/>
    <w:rsid w:val="00CF193C"/>
    <w:rsid w:val="00D169EE"/>
    <w:rsid w:val="00D173F1"/>
    <w:rsid w:val="00D60ADC"/>
    <w:rsid w:val="00D74CB0"/>
    <w:rsid w:val="00D8295D"/>
    <w:rsid w:val="00DA05DA"/>
    <w:rsid w:val="00DC2A65"/>
    <w:rsid w:val="00DE15F0"/>
    <w:rsid w:val="00DE5663"/>
    <w:rsid w:val="00DE78AA"/>
    <w:rsid w:val="00E053D0"/>
    <w:rsid w:val="00E15994"/>
    <w:rsid w:val="00E3114E"/>
    <w:rsid w:val="00E31A70"/>
    <w:rsid w:val="00E35B02"/>
    <w:rsid w:val="00E41298"/>
    <w:rsid w:val="00E66496"/>
    <w:rsid w:val="00E66B35"/>
    <w:rsid w:val="00E66E10"/>
    <w:rsid w:val="00E769F6"/>
    <w:rsid w:val="00E8407C"/>
    <w:rsid w:val="00E84F3C"/>
    <w:rsid w:val="00EA012C"/>
    <w:rsid w:val="00EC6A55"/>
    <w:rsid w:val="00ED0288"/>
    <w:rsid w:val="00EE4E49"/>
    <w:rsid w:val="00EE52CB"/>
    <w:rsid w:val="00EF581D"/>
    <w:rsid w:val="00EF7FD8"/>
    <w:rsid w:val="00F06F59"/>
    <w:rsid w:val="00F17988"/>
    <w:rsid w:val="00F469F0"/>
    <w:rsid w:val="00F53273"/>
    <w:rsid w:val="00F67D4D"/>
    <w:rsid w:val="00F755E4"/>
    <w:rsid w:val="00F77D02"/>
    <w:rsid w:val="00FB3A86"/>
    <w:rsid w:val="00FC74DE"/>
    <w:rsid w:val="00FD36C8"/>
    <w:rsid w:val="00FE6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26BE08DC"/>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1B41C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BodyTextIndent">
    <w:name w:val="Body Text Indent"/>
    <w:basedOn w:val="Normal"/>
    <w:link w:val="BodyTextIndentChar"/>
    <w:semiHidden/>
    <w:unhideWhenUsed/>
    <w:rsid w:val="00DA05DA"/>
    <w:pPr>
      <w:spacing w:after="120"/>
      <w:ind w:left="360"/>
    </w:pPr>
  </w:style>
  <w:style w:type="character" w:customStyle="1" w:styleId="BodyTextIndentChar">
    <w:name w:val="Body Text Indent Char"/>
    <w:basedOn w:val="DefaultParagraphFont"/>
    <w:link w:val="BodyTextIndent"/>
    <w:semiHidden/>
    <w:rsid w:val="00DA05DA"/>
    <w:rPr>
      <w:rFonts w:ascii="Helvetica" w:hAnsi="Helvetica"/>
    </w:rPr>
  </w:style>
  <w:style w:type="character" w:customStyle="1" w:styleId="Heading3Char">
    <w:name w:val="Heading 3 Char"/>
    <w:basedOn w:val="DefaultParagraphFont"/>
    <w:link w:val="Heading3"/>
    <w:semiHidden/>
    <w:rsid w:val="001B41CC"/>
    <w:rPr>
      <w:rFonts w:asciiTheme="majorHAnsi" w:eastAsiaTheme="majorEastAsia" w:hAnsiTheme="majorHAnsi" w:cstheme="majorBidi"/>
      <w:color w:val="243F60" w:themeColor="accent1" w:themeShade="7F"/>
      <w:sz w:val="24"/>
      <w:szCs w:val="24"/>
    </w:rPr>
  </w:style>
  <w:style w:type="character" w:customStyle="1" w:styleId="go">
    <w:name w:val="go"/>
    <w:basedOn w:val="DefaultParagraphFont"/>
    <w:rsid w:val="001B4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477069642">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9590F-0BA8-4E19-9009-25A0AC257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155</TotalTime>
  <Pages>14</Pages>
  <Words>6222</Words>
  <Characters>35468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41607</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25</cp:revision>
  <cp:lastPrinted>1999-07-06T11:00:00Z</cp:lastPrinted>
  <dcterms:created xsi:type="dcterms:W3CDTF">2014-10-25T14:34:00Z</dcterms:created>
  <dcterms:modified xsi:type="dcterms:W3CDTF">2026-08-01T12:44:00Z</dcterms:modified>
</cp:coreProperties>
</file>