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835E" w14:textId="0385055E" w:rsidR="00C82F74" w:rsidRDefault="00C82F74" w:rsidP="00C82F7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82F74">
        <w:rPr>
          <w:rFonts w:ascii="Times New Roman" w:eastAsia="Times New Roman" w:hAnsi="Times New Roman" w:cs="Times New Roman"/>
          <w:b/>
          <w:bCs/>
          <w:sz w:val="36"/>
          <w:szCs w:val="36"/>
          <w:lang w:eastAsia="en-GB"/>
        </w:rPr>
        <w:t>Project Management Practices and the Performance of Infrastructure Projects in Kenya: A Critical Review</w:t>
      </w:r>
    </w:p>
    <w:p w14:paraId="212B89EB" w14:textId="77777777" w:rsidR="0084610A" w:rsidRPr="00C82F74" w:rsidRDefault="0084610A" w:rsidP="00C82F7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7F378E54"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Abstract</w:t>
      </w:r>
    </w:p>
    <w:p w14:paraId="115C1CE9"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delivery occupies a central place in Kenya's development agenda, yet roads, railways, water schemes and public buildings continue to experience delays, cost escalation and quality shortfalls that undermine their intended developmental returns. This review synthesises the scholarly literature on project management practices and the performance of infrastructure projects in Kenya, situating the country's experience within the wider body of research on infrastructure delivery across sub-Saharan Africa and other developing regions. The review traces how planning and scheduling, risk management, stakeholder engagement, procurement, monitoring and evaluation, and resource and quality management practices have been examined in relation to time, cost, quality and stakeholder-satisfaction outcomes. It further considers the institutional and political economy conditions, including devolution, corruption and financing constraints, that mediate the translation of sound project management practice into improved performance. The review finds that while individual practices are well documented in isolated studies, the literature remains fragmented across disciplinary silos, methodologically dominated by cross-sectional survey designs, and thin on rigorous longitudinal or comparative analysis. Digitalisation, climate-resilient design and public–private financing arrangements emerge as underexplored but increasingly consequential themes. The review closes by identifying priority directions for future research and drawing out the practical and policy implications of the evidence assembled, while acknowledging the limitations inherent in a narrative synthesis of a heterogeneous and rapidly evolving literature.</w:t>
      </w:r>
    </w:p>
    <w:p w14:paraId="15CDDBC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Keywords:</w:t>
      </w:r>
      <w:r w:rsidRPr="00C82F74">
        <w:rPr>
          <w:rFonts w:ascii="Times New Roman" w:eastAsia="Times New Roman" w:hAnsi="Times New Roman" w:cs="Times New Roman"/>
          <w:sz w:val="24"/>
          <w:szCs w:val="24"/>
          <w:lang w:eastAsia="en-GB"/>
        </w:rPr>
        <w:t xml:space="preserve"> project management practices; infrastructure projects; project performance; Kenya; devolution; public–private partnerships</w:t>
      </w:r>
    </w:p>
    <w:p w14:paraId="15763A6A"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 Introduction</w:t>
      </w:r>
    </w:p>
    <w:p w14:paraId="73ABC068"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has, over the past two decades, positioned infrastructure investment as the backbone of its long-term development strategy. Vision 2030, the country's overarching development blueprint, identifies transport, energy, water and urban infrastructure as foundational pillars for economic transformation, and successive national and county budgets have channelled substantial public resources toward roads, railways, ports, water and sanitation schemes, and public buildings (Kandie et al., 2025). The devolved system of government established under the Constitution of Kenya 2010 added a further layer of complexity by transferring significant planning, budgeting and implementation responsibilities to forty-seven county governments, each with varying levels of technical and administrative capacity (D'Arcy &amp; Cornell, 2016). Alongside this domestic effort, Kenya has attracted large-scale externally financed projects, most visibly the Standard Gauge Railway (SGR) linking Mombasa and Nairobi, which illustrates both the transformative potential and the environmental, fiscal and governance tensions that accompany megaproject delivery in a developing-country setting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w:t>
      </w:r>
    </w:p>
    <w:p w14:paraId="1F01561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Despite this sustained investment, infrastructure projects in Kenya are frequently reported to fall short of their planning targets. Time overruns, budget escalation, disputed variations, stalled works and quality defects recur across sectors and counties, prompting a substantial body of academic enquiry into the project management practices that public agencies, contractors and consultants apply, and into how those practices relate to project outcomes. This literature draws on an international theoretical foundation, most notably the classical formulation of project success around cost, time and quality, commonly termed the iron triangle, together with later arguments that this triad is an incomplete measure of success and that stakeholder satisfaction, sustainability and long-term benefit realisation deserve equal weight (Atkinson, 1999). Kenyan and comparable African studies have applied and extended these frameworks to examine planning, risk management, stakeholder engagement, procurement, monitoring and evaluation, and resource and quality management within road, water, energy, housing and public-facility projects, generating a rich but dispersed evidence base.</w:t>
      </w:r>
    </w:p>
    <w:p w14:paraId="114F5618"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1.1 Infrastructure Development and Project Management in the Kenyan Context</w:t>
      </w:r>
    </w:p>
    <w:p w14:paraId="2BA685A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The Kenyan infrastructure sector spans several distinct delivery arrangements. National trunk roads and highways fall under the Kenya National Highways Authority, while county governments and the Kenya Rural Roads Authority manage lower-tier road networks; the National Government Constituencies Development Fund (NG-CDF) channels resources to community-level facilities including schools and dispensaries; and an expanding public–private partnership (PPP) framework, formalised through dedicated legislation in 2013, has opened space for privately financed toll roads, energy projects and housing schemes (Chileshe et al., 2020;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 Each of these delivery channels operates under a distinct set of procurement rules, oversight bodies and financing sources, producing considerable variation in how project management is practised and in the performance outcomes that result. Devolution has, in principle, brought planning closer to citizens, yet several accounts suggest that decentralised patronage networks and uneven technical capacity across counties have reproduced, rather than resolved, longstanding governance weaknesses in public infrastructure delivery (D'Arcy &amp; Cornell, 2016).</w:t>
      </w:r>
    </w:p>
    <w:p w14:paraId="2E6119B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Project management as a discipline has diffused into this environment primarily through professional training, donor-funded capacity building and the adoption of international standards such as the Project Management Body of Knowledge (Project Management Institute, 2021). Kenyan researchers have applied these standards to examine practices across the project lifecycle, from initiation and planning through execution, monitoring and closure, typically using survey-based designs administered to project managers, consultants and public officials. A parallel and partly overlapping literature situates Kenyan findings within broader sub-Saharan African experience, drawing comparisons with Ghana, Tanzania, Rwanda, Malawi and South Africa, where similar public-sector delivery constraints have been documented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 Frimpong et al., 2003;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2010).</w:t>
      </w:r>
    </w:p>
    <w:p w14:paraId="5E24BCCD"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1.2 The Project Management–Performance Nexus in Developing Economies</w:t>
      </w:r>
    </w:p>
    <w:p w14:paraId="426BE235"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International development projects financed by multilateral institutions in Africa have long attracted scholarly attention because they combine technical project management challenges with the institutional peculiarities of aid-dependent public administration. Early empirical work established that trust and communication between task managers and national project </w:t>
      </w:r>
      <w:r w:rsidRPr="00C82F74">
        <w:rPr>
          <w:rFonts w:ascii="Times New Roman" w:eastAsia="Times New Roman" w:hAnsi="Times New Roman" w:cs="Times New Roman"/>
          <w:sz w:val="24"/>
          <w:szCs w:val="24"/>
          <w:lang w:eastAsia="en-GB"/>
        </w:rPr>
        <w:lastRenderedPageBreak/>
        <w:t>coordinators were significant predictors of project success in multilateral-financed development operations across the continent, while later analysis extended this line of enquiry to a broader set of critical success factors (Diallo &amp; Thuillier, 2005; Ika, 2012). These studies collectively argue that conventional project management prescriptions, largely developed in industrialised-country contexts, require adaptation to accommodate weak institutional capacity, donor conditionality and the socio-political dynamics of African public administration. Comparable arguments recur in construction-specific research on government project failure, which identifies political interference, payment delays, poor supervision and corruption as recurring causes of underperformance in public infrastructure projects across the region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p w14:paraId="3FD1EE0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Within the built environment literature more specifically, a substantial body of work has examined how discrete project management practices, including risk management, stakeholder management and monitoring and evaluation, relate to construction project performance in developing countries. Studies conducted in Malawi, Palestine, Ghana and Pakistan, among others, have consistently found that the formality and rigour with which these practices are applied vary considerably by project type and public agency, and that this variation correlates with observed schedule and cost performance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Lindhard &amp; Larsen, 2016;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2011). Kenyan-focused research draws heavily on this comparative literature while adding country-specific detail on devolved governance, national infrastructure agencies and PPP financing arrangements.</w:t>
      </w:r>
    </w:p>
    <w:p w14:paraId="73A4ABFF"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1.3 Scope, Research Gap and Objectives of the Review</w:t>
      </w:r>
    </w:p>
    <w:p w14:paraId="0F675DB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review synthesises the empirical and conceptual literature on project management practices and the performance of infrastructure projects in Kenya, drawing on comparable studies from other African and developing-country settings where these illuminate patterns relevant to the Kenyan case. It covers planning and scheduling, risk management, stakeholder management, procurement and contract management, monitoring and evaluation, resource and quality management, and the adoption of digital technologies, and it examines how these practices relate to conventional and extended measures of project performance. Particular attention is paid to the institutional and political economy conditions, including devolution, corruption and infrastructure financing, that shape the practical application of project management in the Kenyan public sector.</w:t>
      </w:r>
    </w:p>
    <w:p w14:paraId="0B82BD34"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 recurring limitation identified across the literature is its fragmentation: individual studies typically examine a single practice within a single county, sector or funding stream, using cross-sectional survey data collected from a modest sample of project participants. Few studies integrate multiple practice domains within a single analytical framework, and fewer still track project performance longitudinally or compare performance systematically across counties, sectors or financing modalities. This review addresses that gap by consolidating the dispersed evidence into a single analytical account, identifying convergences and contradictions across studies, and clarifying where the existing evidence base is strong and where it remains thin. The specific objectives are to characterise the principal project management practices documented in Kenyan infrastructure research; to examine how project performance has been conceptualised and measured in this literature; to synthesise the evidence linking specific practices to performance outcomes; and to identify the institutional constraints and emerging themes that should inform both future research and practice.</w:t>
      </w:r>
    </w:p>
    <w:p w14:paraId="31A11C34"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2. Methods for Literature Selection</w:t>
      </w:r>
    </w:p>
    <w:p w14:paraId="0CC3C618"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lastRenderedPageBreak/>
        <w:t>2.1 Databases and Search Strategy</w:t>
      </w:r>
    </w:p>
    <w:p w14:paraId="4D9339F8"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Literature for this review was identified through systematic searching of Web of Science, Scopus and Google Scholar, supplemented by five field-specific indexing databases selected for their relevance to construction, project management and transport infrastructure research: African Journals Online, </w:t>
      </w:r>
      <w:proofErr w:type="spellStart"/>
      <w:r w:rsidRPr="00C82F74">
        <w:rPr>
          <w:rFonts w:ascii="Times New Roman" w:eastAsia="Times New Roman" w:hAnsi="Times New Roman" w:cs="Times New Roman"/>
          <w:sz w:val="24"/>
          <w:szCs w:val="24"/>
          <w:lang w:eastAsia="en-GB"/>
        </w:rPr>
        <w:t>Compendex</w:t>
      </w:r>
      <w:proofErr w:type="spellEnd"/>
      <w:r w:rsidRPr="00C82F74">
        <w:rPr>
          <w:rFonts w:ascii="Times New Roman" w:eastAsia="Times New Roman" w:hAnsi="Times New Roman" w:cs="Times New Roman"/>
          <w:sz w:val="24"/>
          <w:szCs w:val="24"/>
          <w:lang w:eastAsia="en-GB"/>
        </w:rPr>
        <w:t xml:space="preserve"> (Engineering Village), the International Construction Database (ICONDA), the Transport Research International Documentation database (TRID), and </w:t>
      </w:r>
      <w:proofErr w:type="spellStart"/>
      <w:r w:rsidRPr="00C82F74">
        <w:rPr>
          <w:rFonts w:ascii="Times New Roman" w:eastAsia="Times New Roman" w:hAnsi="Times New Roman" w:cs="Times New Roman"/>
          <w:sz w:val="24"/>
          <w:szCs w:val="24"/>
          <w:lang w:eastAsia="en-GB"/>
        </w:rPr>
        <w:t>RePEc</w:t>
      </w:r>
      <w:proofErr w:type="spellEnd"/>
      <w:r w:rsidRPr="00C82F74">
        <w:rPr>
          <w:rFonts w:ascii="Times New Roman" w:eastAsia="Times New Roman" w:hAnsi="Times New Roman" w:cs="Times New Roman"/>
          <w:sz w:val="24"/>
          <w:szCs w:val="24"/>
          <w:lang w:eastAsia="en-GB"/>
        </w:rPr>
        <w:t>/IDEAS, an economics-oriented repository that indexes financing and public investment literature relevant to infrastructure delivery. PubMed was considered but judged unsuitable, since the review concerns construction and public infrastructure management rather than health-related outcomes. Combining general bibliographic databases with field-specific repositories was intended to capture both internationally indexed journal literature and regionally published African construction and public administration research, much of which is only partially indexed in Scopus and Web of Science.</w:t>
      </w:r>
    </w:p>
    <w:p w14:paraId="2423C23A"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2.2 Search Strings, Date Range and Inclusion/Exclusion Criteria</w:t>
      </w:r>
    </w:p>
    <w:p w14:paraId="0ADEEA77"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Search strings combined terms relating to project management practice (for example, "project management practices", "project planning", "risk management", "stakeholder management", "monitoring and evaluation", "procurement") with terms relating to infrastructure and geography ("infrastructure project", "construction project", "Kenya", "road", "water project", "public–private partnership", "devolution"), connected using Boolean operators and truncation where database syntax permitted. The search covered literature published between January 2010 and 9 April 2026. The year 2010 was chosen as the starting point because it corresponds to the promulgation of the Constitution of Kenya, which introduced devolved government and substantially reconfigured the institutional architecture through which infrastructure projects are planned, financed and delivered; literature published before this date reflects a materially different governance context and was therefore judged less directly comparable to the contemporary Kenyan experience.</w:t>
      </w:r>
    </w:p>
    <w:p w14:paraId="24D57DF8"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Inclusion criteria comprised peer-reviewed journal articles published in English that examined project management practices, infrastructure or construction project performance, or related institutional and governance themes, with either a direct Kenyan focus or a sub-Saharan African or comparable developing-country focus offering transferable insight. Authoritative institutional reports from bodies such as the World Bank and the IMF were included where they provided verifiable data on infrastructure financing and public investment management. Exclusion criteria removed grey literature, unpublished theses and dissertations, conference proceedings without subsequent journal publication, trade magazine content, pre-print manuscripts, patents and sources lacking identifiable peer review. Where multiple studies reported overlapping findings from the same dataset, the more comprehensive or more recently published version was retained.</w:t>
      </w:r>
    </w:p>
    <w:p w14:paraId="2D4E696A"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2.3 Rationale for a Narrative Review Approach</w:t>
      </w:r>
    </w:p>
    <w:p w14:paraId="342EC493"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A narrative rather than systematic review approach was adopted because the literature on project management practices and infrastructure performance in Kenya is methodologically heterogeneous, spans several disciplinary traditions including construction management, public administration and development studies, and addresses a broad set of interrelated constructs that do not lend themselves to the tightly specified research question required for a systematic review or meta-analysis. Narrative reviews suit contexts where the objective is to </w:t>
      </w:r>
      <w:r w:rsidRPr="00C82F74">
        <w:rPr>
          <w:rFonts w:ascii="Times New Roman" w:eastAsia="Times New Roman" w:hAnsi="Times New Roman" w:cs="Times New Roman"/>
          <w:sz w:val="24"/>
          <w:szCs w:val="24"/>
          <w:lang w:eastAsia="en-GB"/>
        </w:rPr>
        <w:lastRenderedPageBreak/>
        <w:t>synthesise and critically interpret a diverse body of literature rather than to aggregate effect sizes from methodologically comparable studies, and where the reviewer seeks to identify conceptual patterns, contradictions and gaps across an evolving field (Snyder, 2019).</w:t>
      </w:r>
    </w:p>
    <w:p w14:paraId="013816AB"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2.4 Screening, Duplicate Handling and Selection of Influential Studies</w:t>
      </w:r>
    </w:p>
    <w:p w14:paraId="5FCA5ABD"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Records retrieved from each database were screened first by title and abstract to remove obvious duplicates and clearly irrelevant results, and full texts of the remaining records were then reviewed against the inclusion and exclusion criteria described above. Where the same article appeared across multiple databases, only a single copy was retained. No formal restriction was placed on study design, allowing the inclusion of quantitative survey research, qualitative case studies and conceptual or policy-oriented analyses, reflecting the methodological diversity typical of construction management and development-studies scholarship. Priority in the final selection went to studies published in internationally recognised construction management, project management and development journals, to studies with a direct empirical focus on Kenya, and to frequently cited studies that have shaped the conceptual vocabulary used elsewhere in the literature, such as those establishing the iron triangle of project success criteria and those examining trust, communication and critical success factors in African development projects.</w:t>
      </w:r>
    </w:p>
    <w:p w14:paraId="7107DC7A"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3. Infrastructure Development and Governance Context in Kenya</w:t>
      </w:r>
    </w:p>
    <w:p w14:paraId="55A2152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Kenya's infrastructure programme has expanded considerably since the launch of Vision 2030, with substantial public and externally financed investment directed toward transport corridors, energy generation and transmission, water and sanitation, and urban and county-level public facilities. The SGR connecting Mombasa and Nairobi, financed predominantly through Chinese concessional lending, represents the most prominent recent megaproject and has generated a distinct scholarly literature examining its ecological, fiscal and socio-economic consequences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 Beyond this flagship project, road construction and rehabilitation absorb a substantial share of national and county capital budgets, water and sanitation schemes are financed through a combination of national allocations, county budgets and donor support, and the NG-CDF channels resources toward community facilities such as schools, health posts and small bridges (Kandie et al., 2025).</w:t>
      </w:r>
    </w:p>
    <w:p w14:paraId="4611608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Devolution has reshaped this landscape by transferring responsibility for many local infrastructure functions, including county roads, markets, health facilities and water supply, to county governments, each operating with different revenue bases, technical staffing levels and procurement capacity. Kandie et al. (2025) note that Kenya's infrastructure financing gap has been addressed through a combination of national exchequer allocations, bilateral and multilateral loans, and an expanding PPP framework introduced through dedicated legislation in 2013, which permits arrangements ranging from design–build contracts to build–operate–transfer concessions. </w:t>
      </w:r>
      <w:r w:rsidRPr="00C82F74">
        <w:rPr>
          <w:rFonts w:ascii="Times New Roman" w:eastAsia="Times New Roman" w:hAnsi="Times New Roman" w:cs="Times New Roman"/>
          <w:b/>
          <w:bCs/>
          <w:sz w:val="24"/>
          <w:szCs w:val="24"/>
          <w:lang w:eastAsia="en-GB"/>
        </w:rPr>
        <w:t xml:space="preserve">Briceño-Garmendia and </w:t>
      </w:r>
      <w:proofErr w:type="spellStart"/>
      <w:r w:rsidRPr="00C82F74">
        <w:rPr>
          <w:rFonts w:ascii="Times New Roman" w:eastAsia="Times New Roman" w:hAnsi="Times New Roman" w:cs="Times New Roman"/>
          <w:b/>
          <w:bCs/>
          <w:sz w:val="24"/>
          <w:szCs w:val="24"/>
          <w:lang w:eastAsia="en-GB"/>
        </w:rPr>
        <w:t>Shkaratan's</w:t>
      </w:r>
      <w:proofErr w:type="spellEnd"/>
      <w:r w:rsidRPr="00C82F74">
        <w:rPr>
          <w:rFonts w:ascii="Times New Roman" w:eastAsia="Times New Roman" w:hAnsi="Times New Roman" w:cs="Times New Roman"/>
          <w:b/>
          <w:bCs/>
          <w:sz w:val="24"/>
          <w:szCs w:val="24"/>
          <w:lang w:eastAsia="en-GB"/>
        </w:rPr>
        <w:t xml:space="preserve"> (2011)</w:t>
      </w:r>
      <w:r w:rsidRPr="00C82F74">
        <w:rPr>
          <w:rFonts w:ascii="Times New Roman" w:eastAsia="Times New Roman" w:hAnsi="Times New Roman" w:cs="Times New Roman"/>
          <w:sz w:val="24"/>
          <w:szCs w:val="24"/>
          <w:lang w:eastAsia="en-GB"/>
        </w:rPr>
        <w:t xml:space="preserve"> assessment of Kenya's infrastructure sector situates the country's transport, energy and water networks within a wider continental pattern of underinvestment relative to demand, while identifying land acquisition, resettlement and public investment management weaknesses as recurring constraints on project delivery. More recent technical assessment work, conducted by the International Monetary Fund (IMF), extends this diagnosis to climate considerations, noting that public investment planning in Kenya has not yet been fully aligned with national climate adaptation and mitigation commitments, despite the exposure of transport, water and energy infrastructure to drought and flood risk (International Monetary Fund, 2024).</w:t>
      </w:r>
    </w:p>
    <w:p w14:paraId="23B167E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Table 1 summarises these delivery arrangements alongside their lead institutions, principal financing sources and governing features. The table illustrates a pattern that recurs throughout the sections that follow: delivery channels operating under stronger centralised technical oversight, such as national highways and the externally financed SGR, are documented in the literature separately from the more fragmented, capacity-constrained arrangements found at county and constituency level, a distinction that later sections show to be closely associated with variation in project management practice and performance.</w:t>
      </w:r>
    </w:p>
    <w:p w14:paraId="67EBAD4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1. Overview of major infrastructure delivery arrangements in Kenya</w:t>
      </w:r>
    </w:p>
    <w:tbl>
      <w:tblPr>
        <w:tblStyle w:val="TableGrid"/>
        <w:tblW w:w="0" w:type="auto"/>
        <w:tblLook w:val="04A0" w:firstRow="1" w:lastRow="0" w:firstColumn="1" w:lastColumn="0" w:noHBand="0" w:noVBand="1"/>
      </w:tblPr>
      <w:tblGrid>
        <w:gridCol w:w="1809"/>
        <w:gridCol w:w="1916"/>
        <w:gridCol w:w="1739"/>
        <w:gridCol w:w="1984"/>
        <w:gridCol w:w="1794"/>
      </w:tblGrid>
      <w:tr w:rsidR="00C82F74" w:rsidRPr="00C82F74" w14:paraId="7593928F" w14:textId="77777777" w:rsidTr="00C82F74">
        <w:tc>
          <w:tcPr>
            <w:tcW w:w="0" w:type="auto"/>
            <w:hideMark/>
          </w:tcPr>
          <w:p w14:paraId="57629A7C"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Sub-sector / delivery channel</w:t>
            </w:r>
          </w:p>
        </w:tc>
        <w:tc>
          <w:tcPr>
            <w:tcW w:w="0" w:type="auto"/>
            <w:hideMark/>
          </w:tcPr>
          <w:p w14:paraId="7CCD7B42"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Lead institution(s)</w:t>
            </w:r>
          </w:p>
        </w:tc>
        <w:tc>
          <w:tcPr>
            <w:tcW w:w="0" w:type="auto"/>
            <w:hideMark/>
          </w:tcPr>
          <w:p w14:paraId="71FE889C"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financing sources</w:t>
            </w:r>
          </w:p>
        </w:tc>
        <w:tc>
          <w:tcPr>
            <w:tcW w:w="0" w:type="auto"/>
            <w:hideMark/>
          </w:tcPr>
          <w:p w14:paraId="4CCBCFC4"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Key governance feature</w:t>
            </w:r>
          </w:p>
        </w:tc>
        <w:tc>
          <w:tcPr>
            <w:tcW w:w="0" w:type="auto"/>
            <w:hideMark/>
          </w:tcPr>
          <w:p w14:paraId="41EE7F39"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34A432FE" w14:textId="77777777" w:rsidTr="00C82F74">
        <w:tc>
          <w:tcPr>
            <w:tcW w:w="0" w:type="auto"/>
            <w:hideMark/>
          </w:tcPr>
          <w:p w14:paraId="396A648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roads and highways</w:t>
            </w:r>
          </w:p>
        </w:tc>
        <w:tc>
          <w:tcPr>
            <w:tcW w:w="0" w:type="auto"/>
            <w:hideMark/>
          </w:tcPr>
          <w:p w14:paraId="419F23C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National Highways Authority</w:t>
            </w:r>
          </w:p>
        </w:tc>
        <w:tc>
          <w:tcPr>
            <w:tcW w:w="0" w:type="auto"/>
            <w:hideMark/>
          </w:tcPr>
          <w:p w14:paraId="112D2F0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exchequer, fuel levy, concessional loans</w:t>
            </w:r>
          </w:p>
        </w:tc>
        <w:tc>
          <w:tcPr>
            <w:tcW w:w="0" w:type="auto"/>
            <w:hideMark/>
          </w:tcPr>
          <w:p w14:paraId="0D71612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Centralised technical oversight, tolling on select corridors</w:t>
            </w:r>
          </w:p>
        </w:tc>
        <w:tc>
          <w:tcPr>
            <w:tcW w:w="0" w:type="auto"/>
            <w:hideMark/>
          </w:tcPr>
          <w:p w14:paraId="51A7FD1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Kandie et al. (2025); </w:t>
            </w:r>
            <w:r w:rsidRPr="00C82F74">
              <w:rPr>
                <w:rFonts w:ascii="Times New Roman" w:eastAsia="Times New Roman" w:hAnsi="Times New Roman" w:cs="Times New Roman"/>
                <w:b/>
                <w:bCs/>
                <w:sz w:val="24"/>
                <w:szCs w:val="24"/>
                <w:lang w:eastAsia="en-GB"/>
              </w:rPr>
              <w:t xml:space="preserve">Briceño-Garmendia &amp; </w:t>
            </w:r>
            <w:proofErr w:type="spellStart"/>
            <w:r w:rsidRPr="00C82F74">
              <w:rPr>
                <w:rFonts w:ascii="Times New Roman" w:eastAsia="Times New Roman" w:hAnsi="Times New Roman" w:cs="Times New Roman"/>
                <w:b/>
                <w:bCs/>
                <w:sz w:val="24"/>
                <w:szCs w:val="24"/>
                <w:lang w:eastAsia="en-GB"/>
              </w:rPr>
              <w:t>Shkaratan</w:t>
            </w:r>
            <w:proofErr w:type="spellEnd"/>
            <w:r w:rsidRPr="00C82F74">
              <w:rPr>
                <w:rFonts w:ascii="Times New Roman" w:eastAsia="Times New Roman" w:hAnsi="Times New Roman" w:cs="Times New Roman"/>
                <w:b/>
                <w:bCs/>
                <w:sz w:val="24"/>
                <w:szCs w:val="24"/>
                <w:lang w:eastAsia="en-GB"/>
              </w:rPr>
              <w:t xml:space="preserve"> (2011)</w:t>
            </w:r>
          </w:p>
        </w:tc>
      </w:tr>
      <w:tr w:rsidR="00C82F74" w:rsidRPr="00C82F74" w14:paraId="3CD545DF" w14:textId="77777777" w:rsidTr="00C82F74">
        <w:tc>
          <w:tcPr>
            <w:tcW w:w="0" w:type="auto"/>
            <w:hideMark/>
          </w:tcPr>
          <w:p w14:paraId="1A450E7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and rural roads</w:t>
            </w:r>
          </w:p>
        </w:tc>
        <w:tc>
          <w:tcPr>
            <w:tcW w:w="0" w:type="auto"/>
            <w:hideMark/>
          </w:tcPr>
          <w:p w14:paraId="6649D7E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governments; Kenya Rural Roads Authority</w:t>
            </w:r>
          </w:p>
        </w:tc>
        <w:tc>
          <w:tcPr>
            <w:tcW w:w="0" w:type="auto"/>
            <w:hideMark/>
          </w:tcPr>
          <w:p w14:paraId="39ECBAD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budgets, national transfers</w:t>
            </w:r>
          </w:p>
        </w:tc>
        <w:tc>
          <w:tcPr>
            <w:tcW w:w="0" w:type="auto"/>
            <w:hideMark/>
          </w:tcPr>
          <w:p w14:paraId="49C8C8F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planning and procurement, variable technical capacity</w:t>
            </w:r>
          </w:p>
        </w:tc>
        <w:tc>
          <w:tcPr>
            <w:tcW w:w="0" w:type="auto"/>
            <w:hideMark/>
          </w:tcPr>
          <w:p w14:paraId="36D24CB3"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D'Arcy &amp; Cornell (2016)</w:t>
            </w:r>
          </w:p>
        </w:tc>
      </w:tr>
      <w:tr w:rsidR="00C82F74" w:rsidRPr="00C82F74" w14:paraId="6FF37FE5" w14:textId="77777777" w:rsidTr="00C82F74">
        <w:tc>
          <w:tcPr>
            <w:tcW w:w="0" w:type="auto"/>
            <w:hideMark/>
          </w:tcPr>
          <w:p w14:paraId="5CE6437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Rail (Standard Gauge Railway)</w:t>
            </w:r>
          </w:p>
        </w:tc>
        <w:tc>
          <w:tcPr>
            <w:tcW w:w="0" w:type="auto"/>
            <w:hideMark/>
          </w:tcPr>
          <w:p w14:paraId="08B81D8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Railways Corporation</w:t>
            </w:r>
          </w:p>
        </w:tc>
        <w:tc>
          <w:tcPr>
            <w:tcW w:w="0" w:type="auto"/>
            <w:hideMark/>
          </w:tcPr>
          <w:p w14:paraId="1A528FD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Bilateral concessional loans</w:t>
            </w:r>
          </w:p>
        </w:tc>
        <w:tc>
          <w:tcPr>
            <w:tcW w:w="0" w:type="auto"/>
            <w:hideMark/>
          </w:tcPr>
          <w:p w14:paraId="6C64772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Externally financed megaproject with distinct environmental oversight</w:t>
            </w:r>
          </w:p>
        </w:tc>
        <w:tc>
          <w:tcPr>
            <w:tcW w:w="0" w:type="auto"/>
            <w:hideMark/>
          </w:tcPr>
          <w:p w14:paraId="653CFE45" w14:textId="77777777" w:rsidR="00C82F74" w:rsidRPr="00C82F74" w:rsidRDefault="00C82F74" w:rsidP="00C82F74">
            <w:pPr>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w:t>
            </w:r>
          </w:p>
        </w:tc>
      </w:tr>
      <w:tr w:rsidR="00C82F74" w:rsidRPr="00C82F74" w14:paraId="424CA045" w14:textId="77777777" w:rsidTr="00C82F74">
        <w:tc>
          <w:tcPr>
            <w:tcW w:w="0" w:type="auto"/>
            <w:hideMark/>
          </w:tcPr>
          <w:p w14:paraId="6B7E646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Constituency-level facilities</w:t>
            </w:r>
          </w:p>
        </w:tc>
        <w:tc>
          <w:tcPr>
            <w:tcW w:w="0" w:type="auto"/>
            <w:hideMark/>
          </w:tcPr>
          <w:p w14:paraId="6ADFD40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Government Constituencies Development Fund</w:t>
            </w:r>
          </w:p>
        </w:tc>
        <w:tc>
          <w:tcPr>
            <w:tcW w:w="0" w:type="auto"/>
            <w:hideMark/>
          </w:tcPr>
          <w:p w14:paraId="27D7264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allocation formula</w:t>
            </w:r>
          </w:p>
        </w:tc>
        <w:tc>
          <w:tcPr>
            <w:tcW w:w="0" w:type="auto"/>
            <w:hideMark/>
          </w:tcPr>
          <w:p w14:paraId="03E4621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Community-level prioritisation, limited technical capacity</w:t>
            </w:r>
          </w:p>
        </w:tc>
        <w:tc>
          <w:tcPr>
            <w:tcW w:w="0" w:type="auto"/>
            <w:hideMark/>
          </w:tcPr>
          <w:p w14:paraId="6B94B0B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Kandie et al. (2025)</w:t>
            </w:r>
          </w:p>
        </w:tc>
      </w:tr>
      <w:tr w:rsidR="00C82F74" w:rsidRPr="00C82F74" w14:paraId="3F0A534E" w14:textId="77777777" w:rsidTr="00C82F74">
        <w:tc>
          <w:tcPr>
            <w:tcW w:w="0" w:type="auto"/>
            <w:hideMark/>
          </w:tcPr>
          <w:p w14:paraId="10AD42A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Public–private partnership projects</w:t>
            </w:r>
          </w:p>
        </w:tc>
        <w:tc>
          <w:tcPr>
            <w:tcW w:w="0" w:type="auto"/>
            <w:hideMark/>
          </w:tcPr>
          <w:p w14:paraId="61E37E8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Treasury (PPP unit); sector agencies</w:t>
            </w:r>
          </w:p>
        </w:tc>
        <w:tc>
          <w:tcPr>
            <w:tcW w:w="0" w:type="auto"/>
            <w:hideMark/>
          </w:tcPr>
          <w:p w14:paraId="6F79C3C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Private equity and debt, government support agreements</w:t>
            </w:r>
          </w:p>
        </w:tc>
        <w:tc>
          <w:tcPr>
            <w:tcW w:w="0" w:type="auto"/>
            <w:hideMark/>
          </w:tcPr>
          <w:p w14:paraId="2D59899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legislative framework since 2013</w:t>
            </w:r>
          </w:p>
        </w:tc>
        <w:tc>
          <w:tcPr>
            <w:tcW w:w="0" w:type="auto"/>
            <w:hideMark/>
          </w:tcPr>
          <w:p w14:paraId="5F00DC2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Chileshe et al. (2020);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w:t>
            </w:r>
          </w:p>
        </w:tc>
      </w:tr>
      <w:tr w:rsidR="00C82F74" w:rsidRPr="00C82F74" w14:paraId="4B77BC86" w14:textId="77777777" w:rsidTr="00C82F74">
        <w:tc>
          <w:tcPr>
            <w:tcW w:w="0" w:type="auto"/>
            <w:hideMark/>
          </w:tcPr>
          <w:p w14:paraId="0A2AA55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 investment planning and climate alignment</w:t>
            </w:r>
          </w:p>
        </w:tc>
        <w:tc>
          <w:tcPr>
            <w:tcW w:w="0" w:type="auto"/>
            <w:hideMark/>
          </w:tcPr>
          <w:p w14:paraId="2115B17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Treasury; sector ministries</w:t>
            </w:r>
          </w:p>
        </w:tc>
        <w:tc>
          <w:tcPr>
            <w:tcW w:w="0" w:type="auto"/>
            <w:hideMark/>
          </w:tcPr>
          <w:p w14:paraId="5845877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budget, donor technical assistance</w:t>
            </w:r>
          </w:p>
        </w:tc>
        <w:tc>
          <w:tcPr>
            <w:tcW w:w="0" w:type="auto"/>
            <w:hideMark/>
          </w:tcPr>
          <w:p w14:paraId="7E6B597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Emerging climate-adjusted appraisal requirements</w:t>
            </w:r>
          </w:p>
        </w:tc>
        <w:tc>
          <w:tcPr>
            <w:tcW w:w="0" w:type="auto"/>
            <w:hideMark/>
          </w:tcPr>
          <w:p w14:paraId="7753232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International Monetary Fund (2024)</w:t>
            </w:r>
          </w:p>
        </w:tc>
      </w:tr>
    </w:tbl>
    <w:p w14:paraId="4B882D2E"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4. Project Management Practices in Kenya's Infrastructure Sector</w:t>
      </w:r>
    </w:p>
    <w:p w14:paraId="423A2902"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4.1 Project Planning and Scheduling</w:t>
      </w:r>
    </w:p>
    <w:p w14:paraId="4C440FC3"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Planning is consistently identified in the literature as the foundation upon which subsequent project performance is built. Where project scope, schedule baselines and resource requirements are inadequately defined at the outset, subsequent phases tend to accumulate variations, rework and disputed claims, a pattern documented repeatedly in African construction settings. Frimpong et al. (2003), examining groundwater construction projects in Ghana, found that inappropriate planning and scheduling, together with payment difficulties and material procurement problems, were principal contributors to delay and cost escalation, a finding echoed in subsequent Kenyan county-level studies of road and building projects. Lindhard and Larsen (2016) extended this line of analysis by identifying twenty-five process-level factors, grouped into five categories, that determine construction project performance, concluding that clarity of scope definition and the rigour of pre-construction planning exert disproportionate influence relative to factors emerging later in the project lifecycle. Kenyan studies applying similar frameworks to road, water and public-building projects have generally reinforced this conclusion, reporting that projects with more structured planning processes, including clearly documented work breakdown structures and realistic scheduling, exhibit fewer time and cost overruns than those where planning is conducted informally or compressed under political and fiscal pressure to commence works quickly.</w:t>
      </w:r>
    </w:p>
    <w:p w14:paraId="6A1D841A"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4.2 Risk Management</w:t>
      </w:r>
    </w:p>
    <w:p w14:paraId="0961D89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Risk management practice has received sustained attention in the construction management literature, reflecting the exposure of infrastructure projects to design changes, weather, contractor default, land disputes and price volatility.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and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studying construction contractors in Malawi, developed a statement-based instrument to measure the maturity of formal risk management processes and found that implementation of structured risk identification, assessment and response planning remained relatively low, a pattern broadly consistent with reports from Kenyan road and building contractors.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 similarly mapped risk factors affecting time delay in road construction from the perspective of project owners, distinguishing factors of high, moderate and low severity and demonstrating that financial, contractual and site-related risks cluster in the highest-severity zone across developing-country road sectors. Within Kenya specifically, county-level studies of road and building projects have applied comparable risk-mapping approaches, generally finding that design risk, contractual risk and political risk associated with changes in county leadership or national policy direction rank among the most consequential categories, and that formal risk registers and contingency planning remain unevenly applied, particularly in smaller devolved infrastructure programmes.</w:t>
      </w:r>
    </w:p>
    <w:p w14:paraId="09BF48CA"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4.3 Stakeholder Management and Project Governance</w:t>
      </w:r>
    </w:p>
    <w:p w14:paraId="0A5833B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Stakeholder management has become a central theme in project governance research, reflecting recognition that infrastructure projects involve multiple parties, including government agencies, contractors, consultants, financiers and affected communities, whose divergent interests must be reconciled for successful delivery. Olander's (2007) stakeholder impact analysis, which combines assessment of stakeholder power, legitimacy and probability of exercising influence, remains a widely applied framework for identifying and prioritising stakeholder engagement in construction projects, and it has informed subsequent developing-country applications examining how stakeholder influence strategies affect project outcomes. Waris et al. (2022), analysing public-sector infrastructure projects in Pakistan, identified risk control, communication, engagement and empowerment as the </w:t>
      </w:r>
      <w:r w:rsidRPr="00C82F74">
        <w:rPr>
          <w:rFonts w:ascii="Times New Roman" w:eastAsia="Times New Roman" w:hAnsi="Times New Roman" w:cs="Times New Roman"/>
          <w:sz w:val="24"/>
          <w:szCs w:val="24"/>
          <w:lang w:eastAsia="en-GB"/>
        </w:rPr>
        <w:lastRenderedPageBreak/>
        <w:t>principal dimensions of external stakeholder management, finding that weak empowerment of affected communities was the least developed dimension in practice.</w:t>
      </w:r>
    </w:p>
    <w:p w14:paraId="74C5C90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governance dimension has itself been the subject of dedicated enquiry within the Pakistani public infrastructure literature that Kenyan researchers have drawn upon for comparative insight. Khan, Waris, Ismail, Sajid, and Usman (2019a) documented persistent deficiencies in project governance across a national infrastructure development programme, including weak supervision, unclear accountability lines and vulnerability to political exigency, while Khan, Waris, Ismail, Sajid, Ullah, and Usman (2019b) extended this diagnosis through a qualitative investigation of governance practice, arguing that a holistic governance framework, incorporating stakeholder representation and legitimised decision-making, is required to address the delays and disruptions typical of public infrastructure programmes in developing economies. Building on this earlier work, subsequent research on the same institutional setting has shown that the interaction between formal governance structures and stakeholder management jointly determines project performance, with governance quality alone proving insufficient where stakeholder engagement is weak, and vice versa (Khan et al., 2021). These findings resonate with the Kenyan devolved context, where county-level infrastructure projects routinely involve public participation requirements under the Constitution, yet studies of stakeholder engagement in county-funded and constituency-funded projects report that formal consultation processes are frequently conducted late in the project cycle or treated as a procedural rather than substantive exercise, limiting their contribution to improved performance.</w:t>
      </w:r>
    </w:p>
    <w:p w14:paraId="62BD020E"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4.4 Procurement and Contract Management</w:t>
      </w:r>
    </w:p>
    <w:p w14:paraId="0804B313"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Procurement practice occupies a distinctive position within the Kenyan project management literature because it intersects directly with governance and integrity concerns. Public procurement in Kenya is governed by dedicated legislation intended to ensure transparency and competitive bidding, yet empirical accounts of infrastructure delivery consistently document procurement-related delays, contested tender awards and allegations of favouritism, particularly at the county level following devolution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 Comparative research on unethical and corrupt practice in the construction industry, conducted among South African professionals, has identified inflated tender pricing, kickbacks and weak whistle-blower protection as persistent barriers to ethical compliance, and has argued that professional codes of conduct alone are insufficient without stronger institutional enforcement mechanisms (Amoah &amp; Steyn, 2023). Kenyan PPP research similarly identifies procurement and contracting arrangements, including the clarity of risk allocation between public and private partners and the rigour of feasibility assessment prior to contract award, as critical determinants of whether infrastructure and housing partnerships proceed to successful completion (Chileshe et al., 2020).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and Kumi (2018), synthesising causes of government construction project failure in Ghana, likewise identified procurement-related political interference and bureaucratic delay among the most important failure factors, a pattern that recurs across Kenyan county government infrastructure studies where procurement timelines are frequently disrupted by budget reallocation, leadership transitions and contested award decisions.</w:t>
      </w:r>
    </w:p>
    <w:p w14:paraId="3756872A"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4.5 Monitoring and Evaluation</w:t>
      </w:r>
    </w:p>
    <w:p w14:paraId="0D8C36F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Monitoring and evaluation (M&amp;E) practice determines the extent to which deviations from planned cost, schedule and quality parameters are detected and corrected during </w:t>
      </w:r>
      <w:r w:rsidRPr="00C82F74">
        <w:rPr>
          <w:rFonts w:ascii="Times New Roman" w:eastAsia="Times New Roman" w:hAnsi="Times New Roman" w:cs="Times New Roman"/>
          <w:sz w:val="24"/>
          <w:szCs w:val="24"/>
          <w:lang w:eastAsia="en-GB"/>
        </w:rPr>
        <w:lastRenderedPageBreak/>
        <w:t>implementation rather than only at project closure. Crawford and Bryce (2003) established an influential framework for project M&amp;E in internationally financed development projects, arguing that logical framework approaches, while useful for project design, require supplementary indicator-based monitoring systems to support timely management decisions during implementation. Kissi et al. (2019), applying comparable analysis to Ghanaian construction projects, found that the frequency and technical competence of M&amp;E activity correlated positively with project success across cost, time and stakeholder-satisfaction criteria, while noting that monitoring systems in many public agencies remained oriented toward compliance reporting rather than active project control. Kenyan studies of county and national government infrastructure projects have generally reported similar patterns, with M&amp;E functions often understaffed relative to the scale of the infrastructure portfolio being overseen, and with monitoring data frequently underutilised in subsequent decision-making, limiting the corrective potential that Crawford and Bryce (2003) identified as central to effective project monitoring.</w:t>
      </w:r>
    </w:p>
    <w:p w14:paraId="572674DB"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4.6 Resource, Cost and Quality Management</w:t>
      </w:r>
    </w:p>
    <w:p w14:paraId="795DD371"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Resource management, encompassing the allocation and scheduling of finance, materials, plant and labour, together with quality management, encompassing adherence to design specifications and construction standards, constitute a further practice domain examined extensively in Kenyan road and building project research. Findings across this literature indicate that resource management practice is most strongly associated with project scale, with larger national road and rail projects generally exhibiting more formalised cost-control and quality-assurance systems than smaller county-funded or constituency-funded works, where resource planning is often constrained by irregular disbursement schedules and limited technical supervision capacity. This resource constraint interacts with the risk and procurement dynamics described above, since delayed payment to contractors, itself frequently linked to public financial management weaknesses, is repeatedly identified as a proximate cause of both schedule slippage and diminished quality outcomes, as contractors respond to cash-flow pressure by reducing input quality or pace of work (Frimpong et al., 2003).</w:t>
      </w:r>
    </w:p>
    <w:p w14:paraId="1F8586BF"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4.7 Digitalisation and Technology Adoption</w:t>
      </w:r>
    </w:p>
    <w:p w14:paraId="608F080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Digital tools, and Building Information Modelling (BIM) in particular, have begun to attract Kenyan-specific research attention as a potential lever for improving coordination and reducing errors across the design and construction interface. Nasila and Cloete (2018), surveying construction professionals across Kenya, found that while awareness of BIM had grown, actual adoption remained limited, constrained by the cost of software and training, and by the absence of a formal government mandate or standard requiring its use on public projects. </w:t>
      </w:r>
      <w:proofErr w:type="spellStart"/>
      <w:r w:rsidRPr="00C82F74">
        <w:rPr>
          <w:rFonts w:ascii="Times New Roman" w:eastAsia="Times New Roman" w:hAnsi="Times New Roman" w:cs="Times New Roman"/>
          <w:sz w:val="24"/>
          <w:szCs w:val="24"/>
          <w:lang w:eastAsia="en-GB"/>
        </w:rPr>
        <w:t>Oyuga</w:t>
      </w:r>
      <w:proofErr w:type="spellEnd"/>
      <w:r w:rsidRPr="00C82F74">
        <w:rPr>
          <w:rFonts w:ascii="Times New Roman" w:eastAsia="Times New Roman" w:hAnsi="Times New Roman" w:cs="Times New Roman"/>
          <w:sz w:val="24"/>
          <w:szCs w:val="24"/>
          <w:lang w:eastAsia="en-GB"/>
        </w:rPr>
        <w:t xml:space="preserve"> et al. (2021) extended this analysis by examining the specific role of government involvement in shaping adoption among building contractors, concluding that the absence of clear policy signals and regulatory incentives, rather than contractor reluctance alone, explains the slow diffusion of digital design and coordination tools within the Kenyan construction sector. These findings suggest that digitalisation, while promising as a means of strengthening planning accuracy and reducing design-related risk, remains at an early and uneven stage of adoption relative to more established practice domains such as procurement and monitoring.</w:t>
      </w:r>
    </w:p>
    <w:p w14:paraId="6A34E38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Table 2 draws these seven practice domains together, indicating for each the principal focus documented in the literature and the direction of its reported influence on performance. Read across, the table shows that the practices most closely tied to formal, rule-based process, namely procurement and M&amp;E, have attracted the most direct evidence linking practice quality to outcomes, whereas digitalisation remains comparatively data-thin.</w:t>
      </w:r>
    </w:p>
    <w:p w14:paraId="0A0A18E7"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2. Summary of project management practice dimensions examined in the reviewed literature</w:t>
      </w:r>
    </w:p>
    <w:tbl>
      <w:tblPr>
        <w:tblStyle w:val="TableGrid"/>
        <w:tblW w:w="0" w:type="auto"/>
        <w:tblLook w:val="04A0" w:firstRow="1" w:lastRow="0" w:firstColumn="1" w:lastColumn="0" w:noHBand="0" w:noVBand="1"/>
      </w:tblPr>
      <w:tblGrid>
        <w:gridCol w:w="1894"/>
        <w:gridCol w:w="2440"/>
        <w:gridCol w:w="2545"/>
        <w:gridCol w:w="2363"/>
      </w:tblGrid>
      <w:tr w:rsidR="00C82F74" w:rsidRPr="00C82F74" w14:paraId="60504B27" w14:textId="77777777" w:rsidTr="00C82F74">
        <w:tc>
          <w:tcPr>
            <w:tcW w:w="0" w:type="auto"/>
            <w:hideMark/>
          </w:tcPr>
          <w:p w14:paraId="4069FB62"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Practice domain</w:t>
            </w:r>
          </w:p>
        </w:tc>
        <w:tc>
          <w:tcPr>
            <w:tcW w:w="0" w:type="auto"/>
            <w:hideMark/>
          </w:tcPr>
          <w:p w14:paraId="3CDDB18C"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focus</w:t>
            </w:r>
          </w:p>
        </w:tc>
        <w:tc>
          <w:tcPr>
            <w:tcW w:w="0" w:type="auto"/>
            <w:hideMark/>
          </w:tcPr>
          <w:p w14:paraId="1FF1249F"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Reported influence on performance</w:t>
            </w:r>
          </w:p>
        </w:tc>
        <w:tc>
          <w:tcPr>
            <w:tcW w:w="0" w:type="auto"/>
            <w:hideMark/>
          </w:tcPr>
          <w:p w14:paraId="0116BCA9"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4E9D751D" w14:textId="77777777" w:rsidTr="00C82F74">
        <w:tc>
          <w:tcPr>
            <w:tcW w:w="0" w:type="auto"/>
            <w:hideMark/>
          </w:tcPr>
          <w:p w14:paraId="035FF40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and scheduling</w:t>
            </w:r>
          </w:p>
        </w:tc>
        <w:tc>
          <w:tcPr>
            <w:tcW w:w="0" w:type="auto"/>
            <w:hideMark/>
          </w:tcPr>
          <w:p w14:paraId="1320B1B1"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Scope definition, work breakdown, baseline scheduling</w:t>
            </w:r>
          </w:p>
        </w:tc>
        <w:tc>
          <w:tcPr>
            <w:tcW w:w="0" w:type="auto"/>
            <w:hideMark/>
          </w:tcPr>
          <w:p w14:paraId="684D994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Structured planning associated with fewer time and cost overruns</w:t>
            </w:r>
          </w:p>
        </w:tc>
        <w:tc>
          <w:tcPr>
            <w:tcW w:w="0" w:type="auto"/>
            <w:hideMark/>
          </w:tcPr>
          <w:p w14:paraId="03FE520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Frimpong et al. (2003); Lindhard &amp; Larsen (2016)</w:t>
            </w:r>
          </w:p>
        </w:tc>
      </w:tr>
      <w:tr w:rsidR="00C82F74" w:rsidRPr="00C82F74" w14:paraId="03837CBE" w14:textId="77777777" w:rsidTr="00C82F74">
        <w:tc>
          <w:tcPr>
            <w:tcW w:w="0" w:type="auto"/>
            <w:hideMark/>
          </w:tcPr>
          <w:p w14:paraId="09A2B793"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management</w:t>
            </w:r>
          </w:p>
        </w:tc>
        <w:tc>
          <w:tcPr>
            <w:tcW w:w="0" w:type="auto"/>
            <w:hideMark/>
          </w:tcPr>
          <w:p w14:paraId="4269344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identification, assessment, response planning</w:t>
            </w:r>
          </w:p>
        </w:tc>
        <w:tc>
          <w:tcPr>
            <w:tcW w:w="0" w:type="auto"/>
            <w:hideMark/>
          </w:tcPr>
          <w:p w14:paraId="59086D2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risk processes remain immature; financial and contractual risks most severe</w:t>
            </w:r>
          </w:p>
        </w:tc>
        <w:tc>
          <w:tcPr>
            <w:tcW w:w="0" w:type="auto"/>
            <w:hideMark/>
          </w:tcPr>
          <w:p w14:paraId="334F47D5" w14:textId="77777777" w:rsidR="00C82F74" w:rsidRPr="00C82F74" w:rsidRDefault="00C82F74" w:rsidP="00C82F74">
            <w:pPr>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7245A52C" w14:textId="77777777" w:rsidTr="00C82F74">
        <w:tc>
          <w:tcPr>
            <w:tcW w:w="0" w:type="auto"/>
            <w:hideMark/>
          </w:tcPr>
          <w:p w14:paraId="665527A3"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Stakeholder management and governance</w:t>
            </w:r>
          </w:p>
        </w:tc>
        <w:tc>
          <w:tcPr>
            <w:tcW w:w="0" w:type="auto"/>
            <w:hideMark/>
          </w:tcPr>
          <w:p w14:paraId="6BDE954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Engagement, communication, empowerment, governance structure</w:t>
            </w:r>
          </w:p>
        </w:tc>
        <w:tc>
          <w:tcPr>
            <w:tcW w:w="0" w:type="auto"/>
            <w:hideMark/>
          </w:tcPr>
          <w:p w14:paraId="551157F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Weak community empowerment and weak governance jointly limit performance gains</w:t>
            </w:r>
          </w:p>
        </w:tc>
        <w:tc>
          <w:tcPr>
            <w:tcW w:w="0" w:type="auto"/>
            <w:hideMark/>
          </w:tcPr>
          <w:p w14:paraId="1568D87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Olander (2007); Waris et al. (2022); Khan et al. (2019a, 2019b, 2021)</w:t>
            </w:r>
          </w:p>
        </w:tc>
      </w:tr>
      <w:tr w:rsidR="00C82F74" w:rsidRPr="00C82F74" w14:paraId="7A2AEE4C" w14:textId="77777777" w:rsidTr="00C82F74">
        <w:tc>
          <w:tcPr>
            <w:tcW w:w="0" w:type="auto"/>
            <w:hideMark/>
          </w:tcPr>
          <w:p w14:paraId="74DE758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Procurement and contract management</w:t>
            </w:r>
          </w:p>
        </w:tc>
        <w:tc>
          <w:tcPr>
            <w:tcW w:w="0" w:type="auto"/>
            <w:hideMark/>
          </w:tcPr>
          <w:p w14:paraId="1550AA1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Tendering, contract award, risk allocation</w:t>
            </w:r>
          </w:p>
        </w:tc>
        <w:tc>
          <w:tcPr>
            <w:tcW w:w="0" w:type="auto"/>
            <w:hideMark/>
          </w:tcPr>
          <w:p w14:paraId="5299342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Political interference and weak integrity controls drive delay and cost escalation</w:t>
            </w:r>
          </w:p>
        </w:tc>
        <w:tc>
          <w:tcPr>
            <w:tcW w:w="0" w:type="auto"/>
            <w:hideMark/>
          </w:tcPr>
          <w:p w14:paraId="5A729E2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Chileshe et al. (2020);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 Amoah &amp; Steyn (2023);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105DBFAF" w14:textId="77777777" w:rsidTr="00C82F74">
        <w:tc>
          <w:tcPr>
            <w:tcW w:w="0" w:type="auto"/>
            <w:hideMark/>
          </w:tcPr>
          <w:p w14:paraId="5C04E48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and evaluation</w:t>
            </w:r>
          </w:p>
        </w:tc>
        <w:tc>
          <w:tcPr>
            <w:tcW w:w="0" w:type="auto"/>
            <w:hideMark/>
          </w:tcPr>
          <w:p w14:paraId="42BFDFE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Indicator tracking, corrective decision-making</w:t>
            </w:r>
          </w:p>
        </w:tc>
        <w:tc>
          <w:tcPr>
            <w:tcW w:w="0" w:type="auto"/>
            <w:hideMark/>
          </w:tcPr>
          <w:p w14:paraId="55FD074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Competent, frequent monitoring correlates with improved success criteria</w:t>
            </w:r>
          </w:p>
        </w:tc>
        <w:tc>
          <w:tcPr>
            <w:tcW w:w="0" w:type="auto"/>
            <w:hideMark/>
          </w:tcPr>
          <w:p w14:paraId="670D9D7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Crawford &amp; Bryce (2003); Kissi et al. (2019)</w:t>
            </w:r>
          </w:p>
        </w:tc>
      </w:tr>
      <w:tr w:rsidR="00C82F74" w:rsidRPr="00C82F74" w14:paraId="1ACE069A" w14:textId="77777777" w:rsidTr="00C82F74">
        <w:tc>
          <w:tcPr>
            <w:tcW w:w="0" w:type="auto"/>
            <w:hideMark/>
          </w:tcPr>
          <w:p w14:paraId="778F68E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Resource, cost and quality management</w:t>
            </w:r>
          </w:p>
        </w:tc>
        <w:tc>
          <w:tcPr>
            <w:tcW w:w="0" w:type="auto"/>
            <w:hideMark/>
          </w:tcPr>
          <w:p w14:paraId="53B92975"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Finance, materials and labour allocation; specification compliance</w:t>
            </w:r>
          </w:p>
        </w:tc>
        <w:tc>
          <w:tcPr>
            <w:tcW w:w="0" w:type="auto"/>
            <w:hideMark/>
          </w:tcPr>
          <w:p w14:paraId="017853E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Payment delay and cash-flow constraints undermine quality and pace</w:t>
            </w:r>
          </w:p>
        </w:tc>
        <w:tc>
          <w:tcPr>
            <w:tcW w:w="0" w:type="auto"/>
            <w:hideMark/>
          </w:tcPr>
          <w:p w14:paraId="0038B6E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Frimpong et al. (2003)</w:t>
            </w:r>
          </w:p>
        </w:tc>
      </w:tr>
      <w:tr w:rsidR="00C82F74" w:rsidRPr="00C82F74" w14:paraId="3D8F8330" w14:textId="77777777" w:rsidTr="00C82F74">
        <w:tc>
          <w:tcPr>
            <w:tcW w:w="0" w:type="auto"/>
            <w:hideMark/>
          </w:tcPr>
          <w:p w14:paraId="6CE00DE1"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Digitalisation</w:t>
            </w:r>
          </w:p>
        </w:tc>
        <w:tc>
          <w:tcPr>
            <w:tcW w:w="0" w:type="auto"/>
            <w:hideMark/>
          </w:tcPr>
          <w:p w14:paraId="6A81739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Building Information Modelling and related tools</w:t>
            </w:r>
          </w:p>
        </w:tc>
        <w:tc>
          <w:tcPr>
            <w:tcW w:w="0" w:type="auto"/>
            <w:hideMark/>
          </w:tcPr>
          <w:p w14:paraId="033B3AD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Adoption limited by cost, training and absent policy mandate</w:t>
            </w:r>
          </w:p>
        </w:tc>
        <w:tc>
          <w:tcPr>
            <w:tcW w:w="0" w:type="auto"/>
            <w:hideMark/>
          </w:tcPr>
          <w:p w14:paraId="124D610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Nasila &amp; Cloete (2018); </w:t>
            </w:r>
            <w:proofErr w:type="spellStart"/>
            <w:r w:rsidRPr="00C82F74">
              <w:rPr>
                <w:rFonts w:ascii="Times New Roman" w:eastAsia="Times New Roman" w:hAnsi="Times New Roman" w:cs="Times New Roman"/>
                <w:sz w:val="24"/>
                <w:szCs w:val="24"/>
                <w:lang w:eastAsia="en-GB"/>
              </w:rPr>
              <w:t>Oyuga</w:t>
            </w:r>
            <w:proofErr w:type="spellEnd"/>
            <w:r w:rsidRPr="00C82F74">
              <w:rPr>
                <w:rFonts w:ascii="Times New Roman" w:eastAsia="Times New Roman" w:hAnsi="Times New Roman" w:cs="Times New Roman"/>
                <w:sz w:val="24"/>
                <w:szCs w:val="24"/>
                <w:lang w:eastAsia="en-GB"/>
              </w:rPr>
              <w:t xml:space="preserve"> et al. (2021)</w:t>
            </w:r>
          </w:p>
        </w:tc>
      </w:tr>
    </w:tbl>
    <w:p w14:paraId="45A8A3C6"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5. Conceptualising and Measuring Infrastructure Project Performance</w:t>
      </w:r>
    </w:p>
    <w:p w14:paraId="719FCCE0"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5.1 Performance Criteria</w:t>
      </w:r>
    </w:p>
    <w:p w14:paraId="1A83A77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Project performance in the construction management literature has historically been anchored to the iron triangle of cost, time and quality, a formulation that offers a parsimonious and readily measurable basis for comparison across projects. Atkinson (1999) argued influentially that this triad, while useful, represents only a partial account of project success, since projects delivered within budget, schedule and specification may nonetheless fail to achieve the </w:t>
      </w:r>
      <w:r w:rsidRPr="00C82F74">
        <w:rPr>
          <w:rFonts w:ascii="Times New Roman" w:eastAsia="Times New Roman" w:hAnsi="Times New Roman" w:cs="Times New Roman"/>
          <w:sz w:val="24"/>
          <w:szCs w:val="24"/>
          <w:lang w:eastAsia="en-GB"/>
        </w:rPr>
        <w:lastRenderedPageBreak/>
        <w:t>operational benefits or stakeholder satisfaction that justified their initiation in the first place. This critique has shaped subsequent Kenyan and comparable African research, which increasingly incorporates stakeholder satisfaction, community benefit and, more recently, environmental and climate outcomes alongside the conventional cost, time and quality metrics. Diallo and Thuillier (2005) demonstrated empirically, in the context of internationally financed African development projects, that success as perceived by project coordinators depended substantially on relational factors such as trust and communication, in addition to conventional output measures, reinforcing the argument that performance assessment in developing-country infrastructure delivery cannot rest solely on technical completion criteria.</w:t>
      </w:r>
    </w:p>
    <w:p w14:paraId="47BB231E"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5.2 Determinants and Critical Success Factors</w:t>
      </w:r>
    </w:p>
    <w:p w14:paraId="713F0EE9"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Building on this extended conception of performance, a substantial literature has sought to identify the critical success factors that distinguish well-performing infrastructure projects from those that underperform. Ika's (2012) analysis of project management for development in Africa identified a set of recurring traps, including an excessive reliance on standardised technical solutions poorly adapted to local conditions, and weak alignment between donor accountability requirements and long-term development objectives, both of which constrain project performance regardless of the technical competence applied at the project level. Within the construction-specific literature, critical success factors identified across Kenyan and comparable studies converge on several recurring themes: the technical and managerial competence of project teams, the adequacy and timeliness of project financing, the clarity of contractual risk allocation, the strength of monitoring and corrective decision-making systems, and the degree of genuine, rather than procedural, stakeholder engagement. These determinants interact rather than operate independently; financing adequacy, for instance, shapes contractor cash flow, which in turn affects the pace and quality of construction, while weak monitoring reduces the likelihood that financing or contractual problems are identified and corrected before they escalate into significant delay or cost overrun.</w:t>
      </w:r>
    </w:p>
    <w:p w14:paraId="1B2BF8C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3 organises these performance dimensions alongside their typical indicators and the determinants most consistently associated with each in the literature reviewed. The pattern evident across the table is that cost, time and quality determinants tend to be internal to the project delivery process, whereas stakeholder and institutional outcomes depend more heavily on factors external to the immediate project team, a distinction taken up further in Section 6.</w:t>
      </w:r>
    </w:p>
    <w:p w14:paraId="00F2E48D"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3. Performance measurement indicators and determinants identified in the reviewed literature</w:t>
      </w:r>
    </w:p>
    <w:tbl>
      <w:tblPr>
        <w:tblStyle w:val="TableGrid"/>
        <w:tblW w:w="0" w:type="auto"/>
        <w:tblLook w:val="04A0" w:firstRow="1" w:lastRow="0" w:firstColumn="1" w:lastColumn="0" w:noHBand="0" w:noVBand="1"/>
      </w:tblPr>
      <w:tblGrid>
        <w:gridCol w:w="2063"/>
        <w:gridCol w:w="2506"/>
        <w:gridCol w:w="2711"/>
        <w:gridCol w:w="1962"/>
      </w:tblGrid>
      <w:tr w:rsidR="00C82F74" w:rsidRPr="00C82F74" w14:paraId="67F7A594" w14:textId="77777777" w:rsidTr="00C82F74">
        <w:tc>
          <w:tcPr>
            <w:tcW w:w="0" w:type="auto"/>
            <w:hideMark/>
          </w:tcPr>
          <w:p w14:paraId="01369FF0"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Performance dimension</w:t>
            </w:r>
          </w:p>
        </w:tc>
        <w:tc>
          <w:tcPr>
            <w:tcW w:w="0" w:type="auto"/>
            <w:hideMark/>
          </w:tcPr>
          <w:p w14:paraId="27A25BD5"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Typical indicators</w:t>
            </w:r>
          </w:p>
        </w:tc>
        <w:tc>
          <w:tcPr>
            <w:tcW w:w="0" w:type="auto"/>
            <w:hideMark/>
          </w:tcPr>
          <w:p w14:paraId="1AA9CEB6"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Key determinants identified</w:t>
            </w:r>
          </w:p>
        </w:tc>
        <w:tc>
          <w:tcPr>
            <w:tcW w:w="0" w:type="auto"/>
            <w:hideMark/>
          </w:tcPr>
          <w:p w14:paraId="7F6BDC84"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296A8BCA" w14:textId="77777777" w:rsidTr="00C82F74">
        <w:tc>
          <w:tcPr>
            <w:tcW w:w="0" w:type="auto"/>
            <w:hideMark/>
          </w:tcPr>
          <w:p w14:paraId="22981D7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Cost performance</w:t>
            </w:r>
          </w:p>
        </w:tc>
        <w:tc>
          <w:tcPr>
            <w:tcW w:w="0" w:type="auto"/>
            <w:hideMark/>
          </w:tcPr>
          <w:p w14:paraId="40AF645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Variance between budgeted and actual cost</w:t>
            </w:r>
          </w:p>
        </w:tc>
        <w:tc>
          <w:tcPr>
            <w:tcW w:w="0" w:type="auto"/>
            <w:hideMark/>
          </w:tcPr>
          <w:p w14:paraId="23A9AFC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Contractual risk allocation, payment timeliness, procurement integrity</w:t>
            </w:r>
          </w:p>
        </w:tc>
        <w:tc>
          <w:tcPr>
            <w:tcW w:w="0" w:type="auto"/>
            <w:hideMark/>
          </w:tcPr>
          <w:p w14:paraId="3FC9526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Frimpong et al. (2003);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4C8B2427" w14:textId="77777777" w:rsidTr="00C82F74">
        <w:tc>
          <w:tcPr>
            <w:tcW w:w="0" w:type="auto"/>
            <w:hideMark/>
          </w:tcPr>
          <w:p w14:paraId="7781867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Time performance</w:t>
            </w:r>
          </w:p>
        </w:tc>
        <w:tc>
          <w:tcPr>
            <w:tcW w:w="0" w:type="auto"/>
            <w:hideMark/>
          </w:tcPr>
          <w:p w14:paraId="3F108B6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Variance between planned and actual completion date</w:t>
            </w:r>
          </w:p>
        </w:tc>
        <w:tc>
          <w:tcPr>
            <w:tcW w:w="0" w:type="auto"/>
            <w:hideMark/>
          </w:tcPr>
          <w:p w14:paraId="78BFBD5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rigour, contractor resourcing, risk management maturity</w:t>
            </w:r>
          </w:p>
        </w:tc>
        <w:tc>
          <w:tcPr>
            <w:tcW w:w="0" w:type="auto"/>
            <w:hideMark/>
          </w:tcPr>
          <w:p w14:paraId="6ED06A4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Lindhard &amp; Larsen (2016);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1111C019" w14:textId="77777777" w:rsidTr="00C82F74">
        <w:tc>
          <w:tcPr>
            <w:tcW w:w="0" w:type="auto"/>
            <w:hideMark/>
          </w:tcPr>
          <w:p w14:paraId="10F6C2B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Quality performance</w:t>
            </w:r>
          </w:p>
        </w:tc>
        <w:tc>
          <w:tcPr>
            <w:tcW w:w="0" w:type="auto"/>
            <w:hideMark/>
          </w:tcPr>
          <w:p w14:paraId="6598921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Compliance with design specification and standards</w:t>
            </w:r>
          </w:p>
        </w:tc>
        <w:tc>
          <w:tcPr>
            <w:tcW w:w="0" w:type="auto"/>
            <w:hideMark/>
          </w:tcPr>
          <w:p w14:paraId="29294B4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Supervision capacity, resource adequacy, contractor technical performance</w:t>
            </w:r>
          </w:p>
        </w:tc>
        <w:tc>
          <w:tcPr>
            <w:tcW w:w="0" w:type="auto"/>
            <w:hideMark/>
          </w:tcPr>
          <w:p w14:paraId="3038E0B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Frimpong et al. (2003)</w:t>
            </w:r>
          </w:p>
        </w:tc>
      </w:tr>
      <w:tr w:rsidR="00C82F74" w:rsidRPr="00C82F74" w14:paraId="364378A0" w14:textId="77777777" w:rsidTr="00C82F74">
        <w:tc>
          <w:tcPr>
            <w:tcW w:w="0" w:type="auto"/>
            <w:hideMark/>
          </w:tcPr>
          <w:p w14:paraId="71033CF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Stakeholder satisfaction</w:t>
            </w:r>
          </w:p>
        </w:tc>
        <w:tc>
          <w:tcPr>
            <w:tcW w:w="0" w:type="auto"/>
            <w:hideMark/>
          </w:tcPr>
          <w:p w14:paraId="2446F7A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Perceived project success among coordinators, communities and financiers</w:t>
            </w:r>
          </w:p>
        </w:tc>
        <w:tc>
          <w:tcPr>
            <w:tcW w:w="0" w:type="auto"/>
            <w:hideMark/>
          </w:tcPr>
          <w:p w14:paraId="5197510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Trust, communication, genuine engagement</w:t>
            </w:r>
          </w:p>
        </w:tc>
        <w:tc>
          <w:tcPr>
            <w:tcW w:w="0" w:type="auto"/>
            <w:hideMark/>
          </w:tcPr>
          <w:p w14:paraId="350C5C73"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Diallo &amp; Thuillier (2005); Olander (2007)</w:t>
            </w:r>
          </w:p>
        </w:tc>
      </w:tr>
      <w:tr w:rsidR="00C82F74" w:rsidRPr="00C82F74" w14:paraId="747F9F81" w14:textId="77777777" w:rsidTr="00C82F74">
        <w:tc>
          <w:tcPr>
            <w:tcW w:w="0" w:type="auto"/>
            <w:hideMark/>
          </w:tcPr>
          <w:p w14:paraId="55776B9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Institutional and developmental outcomes</w:t>
            </w:r>
          </w:p>
        </w:tc>
        <w:tc>
          <w:tcPr>
            <w:tcW w:w="0" w:type="auto"/>
            <w:hideMark/>
          </w:tcPr>
          <w:p w14:paraId="6167550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Alignment with long-term development objectives, sustainability of benefits</w:t>
            </w:r>
          </w:p>
        </w:tc>
        <w:tc>
          <w:tcPr>
            <w:tcW w:w="0" w:type="auto"/>
            <w:hideMark/>
          </w:tcPr>
          <w:p w14:paraId="54369B5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Governance quality, financing model, technical capacity building</w:t>
            </w:r>
          </w:p>
        </w:tc>
        <w:tc>
          <w:tcPr>
            <w:tcW w:w="0" w:type="auto"/>
            <w:hideMark/>
          </w:tcPr>
          <w:p w14:paraId="4DF2BE6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Ika (2012); Khan et al. (2021)</w:t>
            </w:r>
          </w:p>
        </w:tc>
      </w:tr>
    </w:tbl>
    <w:p w14:paraId="5F16FE24"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6. Project Management Practices and Performance: Synthesis of the Evidence</w:t>
      </w:r>
    </w:p>
    <w:p w14:paraId="102082AC"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Drawing together the practice-specific and performance-specific literatures reviewed above, several convergent patterns emerge across Kenyan and comparable African infrastructure studies. First, no single project management practice functions in isolation as a determinant of performance; rather, planning, risk management, stakeholder engagement, procurement and monitoring interact cumulatively, such that weaknesses in one domain tend to amplify vulnerabilities in others. A project with weak initial planning is more exposed to design-change risk, which in turn generates procurement variations and contractual disputes that competent M&amp;E systems might otherwise detect and manage before they escalate. Second, the maturity of formal project management processes, as distinct from awareness of project management principles, remains the more consistent predictor of performance across the studies reviewed; Kenyan and comparable studies repeatedly find that project teams are familiar with recognised practices in principle but apply them inconsistently in practice, particularly under fiscal or political pressure to accelerate project commencement.</w:t>
      </w:r>
    </w:p>
    <w:p w14:paraId="4A41C0EC"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Third, institutional and governance conditions external to the immediate project team appear to influence performance at least as strongly as internal project management competence. Studies of PPP performance in Kenya emphasise that critical success factors such as community acceptance, project feasibility and the existence of well-organised, committed public agencies operate largely at the institutional rather than the project level (Chileshe et al., 2020). Research on government project failure in Ghana similarly situates the most important causes of underperformance, including political interference and bureaucratic delay, outside the direct control of project managers, suggesting that improvements in individual project management competence, while necessary, are unlikely to be sufficient without corresponding institutional reform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 Fourth, the literature reveals a persistent tension between formally mandated participatory and governance mechanisms, such as public participation requirements under Kenya's devolved constitutional framework, and the substantive quality of stakeholder engagement actually delivered, echoing the Pakistani evidence that governance structures and stakeholder management jointly, rather than independently, determine project performance (Khan et al., 2019a, 2019b, 2021; Waris et al., 2022).</w:t>
      </w:r>
    </w:p>
    <w:p w14:paraId="5792FFA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Table 4 consolidates the empirical studies drawn on throughout this synthesis, grouped by study context, to make explicit the geographic and sectoral spread of the underlying evidence base and the practices each contributes most directly to understanding.</w:t>
      </w:r>
    </w:p>
    <w:p w14:paraId="3D67061C"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4. Summary of empirical studies linking project management practices to infrastructure project performance</w:t>
      </w:r>
    </w:p>
    <w:tbl>
      <w:tblPr>
        <w:tblStyle w:val="TableGrid"/>
        <w:tblW w:w="0" w:type="auto"/>
        <w:tblLook w:val="04A0" w:firstRow="1" w:lastRow="0" w:firstColumn="1" w:lastColumn="0" w:noHBand="0" w:noVBand="1"/>
      </w:tblPr>
      <w:tblGrid>
        <w:gridCol w:w="2101"/>
        <w:gridCol w:w="2293"/>
        <w:gridCol w:w="2934"/>
        <w:gridCol w:w="1914"/>
      </w:tblGrid>
      <w:tr w:rsidR="00C82F74" w:rsidRPr="00C82F74" w14:paraId="5274B648" w14:textId="77777777" w:rsidTr="00C82F74">
        <w:tc>
          <w:tcPr>
            <w:tcW w:w="0" w:type="auto"/>
            <w:hideMark/>
          </w:tcPr>
          <w:p w14:paraId="3462227C"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Study context</w:t>
            </w:r>
          </w:p>
        </w:tc>
        <w:tc>
          <w:tcPr>
            <w:tcW w:w="0" w:type="auto"/>
            <w:hideMark/>
          </w:tcPr>
          <w:p w14:paraId="33D1BF5F"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Practices examined</w:t>
            </w:r>
          </w:p>
        </w:tc>
        <w:tc>
          <w:tcPr>
            <w:tcW w:w="0" w:type="auto"/>
            <w:hideMark/>
          </w:tcPr>
          <w:p w14:paraId="10A76E90"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finding</w:t>
            </w:r>
          </w:p>
        </w:tc>
        <w:tc>
          <w:tcPr>
            <w:tcW w:w="0" w:type="auto"/>
            <w:hideMark/>
          </w:tcPr>
          <w:p w14:paraId="024955FF"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38D2D11D" w14:textId="77777777" w:rsidTr="00C82F74">
        <w:tc>
          <w:tcPr>
            <w:tcW w:w="0" w:type="auto"/>
            <w:hideMark/>
          </w:tcPr>
          <w:p w14:paraId="6281CD2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African development projects (multi-country)</w:t>
            </w:r>
          </w:p>
        </w:tc>
        <w:tc>
          <w:tcPr>
            <w:tcW w:w="0" w:type="auto"/>
            <w:hideMark/>
          </w:tcPr>
          <w:p w14:paraId="28A8890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Communication, trust, critical success factors</w:t>
            </w:r>
          </w:p>
        </w:tc>
        <w:tc>
          <w:tcPr>
            <w:tcW w:w="0" w:type="auto"/>
            <w:hideMark/>
          </w:tcPr>
          <w:p w14:paraId="649E3B1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Relational factors significantly predict perceived project success</w:t>
            </w:r>
          </w:p>
        </w:tc>
        <w:tc>
          <w:tcPr>
            <w:tcW w:w="0" w:type="auto"/>
            <w:hideMark/>
          </w:tcPr>
          <w:p w14:paraId="254DE83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Diallo &amp; Thuillier (2005); Ika (2012)</w:t>
            </w:r>
          </w:p>
        </w:tc>
      </w:tr>
      <w:tr w:rsidR="00C82F74" w:rsidRPr="00C82F74" w14:paraId="05340CF6" w14:textId="77777777" w:rsidTr="00C82F74">
        <w:tc>
          <w:tcPr>
            <w:tcW w:w="0" w:type="auto"/>
            <w:hideMark/>
          </w:tcPr>
          <w:p w14:paraId="0AAD096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Ghana (groundwater and government construction)</w:t>
            </w:r>
          </w:p>
        </w:tc>
        <w:tc>
          <w:tcPr>
            <w:tcW w:w="0" w:type="auto"/>
            <w:hideMark/>
          </w:tcPr>
          <w:p w14:paraId="2B4F3D71"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procurement, political factors</w:t>
            </w:r>
          </w:p>
        </w:tc>
        <w:tc>
          <w:tcPr>
            <w:tcW w:w="0" w:type="auto"/>
            <w:hideMark/>
          </w:tcPr>
          <w:p w14:paraId="19F4DD4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weaknesses and political interference jointly drive delay and failure</w:t>
            </w:r>
          </w:p>
        </w:tc>
        <w:tc>
          <w:tcPr>
            <w:tcW w:w="0" w:type="auto"/>
            <w:hideMark/>
          </w:tcPr>
          <w:p w14:paraId="61DA0D1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Frimpong et al. (2003);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65D69F41" w14:textId="77777777" w:rsidTr="00C82F74">
        <w:tc>
          <w:tcPr>
            <w:tcW w:w="0" w:type="auto"/>
            <w:hideMark/>
          </w:tcPr>
          <w:p w14:paraId="38E1ED4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Malawi and Palestine (road and general construction)</w:t>
            </w:r>
          </w:p>
        </w:tc>
        <w:tc>
          <w:tcPr>
            <w:tcW w:w="0" w:type="auto"/>
            <w:hideMark/>
          </w:tcPr>
          <w:p w14:paraId="4E592B5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management maturity</w:t>
            </w:r>
          </w:p>
        </w:tc>
        <w:tc>
          <w:tcPr>
            <w:tcW w:w="0" w:type="auto"/>
            <w:hideMark/>
          </w:tcPr>
          <w:p w14:paraId="4DE175D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risk processes remain underdeveloped, concentrating severity in financial and contractual risks</w:t>
            </w:r>
          </w:p>
        </w:tc>
        <w:tc>
          <w:tcPr>
            <w:tcW w:w="0" w:type="auto"/>
            <w:hideMark/>
          </w:tcPr>
          <w:p w14:paraId="5D717D09" w14:textId="77777777" w:rsidR="00C82F74" w:rsidRPr="00C82F74" w:rsidRDefault="00C82F74" w:rsidP="00C82F74">
            <w:pPr>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45C46EE4" w14:textId="77777777" w:rsidTr="00C82F74">
        <w:tc>
          <w:tcPr>
            <w:tcW w:w="0" w:type="auto"/>
            <w:hideMark/>
          </w:tcPr>
          <w:p w14:paraId="75A86A6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Ghana (construction monitoring)</w:t>
            </w:r>
          </w:p>
        </w:tc>
        <w:tc>
          <w:tcPr>
            <w:tcW w:w="0" w:type="auto"/>
            <w:hideMark/>
          </w:tcPr>
          <w:p w14:paraId="59072A4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and evaluation competence</w:t>
            </w:r>
          </w:p>
        </w:tc>
        <w:tc>
          <w:tcPr>
            <w:tcW w:w="0" w:type="auto"/>
            <w:hideMark/>
          </w:tcPr>
          <w:p w14:paraId="02ED50B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frequency and competence correlate with success across multiple criteria</w:t>
            </w:r>
          </w:p>
        </w:tc>
        <w:tc>
          <w:tcPr>
            <w:tcW w:w="0" w:type="auto"/>
            <w:hideMark/>
          </w:tcPr>
          <w:p w14:paraId="653F3AE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Kissi et al. (2019)</w:t>
            </w:r>
          </w:p>
        </w:tc>
      </w:tr>
      <w:tr w:rsidR="00C82F74" w:rsidRPr="00C82F74" w14:paraId="38D673C9" w14:textId="77777777" w:rsidTr="00C82F74">
        <w:tc>
          <w:tcPr>
            <w:tcW w:w="0" w:type="auto"/>
            <w:hideMark/>
          </w:tcPr>
          <w:p w14:paraId="1BDEF4A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Pakistan (public infrastructure)</w:t>
            </w:r>
          </w:p>
        </w:tc>
        <w:tc>
          <w:tcPr>
            <w:tcW w:w="0" w:type="auto"/>
            <w:hideMark/>
          </w:tcPr>
          <w:p w14:paraId="535D4E23"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Governance deficiencies, stakeholder management</w:t>
            </w:r>
          </w:p>
        </w:tc>
        <w:tc>
          <w:tcPr>
            <w:tcW w:w="0" w:type="auto"/>
            <w:hideMark/>
          </w:tcPr>
          <w:p w14:paraId="3D8B84E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Interaction of governance quality and stakeholder management determines performance</w:t>
            </w:r>
          </w:p>
        </w:tc>
        <w:tc>
          <w:tcPr>
            <w:tcW w:w="0" w:type="auto"/>
            <w:hideMark/>
          </w:tcPr>
          <w:p w14:paraId="2C75A8B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Khan et al. (2019a, 2019b, 2021); Waris et al. (2022)</w:t>
            </w:r>
          </w:p>
        </w:tc>
      </w:tr>
      <w:tr w:rsidR="00C82F74" w:rsidRPr="00C82F74" w14:paraId="52BD5C23" w14:textId="77777777" w:rsidTr="00C82F74">
        <w:tc>
          <w:tcPr>
            <w:tcW w:w="0" w:type="auto"/>
            <w:hideMark/>
          </w:tcPr>
          <w:p w14:paraId="1624B0C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(public–private partnerships)</w:t>
            </w:r>
          </w:p>
        </w:tc>
        <w:tc>
          <w:tcPr>
            <w:tcW w:w="0" w:type="auto"/>
            <w:hideMark/>
          </w:tcPr>
          <w:p w14:paraId="189F669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Institutional and project-level critical success factors</w:t>
            </w:r>
          </w:p>
        </w:tc>
        <w:tc>
          <w:tcPr>
            <w:tcW w:w="0" w:type="auto"/>
            <w:hideMark/>
          </w:tcPr>
          <w:p w14:paraId="362F789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Community acceptance and agency competence outweigh purely technical factors</w:t>
            </w:r>
          </w:p>
        </w:tc>
        <w:tc>
          <w:tcPr>
            <w:tcW w:w="0" w:type="auto"/>
            <w:hideMark/>
          </w:tcPr>
          <w:p w14:paraId="5631E22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Chileshe et al. (2020)</w:t>
            </w:r>
          </w:p>
        </w:tc>
      </w:tr>
      <w:tr w:rsidR="00C82F74" w:rsidRPr="00C82F74" w14:paraId="47DB178A" w14:textId="77777777" w:rsidTr="00C82F74">
        <w:tc>
          <w:tcPr>
            <w:tcW w:w="0" w:type="auto"/>
            <w:hideMark/>
          </w:tcPr>
          <w:p w14:paraId="45849B7B"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(Standard Gauge Railway)</w:t>
            </w:r>
          </w:p>
        </w:tc>
        <w:tc>
          <w:tcPr>
            <w:tcW w:w="0" w:type="auto"/>
            <w:hideMark/>
          </w:tcPr>
          <w:p w14:paraId="0B4DA5B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Environmental and socio-economic management</w:t>
            </w:r>
          </w:p>
        </w:tc>
        <w:tc>
          <w:tcPr>
            <w:tcW w:w="0" w:type="auto"/>
            <w:hideMark/>
          </w:tcPr>
          <w:p w14:paraId="3CDA08E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Megaproject delivery generates trade-offs between developmental benefit and ecological cost</w:t>
            </w:r>
          </w:p>
        </w:tc>
        <w:tc>
          <w:tcPr>
            <w:tcW w:w="0" w:type="auto"/>
            <w:hideMark/>
          </w:tcPr>
          <w:p w14:paraId="1394A06C" w14:textId="77777777" w:rsidR="00C82F74" w:rsidRPr="00C82F74" w:rsidRDefault="00C82F74" w:rsidP="00C82F74">
            <w:pPr>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w:t>
            </w:r>
          </w:p>
        </w:tc>
      </w:tr>
    </w:tbl>
    <w:p w14:paraId="3B22EDD6"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7. Institutional, Governance and Political Economy Challenges</w:t>
      </w:r>
    </w:p>
    <w:p w14:paraId="460B0960"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7.1 Corruption and Procurement Integrity</w:t>
      </w:r>
    </w:p>
    <w:p w14:paraId="3073918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Corruption recurs throughout the Kenyan infrastructure literature as a cross-cutting constraint on project performance, affecting procurement, contract variation and payment processes across national and county government projects alike. D'Arcy and Cornell (2016) argue that devolution in Kenya, rather than eliminating patronage-driven resource allocation, has instead relocated such practices to the county level, where popular expectations of local benefit sharing intersect with weaker oversight capacity than exists nationally. This institutional analysis complements construction-specific research on unethical practice, which identifies </w:t>
      </w:r>
      <w:r w:rsidRPr="00C82F74">
        <w:rPr>
          <w:rFonts w:ascii="Times New Roman" w:eastAsia="Times New Roman" w:hAnsi="Times New Roman" w:cs="Times New Roman"/>
          <w:sz w:val="24"/>
          <w:szCs w:val="24"/>
          <w:lang w:eastAsia="en-GB"/>
        </w:rPr>
        <w:lastRenderedPageBreak/>
        <w:t>inflated pricing, kickbacks and weak whistle-blower protection as persistent features of construction procurement even where formal codes of conduct exist, suggesting that professional ethics standards alone are insufficient without stronger external enforcement (Amoah &amp; Steyn, 2023). Kenyan-focused analysis of PPP procurement similarly documents governance, accountability and implementation challenges that compromise the intended benefits of private-sector participation in infrastructure delivery, including cases where partnership arrangements have been structured in ways that limit competitive scrutiny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w:t>
      </w:r>
    </w:p>
    <w:p w14:paraId="5CA29FDD"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7.2 Devolution and Sub-National Implementation Capacity</w:t>
      </w:r>
    </w:p>
    <w:p w14:paraId="65DBC77C"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Devolution has fundamentally altered the institutional geography of Kenyan infrastructure delivery, transferring substantial planning and implementation authority to county governments that vary considerably in fiscal capacity, technical staffing and administrative experience. While devolution has, in principle, improved the responsiveness of infrastructure planning to local priorities, the redistribution of patronage dynamics identified by D'Arcy and Cornell (2016) suggests that county-level project selection and contractor award decisions remain vulnerable to political influence, particularly in the arid and semi-arid counties where infrastructure need is greatest and pre-existing administrative capacity is often weakest. This uneven capacity across counties has implications for the transferability of project management practice guidance, since interventions calibrated to well-resourced counties or national agencies may prove difficult to implement where staffing and financing constraints are more acute.</w:t>
      </w:r>
    </w:p>
    <w:p w14:paraId="3B80D6F5"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7.3 Financing Constraints and Fiscal Sustainability</w:t>
      </w:r>
    </w:p>
    <w:p w14:paraId="58C358F5"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Infrastructure financing in Kenya combines national exchequer allocation, county budgets, concessional and commercial external borrowing, and an expanding PPP programme, each of which carries distinct implications for project management practice. Kandie et al. (2025) note that reliance on external borrowing to close Kenya's infrastructure financing gap has raised debt sustainability concerns that interact directly with project-level cash flow, since delayed disbursement associated with fiscal constraint is a recurrent driver of contractor payment delay and consequent schedule slippage. </w:t>
      </w:r>
      <w:r w:rsidRPr="00C82F74">
        <w:rPr>
          <w:rFonts w:ascii="Times New Roman" w:eastAsia="Times New Roman" w:hAnsi="Times New Roman" w:cs="Times New Roman"/>
          <w:b/>
          <w:bCs/>
          <w:sz w:val="24"/>
          <w:szCs w:val="24"/>
          <w:lang w:eastAsia="en-GB"/>
        </w:rPr>
        <w:t xml:space="preserve">Briceño-Garmendia and </w:t>
      </w:r>
      <w:proofErr w:type="spellStart"/>
      <w:r w:rsidRPr="00C82F74">
        <w:rPr>
          <w:rFonts w:ascii="Times New Roman" w:eastAsia="Times New Roman" w:hAnsi="Times New Roman" w:cs="Times New Roman"/>
          <w:b/>
          <w:bCs/>
          <w:sz w:val="24"/>
          <w:szCs w:val="24"/>
          <w:lang w:eastAsia="en-GB"/>
        </w:rPr>
        <w:t>Shkaratan's</w:t>
      </w:r>
      <w:proofErr w:type="spellEnd"/>
      <w:r w:rsidRPr="00C82F74">
        <w:rPr>
          <w:rFonts w:ascii="Times New Roman" w:eastAsia="Times New Roman" w:hAnsi="Times New Roman" w:cs="Times New Roman"/>
          <w:b/>
          <w:bCs/>
          <w:sz w:val="24"/>
          <w:szCs w:val="24"/>
          <w:lang w:eastAsia="en-GB"/>
        </w:rPr>
        <w:t xml:space="preserve"> (2011)</w:t>
      </w:r>
      <w:r w:rsidRPr="00C82F74">
        <w:rPr>
          <w:rFonts w:ascii="Times New Roman" w:eastAsia="Times New Roman" w:hAnsi="Times New Roman" w:cs="Times New Roman"/>
          <w:sz w:val="24"/>
          <w:szCs w:val="24"/>
          <w:lang w:eastAsia="en-GB"/>
        </w:rPr>
        <w:t xml:space="preserve"> institutional assessment of Kenya's public investment management system similarly identifies land acquisition and resettlement processes, alongside broader public investment appraisal weaknesses, as structural constraints that predate and condition project-level performance, irrespective of the technical competence applied once implementation begins. More recent IMF assessment extends this diagnosis to climate considerations, finding that infrastructure appraisal processes have not yet been systematically adjusted to account for climate-related risk to transport, water and energy assets, despite documented exposure to drought and flood hazards (International Monetary Fund, 2024).</w:t>
      </w:r>
    </w:p>
    <w:p w14:paraId="593894A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5 draws these institutional challenges together. Read alongside Table 4, it indicates that the governance and financing constraints summarised here condition, rather than merely accompany, the project-level practice outcomes examined earlier in the review.</w:t>
      </w:r>
    </w:p>
    <w:p w14:paraId="6AACC3B4"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5. Key institutional and governance challenges affecting infrastructure project performance in Kenya</w:t>
      </w:r>
    </w:p>
    <w:tbl>
      <w:tblPr>
        <w:tblStyle w:val="TableGrid"/>
        <w:tblW w:w="0" w:type="auto"/>
        <w:tblLook w:val="04A0" w:firstRow="1" w:lastRow="0" w:firstColumn="1" w:lastColumn="0" w:noHBand="0" w:noVBand="1"/>
      </w:tblPr>
      <w:tblGrid>
        <w:gridCol w:w="2340"/>
        <w:gridCol w:w="2363"/>
        <w:gridCol w:w="2580"/>
        <w:gridCol w:w="1959"/>
      </w:tblGrid>
      <w:tr w:rsidR="00C82F74" w:rsidRPr="00C82F74" w14:paraId="0247B9E5" w14:textId="77777777" w:rsidTr="00C82F74">
        <w:tc>
          <w:tcPr>
            <w:tcW w:w="0" w:type="auto"/>
            <w:hideMark/>
          </w:tcPr>
          <w:p w14:paraId="00DCD132"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Challenge domain</w:t>
            </w:r>
          </w:p>
        </w:tc>
        <w:tc>
          <w:tcPr>
            <w:tcW w:w="0" w:type="auto"/>
            <w:hideMark/>
          </w:tcPr>
          <w:p w14:paraId="325227DB"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Description</w:t>
            </w:r>
          </w:p>
        </w:tc>
        <w:tc>
          <w:tcPr>
            <w:tcW w:w="0" w:type="auto"/>
            <w:hideMark/>
          </w:tcPr>
          <w:p w14:paraId="14CFDB59"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 xml:space="preserve">Implication for project </w:t>
            </w:r>
            <w:r w:rsidRPr="00C82F74">
              <w:rPr>
                <w:rFonts w:ascii="Times New Roman" w:eastAsia="Times New Roman" w:hAnsi="Times New Roman" w:cs="Times New Roman"/>
                <w:b/>
                <w:bCs/>
                <w:sz w:val="24"/>
                <w:szCs w:val="24"/>
                <w:lang w:eastAsia="en-GB"/>
              </w:rPr>
              <w:lastRenderedPageBreak/>
              <w:t>performance</w:t>
            </w:r>
          </w:p>
        </w:tc>
        <w:tc>
          <w:tcPr>
            <w:tcW w:w="0" w:type="auto"/>
            <w:hideMark/>
          </w:tcPr>
          <w:p w14:paraId="051E9BB2" w14:textId="77777777" w:rsidR="00C82F74" w:rsidRPr="00C82F74" w:rsidRDefault="00C82F74" w:rsidP="00C82F74">
            <w:pPr>
              <w:jc w:val="center"/>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lastRenderedPageBreak/>
              <w:t xml:space="preserve">Supporting </w:t>
            </w:r>
            <w:r w:rsidRPr="00C82F74">
              <w:rPr>
                <w:rFonts w:ascii="Times New Roman" w:eastAsia="Times New Roman" w:hAnsi="Times New Roman" w:cs="Times New Roman"/>
                <w:b/>
                <w:bCs/>
                <w:sz w:val="24"/>
                <w:szCs w:val="24"/>
                <w:lang w:eastAsia="en-GB"/>
              </w:rPr>
              <w:lastRenderedPageBreak/>
              <w:t>references</w:t>
            </w:r>
          </w:p>
        </w:tc>
      </w:tr>
      <w:tr w:rsidR="00C82F74" w:rsidRPr="00C82F74" w14:paraId="209476C7" w14:textId="77777777" w:rsidTr="00C82F74">
        <w:tc>
          <w:tcPr>
            <w:tcW w:w="0" w:type="auto"/>
            <w:hideMark/>
          </w:tcPr>
          <w:p w14:paraId="14B3473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Corruption and patronage</w:t>
            </w:r>
          </w:p>
        </w:tc>
        <w:tc>
          <w:tcPr>
            <w:tcW w:w="0" w:type="auto"/>
            <w:hideMark/>
          </w:tcPr>
          <w:p w14:paraId="3CBEFF7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patronage networks and weak procurement oversight</w:t>
            </w:r>
          </w:p>
        </w:tc>
        <w:tc>
          <w:tcPr>
            <w:tcW w:w="0" w:type="auto"/>
            <w:hideMark/>
          </w:tcPr>
          <w:p w14:paraId="065AD36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Delayed and contested contract awards; inflated costs</w:t>
            </w:r>
          </w:p>
        </w:tc>
        <w:tc>
          <w:tcPr>
            <w:tcW w:w="0" w:type="auto"/>
            <w:hideMark/>
          </w:tcPr>
          <w:p w14:paraId="656CF8D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D'Arcy &amp; Cornell (2016);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w:t>
            </w:r>
          </w:p>
        </w:tc>
      </w:tr>
      <w:tr w:rsidR="00C82F74" w:rsidRPr="00C82F74" w14:paraId="398EDA58" w14:textId="77777777" w:rsidTr="00C82F74">
        <w:tc>
          <w:tcPr>
            <w:tcW w:w="0" w:type="auto"/>
            <w:hideMark/>
          </w:tcPr>
          <w:p w14:paraId="7A9D7C1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Professional and construction ethics</w:t>
            </w:r>
          </w:p>
        </w:tc>
        <w:tc>
          <w:tcPr>
            <w:tcW w:w="0" w:type="auto"/>
            <w:hideMark/>
          </w:tcPr>
          <w:p w14:paraId="06AF843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Inflated pricing, kickbacks, weak whistle-blower protection</w:t>
            </w:r>
          </w:p>
        </w:tc>
        <w:tc>
          <w:tcPr>
            <w:tcW w:w="0" w:type="auto"/>
            <w:hideMark/>
          </w:tcPr>
          <w:p w14:paraId="166FC218"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Erosion of cost and quality performance despite formal codes</w:t>
            </w:r>
          </w:p>
        </w:tc>
        <w:tc>
          <w:tcPr>
            <w:tcW w:w="0" w:type="auto"/>
            <w:hideMark/>
          </w:tcPr>
          <w:p w14:paraId="5875C837"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Amoah &amp; Steyn (2023)</w:t>
            </w:r>
          </w:p>
        </w:tc>
      </w:tr>
      <w:tr w:rsidR="00C82F74" w:rsidRPr="00C82F74" w14:paraId="4B864760" w14:textId="77777777" w:rsidTr="00C82F74">
        <w:tc>
          <w:tcPr>
            <w:tcW w:w="0" w:type="auto"/>
            <w:hideMark/>
          </w:tcPr>
          <w:p w14:paraId="385B3F2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implementation capacity</w:t>
            </w:r>
          </w:p>
        </w:tc>
        <w:tc>
          <w:tcPr>
            <w:tcW w:w="0" w:type="auto"/>
            <w:hideMark/>
          </w:tcPr>
          <w:p w14:paraId="1F93A00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Uneven fiscal and technical capacity across counties</w:t>
            </w:r>
          </w:p>
        </w:tc>
        <w:tc>
          <w:tcPr>
            <w:tcW w:w="0" w:type="auto"/>
            <w:hideMark/>
          </w:tcPr>
          <w:p w14:paraId="7D6FF27A"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Inconsistent application of planning, risk and monitoring practices</w:t>
            </w:r>
          </w:p>
        </w:tc>
        <w:tc>
          <w:tcPr>
            <w:tcW w:w="0" w:type="auto"/>
            <w:hideMark/>
          </w:tcPr>
          <w:p w14:paraId="4AB637C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D'Arcy &amp; Cornell (2016)</w:t>
            </w:r>
          </w:p>
        </w:tc>
      </w:tr>
      <w:tr w:rsidR="00C82F74" w:rsidRPr="00C82F74" w14:paraId="66A20EF0" w14:textId="77777777" w:rsidTr="00C82F74">
        <w:tc>
          <w:tcPr>
            <w:tcW w:w="0" w:type="auto"/>
            <w:hideMark/>
          </w:tcPr>
          <w:p w14:paraId="796CFA4C"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financing and debt sustainability</w:t>
            </w:r>
          </w:p>
        </w:tc>
        <w:tc>
          <w:tcPr>
            <w:tcW w:w="0" w:type="auto"/>
            <w:hideMark/>
          </w:tcPr>
          <w:p w14:paraId="64CB404D"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Reliance on external borrowing amid fiscal constraint</w:t>
            </w:r>
          </w:p>
        </w:tc>
        <w:tc>
          <w:tcPr>
            <w:tcW w:w="0" w:type="auto"/>
            <w:hideMark/>
          </w:tcPr>
          <w:p w14:paraId="646EAC34"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Payment delay, contractor cash-flow stress, schedule slippage</w:t>
            </w:r>
          </w:p>
        </w:tc>
        <w:tc>
          <w:tcPr>
            <w:tcW w:w="0" w:type="auto"/>
            <w:hideMark/>
          </w:tcPr>
          <w:p w14:paraId="04D125C1"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Kandie et al. (2025)</w:t>
            </w:r>
          </w:p>
        </w:tc>
      </w:tr>
      <w:tr w:rsidR="00C82F74" w:rsidRPr="00C82F74" w14:paraId="38B5BEB1" w14:textId="77777777" w:rsidTr="00C82F74">
        <w:tc>
          <w:tcPr>
            <w:tcW w:w="0" w:type="auto"/>
            <w:hideMark/>
          </w:tcPr>
          <w:p w14:paraId="7224055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 investment management and land acquisition</w:t>
            </w:r>
          </w:p>
        </w:tc>
        <w:tc>
          <w:tcPr>
            <w:tcW w:w="0" w:type="auto"/>
            <w:hideMark/>
          </w:tcPr>
          <w:p w14:paraId="6AEEF4D6"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Weak appraisal and resettlement processes</w:t>
            </w:r>
          </w:p>
        </w:tc>
        <w:tc>
          <w:tcPr>
            <w:tcW w:w="0" w:type="auto"/>
            <w:hideMark/>
          </w:tcPr>
          <w:p w14:paraId="6C33A229"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Structural delay preceding project implementation</w:t>
            </w:r>
          </w:p>
        </w:tc>
        <w:tc>
          <w:tcPr>
            <w:tcW w:w="0" w:type="auto"/>
            <w:hideMark/>
          </w:tcPr>
          <w:p w14:paraId="13E0F8CE"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 xml:space="preserve">Briceño-Garmendia &amp; </w:t>
            </w:r>
            <w:proofErr w:type="spellStart"/>
            <w:r w:rsidRPr="00C82F74">
              <w:rPr>
                <w:rFonts w:ascii="Times New Roman" w:eastAsia="Times New Roman" w:hAnsi="Times New Roman" w:cs="Times New Roman"/>
                <w:b/>
                <w:bCs/>
                <w:sz w:val="24"/>
                <w:szCs w:val="24"/>
                <w:lang w:eastAsia="en-GB"/>
              </w:rPr>
              <w:t>Shkaratan</w:t>
            </w:r>
            <w:proofErr w:type="spellEnd"/>
            <w:r w:rsidRPr="00C82F74">
              <w:rPr>
                <w:rFonts w:ascii="Times New Roman" w:eastAsia="Times New Roman" w:hAnsi="Times New Roman" w:cs="Times New Roman"/>
                <w:b/>
                <w:bCs/>
                <w:sz w:val="24"/>
                <w:szCs w:val="24"/>
                <w:lang w:eastAsia="en-GB"/>
              </w:rPr>
              <w:t xml:space="preserve"> (2011)</w:t>
            </w:r>
          </w:p>
        </w:tc>
      </w:tr>
      <w:tr w:rsidR="00C82F74" w:rsidRPr="00C82F74" w14:paraId="45A477B2" w14:textId="77777777" w:rsidTr="00C82F74">
        <w:tc>
          <w:tcPr>
            <w:tcW w:w="0" w:type="auto"/>
            <w:hideMark/>
          </w:tcPr>
          <w:p w14:paraId="2F616D8F"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Climate misalignment</w:t>
            </w:r>
          </w:p>
        </w:tc>
        <w:tc>
          <w:tcPr>
            <w:tcW w:w="0" w:type="auto"/>
            <w:hideMark/>
          </w:tcPr>
          <w:p w14:paraId="47B4D7F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appraisal not adjusted for climate risk</w:t>
            </w:r>
          </w:p>
        </w:tc>
        <w:tc>
          <w:tcPr>
            <w:tcW w:w="0" w:type="auto"/>
            <w:hideMark/>
          </w:tcPr>
          <w:p w14:paraId="7FCD4650"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Long-term asset vulnerability despite short-term completion</w:t>
            </w:r>
          </w:p>
        </w:tc>
        <w:tc>
          <w:tcPr>
            <w:tcW w:w="0" w:type="auto"/>
            <w:hideMark/>
          </w:tcPr>
          <w:p w14:paraId="010F5E62" w14:textId="77777777" w:rsidR="00C82F74" w:rsidRPr="00C82F74" w:rsidRDefault="00C82F74" w:rsidP="00C82F74">
            <w:pPr>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International Monetary Fund (2024)</w:t>
            </w:r>
          </w:p>
        </w:tc>
      </w:tr>
    </w:tbl>
    <w:p w14:paraId="5190B3F1"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8. Emerging Trends and Cross-Cutting Considerations</w:t>
      </w:r>
    </w:p>
    <w:p w14:paraId="37540668"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8.1 Digital Technologies</w:t>
      </w:r>
    </w:p>
    <w:p w14:paraId="2D86A62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Digital design and coordination technologies, particularly BIM, represent an emerging but still underexploited opportunity to strengthen Kenyan infrastructure project management. As documented in Section 4.7, adoption remains constrained by cost and the absence of policy mandates, yet the potential contribution of such tools to reducing design-stage errors and improving multi-stakeholder coordination suggests that digitalisation warrants closer integration with the risk management and stakeholder engagement practices already established in the literature, rather than treatment as a separate technical initiative.</w:t>
      </w:r>
    </w:p>
    <w:p w14:paraId="21A15FB1"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8.2 Climate Resilience and Environmental Sustainability</w:t>
      </w:r>
    </w:p>
    <w:p w14:paraId="46E0D94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Environmental and climate considerations have moved from the periphery to the centre of infrastructure debate in Kenya, driven partly by the ecological consequences documented in SGR research, which identified ecosystem degradation, fragmentation and, in some locations, destruction along the rail corridor despite formal environmental and social impact assessment procedures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This experience, combined with IMF assessment indicating that public investment appraisal has not yet been systematically aligned with climate risk, points toward an emerging requirement for project management practice in Kenya to incorporate climate-adjusted planning and risk assessment as a standard rather than exceptional consideration (International Monetary Fund, 2024).</w:t>
      </w:r>
    </w:p>
    <w:p w14:paraId="3AFB3ED2" w14:textId="77777777" w:rsidR="00C82F74" w:rsidRPr="00C82F74" w:rsidRDefault="00C82F74" w:rsidP="00C82F7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8.3 Public–Private Partnerships</w:t>
      </w:r>
    </w:p>
    <w:p w14:paraId="53A5DE9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PPPs continue to expand as a financing and delivery mechanism for Kenyan infrastructure, offering a means of mobilising private capital and technical expertise while transferring specified risks to private partners. The evidence reviewed indicates that the success of such arrangements depends heavily on institutional-level conditions, including community acceptance, agency competence and clarity of contractual risk allocation, rather than on private financing alone, and that weaknesses in procurement governance can undermine the intended benefits of private-sector participation (Chileshe et al., 2020;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 As Kenya's partnership pipeline grows, the interaction between this delivery model and the broader project management practice domains examined throughout this review, particularly procurement, stakeholder management and monitoring, is likely to become an increasingly important focus for both research and policy.</w:t>
      </w:r>
    </w:p>
    <w:p w14:paraId="1D58708A"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9. Future Directions</w:t>
      </w:r>
    </w:p>
    <w:p w14:paraId="64E22E61"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Future research on project management practices and infrastructure performance in Kenya would benefit from methodological approaches that move beyond the cross-sectional survey designs that currently dominate the literature. Longitudinal research tracking individual projects from planning through post-completion operation would allow researchers to observe how practices applied at different lifecycle stages interact cumulatively to shape final performance outcomes, addressing a limitation evident throughout the studies reviewed here. Comparative research explicitly designed to contrast performance across counties with differing fiscal and technical capacity would also help clarify how much of the variation currently attributed to project management practice is in fact attributable to institutional context, a distinction the existing literature has not yet disentangled with sufficient rigour.</w:t>
      </w:r>
    </w:p>
    <w:p w14:paraId="541A2DAF"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Further attention should be directed toward the integration of digital design and coordination technologies with established project management practice domains, examining not simply whether BIM and related tools are adopted, but how their adoption interacts with risk management, stakeholder engagement and monitoring processes to influence performance. Similarly, research explicitly linking climate risk assessment to project appraisal and design decisions would help translate the institutional-level diagnosis offered by recent public investment management assessment into project-level guidance applicable to specific sectors such as roads, water supply and energy transmission. Finally, given the consistent finding that institutional and governance conditions exert an influence on performance comparable to, or exceeding, project-level management competence, future research would benefit from theoretical frameworks that more explicitly model the interaction between political economy variables, such as devolved patronage dynamics and procurement governance, and conventional project management constructs, rather than treating these as separate analytical domains.</w:t>
      </w:r>
    </w:p>
    <w:p w14:paraId="0B576260"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10. Conclusions</w:t>
      </w:r>
    </w:p>
    <w:p w14:paraId="3265C183"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This review has synthesised the literature on project management practices and the performance of infrastructure projects in Kenya, situating the country's experience within a wider comparative evidence base drawn from sub-Saharan Africa and other developing regions. The evidence indicates that planning, risk management, stakeholder engagement, procurement, monitoring and evaluation, and resource and quality management practices are each individually associated with project performance outcomes, but that their influence is best understood cumulatively rather than in isolation, since weakness in one domain tends to compound vulnerabilities elsewhere in the project lifecycle. The review further establishes </w:t>
      </w:r>
      <w:r w:rsidRPr="00C82F74">
        <w:rPr>
          <w:rFonts w:ascii="Times New Roman" w:eastAsia="Times New Roman" w:hAnsi="Times New Roman" w:cs="Times New Roman"/>
          <w:sz w:val="24"/>
          <w:szCs w:val="24"/>
          <w:lang w:eastAsia="en-GB"/>
        </w:rPr>
        <w:lastRenderedPageBreak/>
        <w:t>that institutional and political economy conditions, including devolved patronage dynamics, procurement governance and infrastructure financing constraints, exert an influence on performance that operates alongside, and at times overshadows, project-level management competence. Digitalisation, climate-resilient design and PPP arrangements emerge as increasingly consequential themes that remain comparatively underexplored relative to the more established practice domains of planning, risk and procurement. Taken together, the evidence suggests that improving infrastructure performance in Kenya will require attention to both project-level management capability and the broader institutional environment within which that capability is exercised, rather than reliance on either dimension alone.</w:t>
      </w:r>
    </w:p>
    <w:p w14:paraId="04BD80C1"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11. Limitations</w:t>
      </w:r>
    </w:p>
    <w:p w14:paraId="75012E7F" w14:textId="28940A56" w:rsid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review is subject to several limitations. As a narrative rather than systematic review, the selection and interpretation of studies, while guided by explicit criteria, retains an element of reviewer judgement that a fully systematic protocol would constrain more tightly. The literature synthesised here is dominated by cross-sectional survey research, much of it drawing on convenience samples of project participants in specific counties or sectors, which limits the extent to which findings can be generalised across the full diversity of Kenyan infrastructure delivery. Several studies included in the comparative evidence base are drawn from other African and developing-country contexts, and while these were selected for their conceptual and empirical relevance, institutional differences between Kenya and these comparator countries mean that findings cannot be assumed to transfer without qualification. Finally, the rapidly evolving character of Kenya's infrastructure financing and governance environment, including ongoing developments in PPP regulation and climate-adjusted public investment management, means that some of the institutional detail discussed in this review may be superseded by subsequent policy and regulatory change.</w:t>
      </w:r>
    </w:p>
    <w:p w14:paraId="525D4382" w14:textId="5EF3A9E4" w:rsidR="003A1E08" w:rsidRDefault="003A1E08" w:rsidP="00C82F74">
      <w:pPr>
        <w:spacing w:before="100" w:beforeAutospacing="1" w:after="100" w:afterAutospacing="1" w:line="240" w:lineRule="auto"/>
        <w:rPr>
          <w:rFonts w:ascii="Times New Roman" w:eastAsia="Times New Roman" w:hAnsi="Times New Roman" w:cs="Times New Roman"/>
          <w:sz w:val="24"/>
          <w:szCs w:val="24"/>
          <w:lang w:eastAsia="en-GB"/>
        </w:rPr>
      </w:pPr>
    </w:p>
    <w:p w14:paraId="484733EC" w14:textId="77777777" w:rsidR="003A1E08" w:rsidRPr="000839CE" w:rsidRDefault="003A1E08" w:rsidP="003A1E08">
      <w:pPr>
        <w:spacing w:after="0" w:line="240" w:lineRule="auto"/>
        <w:rPr>
          <w:rFonts w:ascii="Times New Roman" w:hAnsi="Times New Roman" w:cs="Times New Roman"/>
          <w:b/>
        </w:rPr>
      </w:pPr>
      <w:bookmarkStart w:id="0" w:name="_Hlk234486585"/>
      <w:bookmarkStart w:id="1" w:name="_Hlk234075571"/>
      <w:bookmarkStart w:id="2" w:name="_Hlk232755622"/>
      <w:r w:rsidRPr="000839CE">
        <w:rPr>
          <w:rFonts w:ascii="Times New Roman" w:hAnsi="Times New Roman" w:cs="Times New Roman"/>
          <w:b/>
        </w:rPr>
        <w:t>Declaration of AI Use</w:t>
      </w:r>
    </w:p>
    <w:p w14:paraId="6E9FADA3" w14:textId="77777777" w:rsidR="003A1E08" w:rsidRPr="000839CE" w:rsidRDefault="003A1E08" w:rsidP="003A1E08">
      <w:pPr>
        <w:spacing w:after="0" w:line="240" w:lineRule="auto"/>
        <w:rPr>
          <w:rFonts w:ascii="Times New Roman" w:hAnsi="Times New Roman" w:cs="Times New Roman"/>
        </w:rPr>
      </w:pPr>
      <w:bookmarkStart w:id="3" w:name="_Hlk234486575"/>
      <w:bookmarkEnd w:id="0"/>
    </w:p>
    <w:p w14:paraId="7ED53C4C" w14:textId="77777777" w:rsidR="003A1E08" w:rsidRPr="000839CE" w:rsidRDefault="003A1E08" w:rsidP="003A1E0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44C97D99" w14:textId="77777777" w:rsidR="003A1E08" w:rsidRPr="00C82F74" w:rsidRDefault="003A1E08" w:rsidP="00C82F74">
      <w:pPr>
        <w:spacing w:before="100" w:beforeAutospacing="1" w:after="100" w:afterAutospacing="1" w:line="240" w:lineRule="auto"/>
        <w:rPr>
          <w:rFonts w:ascii="Times New Roman" w:eastAsia="Times New Roman" w:hAnsi="Times New Roman" w:cs="Times New Roman"/>
          <w:sz w:val="24"/>
          <w:szCs w:val="24"/>
          <w:lang w:eastAsia="en-GB"/>
        </w:rPr>
      </w:pPr>
    </w:p>
    <w:p w14:paraId="4961BBCB" w14:textId="77777777" w:rsidR="00C82F74" w:rsidRPr="00C82F74" w:rsidRDefault="00C82F74" w:rsidP="00C82F7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References</w:t>
      </w:r>
    </w:p>
    <w:p w14:paraId="456E25C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Amoah, C., &amp; Steyn, D. (2023). Barriers to unethical and corrupt practices avoidance in the construction industry. </w:t>
      </w:r>
      <w:r w:rsidRPr="00C82F74">
        <w:rPr>
          <w:rFonts w:ascii="Times New Roman" w:eastAsia="Times New Roman" w:hAnsi="Times New Roman" w:cs="Times New Roman"/>
          <w:i/>
          <w:iCs/>
          <w:sz w:val="24"/>
          <w:szCs w:val="24"/>
          <w:lang w:eastAsia="en-GB"/>
        </w:rPr>
        <w:t>International Journal of Building Pathology and Adaptation, 41</w:t>
      </w:r>
      <w:r w:rsidRPr="00C82F74">
        <w:rPr>
          <w:rFonts w:ascii="Times New Roman" w:eastAsia="Times New Roman" w:hAnsi="Times New Roman" w:cs="Times New Roman"/>
          <w:sz w:val="24"/>
          <w:szCs w:val="24"/>
          <w:lang w:eastAsia="en-GB"/>
        </w:rPr>
        <w:t xml:space="preserve">(6), 85–101. </w:t>
      </w:r>
      <w:hyperlink r:id="rId6" w:history="1">
        <w:r w:rsidRPr="00C82F74">
          <w:rPr>
            <w:rFonts w:ascii="Times New Roman" w:eastAsia="Times New Roman" w:hAnsi="Times New Roman" w:cs="Times New Roman"/>
            <w:color w:val="0000FF"/>
            <w:sz w:val="24"/>
            <w:szCs w:val="24"/>
            <w:u w:val="single"/>
            <w:lang w:eastAsia="en-GB"/>
          </w:rPr>
          <w:t>https://doi.org/10.1108/IJBPA-01-2022-0021</w:t>
        </w:r>
      </w:hyperlink>
    </w:p>
    <w:p w14:paraId="2DAB09C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Atkinson, R. (1999). Project management: Cost, time and quality, two best guesses and a phenomenon, </w:t>
      </w:r>
      <w:proofErr w:type="spellStart"/>
      <w:r w:rsidRPr="00C82F74">
        <w:rPr>
          <w:rFonts w:ascii="Times New Roman" w:eastAsia="Times New Roman" w:hAnsi="Times New Roman" w:cs="Times New Roman"/>
          <w:sz w:val="24"/>
          <w:szCs w:val="24"/>
          <w:lang w:eastAsia="en-GB"/>
        </w:rPr>
        <w:t>its</w:t>
      </w:r>
      <w:proofErr w:type="spellEnd"/>
      <w:r w:rsidRPr="00C82F74">
        <w:rPr>
          <w:rFonts w:ascii="Times New Roman" w:eastAsia="Times New Roman" w:hAnsi="Times New Roman" w:cs="Times New Roman"/>
          <w:sz w:val="24"/>
          <w:szCs w:val="24"/>
          <w:lang w:eastAsia="en-GB"/>
        </w:rPr>
        <w:t xml:space="preserve"> time to accept other success criteria. </w:t>
      </w:r>
      <w:r w:rsidRPr="00C82F74">
        <w:rPr>
          <w:rFonts w:ascii="Times New Roman" w:eastAsia="Times New Roman" w:hAnsi="Times New Roman" w:cs="Times New Roman"/>
          <w:i/>
          <w:iCs/>
          <w:sz w:val="24"/>
          <w:szCs w:val="24"/>
          <w:lang w:eastAsia="en-GB"/>
        </w:rPr>
        <w:t>International Journal of Project Management, 17</w:t>
      </w:r>
      <w:r w:rsidRPr="00C82F74">
        <w:rPr>
          <w:rFonts w:ascii="Times New Roman" w:eastAsia="Times New Roman" w:hAnsi="Times New Roman" w:cs="Times New Roman"/>
          <w:sz w:val="24"/>
          <w:szCs w:val="24"/>
          <w:lang w:eastAsia="en-GB"/>
        </w:rPr>
        <w:t xml:space="preserve">(6), 337–342. </w:t>
      </w:r>
      <w:hyperlink r:id="rId7" w:history="1">
        <w:r w:rsidRPr="00C82F74">
          <w:rPr>
            <w:rFonts w:ascii="Times New Roman" w:eastAsia="Times New Roman" w:hAnsi="Times New Roman" w:cs="Times New Roman"/>
            <w:color w:val="0000FF"/>
            <w:sz w:val="24"/>
            <w:szCs w:val="24"/>
            <w:u w:val="single"/>
            <w:lang w:eastAsia="en-GB"/>
          </w:rPr>
          <w:t>https://doi.org/10.1016/S0263-7863(98)00069-6</w:t>
        </w:r>
      </w:hyperlink>
    </w:p>
    <w:p w14:paraId="15A2AE4D"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Briceño-Garmendia, C. M., &amp; </w:t>
      </w:r>
      <w:proofErr w:type="spellStart"/>
      <w:r w:rsidRPr="00C82F74">
        <w:rPr>
          <w:rFonts w:ascii="Times New Roman" w:eastAsia="Times New Roman" w:hAnsi="Times New Roman" w:cs="Times New Roman"/>
          <w:sz w:val="24"/>
          <w:szCs w:val="24"/>
          <w:lang w:eastAsia="en-GB"/>
        </w:rPr>
        <w:t>Shkaratan</w:t>
      </w:r>
      <w:proofErr w:type="spellEnd"/>
      <w:r w:rsidRPr="00C82F74">
        <w:rPr>
          <w:rFonts w:ascii="Times New Roman" w:eastAsia="Times New Roman" w:hAnsi="Times New Roman" w:cs="Times New Roman"/>
          <w:sz w:val="24"/>
          <w:szCs w:val="24"/>
          <w:lang w:eastAsia="en-GB"/>
        </w:rPr>
        <w:t xml:space="preserve">, M. (2011). </w:t>
      </w:r>
      <w:r w:rsidRPr="00C82F74">
        <w:rPr>
          <w:rFonts w:ascii="Times New Roman" w:eastAsia="Times New Roman" w:hAnsi="Times New Roman" w:cs="Times New Roman"/>
          <w:i/>
          <w:iCs/>
          <w:sz w:val="24"/>
          <w:szCs w:val="24"/>
          <w:lang w:eastAsia="en-GB"/>
        </w:rPr>
        <w:t>Kenya's infrastructure: A continental perspective</w:t>
      </w:r>
      <w:r w:rsidRPr="00C82F74">
        <w:rPr>
          <w:rFonts w:ascii="Times New Roman" w:eastAsia="Times New Roman" w:hAnsi="Times New Roman" w:cs="Times New Roman"/>
          <w:sz w:val="24"/>
          <w:szCs w:val="24"/>
          <w:lang w:eastAsia="en-GB"/>
        </w:rPr>
        <w:t xml:space="preserve"> (World Bank Policy Research Working Paper No. 5596). World Bank. </w:t>
      </w:r>
      <w:hyperlink r:id="rId8" w:history="1">
        <w:r w:rsidRPr="00C82F74">
          <w:rPr>
            <w:rFonts w:ascii="Times New Roman" w:eastAsia="Times New Roman" w:hAnsi="Times New Roman" w:cs="Times New Roman"/>
            <w:color w:val="0000FF"/>
            <w:sz w:val="24"/>
            <w:szCs w:val="24"/>
            <w:u w:val="single"/>
            <w:lang w:eastAsia="en-GB"/>
          </w:rPr>
          <w:t>https://doi.org/10.1596/1813-9450-5596</w:t>
        </w:r>
      </w:hyperlink>
    </w:p>
    <w:p w14:paraId="1D056A6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Chileshe, N., Njau, C. W., </w:t>
      </w:r>
      <w:proofErr w:type="spellStart"/>
      <w:r w:rsidRPr="00C82F74">
        <w:rPr>
          <w:rFonts w:ascii="Times New Roman" w:eastAsia="Times New Roman" w:hAnsi="Times New Roman" w:cs="Times New Roman"/>
          <w:sz w:val="24"/>
          <w:szCs w:val="24"/>
          <w:lang w:eastAsia="en-GB"/>
        </w:rPr>
        <w:t>Kibichii</w:t>
      </w:r>
      <w:proofErr w:type="spellEnd"/>
      <w:r w:rsidRPr="00C82F74">
        <w:rPr>
          <w:rFonts w:ascii="Times New Roman" w:eastAsia="Times New Roman" w:hAnsi="Times New Roman" w:cs="Times New Roman"/>
          <w:sz w:val="24"/>
          <w:szCs w:val="24"/>
          <w:lang w:eastAsia="en-GB"/>
        </w:rPr>
        <w:t xml:space="preserve">, B. K., Macharia, L. N., &amp; </w:t>
      </w:r>
      <w:proofErr w:type="spellStart"/>
      <w:r w:rsidRPr="00C82F74">
        <w:rPr>
          <w:rFonts w:ascii="Times New Roman" w:eastAsia="Times New Roman" w:hAnsi="Times New Roman" w:cs="Times New Roman"/>
          <w:sz w:val="24"/>
          <w:szCs w:val="24"/>
          <w:lang w:eastAsia="en-GB"/>
        </w:rPr>
        <w:t>Kavishe</w:t>
      </w:r>
      <w:proofErr w:type="spellEnd"/>
      <w:r w:rsidRPr="00C82F74">
        <w:rPr>
          <w:rFonts w:ascii="Times New Roman" w:eastAsia="Times New Roman" w:hAnsi="Times New Roman" w:cs="Times New Roman"/>
          <w:sz w:val="24"/>
          <w:szCs w:val="24"/>
          <w:lang w:eastAsia="en-GB"/>
        </w:rPr>
        <w:t xml:space="preserve">, N. (2020). Critical success factors for Public-Private Partnership (PPP) infrastructure and housing projects in Kenya. </w:t>
      </w:r>
      <w:r w:rsidRPr="00C82F74">
        <w:rPr>
          <w:rFonts w:ascii="Times New Roman" w:eastAsia="Times New Roman" w:hAnsi="Times New Roman" w:cs="Times New Roman"/>
          <w:i/>
          <w:iCs/>
          <w:sz w:val="24"/>
          <w:szCs w:val="24"/>
          <w:lang w:eastAsia="en-GB"/>
        </w:rPr>
        <w:t>International Journal of Construction Management, 22</w:t>
      </w:r>
      <w:r w:rsidRPr="00C82F74">
        <w:rPr>
          <w:rFonts w:ascii="Times New Roman" w:eastAsia="Times New Roman" w:hAnsi="Times New Roman" w:cs="Times New Roman"/>
          <w:sz w:val="24"/>
          <w:szCs w:val="24"/>
          <w:lang w:eastAsia="en-GB"/>
        </w:rPr>
        <w:t xml:space="preserve">(9), 1606–1617. </w:t>
      </w:r>
      <w:hyperlink r:id="rId9" w:history="1">
        <w:r w:rsidRPr="00C82F74">
          <w:rPr>
            <w:rFonts w:ascii="Times New Roman" w:eastAsia="Times New Roman" w:hAnsi="Times New Roman" w:cs="Times New Roman"/>
            <w:color w:val="0000FF"/>
            <w:sz w:val="24"/>
            <w:szCs w:val="24"/>
            <w:u w:val="single"/>
            <w:lang w:eastAsia="en-GB"/>
          </w:rPr>
          <w:t>https://doi.org/10.1080/15623599.2020.1736835</w:t>
        </w:r>
      </w:hyperlink>
    </w:p>
    <w:p w14:paraId="73CF0418"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Crawford, P., &amp; Bryce, P. (2003). Project monitoring and evaluation: A method for enhancing the efficiency and effectiveness of aid project implementation. </w:t>
      </w:r>
      <w:r w:rsidRPr="00C82F74">
        <w:rPr>
          <w:rFonts w:ascii="Times New Roman" w:eastAsia="Times New Roman" w:hAnsi="Times New Roman" w:cs="Times New Roman"/>
          <w:i/>
          <w:iCs/>
          <w:sz w:val="24"/>
          <w:szCs w:val="24"/>
          <w:lang w:eastAsia="en-GB"/>
        </w:rPr>
        <w:t>International Journal of Project Management, 21</w:t>
      </w:r>
      <w:r w:rsidRPr="00C82F74">
        <w:rPr>
          <w:rFonts w:ascii="Times New Roman" w:eastAsia="Times New Roman" w:hAnsi="Times New Roman" w:cs="Times New Roman"/>
          <w:sz w:val="24"/>
          <w:szCs w:val="24"/>
          <w:lang w:eastAsia="en-GB"/>
        </w:rPr>
        <w:t xml:space="preserve">(5), 363–373. </w:t>
      </w:r>
      <w:hyperlink r:id="rId10" w:history="1">
        <w:r w:rsidRPr="00C82F74">
          <w:rPr>
            <w:rFonts w:ascii="Times New Roman" w:eastAsia="Times New Roman" w:hAnsi="Times New Roman" w:cs="Times New Roman"/>
            <w:color w:val="0000FF"/>
            <w:sz w:val="24"/>
            <w:szCs w:val="24"/>
            <w:u w:val="single"/>
            <w:lang w:eastAsia="en-GB"/>
          </w:rPr>
          <w:t>https://doi.org/10.1016/S0263-7863(02)00060-1</w:t>
        </w:r>
      </w:hyperlink>
    </w:p>
    <w:p w14:paraId="67DD0C65"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I. S., &amp; Kumi, D. K. (2018). Causes of government construction projects failure in an emerging economy: Evidence from Ghana. </w:t>
      </w:r>
      <w:r w:rsidRPr="00C82F74">
        <w:rPr>
          <w:rFonts w:ascii="Times New Roman" w:eastAsia="Times New Roman" w:hAnsi="Times New Roman" w:cs="Times New Roman"/>
          <w:i/>
          <w:iCs/>
          <w:sz w:val="24"/>
          <w:szCs w:val="24"/>
          <w:lang w:eastAsia="en-GB"/>
        </w:rPr>
        <w:t>International Journal of Managing Projects in Business, 11</w:t>
      </w:r>
      <w:r w:rsidRPr="00C82F74">
        <w:rPr>
          <w:rFonts w:ascii="Times New Roman" w:eastAsia="Times New Roman" w:hAnsi="Times New Roman" w:cs="Times New Roman"/>
          <w:sz w:val="24"/>
          <w:szCs w:val="24"/>
          <w:lang w:eastAsia="en-GB"/>
        </w:rPr>
        <w:t xml:space="preserve">(3), 558–582. </w:t>
      </w:r>
      <w:hyperlink r:id="rId11" w:history="1">
        <w:r w:rsidRPr="00C82F74">
          <w:rPr>
            <w:rFonts w:ascii="Times New Roman" w:eastAsia="Times New Roman" w:hAnsi="Times New Roman" w:cs="Times New Roman"/>
            <w:color w:val="0000FF"/>
            <w:sz w:val="24"/>
            <w:szCs w:val="24"/>
            <w:u w:val="single"/>
            <w:lang w:eastAsia="en-GB"/>
          </w:rPr>
          <w:t>https://doi.org/10.1108/IJMPB-04-2017-0042</w:t>
        </w:r>
      </w:hyperlink>
    </w:p>
    <w:p w14:paraId="26316C5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D'Arcy, M., &amp; Cornell, A. (2016). Devolution and corruption in Kenya: Everyone's turn to eat? </w:t>
      </w:r>
      <w:r w:rsidRPr="00C82F74">
        <w:rPr>
          <w:rFonts w:ascii="Times New Roman" w:eastAsia="Times New Roman" w:hAnsi="Times New Roman" w:cs="Times New Roman"/>
          <w:i/>
          <w:iCs/>
          <w:sz w:val="24"/>
          <w:szCs w:val="24"/>
          <w:lang w:eastAsia="en-GB"/>
        </w:rPr>
        <w:t>African Affairs, 115</w:t>
      </w:r>
      <w:r w:rsidRPr="00C82F74">
        <w:rPr>
          <w:rFonts w:ascii="Times New Roman" w:eastAsia="Times New Roman" w:hAnsi="Times New Roman" w:cs="Times New Roman"/>
          <w:sz w:val="24"/>
          <w:szCs w:val="24"/>
          <w:lang w:eastAsia="en-GB"/>
        </w:rPr>
        <w:t xml:space="preserve">(459), 246–273. </w:t>
      </w:r>
      <w:hyperlink r:id="rId12" w:history="1">
        <w:r w:rsidRPr="00C82F74">
          <w:rPr>
            <w:rFonts w:ascii="Times New Roman" w:eastAsia="Times New Roman" w:hAnsi="Times New Roman" w:cs="Times New Roman"/>
            <w:color w:val="0000FF"/>
            <w:sz w:val="24"/>
            <w:szCs w:val="24"/>
            <w:u w:val="single"/>
            <w:lang w:eastAsia="en-GB"/>
          </w:rPr>
          <w:t>https://doi.org/10.1093/afraf/adw002</w:t>
        </w:r>
      </w:hyperlink>
    </w:p>
    <w:p w14:paraId="511508EF"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Diallo, A., &amp; Thuillier, D. (2005). The success of international development projects, trust and communication: An African perspective. </w:t>
      </w:r>
      <w:r w:rsidRPr="00C82F74">
        <w:rPr>
          <w:rFonts w:ascii="Times New Roman" w:eastAsia="Times New Roman" w:hAnsi="Times New Roman" w:cs="Times New Roman"/>
          <w:i/>
          <w:iCs/>
          <w:sz w:val="24"/>
          <w:szCs w:val="24"/>
          <w:lang w:eastAsia="en-GB"/>
        </w:rPr>
        <w:t>International Journal of Project Management, 23</w:t>
      </w:r>
      <w:r w:rsidRPr="00C82F74">
        <w:rPr>
          <w:rFonts w:ascii="Times New Roman" w:eastAsia="Times New Roman" w:hAnsi="Times New Roman" w:cs="Times New Roman"/>
          <w:sz w:val="24"/>
          <w:szCs w:val="24"/>
          <w:lang w:eastAsia="en-GB"/>
        </w:rPr>
        <w:t xml:space="preserve">(3), 237–252. </w:t>
      </w:r>
      <w:hyperlink r:id="rId13" w:history="1">
        <w:r w:rsidRPr="00C82F74">
          <w:rPr>
            <w:rFonts w:ascii="Times New Roman" w:eastAsia="Times New Roman" w:hAnsi="Times New Roman" w:cs="Times New Roman"/>
            <w:color w:val="0000FF"/>
            <w:sz w:val="24"/>
            <w:szCs w:val="24"/>
            <w:u w:val="single"/>
            <w:lang w:eastAsia="en-GB"/>
          </w:rPr>
          <w:t>https://doi.org/10.1016/j.ijproman.2004.10.002</w:t>
        </w:r>
      </w:hyperlink>
    </w:p>
    <w:p w14:paraId="2F04AACB"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Frimpong, Y., </w:t>
      </w:r>
      <w:proofErr w:type="spellStart"/>
      <w:r w:rsidRPr="00C82F74">
        <w:rPr>
          <w:rFonts w:ascii="Times New Roman" w:eastAsia="Times New Roman" w:hAnsi="Times New Roman" w:cs="Times New Roman"/>
          <w:sz w:val="24"/>
          <w:szCs w:val="24"/>
          <w:lang w:eastAsia="en-GB"/>
        </w:rPr>
        <w:t>Oluwoye</w:t>
      </w:r>
      <w:proofErr w:type="spellEnd"/>
      <w:r w:rsidRPr="00C82F74">
        <w:rPr>
          <w:rFonts w:ascii="Times New Roman" w:eastAsia="Times New Roman" w:hAnsi="Times New Roman" w:cs="Times New Roman"/>
          <w:sz w:val="24"/>
          <w:szCs w:val="24"/>
          <w:lang w:eastAsia="en-GB"/>
        </w:rPr>
        <w:t xml:space="preserve">, J., &amp; Crawford, L. (2003). Causes of delay and cost overruns in construction of groundwater projects in a </w:t>
      </w:r>
      <w:proofErr w:type="gramStart"/>
      <w:r w:rsidRPr="00C82F74">
        <w:rPr>
          <w:rFonts w:ascii="Times New Roman" w:eastAsia="Times New Roman" w:hAnsi="Times New Roman" w:cs="Times New Roman"/>
          <w:sz w:val="24"/>
          <w:szCs w:val="24"/>
          <w:lang w:eastAsia="en-GB"/>
        </w:rPr>
        <w:t>developing countries</w:t>
      </w:r>
      <w:proofErr w:type="gramEnd"/>
      <w:r w:rsidRPr="00C82F74">
        <w:rPr>
          <w:rFonts w:ascii="Times New Roman" w:eastAsia="Times New Roman" w:hAnsi="Times New Roman" w:cs="Times New Roman"/>
          <w:sz w:val="24"/>
          <w:szCs w:val="24"/>
          <w:lang w:eastAsia="en-GB"/>
        </w:rPr>
        <w:t xml:space="preserve">; Ghana as a case study. </w:t>
      </w:r>
      <w:r w:rsidRPr="00C82F74">
        <w:rPr>
          <w:rFonts w:ascii="Times New Roman" w:eastAsia="Times New Roman" w:hAnsi="Times New Roman" w:cs="Times New Roman"/>
          <w:i/>
          <w:iCs/>
          <w:sz w:val="24"/>
          <w:szCs w:val="24"/>
          <w:lang w:eastAsia="en-GB"/>
        </w:rPr>
        <w:t>International Journal of Project Management, 21</w:t>
      </w:r>
      <w:r w:rsidRPr="00C82F74">
        <w:rPr>
          <w:rFonts w:ascii="Times New Roman" w:eastAsia="Times New Roman" w:hAnsi="Times New Roman" w:cs="Times New Roman"/>
          <w:sz w:val="24"/>
          <w:szCs w:val="24"/>
          <w:lang w:eastAsia="en-GB"/>
        </w:rPr>
        <w:t xml:space="preserve">(5), 321–326. </w:t>
      </w:r>
      <w:hyperlink r:id="rId14" w:history="1">
        <w:r w:rsidRPr="00C82F74">
          <w:rPr>
            <w:rFonts w:ascii="Times New Roman" w:eastAsia="Times New Roman" w:hAnsi="Times New Roman" w:cs="Times New Roman"/>
            <w:color w:val="0000FF"/>
            <w:sz w:val="24"/>
            <w:szCs w:val="24"/>
            <w:u w:val="single"/>
            <w:lang w:eastAsia="en-GB"/>
          </w:rPr>
          <w:t>https://doi.org/10.1016/S0263-7863(02)00055-8</w:t>
        </w:r>
      </w:hyperlink>
    </w:p>
    <w:p w14:paraId="6118EBC9"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Ika, L. A. (2012). Project management for development in Africa: Why projects are failing and what can be done about it. </w:t>
      </w:r>
      <w:r w:rsidRPr="00C82F74">
        <w:rPr>
          <w:rFonts w:ascii="Times New Roman" w:eastAsia="Times New Roman" w:hAnsi="Times New Roman" w:cs="Times New Roman"/>
          <w:i/>
          <w:iCs/>
          <w:sz w:val="24"/>
          <w:szCs w:val="24"/>
          <w:lang w:eastAsia="en-GB"/>
        </w:rPr>
        <w:t>Project Management Journal, 43</w:t>
      </w:r>
      <w:r w:rsidRPr="00C82F74">
        <w:rPr>
          <w:rFonts w:ascii="Times New Roman" w:eastAsia="Times New Roman" w:hAnsi="Times New Roman" w:cs="Times New Roman"/>
          <w:sz w:val="24"/>
          <w:szCs w:val="24"/>
          <w:lang w:eastAsia="en-GB"/>
        </w:rPr>
        <w:t xml:space="preserve">(4), 27–41. </w:t>
      </w:r>
      <w:hyperlink r:id="rId15" w:history="1">
        <w:r w:rsidRPr="00C82F74">
          <w:rPr>
            <w:rFonts w:ascii="Times New Roman" w:eastAsia="Times New Roman" w:hAnsi="Times New Roman" w:cs="Times New Roman"/>
            <w:color w:val="0000FF"/>
            <w:sz w:val="24"/>
            <w:szCs w:val="24"/>
            <w:u w:val="single"/>
            <w:lang w:eastAsia="en-GB"/>
          </w:rPr>
          <w:t>https://doi.org/10.1002/pmj.21281</w:t>
        </w:r>
      </w:hyperlink>
    </w:p>
    <w:p w14:paraId="141A672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International Monetary Fund. (2024). </w:t>
      </w:r>
      <w:r w:rsidRPr="00C82F74">
        <w:rPr>
          <w:rFonts w:ascii="Times New Roman" w:eastAsia="Times New Roman" w:hAnsi="Times New Roman" w:cs="Times New Roman"/>
          <w:i/>
          <w:iCs/>
          <w:sz w:val="24"/>
          <w:szCs w:val="24"/>
          <w:lang w:eastAsia="en-GB"/>
        </w:rPr>
        <w:t>Kenya: Technical assistance report—Climate module of the public investment management assessment</w:t>
      </w:r>
      <w:r w:rsidRPr="00C82F74">
        <w:rPr>
          <w:rFonts w:ascii="Times New Roman" w:eastAsia="Times New Roman" w:hAnsi="Times New Roman" w:cs="Times New Roman"/>
          <w:sz w:val="24"/>
          <w:szCs w:val="24"/>
          <w:lang w:eastAsia="en-GB"/>
        </w:rPr>
        <w:t xml:space="preserve"> (Technical Assistance Report No. 2024/009). </w:t>
      </w:r>
      <w:hyperlink r:id="rId16" w:history="1">
        <w:r w:rsidRPr="00C82F74">
          <w:rPr>
            <w:rFonts w:ascii="Times New Roman" w:eastAsia="Times New Roman" w:hAnsi="Times New Roman" w:cs="Times New Roman"/>
            <w:color w:val="0000FF"/>
            <w:sz w:val="24"/>
            <w:szCs w:val="24"/>
            <w:u w:val="single"/>
            <w:lang w:eastAsia="en-GB"/>
          </w:rPr>
          <w:t>https://doi.org/10.5089/9798400268342.019</w:t>
        </w:r>
      </w:hyperlink>
    </w:p>
    <w:p w14:paraId="53F3CA36"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Kandie, J., </w:t>
      </w:r>
      <w:proofErr w:type="spellStart"/>
      <w:r w:rsidRPr="00C82F74">
        <w:rPr>
          <w:rFonts w:ascii="Times New Roman" w:eastAsia="Times New Roman" w:hAnsi="Times New Roman" w:cs="Times New Roman"/>
          <w:sz w:val="24"/>
          <w:szCs w:val="24"/>
          <w:lang w:eastAsia="en-GB"/>
        </w:rPr>
        <w:t>Baimwera</w:t>
      </w:r>
      <w:proofErr w:type="spellEnd"/>
      <w:r w:rsidRPr="00C82F74">
        <w:rPr>
          <w:rFonts w:ascii="Times New Roman" w:eastAsia="Times New Roman" w:hAnsi="Times New Roman" w:cs="Times New Roman"/>
          <w:sz w:val="24"/>
          <w:szCs w:val="24"/>
          <w:lang w:eastAsia="en-GB"/>
        </w:rPr>
        <w:t xml:space="preserve">, B., &amp; Mutegi, D. (2025). The role of public finance in infrastructure financing for developing countries: The case for Kenya. </w:t>
      </w:r>
      <w:r w:rsidRPr="00C82F74">
        <w:rPr>
          <w:rFonts w:ascii="Times New Roman" w:eastAsia="Times New Roman" w:hAnsi="Times New Roman" w:cs="Times New Roman"/>
          <w:i/>
          <w:iCs/>
          <w:sz w:val="24"/>
          <w:szCs w:val="24"/>
          <w:lang w:eastAsia="en-GB"/>
        </w:rPr>
        <w:t>Strategic Journal of Business &amp; Change Management, 12</w:t>
      </w:r>
      <w:r w:rsidRPr="00C82F74">
        <w:rPr>
          <w:rFonts w:ascii="Times New Roman" w:eastAsia="Times New Roman" w:hAnsi="Times New Roman" w:cs="Times New Roman"/>
          <w:sz w:val="24"/>
          <w:szCs w:val="24"/>
          <w:lang w:eastAsia="en-GB"/>
        </w:rPr>
        <w:t xml:space="preserve">(3), 376–393. </w:t>
      </w:r>
      <w:hyperlink r:id="rId17" w:history="1">
        <w:r w:rsidRPr="00C82F74">
          <w:rPr>
            <w:rFonts w:ascii="Times New Roman" w:eastAsia="Times New Roman" w:hAnsi="Times New Roman" w:cs="Times New Roman"/>
            <w:color w:val="0000FF"/>
            <w:sz w:val="24"/>
            <w:szCs w:val="24"/>
            <w:u w:val="single"/>
            <w:lang w:eastAsia="en-GB"/>
          </w:rPr>
          <w:t>https://doi.org/10.61426/sjbcm.v12i3.3334</w:t>
        </w:r>
      </w:hyperlink>
    </w:p>
    <w:p w14:paraId="4AA1564E"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Khan, A., Waris, M., Ismail, I., Sajid, M. R., &amp; Usman, F. (2019a). Deficiencies in project governance: An analysis of infrastructure development program. </w:t>
      </w:r>
      <w:r w:rsidRPr="00C82F74">
        <w:rPr>
          <w:rFonts w:ascii="Times New Roman" w:eastAsia="Times New Roman" w:hAnsi="Times New Roman" w:cs="Times New Roman"/>
          <w:i/>
          <w:iCs/>
          <w:sz w:val="24"/>
          <w:szCs w:val="24"/>
          <w:lang w:eastAsia="en-GB"/>
        </w:rPr>
        <w:t>Administrative Sciences, 9</w:t>
      </w:r>
      <w:r w:rsidRPr="00C82F74">
        <w:rPr>
          <w:rFonts w:ascii="Times New Roman" w:eastAsia="Times New Roman" w:hAnsi="Times New Roman" w:cs="Times New Roman"/>
          <w:sz w:val="24"/>
          <w:szCs w:val="24"/>
          <w:lang w:eastAsia="en-GB"/>
        </w:rPr>
        <w:t xml:space="preserve">(1), 9. </w:t>
      </w:r>
      <w:hyperlink r:id="rId18" w:history="1">
        <w:r w:rsidRPr="00C82F74">
          <w:rPr>
            <w:rFonts w:ascii="Times New Roman" w:eastAsia="Times New Roman" w:hAnsi="Times New Roman" w:cs="Times New Roman"/>
            <w:color w:val="0000FF"/>
            <w:sz w:val="24"/>
            <w:szCs w:val="24"/>
            <w:u w:val="single"/>
            <w:lang w:eastAsia="en-GB"/>
          </w:rPr>
          <w:t>https://doi.org/10.3390/admsci9010009</w:t>
        </w:r>
      </w:hyperlink>
    </w:p>
    <w:p w14:paraId="2A78BC43"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Khan, A., Waris, M., Ismail, I., Sajid, M. R., Ullah, M., &amp; Usman, F. (2019b). Investigating the practices of project governance in public sector infrastructure program in Pakistan. </w:t>
      </w:r>
      <w:r w:rsidRPr="00C82F74">
        <w:rPr>
          <w:rFonts w:ascii="Times New Roman" w:eastAsia="Times New Roman" w:hAnsi="Times New Roman" w:cs="Times New Roman"/>
          <w:i/>
          <w:iCs/>
          <w:sz w:val="24"/>
          <w:szCs w:val="24"/>
          <w:lang w:eastAsia="en-GB"/>
        </w:rPr>
        <w:t>Advances in Civil Engineering, 2019</w:t>
      </w:r>
      <w:r w:rsidRPr="00C82F74">
        <w:rPr>
          <w:rFonts w:ascii="Times New Roman" w:eastAsia="Times New Roman" w:hAnsi="Times New Roman" w:cs="Times New Roman"/>
          <w:sz w:val="24"/>
          <w:szCs w:val="24"/>
          <w:lang w:eastAsia="en-GB"/>
        </w:rPr>
        <w:t xml:space="preserve">, Article 7436592. </w:t>
      </w:r>
      <w:hyperlink r:id="rId19" w:history="1">
        <w:r w:rsidRPr="00C82F74">
          <w:rPr>
            <w:rFonts w:ascii="Times New Roman" w:eastAsia="Times New Roman" w:hAnsi="Times New Roman" w:cs="Times New Roman"/>
            <w:color w:val="0000FF"/>
            <w:sz w:val="24"/>
            <w:szCs w:val="24"/>
            <w:u w:val="single"/>
            <w:lang w:eastAsia="en-GB"/>
          </w:rPr>
          <w:t>https://doi.org/10.1155/2019/7436592</w:t>
        </w:r>
      </w:hyperlink>
    </w:p>
    <w:p w14:paraId="74DB2C94"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Khan, A., Waris, M., Panigrahi, S., Sajid, M. R., &amp; Rana, F. (2021). Improving the performance of public sector infrastructure projects: Role of project governance and stakeholder management. </w:t>
      </w:r>
      <w:r w:rsidRPr="00C82F74">
        <w:rPr>
          <w:rFonts w:ascii="Times New Roman" w:eastAsia="Times New Roman" w:hAnsi="Times New Roman" w:cs="Times New Roman"/>
          <w:i/>
          <w:iCs/>
          <w:sz w:val="24"/>
          <w:szCs w:val="24"/>
          <w:lang w:eastAsia="en-GB"/>
        </w:rPr>
        <w:t>Journal of Management in Engineering, 37</w:t>
      </w:r>
      <w:r w:rsidRPr="00C82F74">
        <w:rPr>
          <w:rFonts w:ascii="Times New Roman" w:eastAsia="Times New Roman" w:hAnsi="Times New Roman" w:cs="Times New Roman"/>
          <w:sz w:val="24"/>
          <w:szCs w:val="24"/>
          <w:lang w:eastAsia="en-GB"/>
        </w:rPr>
        <w:t xml:space="preserve">(2), Article 04020112. </w:t>
      </w:r>
      <w:hyperlink r:id="rId20" w:history="1">
        <w:r w:rsidRPr="00C82F74">
          <w:rPr>
            <w:rFonts w:ascii="Times New Roman" w:eastAsia="Times New Roman" w:hAnsi="Times New Roman" w:cs="Times New Roman"/>
            <w:color w:val="0000FF"/>
            <w:sz w:val="24"/>
            <w:szCs w:val="24"/>
            <w:u w:val="single"/>
            <w:lang w:eastAsia="en-GB"/>
          </w:rPr>
          <w:t>https://doi.org/10.1061/(ASCE)ME.1943-5479.0000886</w:t>
        </w:r>
      </w:hyperlink>
    </w:p>
    <w:p w14:paraId="174A2C98"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Kissi, E., Agyekum, K., Baiden, B. K., Tannor, R. A., Asamoah, G. E., &amp; Andam, E. T. (2019). Impact of project monitoring and evaluation practices on construction project success criteria in Ghana. </w:t>
      </w:r>
      <w:r w:rsidRPr="00C82F74">
        <w:rPr>
          <w:rFonts w:ascii="Times New Roman" w:eastAsia="Times New Roman" w:hAnsi="Times New Roman" w:cs="Times New Roman"/>
          <w:i/>
          <w:iCs/>
          <w:sz w:val="24"/>
          <w:szCs w:val="24"/>
          <w:lang w:eastAsia="en-GB"/>
        </w:rPr>
        <w:t>Built Environment Project and Asset Management, 9</w:t>
      </w:r>
      <w:r w:rsidRPr="00C82F74">
        <w:rPr>
          <w:rFonts w:ascii="Times New Roman" w:eastAsia="Times New Roman" w:hAnsi="Times New Roman" w:cs="Times New Roman"/>
          <w:sz w:val="24"/>
          <w:szCs w:val="24"/>
          <w:lang w:eastAsia="en-GB"/>
        </w:rPr>
        <w:t xml:space="preserve">(3), 364–382. </w:t>
      </w:r>
      <w:hyperlink r:id="rId21" w:history="1">
        <w:r w:rsidRPr="00C82F74">
          <w:rPr>
            <w:rFonts w:ascii="Times New Roman" w:eastAsia="Times New Roman" w:hAnsi="Times New Roman" w:cs="Times New Roman"/>
            <w:color w:val="0000FF"/>
            <w:sz w:val="24"/>
            <w:szCs w:val="24"/>
            <w:u w:val="single"/>
            <w:lang w:eastAsia="en-GB"/>
          </w:rPr>
          <w:t>https://doi.org/10.1108/BEPAM-11-2018-0135</w:t>
        </w:r>
      </w:hyperlink>
    </w:p>
    <w:p w14:paraId="139D7C64"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G.,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W. (2010). Measuring project risk management process for construction contractors with statement indicators linked to numerical scores. </w:t>
      </w:r>
      <w:r w:rsidRPr="00C82F74">
        <w:rPr>
          <w:rFonts w:ascii="Times New Roman" w:eastAsia="Times New Roman" w:hAnsi="Times New Roman" w:cs="Times New Roman"/>
          <w:i/>
          <w:iCs/>
          <w:sz w:val="24"/>
          <w:szCs w:val="24"/>
          <w:lang w:eastAsia="en-GB"/>
        </w:rPr>
        <w:t>Engineering, Construction and Architectural Management, 17</w:t>
      </w:r>
      <w:r w:rsidRPr="00C82F74">
        <w:rPr>
          <w:rFonts w:ascii="Times New Roman" w:eastAsia="Times New Roman" w:hAnsi="Times New Roman" w:cs="Times New Roman"/>
          <w:sz w:val="24"/>
          <w:szCs w:val="24"/>
          <w:lang w:eastAsia="en-GB"/>
        </w:rPr>
        <w:t xml:space="preserve">(4), 336–351. </w:t>
      </w:r>
      <w:hyperlink r:id="rId22" w:history="1">
        <w:r w:rsidRPr="00C82F74">
          <w:rPr>
            <w:rFonts w:ascii="Times New Roman" w:eastAsia="Times New Roman" w:hAnsi="Times New Roman" w:cs="Times New Roman"/>
            <w:color w:val="0000FF"/>
            <w:sz w:val="24"/>
            <w:szCs w:val="24"/>
            <w:u w:val="single"/>
            <w:lang w:eastAsia="en-GB"/>
          </w:rPr>
          <w:t>https://doi.org/10.1108/09699981011056556</w:t>
        </w:r>
      </w:hyperlink>
    </w:p>
    <w:p w14:paraId="1BB9D28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Lindhard, S., &amp; Larsen, J. K. (2016). Identifying the key process factors affecting project performance. </w:t>
      </w:r>
      <w:r w:rsidRPr="00C82F74">
        <w:rPr>
          <w:rFonts w:ascii="Times New Roman" w:eastAsia="Times New Roman" w:hAnsi="Times New Roman" w:cs="Times New Roman"/>
          <w:i/>
          <w:iCs/>
          <w:sz w:val="24"/>
          <w:szCs w:val="24"/>
          <w:lang w:eastAsia="en-GB"/>
        </w:rPr>
        <w:t>Engineering, Construction and Architectural Management, 23</w:t>
      </w:r>
      <w:r w:rsidRPr="00C82F74">
        <w:rPr>
          <w:rFonts w:ascii="Times New Roman" w:eastAsia="Times New Roman" w:hAnsi="Times New Roman" w:cs="Times New Roman"/>
          <w:sz w:val="24"/>
          <w:szCs w:val="24"/>
          <w:lang w:eastAsia="en-GB"/>
        </w:rPr>
        <w:t xml:space="preserve">(5), 657–673. </w:t>
      </w:r>
      <w:hyperlink r:id="rId23" w:history="1">
        <w:r w:rsidRPr="00C82F74">
          <w:rPr>
            <w:rFonts w:ascii="Times New Roman" w:eastAsia="Times New Roman" w:hAnsi="Times New Roman" w:cs="Times New Roman"/>
            <w:color w:val="0000FF"/>
            <w:sz w:val="24"/>
            <w:szCs w:val="24"/>
            <w:u w:val="single"/>
            <w:lang w:eastAsia="en-GB"/>
          </w:rPr>
          <w:t>https://doi.org/10.1108/ECAM-08-2015-0123</w:t>
        </w:r>
      </w:hyperlink>
    </w:p>
    <w:p w14:paraId="42CD985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I. (2011). Risk matrix for factors affecting time delay in road construction projects: Owners' perspective. </w:t>
      </w:r>
      <w:r w:rsidRPr="00C82F74">
        <w:rPr>
          <w:rFonts w:ascii="Times New Roman" w:eastAsia="Times New Roman" w:hAnsi="Times New Roman" w:cs="Times New Roman"/>
          <w:i/>
          <w:iCs/>
          <w:sz w:val="24"/>
          <w:szCs w:val="24"/>
          <w:lang w:eastAsia="en-GB"/>
        </w:rPr>
        <w:t>Engineering, Construction and Architectural Management, 18</w:t>
      </w:r>
      <w:r w:rsidRPr="00C82F74">
        <w:rPr>
          <w:rFonts w:ascii="Times New Roman" w:eastAsia="Times New Roman" w:hAnsi="Times New Roman" w:cs="Times New Roman"/>
          <w:sz w:val="24"/>
          <w:szCs w:val="24"/>
          <w:lang w:eastAsia="en-GB"/>
        </w:rPr>
        <w:t xml:space="preserve">(6), 609–617. </w:t>
      </w:r>
      <w:hyperlink r:id="rId24" w:history="1">
        <w:r w:rsidRPr="00C82F74">
          <w:rPr>
            <w:rFonts w:ascii="Times New Roman" w:eastAsia="Times New Roman" w:hAnsi="Times New Roman" w:cs="Times New Roman"/>
            <w:color w:val="0000FF"/>
            <w:sz w:val="24"/>
            <w:szCs w:val="24"/>
            <w:u w:val="single"/>
            <w:lang w:eastAsia="en-GB"/>
          </w:rPr>
          <w:t>https://doi.org/10.1108/09699981111180917</w:t>
        </w:r>
      </w:hyperlink>
    </w:p>
    <w:p w14:paraId="64596C7C"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Nasila, M., &amp; Cloete, C. (2018). Adoption of Building Information Modelling in the construction industry in Kenya. </w:t>
      </w:r>
      <w:r w:rsidRPr="00C82F74">
        <w:rPr>
          <w:rFonts w:ascii="Times New Roman" w:eastAsia="Times New Roman" w:hAnsi="Times New Roman" w:cs="Times New Roman"/>
          <w:i/>
          <w:iCs/>
          <w:sz w:val="24"/>
          <w:szCs w:val="24"/>
          <w:lang w:eastAsia="en-GB"/>
        </w:rPr>
        <w:t xml:space="preserve">Acta </w:t>
      </w:r>
      <w:proofErr w:type="spellStart"/>
      <w:r w:rsidRPr="00C82F74">
        <w:rPr>
          <w:rFonts w:ascii="Times New Roman" w:eastAsia="Times New Roman" w:hAnsi="Times New Roman" w:cs="Times New Roman"/>
          <w:i/>
          <w:iCs/>
          <w:sz w:val="24"/>
          <w:szCs w:val="24"/>
          <w:lang w:eastAsia="en-GB"/>
        </w:rPr>
        <w:t>Structilia</w:t>
      </w:r>
      <w:proofErr w:type="spellEnd"/>
      <w:r w:rsidRPr="00C82F74">
        <w:rPr>
          <w:rFonts w:ascii="Times New Roman" w:eastAsia="Times New Roman" w:hAnsi="Times New Roman" w:cs="Times New Roman"/>
          <w:i/>
          <w:iCs/>
          <w:sz w:val="24"/>
          <w:szCs w:val="24"/>
          <w:lang w:eastAsia="en-GB"/>
        </w:rPr>
        <w:t>, 25</w:t>
      </w:r>
      <w:r w:rsidRPr="00C82F74">
        <w:rPr>
          <w:rFonts w:ascii="Times New Roman" w:eastAsia="Times New Roman" w:hAnsi="Times New Roman" w:cs="Times New Roman"/>
          <w:sz w:val="24"/>
          <w:szCs w:val="24"/>
          <w:lang w:eastAsia="en-GB"/>
        </w:rPr>
        <w:t xml:space="preserve">(2), 1–38. </w:t>
      </w:r>
      <w:hyperlink r:id="rId25" w:history="1">
        <w:r w:rsidRPr="00C82F74">
          <w:rPr>
            <w:rFonts w:ascii="Times New Roman" w:eastAsia="Times New Roman" w:hAnsi="Times New Roman" w:cs="Times New Roman"/>
            <w:color w:val="0000FF"/>
            <w:sz w:val="24"/>
            <w:szCs w:val="24"/>
            <w:u w:val="single"/>
            <w:lang w:eastAsia="en-GB"/>
          </w:rPr>
          <w:t>https://doi.org/10.18820/24150487/as25i2.1</w:t>
        </w:r>
      </w:hyperlink>
    </w:p>
    <w:p w14:paraId="55A3C41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T. O., Sang, C. C., Olago, D. O., Marchant, R., </w:t>
      </w:r>
      <w:proofErr w:type="spellStart"/>
      <w:r w:rsidRPr="00C82F74">
        <w:rPr>
          <w:rFonts w:ascii="Times New Roman" w:eastAsia="Times New Roman" w:hAnsi="Times New Roman" w:cs="Times New Roman"/>
          <w:sz w:val="24"/>
          <w:szCs w:val="24"/>
          <w:lang w:eastAsia="en-GB"/>
        </w:rPr>
        <w:t>Waruingi</w:t>
      </w:r>
      <w:proofErr w:type="spellEnd"/>
      <w:r w:rsidRPr="00C82F74">
        <w:rPr>
          <w:rFonts w:ascii="Times New Roman" w:eastAsia="Times New Roman" w:hAnsi="Times New Roman" w:cs="Times New Roman"/>
          <w:sz w:val="24"/>
          <w:szCs w:val="24"/>
          <w:lang w:eastAsia="en-GB"/>
        </w:rPr>
        <w:t xml:space="preserve">, L., </w:t>
      </w:r>
      <w:proofErr w:type="spellStart"/>
      <w:r w:rsidRPr="00C82F74">
        <w:rPr>
          <w:rFonts w:ascii="Times New Roman" w:eastAsia="Times New Roman" w:hAnsi="Times New Roman" w:cs="Times New Roman"/>
          <w:sz w:val="24"/>
          <w:szCs w:val="24"/>
          <w:lang w:eastAsia="en-GB"/>
        </w:rPr>
        <w:t>Githiora</w:t>
      </w:r>
      <w:proofErr w:type="spellEnd"/>
      <w:r w:rsidRPr="00C82F74">
        <w:rPr>
          <w:rFonts w:ascii="Times New Roman" w:eastAsia="Times New Roman" w:hAnsi="Times New Roman" w:cs="Times New Roman"/>
          <w:sz w:val="24"/>
          <w:szCs w:val="24"/>
          <w:lang w:eastAsia="en-GB"/>
        </w:rPr>
        <w:t xml:space="preserve">, Y., Kago, F., Mwangi, M., </w:t>
      </w:r>
      <w:proofErr w:type="spellStart"/>
      <w:r w:rsidRPr="00C82F74">
        <w:rPr>
          <w:rFonts w:ascii="Times New Roman" w:eastAsia="Times New Roman" w:hAnsi="Times New Roman" w:cs="Times New Roman"/>
          <w:sz w:val="24"/>
          <w:szCs w:val="24"/>
          <w:lang w:eastAsia="en-GB"/>
        </w:rPr>
        <w:t>Owira</w:t>
      </w:r>
      <w:proofErr w:type="spellEnd"/>
      <w:r w:rsidRPr="00C82F74">
        <w:rPr>
          <w:rFonts w:ascii="Times New Roman" w:eastAsia="Times New Roman" w:hAnsi="Times New Roman" w:cs="Times New Roman"/>
          <w:sz w:val="24"/>
          <w:szCs w:val="24"/>
          <w:lang w:eastAsia="en-GB"/>
        </w:rPr>
        <w:t xml:space="preserve">, G., Barasa, R., </w:t>
      </w:r>
      <w:proofErr w:type="spellStart"/>
      <w:r w:rsidRPr="00C82F74">
        <w:rPr>
          <w:rFonts w:ascii="Times New Roman" w:eastAsia="Times New Roman" w:hAnsi="Times New Roman" w:cs="Times New Roman"/>
          <w:sz w:val="24"/>
          <w:szCs w:val="24"/>
          <w:lang w:eastAsia="en-GB"/>
        </w:rPr>
        <w:t>Omangi</w:t>
      </w:r>
      <w:proofErr w:type="spellEnd"/>
      <w:r w:rsidRPr="00C82F74">
        <w:rPr>
          <w:rFonts w:ascii="Times New Roman" w:eastAsia="Times New Roman" w:hAnsi="Times New Roman" w:cs="Times New Roman"/>
          <w:sz w:val="24"/>
          <w:szCs w:val="24"/>
          <w:lang w:eastAsia="en-GB"/>
        </w:rPr>
        <w:t xml:space="preserve">, S., &amp; </w:t>
      </w:r>
      <w:proofErr w:type="spellStart"/>
      <w:r w:rsidRPr="00C82F74">
        <w:rPr>
          <w:rFonts w:ascii="Times New Roman" w:eastAsia="Times New Roman" w:hAnsi="Times New Roman" w:cs="Times New Roman"/>
          <w:sz w:val="24"/>
          <w:szCs w:val="24"/>
          <w:lang w:eastAsia="en-GB"/>
        </w:rPr>
        <w:t>Lötters</w:t>
      </w:r>
      <w:proofErr w:type="spellEnd"/>
      <w:r w:rsidRPr="00C82F74">
        <w:rPr>
          <w:rFonts w:ascii="Times New Roman" w:eastAsia="Times New Roman" w:hAnsi="Times New Roman" w:cs="Times New Roman"/>
          <w:sz w:val="24"/>
          <w:szCs w:val="24"/>
          <w:lang w:eastAsia="en-GB"/>
        </w:rPr>
        <w:t xml:space="preserve">, S. (2021). Assessing the ecological impacts of transportation infrastructure development: A reconnaissance study of the Standard Gauge Railway in Kenya. </w:t>
      </w:r>
      <w:r w:rsidRPr="00C82F74">
        <w:rPr>
          <w:rFonts w:ascii="Times New Roman" w:eastAsia="Times New Roman" w:hAnsi="Times New Roman" w:cs="Times New Roman"/>
          <w:i/>
          <w:iCs/>
          <w:sz w:val="24"/>
          <w:szCs w:val="24"/>
          <w:lang w:eastAsia="en-GB"/>
        </w:rPr>
        <w:t>PLOS ONE, 16</w:t>
      </w:r>
      <w:r w:rsidRPr="00C82F74">
        <w:rPr>
          <w:rFonts w:ascii="Times New Roman" w:eastAsia="Times New Roman" w:hAnsi="Times New Roman" w:cs="Times New Roman"/>
          <w:sz w:val="24"/>
          <w:szCs w:val="24"/>
          <w:lang w:eastAsia="en-GB"/>
        </w:rPr>
        <w:t xml:space="preserve">(1), Article e0246248. </w:t>
      </w:r>
      <w:hyperlink r:id="rId26" w:history="1">
        <w:r w:rsidRPr="00C82F74">
          <w:rPr>
            <w:rFonts w:ascii="Times New Roman" w:eastAsia="Times New Roman" w:hAnsi="Times New Roman" w:cs="Times New Roman"/>
            <w:color w:val="0000FF"/>
            <w:sz w:val="24"/>
            <w:szCs w:val="24"/>
            <w:u w:val="single"/>
            <w:lang w:eastAsia="en-GB"/>
          </w:rPr>
          <w:t>https://doi.org/10.1371/journal.pone.0246248</w:t>
        </w:r>
      </w:hyperlink>
    </w:p>
    <w:p w14:paraId="06A56CB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Olander, S. (2007). Stakeholder impact analysis in construction project management. </w:t>
      </w:r>
      <w:r w:rsidRPr="00C82F74">
        <w:rPr>
          <w:rFonts w:ascii="Times New Roman" w:eastAsia="Times New Roman" w:hAnsi="Times New Roman" w:cs="Times New Roman"/>
          <w:i/>
          <w:iCs/>
          <w:sz w:val="24"/>
          <w:szCs w:val="24"/>
          <w:lang w:eastAsia="en-GB"/>
        </w:rPr>
        <w:t>Construction Management and Economics, 25</w:t>
      </w:r>
      <w:r w:rsidRPr="00C82F74">
        <w:rPr>
          <w:rFonts w:ascii="Times New Roman" w:eastAsia="Times New Roman" w:hAnsi="Times New Roman" w:cs="Times New Roman"/>
          <w:sz w:val="24"/>
          <w:szCs w:val="24"/>
          <w:lang w:eastAsia="en-GB"/>
        </w:rPr>
        <w:t xml:space="preserve">(3), 277–287. </w:t>
      </w:r>
      <w:hyperlink r:id="rId27" w:history="1">
        <w:r w:rsidRPr="00C82F74">
          <w:rPr>
            <w:rFonts w:ascii="Times New Roman" w:eastAsia="Times New Roman" w:hAnsi="Times New Roman" w:cs="Times New Roman"/>
            <w:color w:val="0000FF"/>
            <w:sz w:val="24"/>
            <w:szCs w:val="24"/>
            <w:u w:val="single"/>
            <w:lang w:eastAsia="en-GB"/>
          </w:rPr>
          <w:t>https://doi.org/10.1080/01446190600879125</w:t>
        </w:r>
      </w:hyperlink>
    </w:p>
    <w:p w14:paraId="13474B5F"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Oyuga</w:t>
      </w:r>
      <w:proofErr w:type="spellEnd"/>
      <w:r w:rsidRPr="00C82F74">
        <w:rPr>
          <w:rFonts w:ascii="Times New Roman" w:eastAsia="Times New Roman" w:hAnsi="Times New Roman" w:cs="Times New Roman"/>
          <w:sz w:val="24"/>
          <w:szCs w:val="24"/>
          <w:lang w:eastAsia="en-GB"/>
        </w:rPr>
        <w:t xml:space="preserve">, J., </w:t>
      </w:r>
      <w:proofErr w:type="spellStart"/>
      <w:r w:rsidRPr="00C82F74">
        <w:rPr>
          <w:rFonts w:ascii="Times New Roman" w:eastAsia="Times New Roman" w:hAnsi="Times New Roman" w:cs="Times New Roman"/>
          <w:sz w:val="24"/>
          <w:szCs w:val="24"/>
          <w:lang w:eastAsia="en-GB"/>
        </w:rPr>
        <w:t>Gwaya</w:t>
      </w:r>
      <w:proofErr w:type="spellEnd"/>
      <w:r w:rsidRPr="00C82F74">
        <w:rPr>
          <w:rFonts w:ascii="Times New Roman" w:eastAsia="Times New Roman" w:hAnsi="Times New Roman" w:cs="Times New Roman"/>
          <w:sz w:val="24"/>
          <w:szCs w:val="24"/>
          <w:lang w:eastAsia="en-GB"/>
        </w:rPr>
        <w:t xml:space="preserve">, A., &amp; Njuguna, M. (2021). Kenyan government involvement on BIM and its effect on BIM adoption amongst building contractors. </w:t>
      </w:r>
      <w:r w:rsidRPr="00C82F74">
        <w:rPr>
          <w:rFonts w:ascii="Times New Roman" w:eastAsia="Times New Roman" w:hAnsi="Times New Roman" w:cs="Times New Roman"/>
          <w:i/>
          <w:iCs/>
          <w:sz w:val="24"/>
          <w:szCs w:val="24"/>
          <w:lang w:eastAsia="en-GB"/>
        </w:rPr>
        <w:t>East African Journal of Engineering, 3</w:t>
      </w:r>
      <w:r w:rsidRPr="00C82F74">
        <w:rPr>
          <w:rFonts w:ascii="Times New Roman" w:eastAsia="Times New Roman" w:hAnsi="Times New Roman" w:cs="Times New Roman"/>
          <w:sz w:val="24"/>
          <w:szCs w:val="24"/>
          <w:lang w:eastAsia="en-GB"/>
        </w:rPr>
        <w:t xml:space="preserve">(1), 99–113. </w:t>
      </w:r>
      <w:hyperlink r:id="rId28" w:history="1">
        <w:r w:rsidRPr="00C82F74">
          <w:rPr>
            <w:rFonts w:ascii="Times New Roman" w:eastAsia="Times New Roman" w:hAnsi="Times New Roman" w:cs="Times New Roman"/>
            <w:color w:val="0000FF"/>
            <w:sz w:val="24"/>
            <w:szCs w:val="24"/>
            <w:u w:val="single"/>
            <w:lang w:eastAsia="en-GB"/>
          </w:rPr>
          <w:t>https://doi.org/10.37284/eaje.3.1.414</w:t>
        </w:r>
      </w:hyperlink>
    </w:p>
    <w:p w14:paraId="31232E2A"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Project Management Institute. (2021). </w:t>
      </w:r>
      <w:r w:rsidRPr="00C82F74">
        <w:rPr>
          <w:rFonts w:ascii="Times New Roman" w:eastAsia="Times New Roman" w:hAnsi="Times New Roman" w:cs="Times New Roman"/>
          <w:i/>
          <w:iCs/>
          <w:sz w:val="24"/>
          <w:szCs w:val="24"/>
          <w:lang w:eastAsia="en-GB"/>
        </w:rPr>
        <w:t>A guide to the project management body of knowledge (PMBOK guide)</w:t>
      </w:r>
      <w:r w:rsidRPr="00C82F74">
        <w:rPr>
          <w:rFonts w:ascii="Times New Roman" w:eastAsia="Times New Roman" w:hAnsi="Times New Roman" w:cs="Times New Roman"/>
          <w:sz w:val="24"/>
          <w:szCs w:val="24"/>
          <w:lang w:eastAsia="en-GB"/>
        </w:rPr>
        <w:t xml:space="preserve"> (7th ed.).</w:t>
      </w:r>
    </w:p>
    <w:p w14:paraId="2DAED302"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Snyder, H. (2019). Literature review as a research methodology: An overview and guidelines. </w:t>
      </w:r>
      <w:r w:rsidRPr="00C82F74">
        <w:rPr>
          <w:rFonts w:ascii="Times New Roman" w:eastAsia="Times New Roman" w:hAnsi="Times New Roman" w:cs="Times New Roman"/>
          <w:i/>
          <w:iCs/>
          <w:sz w:val="24"/>
          <w:szCs w:val="24"/>
          <w:lang w:eastAsia="en-GB"/>
        </w:rPr>
        <w:t>Journal of Business Research, 104</w:t>
      </w:r>
      <w:r w:rsidRPr="00C82F74">
        <w:rPr>
          <w:rFonts w:ascii="Times New Roman" w:eastAsia="Times New Roman" w:hAnsi="Times New Roman" w:cs="Times New Roman"/>
          <w:sz w:val="24"/>
          <w:szCs w:val="24"/>
          <w:lang w:eastAsia="en-GB"/>
        </w:rPr>
        <w:t xml:space="preserve">, 333–339. </w:t>
      </w:r>
      <w:hyperlink r:id="rId29" w:history="1">
        <w:r w:rsidRPr="00C82F74">
          <w:rPr>
            <w:rFonts w:ascii="Times New Roman" w:eastAsia="Times New Roman" w:hAnsi="Times New Roman" w:cs="Times New Roman"/>
            <w:color w:val="0000FF"/>
            <w:sz w:val="24"/>
            <w:szCs w:val="24"/>
            <w:u w:val="single"/>
            <w:lang w:eastAsia="en-GB"/>
          </w:rPr>
          <w:t>https://doi.org/10.1016/j.jbusres.2019.07.039</w:t>
        </w:r>
      </w:hyperlink>
    </w:p>
    <w:p w14:paraId="26E1ADB9"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H. (2025). Exploring the misuse of public-private partnerships in Kenya's public procurement: A study of governance, accountability, and implementation challenges. </w:t>
      </w:r>
      <w:r w:rsidRPr="00C82F74">
        <w:rPr>
          <w:rFonts w:ascii="Times New Roman" w:eastAsia="Times New Roman" w:hAnsi="Times New Roman" w:cs="Times New Roman"/>
          <w:i/>
          <w:iCs/>
          <w:sz w:val="24"/>
          <w:szCs w:val="24"/>
          <w:lang w:eastAsia="en-GB"/>
        </w:rPr>
        <w:t>Journal of Public Policy and Administration, 10</w:t>
      </w:r>
      <w:r w:rsidRPr="00C82F74">
        <w:rPr>
          <w:rFonts w:ascii="Times New Roman" w:eastAsia="Times New Roman" w:hAnsi="Times New Roman" w:cs="Times New Roman"/>
          <w:sz w:val="24"/>
          <w:szCs w:val="24"/>
          <w:lang w:eastAsia="en-GB"/>
        </w:rPr>
        <w:t xml:space="preserve">(1), 63–77. </w:t>
      </w:r>
      <w:hyperlink r:id="rId30" w:history="1">
        <w:r w:rsidRPr="00C82F74">
          <w:rPr>
            <w:rFonts w:ascii="Times New Roman" w:eastAsia="Times New Roman" w:hAnsi="Times New Roman" w:cs="Times New Roman"/>
            <w:color w:val="0000FF"/>
            <w:sz w:val="24"/>
            <w:szCs w:val="24"/>
            <w:u w:val="single"/>
            <w:lang w:eastAsia="en-GB"/>
          </w:rPr>
          <w:t>https://doi.org/10.47604/jppa.3332</w:t>
        </w:r>
      </w:hyperlink>
    </w:p>
    <w:p w14:paraId="3AD25C50"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Waris, M., Khan, A., Abideen, A. Z., </w:t>
      </w:r>
      <w:proofErr w:type="spellStart"/>
      <w:r w:rsidRPr="00C82F74">
        <w:rPr>
          <w:rFonts w:ascii="Times New Roman" w:eastAsia="Times New Roman" w:hAnsi="Times New Roman" w:cs="Times New Roman"/>
          <w:sz w:val="24"/>
          <w:szCs w:val="24"/>
          <w:lang w:eastAsia="en-GB"/>
        </w:rPr>
        <w:t>Sorooshian</w:t>
      </w:r>
      <w:proofErr w:type="spellEnd"/>
      <w:r w:rsidRPr="00C82F74">
        <w:rPr>
          <w:rFonts w:ascii="Times New Roman" w:eastAsia="Times New Roman" w:hAnsi="Times New Roman" w:cs="Times New Roman"/>
          <w:sz w:val="24"/>
          <w:szCs w:val="24"/>
          <w:lang w:eastAsia="en-GB"/>
        </w:rPr>
        <w:t xml:space="preserve">, S., &amp; Ullah, M. (2022). Stakeholder management in public sector infrastructure projects. </w:t>
      </w:r>
      <w:r w:rsidRPr="00C82F74">
        <w:rPr>
          <w:rFonts w:ascii="Times New Roman" w:eastAsia="Times New Roman" w:hAnsi="Times New Roman" w:cs="Times New Roman"/>
          <w:i/>
          <w:iCs/>
          <w:sz w:val="24"/>
          <w:szCs w:val="24"/>
          <w:lang w:eastAsia="en-GB"/>
        </w:rPr>
        <w:t>Journal of Engineering, Project, and Production Management, 12</w:t>
      </w:r>
      <w:r w:rsidRPr="00C82F74">
        <w:rPr>
          <w:rFonts w:ascii="Times New Roman" w:eastAsia="Times New Roman" w:hAnsi="Times New Roman" w:cs="Times New Roman"/>
          <w:sz w:val="24"/>
          <w:szCs w:val="24"/>
          <w:lang w:eastAsia="en-GB"/>
        </w:rPr>
        <w:t xml:space="preserve">(3), 188–201. </w:t>
      </w:r>
      <w:hyperlink r:id="rId31" w:history="1">
        <w:r w:rsidRPr="00C82F74">
          <w:rPr>
            <w:rFonts w:ascii="Times New Roman" w:eastAsia="Times New Roman" w:hAnsi="Times New Roman" w:cs="Times New Roman"/>
            <w:color w:val="0000FF"/>
            <w:sz w:val="24"/>
            <w:szCs w:val="24"/>
            <w:u w:val="single"/>
            <w:lang w:eastAsia="en-GB"/>
          </w:rPr>
          <w:t>https://doi.org/10.32738/jeppm-2022-0017</w:t>
        </w:r>
      </w:hyperlink>
    </w:p>
    <w:p w14:paraId="332C3531" w14:textId="77777777" w:rsidR="00C82F74" w:rsidRPr="00C82F74" w:rsidRDefault="00C82F74" w:rsidP="00C82F74">
      <w:pPr>
        <w:spacing w:before="100" w:beforeAutospacing="1" w:after="100" w:afterAutospacing="1" w:line="240" w:lineRule="auto"/>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Zhu, K., Mwangi, B., &amp; Hu, L. (2023). Socio-economic impact of China's infrastructure-led growth model in Africa: A case study of the Kenyan Standard Gauge Railway. </w:t>
      </w:r>
      <w:r w:rsidRPr="00C82F74">
        <w:rPr>
          <w:rFonts w:ascii="Times New Roman" w:eastAsia="Times New Roman" w:hAnsi="Times New Roman" w:cs="Times New Roman"/>
          <w:i/>
          <w:iCs/>
          <w:sz w:val="24"/>
          <w:szCs w:val="24"/>
          <w:lang w:eastAsia="en-GB"/>
        </w:rPr>
        <w:t>Journal of International Development, 35</w:t>
      </w:r>
      <w:r w:rsidRPr="00C82F74">
        <w:rPr>
          <w:rFonts w:ascii="Times New Roman" w:eastAsia="Times New Roman" w:hAnsi="Times New Roman" w:cs="Times New Roman"/>
          <w:sz w:val="24"/>
          <w:szCs w:val="24"/>
          <w:lang w:eastAsia="en-GB"/>
        </w:rPr>
        <w:t xml:space="preserve">(4), 614–638. </w:t>
      </w:r>
      <w:hyperlink r:id="rId32" w:history="1">
        <w:r w:rsidRPr="00C82F74">
          <w:rPr>
            <w:rFonts w:ascii="Times New Roman" w:eastAsia="Times New Roman" w:hAnsi="Times New Roman" w:cs="Times New Roman"/>
            <w:color w:val="0000FF"/>
            <w:sz w:val="24"/>
            <w:szCs w:val="24"/>
            <w:u w:val="single"/>
            <w:lang w:eastAsia="en-GB"/>
          </w:rPr>
          <w:t>https://doi.org/10.1002/jid.3684</w:t>
        </w:r>
      </w:hyperlink>
    </w:p>
    <w:p w14:paraId="39A081D8" w14:textId="77777777" w:rsidR="004841B3" w:rsidRDefault="004841B3"/>
    <w:sectPr w:rsidR="004841B3" w:rsidSect="004841B3">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2D55" w14:textId="77777777" w:rsidR="008E5B6E" w:rsidRDefault="008E5B6E" w:rsidP="00D86CB6">
      <w:pPr>
        <w:spacing w:after="0" w:line="240" w:lineRule="auto"/>
      </w:pPr>
      <w:r>
        <w:separator/>
      </w:r>
    </w:p>
  </w:endnote>
  <w:endnote w:type="continuationSeparator" w:id="0">
    <w:p w14:paraId="5454640F" w14:textId="77777777" w:rsidR="008E5B6E" w:rsidRDefault="008E5B6E" w:rsidP="00D86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8EAE" w14:textId="77777777" w:rsidR="00D86CB6" w:rsidRDefault="00D86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0230" w14:textId="77777777" w:rsidR="00D86CB6" w:rsidRDefault="00D86C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892A" w14:textId="77777777" w:rsidR="00D86CB6" w:rsidRDefault="00D86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70F6" w14:textId="77777777" w:rsidR="008E5B6E" w:rsidRDefault="008E5B6E" w:rsidP="00D86CB6">
      <w:pPr>
        <w:spacing w:after="0" w:line="240" w:lineRule="auto"/>
      </w:pPr>
      <w:r>
        <w:separator/>
      </w:r>
    </w:p>
  </w:footnote>
  <w:footnote w:type="continuationSeparator" w:id="0">
    <w:p w14:paraId="14A1C017" w14:textId="77777777" w:rsidR="008E5B6E" w:rsidRDefault="008E5B6E" w:rsidP="00D86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6B4F" w14:textId="3E580A0F" w:rsidR="00D86CB6" w:rsidRDefault="00D86CB6">
    <w:pPr>
      <w:pStyle w:val="Header"/>
    </w:pPr>
    <w:r>
      <w:rPr>
        <w:noProof/>
      </w:rPr>
      <w:pict w14:anchorId="04A4B8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A265" w14:textId="037B2700" w:rsidR="00D86CB6" w:rsidRDefault="00D86CB6">
    <w:pPr>
      <w:pStyle w:val="Header"/>
    </w:pPr>
    <w:r>
      <w:rPr>
        <w:noProof/>
      </w:rPr>
      <w:pict w14:anchorId="533A6D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01A4" w14:textId="4FDE50A9" w:rsidR="00D86CB6" w:rsidRDefault="00D86CB6">
    <w:pPr>
      <w:pStyle w:val="Header"/>
    </w:pPr>
    <w:r>
      <w:rPr>
        <w:noProof/>
      </w:rPr>
      <w:pict w14:anchorId="57F4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12DC4"/>
    <w:rsid w:val="00345F3B"/>
    <w:rsid w:val="003A1E08"/>
    <w:rsid w:val="004841B3"/>
    <w:rsid w:val="00726B43"/>
    <w:rsid w:val="00824882"/>
    <w:rsid w:val="0084610A"/>
    <w:rsid w:val="008E5B6E"/>
    <w:rsid w:val="00A12DC4"/>
    <w:rsid w:val="00C82F74"/>
    <w:rsid w:val="00CB3C7A"/>
    <w:rsid w:val="00D86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A5E33"/>
  <w15:chartTrackingRefBased/>
  <w15:docId w15:val="{2ACCA637-6B83-4C59-A5A1-00E570D0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A12D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12D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12DC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2DC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12DC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12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A12DC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12DC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12DC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2DC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12DC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12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DC4"/>
    <w:rPr>
      <w:rFonts w:eastAsiaTheme="majorEastAsia" w:cstheme="majorBidi"/>
      <w:color w:val="272727" w:themeColor="text1" w:themeTint="D8"/>
    </w:rPr>
  </w:style>
  <w:style w:type="paragraph" w:styleId="Title">
    <w:name w:val="Title"/>
    <w:basedOn w:val="Normal"/>
    <w:next w:val="Normal"/>
    <w:link w:val="TitleChar"/>
    <w:uiPriority w:val="10"/>
    <w:qFormat/>
    <w:rsid w:val="00A12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D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D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2DC4"/>
    <w:rPr>
      <w:i/>
      <w:iCs/>
      <w:color w:val="404040" w:themeColor="text1" w:themeTint="BF"/>
    </w:rPr>
  </w:style>
  <w:style w:type="paragraph" w:styleId="ListParagraph">
    <w:name w:val="List Paragraph"/>
    <w:basedOn w:val="Normal"/>
    <w:uiPriority w:val="34"/>
    <w:qFormat/>
    <w:rsid w:val="00A12DC4"/>
    <w:pPr>
      <w:ind w:left="720"/>
      <w:contextualSpacing/>
    </w:pPr>
  </w:style>
  <w:style w:type="character" w:styleId="IntenseEmphasis">
    <w:name w:val="Intense Emphasis"/>
    <w:basedOn w:val="DefaultParagraphFont"/>
    <w:uiPriority w:val="21"/>
    <w:qFormat/>
    <w:rsid w:val="00A12DC4"/>
    <w:rPr>
      <w:i/>
      <w:iCs/>
      <w:color w:val="365F91" w:themeColor="accent1" w:themeShade="BF"/>
    </w:rPr>
  </w:style>
  <w:style w:type="paragraph" w:styleId="IntenseQuote">
    <w:name w:val="Intense Quote"/>
    <w:basedOn w:val="Normal"/>
    <w:next w:val="Normal"/>
    <w:link w:val="IntenseQuoteChar"/>
    <w:uiPriority w:val="30"/>
    <w:qFormat/>
    <w:rsid w:val="00A12D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2DC4"/>
    <w:rPr>
      <w:i/>
      <w:iCs/>
      <w:color w:val="365F91" w:themeColor="accent1" w:themeShade="BF"/>
    </w:rPr>
  </w:style>
  <w:style w:type="character" w:styleId="IntenseReference">
    <w:name w:val="Intense Reference"/>
    <w:basedOn w:val="DefaultParagraphFont"/>
    <w:uiPriority w:val="32"/>
    <w:qFormat/>
    <w:rsid w:val="00A12DC4"/>
    <w:rPr>
      <w:b/>
      <w:bCs/>
      <w:smallCaps/>
      <w:color w:val="365F91" w:themeColor="accent1" w:themeShade="BF"/>
      <w:spacing w:val="5"/>
    </w:rPr>
  </w:style>
  <w:style w:type="table" w:styleId="TableGrid">
    <w:name w:val="Table Grid"/>
    <w:basedOn w:val="TableNormal"/>
    <w:uiPriority w:val="59"/>
    <w:rsid w:val="00C8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CB6"/>
  </w:style>
  <w:style w:type="paragraph" w:styleId="Footer">
    <w:name w:val="footer"/>
    <w:basedOn w:val="Normal"/>
    <w:link w:val="FooterChar"/>
    <w:uiPriority w:val="99"/>
    <w:unhideWhenUsed/>
    <w:rsid w:val="00D86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jproman.2004.10.002" TargetMode="External"/><Relationship Id="rId18" Type="http://schemas.openxmlformats.org/officeDocument/2006/relationships/hyperlink" Target="https://doi.org/10.3390/admsci9010009" TargetMode="External"/><Relationship Id="rId26" Type="http://schemas.openxmlformats.org/officeDocument/2006/relationships/hyperlink" Target="https://doi.org/10.1371/journal.pone.0246248" TargetMode="External"/><Relationship Id="rId39" Type="http://schemas.openxmlformats.org/officeDocument/2006/relationships/fontTable" Target="fontTable.xml"/><Relationship Id="rId21" Type="http://schemas.openxmlformats.org/officeDocument/2006/relationships/hyperlink" Target="https://doi.org/10.1108/BEPAM-11-2018-0135" TargetMode="External"/><Relationship Id="rId34" Type="http://schemas.openxmlformats.org/officeDocument/2006/relationships/header" Target="header2.xml"/><Relationship Id="rId7" Type="http://schemas.openxmlformats.org/officeDocument/2006/relationships/hyperlink" Target="https://doi.org/10.1016/S0263-7863(98)00069-6" TargetMode="External"/><Relationship Id="rId12" Type="http://schemas.openxmlformats.org/officeDocument/2006/relationships/hyperlink" Target="https://doi.org/10.1093/afraf/adw002" TargetMode="External"/><Relationship Id="rId17" Type="http://schemas.openxmlformats.org/officeDocument/2006/relationships/hyperlink" Target="https://doi.org/10.61426/sjbcm.v12i3.3334" TargetMode="External"/><Relationship Id="rId25" Type="http://schemas.openxmlformats.org/officeDocument/2006/relationships/hyperlink" Target="https://doi.org/10.18820/24150487/as25i2.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doi.org/10.5089/9798400268342.019" TargetMode="External"/><Relationship Id="rId20" Type="http://schemas.openxmlformats.org/officeDocument/2006/relationships/hyperlink" Target="https://doi.org/10.1061/(ASCE)ME.1943-5479.0000886" TargetMode="External"/><Relationship Id="rId29" Type="http://schemas.openxmlformats.org/officeDocument/2006/relationships/hyperlink" Target="https://doi.org/10.1016/j.jbusres.2019.07.039" TargetMode="External"/><Relationship Id="rId1" Type="http://schemas.openxmlformats.org/officeDocument/2006/relationships/styles" Target="styles.xml"/><Relationship Id="rId6" Type="http://schemas.openxmlformats.org/officeDocument/2006/relationships/hyperlink" Target="https://doi.org/10.1108/IJBPA-01-2022-0021" TargetMode="External"/><Relationship Id="rId11" Type="http://schemas.openxmlformats.org/officeDocument/2006/relationships/hyperlink" Target="https://doi.org/10.1108/IJMPB-04-2017-0042" TargetMode="External"/><Relationship Id="rId24" Type="http://schemas.openxmlformats.org/officeDocument/2006/relationships/hyperlink" Target="https://doi.org/10.1108/09699981111180917" TargetMode="External"/><Relationship Id="rId32" Type="http://schemas.openxmlformats.org/officeDocument/2006/relationships/hyperlink" Target="https://doi.org/10.1002/jid.3684"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002/pmj.21281" TargetMode="External"/><Relationship Id="rId23" Type="http://schemas.openxmlformats.org/officeDocument/2006/relationships/hyperlink" Target="https://doi.org/10.1108/ECAM-08-2015-0123" TargetMode="External"/><Relationship Id="rId28" Type="http://schemas.openxmlformats.org/officeDocument/2006/relationships/hyperlink" Target="https://doi.org/10.37284/eaje.3.1.414" TargetMode="External"/><Relationship Id="rId36" Type="http://schemas.openxmlformats.org/officeDocument/2006/relationships/footer" Target="footer2.xml"/><Relationship Id="rId10" Type="http://schemas.openxmlformats.org/officeDocument/2006/relationships/hyperlink" Target="https://doi.org/10.1016/S0263-7863(02)00060-1" TargetMode="External"/><Relationship Id="rId19" Type="http://schemas.openxmlformats.org/officeDocument/2006/relationships/hyperlink" Target="https://doi.org/10.1155/2019/7436592" TargetMode="External"/><Relationship Id="rId31" Type="http://schemas.openxmlformats.org/officeDocument/2006/relationships/hyperlink" Target="https://doi.org/10.32738/jeppm-2022-0017" TargetMode="External"/><Relationship Id="rId4" Type="http://schemas.openxmlformats.org/officeDocument/2006/relationships/footnotes" Target="footnotes.xml"/><Relationship Id="rId9" Type="http://schemas.openxmlformats.org/officeDocument/2006/relationships/hyperlink" Target="https://doi.org/10.1080/15623599.2020.1736835" TargetMode="External"/><Relationship Id="rId14" Type="http://schemas.openxmlformats.org/officeDocument/2006/relationships/hyperlink" Target="https://doi.org/10.1016/S0263-7863(02)00055-8" TargetMode="External"/><Relationship Id="rId22" Type="http://schemas.openxmlformats.org/officeDocument/2006/relationships/hyperlink" Target="https://doi.org/10.1108/09699981011056556" TargetMode="External"/><Relationship Id="rId27" Type="http://schemas.openxmlformats.org/officeDocument/2006/relationships/hyperlink" Target="https://doi.org/10.1080/01446190600879125" TargetMode="External"/><Relationship Id="rId30" Type="http://schemas.openxmlformats.org/officeDocument/2006/relationships/hyperlink" Target="https://doi.org/10.47604/jppa.3332" TargetMode="External"/><Relationship Id="rId35" Type="http://schemas.openxmlformats.org/officeDocument/2006/relationships/footer" Target="footer1.xml"/><Relationship Id="rId8" Type="http://schemas.openxmlformats.org/officeDocument/2006/relationships/hyperlink" Target="https://doi.org/10.1596/1813-9450-5596"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9665</Words>
  <Characters>55095</Characters>
  <Application>Microsoft Office Word</Application>
  <DocSecurity>0</DocSecurity>
  <Lines>459</Lines>
  <Paragraphs>129</Paragraphs>
  <ScaleCrop>false</ScaleCrop>
  <Company>HP</Company>
  <LinksUpToDate>false</LinksUpToDate>
  <CharactersWithSpaces>64631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1166</cp:lastModifiedBy>
  <cp:revision>6</cp:revision>
  <dcterms:created xsi:type="dcterms:W3CDTF">2026-07-18T18:19:00Z</dcterms:created>
  <dcterms:modified xsi:type="dcterms:W3CDTF">2026-07-20T10:36:00Z</dcterms:modified>
</cp:coreProperties>
</file>