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6054" w14:textId="1C118666" w:rsidR="00AF7758" w:rsidRDefault="00AF7758" w:rsidP="00AF7758">
      <w:pPr>
        <w:spacing w:after="0"/>
        <w:rPr>
          <w:rFonts w:ascii="Times New Roman" w:hAnsi="Times New Roman" w:cs="Times New Roman"/>
          <w:b/>
          <w:sz w:val="28"/>
          <w:szCs w:val="28"/>
        </w:rPr>
      </w:pPr>
      <w:bookmarkStart w:id="0" w:name="_Hlk232675235"/>
      <w:r w:rsidRPr="00AF7758">
        <w:rPr>
          <w:rFonts w:ascii="Times New Roman" w:hAnsi="Times New Roman" w:cs="Times New Roman"/>
          <w:b/>
          <w:sz w:val="28"/>
          <w:szCs w:val="28"/>
        </w:rPr>
        <w:t>THE CAUSAL LINKAGES BETWEEN CLIMATE CHANGE AND URBAN POPULATION GROWTH: EVIDENCE FROM INDIA</w:t>
      </w:r>
    </w:p>
    <w:bookmarkEnd w:id="0"/>
    <w:p w14:paraId="675DCABF" w14:textId="77777777" w:rsidR="00AF7758" w:rsidRDefault="00AF7758" w:rsidP="00AF7758">
      <w:pPr>
        <w:spacing w:after="0"/>
        <w:rPr>
          <w:rFonts w:ascii="Times New Roman" w:hAnsi="Times New Roman" w:cs="Times New Roman"/>
          <w:sz w:val="24"/>
          <w:szCs w:val="24"/>
        </w:rPr>
      </w:pPr>
    </w:p>
    <w:p w14:paraId="3D892448" w14:textId="179B5AC8" w:rsidR="006E07E9" w:rsidRDefault="006E07E9" w:rsidP="00197FF1">
      <w:pPr>
        <w:spacing w:after="0"/>
        <w:rPr>
          <w:rFonts w:ascii="Times New Roman" w:hAnsi="Times New Roman" w:cs="Times New Roman"/>
          <w:b/>
          <w:sz w:val="24"/>
          <w:szCs w:val="24"/>
        </w:rPr>
      </w:pPr>
    </w:p>
    <w:p w14:paraId="330127EF" w14:textId="77777777" w:rsidR="00116A45" w:rsidRDefault="00116A45" w:rsidP="00197FF1">
      <w:pPr>
        <w:spacing w:after="0"/>
        <w:rPr>
          <w:rFonts w:ascii="Times New Roman" w:hAnsi="Times New Roman" w:cs="Times New Roman"/>
          <w:b/>
          <w:sz w:val="24"/>
          <w:szCs w:val="24"/>
        </w:rPr>
      </w:pPr>
    </w:p>
    <w:p w14:paraId="31F6C11F" w14:textId="77777777" w:rsidR="00116A45" w:rsidRDefault="00116A45" w:rsidP="00197FF1">
      <w:pPr>
        <w:spacing w:after="0"/>
        <w:rPr>
          <w:rFonts w:ascii="Times New Roman" w:hAnsi="Times New Roman" w:cs="Times New Roman"/>
          <w:b/>
          <w:sz w:val="24"/>
          <w:szCs w:val="24"/>
        </w:rPr>
      </w:pPr>
    </w:p>
    <w:p w14:paraId="7083177A" w14:textId="77777777" w:rsidR="00116A45" w:rsidRDefault="00116A45" w:rsidP="00197FF1">
      <w:pPr>
        <w:spacing w:after="0"/>
        <w:rPr>
          <w:rFonts w:ascii="Times New Roman" w:hAnsi="Times New Roman" w:cs="Times New Roman"/>
          <w:b/>
          <w:sz w:val="24"/>
          <w:szCs w:val="24"/>
        </w:rPr>
      </w:pPr>
    </w:p>
    <w:p w14:paraId="5E2DCA6E" w14:textId="77777777" w:rsidR="00116A45" w:rsidRDefault="00116A45" w:rsidP="00197FF1">
      <w:pPr>
        <w:spacing w:after="0"/>
        <w:rPr>
          <w:rFonts w:ascii="Times New Roman" w:hAnsi="Times New Roman" w:cs="Times New Roman"/>
          <w:b/>
          <w:sz w:val="24"/>
          <w:szCs w:val="24"/>
        </w:rPr>
      </w:pPr>
    </w:p>
    <w:p w14:paraId="48B7606A" w14:textId="77777777" w:rsidR="00116A45" w:rsidRPr="00E81A5C" w:rsidRDefault="00116A45" w:rsidP="00197FF1">
      <w:pPr>
        <w:spacing w:after="0"/>
        <w:rPr>
          <w:rFonts w:ascii="Times New Roman" w:hAnsi="Times New Roman" w:cs="Times New Roman"/>
          <w:b/>
          <w:sz w:val="24"/>
          <w:szCs w:val="24"/>
          <w:vertAlign w:val="superscript"/>
        </w:rPr>
      </w:pPr>
    </w:p>
    <w:p w14:paraId="734601D2" w14:textId="77777777" w:rsidR="00AF7758" w:rsidRPr="009315D2" w:rsidRDefault="00AF7758" w:rsidP="00AF7758">
      <w:pPr>
        <w:spacing w:after="0"/>
        <w:jc w:val="both"/>
        <w:rPr>
          <w:rFonts w:ascii="Times New Roman" w:hAnsi="Times New Roman" w:cs="Times New Roman"/>
          <w:sz w:val="24"/>
          <w:szCs w:val="24"/>
        </w:rPr>
      </w:pPr>
    </w:p>
    <w:p w14:paraId="7D705A39" w14:textId="77777777" w:rsidR="00F53C5A" w:rsidRDefault="00F53C5A" w:rsidP="00F53C5A">
      <w:pPr>
        <w:spacing w:after="0" w:line="240" w:lineRule="auto"/>
        <w:jc w:val="center"/>
        <w:rPr>
          <w:rFonts w:ascii="Times New Roman" w:hAnsi="Times New Roman" w:cs="Times New Roman"/>
          <w:sz w:val="28"/>
          <w:szCs w:val="28"/>
        </w:rPr>
      </w:pPr>
    </w:p>
    <w:p w14:paraId="5A4245AD" w14:textId="77777777" w:rsidR="00F53C5A" w:rsidRDefault="00F53C5A" w:rsidP="00F53C5A">
      <w:pPr>
        <w:spacing w:after="0" w:line="240" w:lineRule="auto"/>
        <w:jc w:val="center"/>
        <w:rPr>
          <w:rFonts w:ascii="Times New Roman" w:hAnsi="Times New Roman" w:cs="Times New Roman"/>
          <w:sz w:val="28"/>
          <w:szCs w:val="28"/>
        </w:rPr>
      </w:pPr>
    </w:p>
    <w:p w14:paraId="7E983429" w14:textId="402385DC" w:rsidR="008237CE" w:rsidRPr="00E81A5C" w:rsidRDefault="008237CE" w:rsidP="00197FF1">
      <w:pPr>
        <w:spacing w:after="160" w:line="259" w:lineRule="auto"/>
        <w:jc w:val="center"/>
        <w:rPr>
          <w:rFonts w:ascii="Arial" w:hAnsi="Arial" w:cs="Arial"/>
          <w:b/>
          <w:bCs/>
        </w:rPr>
      </w:pPr>
      <w:r w:rsidRPr="00E81A5C">
        <w:rPr>
          <w:rFonts w:ascii="Arial" w:hAnsi="Arial" w:cs="Arial"/>
          <w:b/>
          <w:bCs/>
        </w:rPr>
        <w:t>Abstract</w:t>
      </w:r>
    </w:p>
    <w:p w14:paraId="7D92DBF5" w14:textId="76FE2F32" w:rsidR="00C84861" w:rsidRPr="00197FF1" w:rsidRDefault="00573610" w:rsidP="00573610">
      <w:pPr>
        <w:spacing w:line="360" w:lineRule="auto"/>
        <w:jc w:val="both"/>
        <w:rPr>
          <w:rFonts w:ascii="Times New Roman" w:hAnsi="Times New Roman" w:cs="Times New Roman"/>
          <w:b/>
          <w:bCs/>
          <w:i/>
          <w:iCs/>
          <w:sz w:val="20"/>
          <w:szCs w:val="20"/>
        </w:rPr>
      </w:pPr>
      <w:r w:rsidRPr="00197FF1">
        <w:rPr>
          <w:rFonts w:ascii="Times New Roman" w:hAnsi="Times New Roman" w:cs="Times New Roman"/>
          <w:i/>
          <w:iCs/>
          <w:sz w:val="20"/>
          <w:szCs w:val="20"/>
        </w:rPr>
        <w:t xml:space="preserve">Rapid urbanization has emerged as a key driver of environmental change in many developing economies, particularly through its influence on energy demand and carbon emissions. </w:t>
      </w:r>
      <w:r w:rsidR="00AF7758" w:rsidRPr="00197FF1">
        <w:rPr>
          <w:rFonts w:ascii="Times New Roman" w:hAnsi="Times New Roman" w:cs="Times New Roman"/>
          <w:i/>
          <w:iCs/>
          <w:sz w:val="20"/>
          <w:szCs w:val="20"/>
        </w:rPr>
        <w:t xml:space="preserve">This study analyses the correlation between urban population growth and carbon dioxide (CO₂) emissions in India </w:t>
      </w:r>
      <w:r w:rsidR="00197FF1" w:rsidRPr="00197FF1">
        <w:rPr>
          <w:rFonts w:ascii="Times New Roman" w:hAnsi="Times New Roman" w:cs="Times New Roman"/>
          <w:i/>
          <w:iCs/>
          <w:sz w:val="20"/>
          <w:szCs w:val="20"/>
        </w:rPr>
        <w:t>utilizing</w:t>
      </w:r>
      <w:r w:rsidR="00AF7758" w:rsidRPr="00197FF1">
        <w:rPr>
          <w:rFonts w:ascii="Times New Roman" w:hAnsi="Times New Roman" w:cs="Times New Roman"/>
          <w:i/>
          <w:iCs/>
          <w:sz w:val="20"/>
          <w:szCs w:val="20"/>
        </w:rPr>
        <w:t xml:space="preserve"> annual time-series data. The analysis </w:t>
      </w:r>
      <w:r w:rsidR="00197FF1" w:rsidRPr="00197FF1">
        <w:rPr>
          <w:rFonts w:ascii="Times New Roman" w:hAnsi="Times New Roman" w:cs="Times New Roman"/>
          <w:i/>
          <w:iCs/>
          <w:sz w:val="20"/>
          <w:szCs w:val="20"/>
        </w:rPr>
        <w:t>utilizes</w:t>
      </w:r>
      <w:r w:rsidR="00AF7758" w:rsidRPr="00197FF1">
        <w:rPr>
          <w:rFonts w:ascii="Times New Roman" w:hAnsi="Times New Roman" w:cs="Times New Roman"/>
          <w:i/>
          <w:iCs/>
          <w:sz w:val="20"/>
          <w:szCs w:val="20"/>
        </w:rPr>
        <w:t xml:space="preserve"> the Autoregressive Distributed Lag (ARDL) bounds testing method to examine both long-term and short-term dynamics among the variables. The findings validate the presence of a long-term equilibrium link between urban population increase and CO₂ emissions. Long-term calculations reveal that urban population increase has the most substantial positive effect on CO₂ emissions, indicating that swift urban expansion markedly exacerbates environmental strain. Energy consumption positively influences emissions, indicating the ongoing reliance on fossil-fuel-based energy sources within the Indian economy. Trade is determined to have a statistically significant impact on emissions as well. The error correcting mechanism verifies a swift realignment of short-term discrepancies towards long-term equilibrium. Diagnostic and stability assessments further confirm the robustness and dependability of the estimated </w:t>
      </w:r>
      <w:r w:rsidR="00197FF1" w:rsidRPr="00197FF1">
        <w:rPr>
          <w:rFonts w:ascii="Times New Roman" w:hAnsi="Times New Roman" w:cs="Times New Roman"/>
          <w:i/>
          <w:iCs/>
          <w:sz w:val="20"/>
          <w:szCs w:val="20"/>
        </w:rPr>
        <w:t>model.</w:t>
      </w:r>
      <w:r w:rsidRPr="00197FF1">
        <w:rPr>
          <w:rFonts w:ascii="Times New Roman" w:hAnsi="Times New Roman" w:cs="Times New Roman"/>
          <w:i/>
          <w:iCs/>
          <w:sz w:val="20"/>
          <w:szCs w:val="20"/>
        </w:rPr>
        <w:t xml:space="preserve"> The findings highlight the critical role of urbanization and energy consumption patterns in shaping environmental outcomes in India. The study suggests that sustainable urban planning, increased investment in renewable energy, and improved energy efficiency are essential policy measures for mitigating emissions while supporting continued economic and urban development.</w:t>
      </w:r>
    </w:p>
    <w:p w14:paraId="41E3152A" w14:textId="035A69C0" w:rsidR="00197FF1" w:rsidRDefault="00197FF1">
      <w:pPr>
        <w:pBdr>
          <w:bottom w:val="single" w:sz="6" w:space="1" w:color="auto"/>
        </w:pBdr>
        <w:spacing w:after="160" w:line="259" w:lineRule="auto"/>
        <w:rPr>
          <w:rFonts w:ascii="Times New Roman" w:hAnsi="Times New Roman" w:cs="Times New Roman"/>
          <w:sz w:val="24"/>
          <w:szCs w:val="24"/>
        </w:rPr>
      </w:pPr>
      <w:r w:rsidRPr="00197FF1">
        <w:rPr>
          <w:rFonts w:ascii="Times New Roman" w:hAnsi="Times New Roman" w:cs="Times New Roman"/>
          <w:b/>
          <w:bCs/>
          <w:sz w:val="24"/>
          <w:szCs w:val="24"/>
        </w:rPr>
        <w:t>Keywords:</w:t>
      </w:r>
      <w:r w:rsidRPr="00197FF1">
        <w:rPr>
          <w:rFonts w:ascii="Times New Roman" w:hAnsi="Times New Roman" w:cs="Times New Roman"/>
          <w:sz w:val="24"/>
          <w:szCs w:val="24"/>
        </w:rPr>
        <w:t xml:space="preserve"> </w:t>
      </w:r>
      <w:bookmarkStart w:id="1" w:name="_Hlk232675593"/>
      <w:r w:rsidRPr="00E81A5C">
        <w:rPr>
          <w:rFonts w:ascii="Arial" w:hAnsi="Arial" w:cs="Arial"/>
          <w:sz w:val="20"/>
          <w:szCs w:val="20"/>
        </w:rPr>
        <w:t>Climate change, Urban Population, Energy Consumption,</w:t>
      </w:r>
      <w:r w:rsidR="00E81A5C">
        <w:rPr>
          <w:rFonts w:ascii="Arial" w:hAnsi="Arial" w:cs="Arial"/>
          <w:sz w:val="20"/>
          <w:szCs w:val="20"/>
        </w:rPr>
        <w:t xml:space="preserve"> Urban Planning.</w:t>
      </w:r>
    </w:p>
    <w:bookmarkEnd w:id="1"/>
    <w:p w14:paraId="793BA82F" w14:textId="77777777" w:rsidR="004663E0" w:rsidRPr="009315D2" w:rsidRDefault="004663E0" w:rsidP="004663E0">
      <w:pPr>
        <w:spacing w:after="0"/>
        <w:rPr>
          <w:rFonts w:ascii="Times New Roman" w:hAnsi="Times New Roman" w:cs="Times New Roman"/>
          <w:sz w:val="24"/>
          <w:szCs w:val="24"/>
        </w:rPr>
      </w:pPr>
    </w:p>
    <w:p w14:paraId="660FC52D" w14:textId="00B01741" w:rsidR="004663E0" w:rsidRPr="00197FF1" w:rsidRDefault="004663E0" w:rsidP="004663E0">
      <w:pPr>
        <w:spacing w:after="0" w:line="240" w:lineRule="auto"/>
        <w:rPr>
          <w:rFonts w:ascii="Times New Roman" w:hAnsi="Times New Roman" w:cs="Times New Roman"/>
          <w:b/>
          <w:sz w:val="24"/>
          <w:szCs w:val="24"/>
          <w:vertAlign w:val="superscript"/>
        </w:rPr>
      </w:pPr>
    </w:p>
    <w:p w14:paraId="4F5E3E91" w14:textId="494F9371" w:rsidR="007E5543" w:rsidRPr="00E81A5C" w:rsidRDefault="00E81A5C" w:rsidP="009C5C23">
      <w:pPr>
        <w:spacing w:after="160" w:line="259" w:lineRule="auto"/>
        <w:rPr>
          <w:rFonts w:ascii="Arial" w:hAnsi="Arial" w:cs="Arial"/>
        </w:rPr>
      </w:pPr>
      <w:r w:rsidRPr="00E81A5C">
        <w:rPr>
          <w:rFonts w:ascii="Arial" w:hAnsi="Arial" w:cs="Arial"/>
          <w:b/>
          <w:bCs/>
        </w:rPr>
        <w:t xml:space="preserve">1. </w:t>
      </w:r>
      <w:r w:rsidR="007E5543" w:rsidRPr="00E81A5C">
        <w:rPr>
          <w:rFonts w:ascii="Arial" w:hAnsi="Arial" w:cs="Arial"/>
          <w:b/>
          <w:bCs/>
        </w:rPr>
        <w:t>Introduction</w:t>
      </w:r>
    </w:p>
    <w:p w14:paraId="13F88498" w14:textId="1655C429" w:rsidR="006E647F" w:rsidRDefault="00C07B6C" w:rsidP="00C07B6C">
      <w:pPr>
        <w:spacing w:line="360" w:lineRule="auto"/>
        <w:jc w:val="both"/>
        <w:rPr>
          <w:rFonts w:ascii="Times New Roman" w:hAnsi="Times New Roman" w:cs="Times New Roman"/>
          <w:sz w:val="24"/>
          <w:szCs w:val="24"/>
        </w:rPr>
      </w:pPr>
      <w:bookmarkStart w:id="2" w:name="_Hlk232674414"/>
      <w:r w:rsidRPr="00C07B6C">
        <w:rPr>
          <w:rFonts w:ascii="Times New Roman" w:hAnsi="Times New Roman" w:cs="Times New Roman"/>
          <w:sz w:val="24"/>
          <w:szCs w:val="24"/>
        </w:rPr>
        <w:t>Th</w:t>
      </w:r>
      <w:r w:rsidR="00EF696B">
        <w:rPr>
          <w:rFonts w:ascii="Times New Roman" w:hAnsi="Times New Roman" w:cs="Times New Roman"/>
          <w:sz w:val="24"/>
          <w:szCs w:val="24"/>
        </w:rPr>
        <w:t>e</w:t>
      </w:r>
      <w:r w:rsidRPr="00C07B6C">
        <w:rPr>
          <w:rFonts w:ascii="Times New Roman" w:hAnsi="Times New Roman" w:cs="Times New Roman"/>
          <w:sz w:val="24"/>
          <w:szCs w:val="24"/>
        </w:rPr>
        <w:t xml:space="preserve"> rapid economic </w:t>
      </w:r>
      <w:r w:rsidR="00EF696B">
        <w:rPr>
          <w:rFonts w:ascii="Times New Roman" w:hAnsi="Times New Roman" w:cs="Times New Roman"/>
          <w:sz w:val="24"/>
          <w:szCs w:val="24"/>
        </w:rPr>
        <w:t>growth of the global economy</w:t>
      </w:r>
      <w:r w:rsidRPr="00C07B6C">
        <w:rPr>
          <w:rFonts w:ascii="Times New Roman" w:hAnsi="Times New Roman" w:cs="Times New Roman"/>
          <w:sz w:val="24"/>
          <w:szCs w:val="24"/>
        </w:rPr>
        <w:t xml:space="preserve"> has driven improvements in living standards, industrial productivity, and global trade</w:t>
      </w:r>
      <w:r w:rsidR="00DA1D87">
        <w:rPr>
          <w:rFonts w:ascii="Times New Roman" w:hAnsi="Times New Roman" w:cs="Times New Roman"/>
          <w:sz w:val="24"/>
          <w:szCs w:val="24"/>
        </w:rPr>
        <w:t>.</w:t>
      </w:r>
      <w:r w:rsidR="00EF696B">
        <w:rPr>
          <w:rFonts w:ascii="Times New Roman" w:hAnsi="Times New Roman" w:cs="Times New Roman"/>
          <w:sz w:val="24"/>
          <w:szCs w:val="24"/>
        </w:rPr>
        <w:t xml:space="preserve"> Over the last three decades, the global economy has grown considerably, with GDP nearly tripling from 38.49 trillion U.S. dollars in 1991 to approximately 117.2 trillion U.S. dollars in 2025. </w:t>
      </w:r>
      <w:r w:rsidR="00DA1D87" w:rsidRPr="00DA1D87">
        <w:rPr>
          <w:rFonts w:ascii="Times New Roman" w:hAnsi="Times New Roman" w:cs="Times New Roman"/>
          <w:sz w:val="24"/>
          <w:szCs w:val="24"/>
        </w:rPr>
        <w:t>However, alongside these economic gains, structural transformations in population distribution have</w:t>
      </w:r>
      <w:r w:rsidR="006E647F">
        <w:rPr>
          <w:rFonts w:ascii="Times New Roman" w:hAnsi="Times New Roman" w:cs="Times New Roman"/>
          <w:sz w:val="24"/>
          <w:szCs w:val="24"/>
        </w:rPr>
        <w:t xml:space="preserve"> also</w:t>
      </w:r>
      <w:r w:rsidR="00DA1D87" w:rsidRPr="00DA1D87">
        <w:rPr>
          <w:rFonts w:ascii="Times New Roman" w:hAnsi="Times New Roman" w:cs="Times New Roman"/>
          <w:sz w:val="24"/>
          <w:szCs w:val="24"/>
        </w:rPr>
        <w:t xml:space="preserve"> reshaped the global development landscape.</w:t>
      </w:r>
    </w:p>
    <w:p w14:paraId="6A5D1CC4" w14:textId="3ACEEA5F" w:rsidR="006E647F" w:rsidRDefault="00DA1D87" w:rsidP="00C07B6C">
      <w:pPr>
        <w:spacing w:line="360" w:lineRule="auto"/>
        <w:jc w:val="both"/>
        <w:rPr>
          <w:rFonts w:ascii="Times New Roman" w:hAnsi="Times New Roman" w:cs="Times New Roman"/>
          <w:sz w:val="24"/>
          <w:szCs w:val="24"/>
        </w:rPr>
      </w:pPr>
      <w:bookmarkStart w:id="3" w:name="_Hlk232674485"/>
      <w:bookmarkEnd w:id="2"/>
      <w:r w:rsidRPr="00DA1D87">
        <w:rPr>
          <w:rFonts w:ascii="Times New Roman" w:hAnsi="Times New Roman" w:cs="Times New Roman"/>
          <w:sz w:val="24"/>
          <w:szCs w:val="24"/>
        </w:rPr>
        <w:lastRenderedPageBreak/>
        <w:t>The rapid growth of the urban population is a defining feature of th</w:t>
      </w:r>
      <w:r w:rsidR="006E647F">
        <w:rPr>
          <w:rFonts w:ascii="Times New Roman" w:hAnsi="Times New Roman" w:cs="Times New Roman"/>
          <w:sz w:val="24"/>
          <w:szCs w:val="24"/>
        </w:rPr>
        <w:t>e</w:t>
      </w:r>
      <w:r w:rsidRPr="00DA1D87">
        <w:rPr>
          <w:rFonts w:ascii="Times New Roman" w:hAnsi="Times New Roman" w:cs="Times New Roman"/>
          <w:sz w:val="24"/>
          <w:szCs w:val="24"/>
        </w:rPr>
        <w:t xml:space="preserve"> global economy, driven by both natural population growth and rural-to-urban migration</w:t>
      </w:r>
      <w:r w:rsidR="006E647F">
        <w:rPr>
          <w:rFonts w:ascii="Times New Roman" w:hAnsi="Times New Roman" w:cs="Times New Roman"/>
          <w:sz w:val="24"/>
          <w:szCs w:val="24"/>
        </w:rPr>
        <w:t xml:space="preserve"> and t</w:t>
      </w:r>
      <w:r w:rsidRPr="00DA1D87">
        <w:rPr>
          <w:rFonts w:ascii="Times New Roman" w:hAnsi="Times New Roman" w:cs="Times New Roman"/>
          <w:sz w:val="24"/>
          <w:szCs w:val="24"/>
        </w:rPr>
        <w:t>his trend is expected to continue, with significant implications for economic development, infrastructure, and social dynamics.</w:t>
      </w:r>
      <w:r>
        <w:rPr>
          <w:rFonts w:ascii="Times New Roman" w:hAnsi="Times New Roman" w:cs="Times New Roman"/>
          <w:sz w:val="24"/>
          <w:szCs w:val="24"/>
        </w:rPr>
        <w:t xml:space="preserve"> </w:t>
      </w:r>
      <w:r w:rsidRPr="00DA1D87">
        <w:rPr>
          <w:rFonts w:ascii="Times New Roman" w:hAnsi="Times New Roman" w:cs="Times New Roman"/>
          <w:sz w:val="24"/>
          <w:szCs w:val="24"/>
        </w:rPr>
        <w:t>As of 2020, over 56% of the world’s population resides in urban areas</w:t>
      </w:r>
      <w:r w:rsidR="006E647F">
        <w:rPr>
          <w:rFonts w:ascii="Times New Roman" w:hAnsi="Times New Roman" w:cs="Times New Roman"/>
          <w:sz w:val="24"/>
          <w:szCs w:val="24"/>
        </w:rPr>
        <w:t>,</w:t>
      </w:r>
      <w:r>
        <w:rPr>
          <w:rFonts w:ascii="Times New Roman" w:hAnsi="Times New Roman" w:cs="Times New Roman"/>
          <w:sz w:val="24"/>
          <w:szCs w:val="24"/>
        </w:rPr>
        <w:t xml:space="preserve"> and </w:t>
      </w:r>
      <w:r w:rsidR="006E647F">
        <w:rPr>
          <w:rFonts w:ascii="Times New Roman" w:hAnsi="Times New Roman" w:cs="Times New Roman"/>
          <w:sz w:val="24"/>
          <w:szCs w:val="24"/>
        </w:rPr>
        <w:t xml:space="preserve">it is </w:t>
      </w:r>
      <w:r w:rsidRPr="00DA1D87">
        <w:rPr>
          <w:rFonts w:ascii="Times New Roman" w:hAnsi="Times New Roman" w:cs="Times New Roman"/>
          <w:sz w:val="24"/>
          <w:szCs w:val="24"/>
        </w:rPr>
        <w:t>projected to increase by 2.5 billion</w:t>
      </w:r>
      <w:r>
        <w:rPr>
          <w:rFonts w:ascii="Times New Roman" w:hAnsi="Times New Roman" w:cs="Times New Roman"/>
          <w:sz w:val="24"/>
          <w:szCs w:val="24"/>
        </w:rPr>
        <w:t xml:space="preserve"> in 2050</w:t>
      </w:r>
      <w:r w:rsidRPr="00DA1D87">
        <w:rPr>
          <w:rFonts w:ascii="Times New Roman" w:hAnsi="Times New Roman" w:cs="Times New Roman"/>
          <w:sz w:val="24"/>
          <w:szCs w:val="24"/>
        </w:rPr>
        <w:t>, reaching 66% of the global population</w:t>
      </w:r>
      <w:r>
        <w:rPr>
          <w:rFonts w:ascii="Times New Roman" w:hAnsi="Times New Roman" w:cs="Times New Roman"/>
          <w:sz w:val="24"/>
          <w:szCs w:val="24"/>
        </w:rPr>
        <w:t xml:space="preserve"> </w:t>
      </w:r>
      <w:r w:rsidRPr="00DA1D87">
        <w:rPr>
          <w:rFonts w:ascii="Times New Roman" w:hAnsi="Times New Roman" w:cs="Times New Roman"/>
          <w:sz w:val="24"/>
          <w:szCs w:val="24"/>
        </w:rPr>
        <w:t>(Floater et al., 2014</w:t>
      </w:r>
      <w:r w:rsidR="007602A8">
        <w:rPr>
          <w:rFonts w:ascii="Times New Roman" w:hAnsi="Times New Roman" w:cs="Times New Roman"/>
          <w:sz w:val="24"/>
          <w:szCs w:val="24"/>
        </w:rPr>
        <w:t xml:space="preserve">; </w:t>
      </w:r>
      <w:proofErr w:type="spellStart"/>
      <w:r w:rsidR="007602A8" w:rsidRPr="007602A8">
        <w:rPr>
          <w:rFonts w:ascii="Times New Roman" w:hAnsi="Times New Roman" w:cs="Times New Roman"/>
          <w:sz w:val="24"/>
          <w:szCs w:val="24"/>
        </w:rPr>
        <w:t>Hallegatte</w:t>
      </w:r>
      <w:proofErr w:type="spellEnd"/>
      <w:r w:rsidR="007602A8" w:rsidRPr="007602A8">
        <w:rPr>
          <w:rFonts w:ascii="Times New Roman" w:hAnsi="Times New Roman" w:cs="Times New Roman"/>
          <w:sz w:val="24"/>
          <w:szCs w:val="24"/>
        </w:rPr>
        <w:t xml:space="preserve"> &amp; Corfee-Morlot, 2011).</w:t>
      </w:r>
      <w:r w:rsidR="00221555">
        <w:rPr>
          <w:rFonts w:ascii="Times New Roman" w:hAnsi="Times New Roman" w:cs="Times New Roman"/>
          <w:sz w:val="24"/>
          <w:szCs w:val="24"/>
        </w:rPr>
        <w:t xml:space="preserve"> </w:t>
      </w:r>
    </w:p>
    <w:p w14:paraId="714E2FC4" w14:textId="289CF8C3" w:rsidR="00C07B6C" w:rsidRDefault="00221555" w:rsidP="00C07B6C">
      <w:pPr>
        <w:spacing w:line="360" w:lineRule="auto"/>
        <w:jc w:val="both"/>
        <w:rPr>
          <w:rFonts w:ascii="Times New Roman" w:hAnsi="Times New Roman" w:cs="Times New Roman"/>
          <w:sz w:val="24"/>
          <w:szCs w:val="24"/>
        </w:rPr>
      </w:pPr>
      <w:r w:rsidRPr="00221555">
        <w:rPr>
          <w:rFonts w:ascii="Times New Roman" w:hAnsi="Times New Roman" w:cs="Times New Roman"/>
          <w:sz w:val="24"/>
          <w:szCs w:val="24"/>
        </w:rPr>
        <w:t xml:space="preserve">Urban areas contribute more than 80 </w:t>
      </w:r>
      <w:r>
        <w:rPr>
          <w:rFonts w:ascii="Times New Roman" w:hAnsi="Times New Roman" w:cs="Times New Roman"/>
          <w:sz w:val="24"/>
          <w:szCs w:val="24"/>
        </w:rPr>
        <w:t>per cent</w:t>
      </w:r>
      <w:r w:rsidRPr="00221555">
        <w:rPr>
          <w:rFonts w:ascii="Times New Roman" w:hAnsi="Times New Roman" w:cs="Times New Roman"/>
          <w:sz w:val="24"/>
          <w:szCs w:val="24"/>
        </w:rPr>
        <w:t xml:space="preserve"> of global GDP, making them crucial drivers of economic growth.</w:t>
      </w:r>
      <w:r>
        <w:rPr>
          <w:rFonts w:ascii="Times New Roman" w:hAnsi="Times New Roman" w:cs="Times New Roman"/>
          <w:sz w:val="24"/>
          <w:szCs w:val="24"/>
        </w:rPr>
        <w:t xml:space="preserve"> </w:t>
      </w:r>
      <w:r w:rsidRPr="00221555">
        <w:rPr>
          <w:rFonts w:ascii="Times New Roman" w:hAnsi="Times New Roman" w:cs="Times New Roman"/>
          <w:sz w:val="24"/>
          <w:szCs w:val="24"/>
        </w:rPr>
        <w:t>(Xu, 2022</w:t>
      </w:r>
      <w:r>
        <w:rPr>
          <w:rFonts w:ascii="Times New Roman" w:hAnsi="Times New Roman" w:cs="Times New Roman"/>
          <w:sz w:val="24"/>
          <w:szCs w:val="24"/>
        </w:rPr>
        <w:t xml:space="preserve">; </w:t>
      </w:r>
      <w:proofErr w:type="spellStart"/>
      <w:r w:rsidRPr="00221555">
        <w:rPr>
          <w:rFonts w:ascii="Times New Roman" w:hAnsi="Times New Roman" w:cs="Times New Roman"/>
          <w:sz w:val="24"/>
          <w:szCs w:val="24"/>
        </w:rPr>
        <w:t>Basole</w:t>
      </w:r>
      <w:proofErr w:type="spellEnd"/>
      <w:r w:rsidRPr="00221555">
        <w:rPr>
          <w:rFonts w:ascii="Times New Roman" w:hAnsi="Times New Roman" w:cs="Times New Roman"/>
          <w:sz w:val="24"/>
          <w:szCs w:val="24"/>
        </w:rPr>
        <w:t xml:space="preserve"> &amp; Bhattacharya, 2017</w:t>
      </w:r>
      <w:r>
        <w:rPr>
          <w:rFonts w:ascii="Times New Roman" w:hAnsi="Times New Roman" w:cs="Times New Roman"/>
          <w:sz w:val="24"/>
          <w:szCs w:val="24"/>
        </w:rPr>
        <w:t xml:space="preserve">; </w:t>
      </w:r>
      <w:r w:rsidRPr="00221555">
        <w:rPr>
          <w:rFonts w:ascii="Times New Roman" w:hAnsi="Times New Roman" w:cs="Times New Roman"/>
          <w:sz w:val="24"/>
          <w:szCs w:val="24"/>
        </w:rPr>
        <w:t>Al-Jebouri et al., 2020)</w:t>
      </w:r>
      <w:r>
        <w:rPr>
          <w:rFonts w:ascii="Times New Roman" w:hAnsi="Times New Roman" w:cs="Times New Roman"/>
          <w:sz w:val="24"/>
          <w:szCs w:val="24"/>
        </w:rPr>
        <w:t xml:space="preserve"> and </w:t>
      </w:r>
      <w:r w:rsidRPr="00221555">
        <w:rPr>
          <w:rFonts w:ascii="Times New Roman" w:hAnsi="Times New Roman" w:cs="Times New Roman"/>
          <w:sz w:val="24"/>
          <w:szCs w:val="24"/>
        </w:rPr>
        <w:t>functioning as engines of economic innovation, productivity, and development.</w:t>
      </w:r>
      <w:r w:rsidR="007602A8">
        <w:rPr>
          <w:rFonts w:ascii="Times New Roman" w:hAnsi="Times New Roman" w:cs="Times New Roman"/>
          <w:sz w:val="24"/>
          <w:szCs w:val="24"/>
        </w:rPr>
        <w:t xml:space="preserve"> </w:t>
      </w:r>
      <w:r w:rsidR="00C07B6C" w:rsidRPr="00C07B6C">
        <w:rPr>
          <w:rFonts w:ascii="Times New Roman" w:hAnsi="Times New Roman" w:cs="Times New Roman"/>
          <w:sz w:val="24"/>
          <w:szCs w:val="24"/>
        </w:rPr>
        <w:t>However,</w:t>
      </w:r>
      <w:r w:rsidR="007D176D">
        <w:rPr>
          <w:rFonts w:ascii="Times New Roman" w:hAnsi="Times New Roman" w:cs="Times New Roman"/>
          <w:sz w:val="24"/>
          <w:szCs w:val="24"/>
        </w:rPr>
        <w:t xml:space="preserve"> </w:t>
      </w:r>
      <w:r w:rsidR="007D176D" w:rsidRPr="007D176D">
        <w:rPr>
          <w:rFonts w:ascii="Times New Roman" w:hAnsi="Times New Roman" w:cs="Times New Roman"/>
          <w:sz w:val="24"/>
          <w:szCs w:val="24"/>
        </w:rPr>
        <w:t>this demographic and spatial concentration of people and economic activity</w:t>
      </w:r>
      <w:r w:rsidR="00C07B6C" w:rsidRPr="00C07B6C">
        <w:rPr>
          <w:rFonts w:ascii="Times New Roman" w:hAnsi="Times New Roman" w:cs="Times New Roman"/>
          <w:sz w:val="24"/>
          <w:szCs w:val="24"/>
        </w:rPr>
        <w:t xml:space="preserve"> has also exacerbated environmental challenges, particularly climate change and global warming.</w:t>
      </w:r>
      <w:r w:rsidR="006E647F" w:rsidRPr="006E647F">
        <w:rPr>
          <w:rFonts w:ascii="Segoe UI" w:hAnsi="Segoe UI" w:cs="Segoe UI"/>
          <w:color w:val="000000"/>
          <w:shd w:val="clear" w:color="auto" w:fill="FFFFFF"/>
        </w:rPr>
        <w:t xml:space="preserve"> </w:t>
      </w:r>
      <w:proofErr w:type="spellStart"/>
      <w:r w:rsidR="006E647F">
        <w:rPr>
          <w:rFonts w:ascii="Times New Roman" w:hAnsi="Times New Roman" w:cs="Times New Roman"/>
          <w:sz w:val="24"/>
          <w:szCs w:val="24"/>
        </w:rPr>
        <w:t>Urbanisation</w:t>
      </w:r>
      <w:proofErr w:type="spellEnd"/>
      <w:r w:rsidR="006E647F">
        <w:rPr>
          <w:rFonts w:ascii="Times New Roman" w:hAnsi="Times New Roman" w:cs="Times New Roman"/>
          <w:sz w:val="24"/>
          <w:szCs w:val="24"/>
        </w:rPr>
        <w:t xml:space="preserve"> leads to increased greenhouse gas emissions, as cities are often reliant on fossil fuels for energy, which directly contributes to climate change (Florist, 2022</w:t>
      </w:r>
      <w:r w:rsidR="006E647F" w:rsidRPr="006E647F">
        <w:rPr>
          <w:rFonts w:ascii="Times New Roman" w:hAnsi="Times New Roman" w:cs="Times New Roman"/>
          <w:sz w:val="24"/>
          <w:szCs w:val="24"/>
        </w:rPr>
        <w:t>).</w:t>
      </w:r>
      <w:r w:rsidR="006E647F">
        <w:rPr>
          <w:rFonts w:ascii="Times New Roman" w:hAnsi="Times New Roman" w:cs="Times New Roman"/>
          <w:sz w:val="24"/>
          <w:szCs w:val="24"/>
        </w:rPr>
        <w:t xml:space="preserve"> </w:t>
      </w:r>
      <w:r w:rsidR="006E647F" w:rsidRPr="006E647F">
        <w:rPr>
          <w:rFonts w:ascii="Times New Roman" w:hAnsi="Times New Roman" w:cs="Times New Roman"/>
          <w:sz w:val="24"/>
          <w:szCs w:val="24"/>
        </w:rPr>
        <w:t>Furthermore,</w:t>
      </w:r>
      <w:r w:rsidR="00EF696B">
        <w:rPr>
          <w:rFonts w:ascii="Times New Roman" w:hAnsi="Times New Roman" w:cs="Times New Roman"/>
          <w:sz w:val="24"/>
          <w:szCs w:val="24"/>
        </w:rPr>
        <w:t xml:space="preserve"> cities are considered more vulnerable to climate change, as rapid urban population growth</w:t>
      </w:r>
      <w:r w:rsidR="006E647F" w:rsidRPr="006E647F">
        <w:rPr>
          <w:rFonts w:ascii="Times New Roman" w:hAnsi="Times New Roman" w:cs="Times New Roman"/>
          <w:sz w:val="24"/>
          <w:szCs w:val="24"/>
        </w:rPr>
        <w:t xml:space="preserve"> intensifies resource demand and environmental pressures</w:t>
      </w:r>
      <w:r w:rsidR="00EF696B">
        <w:rPr>
          <w:rFonts w:ascii="Times New Roman" w:hAnsi="Times New Roman" w:cs="Times New Roman"/>
          <w:sz w:val="24"/>
          <w:szCs w:val="24"/>
        </w:rPr>
        <w:t xml:space="preserve"> </w:t>
      </w:r>
      <w:r w:rsidR="006E647F" w:rsidRPr="006E647F">
        <w:rPr>
          <w:rFonts w:ascii="Times New Roman" w:hAnsi="Times New Roman" w:cs="Times New Roman"/>
          <w:sz w:val="24"/>
          <w:szCs w:val="24"/>
        </w:rPr>
        <w:t>(Wang &amp; Moriarty, 2018</w:t>
      </w:r>
      <w:r w:rsidR="007602A8">
        <w:rPr>
          <w:rFonts w:ascii="Times New Roman" w:hAnsi="Times New Roman" w:cs="Times New Roman"/>
          <w:sz w:val="24"/>
          <w:szCs w:val="24"/>
        </w:rPr>
        <w:t>)</w:t>
      </w:r>
      <w:r w:rsidR="006E647F" w:rsidRPr="006E647F">
        <w:rPr>
          <w:rFonts w:ascii="Times New Roman" w:hAnsi="Times New Roman" w:cs="Times New Roman"/>
          <w:sz w:val="24"/>
          <w:szCs w:val="24"/>
        </w:rPr>
        <w:t>.</w:t>
      </w:r>
      <w:r w:rsidR="006E647F">
        <w:rPr>
          <w:rFonts w:ascii="Times New Roman" w:hAnsi="Times New Roman" w:cs="Times New Roman"/>
          <w:sz w:val="24"/>
          <w:szCs w:val="24"/>
        </w:rPr>
        <w:t xml:space="preserve"> </w:t>
      </w:r>
      <w:r w:rsidR="007D176D" w:rsidRPr="007D176D">
        <w:rPr>
          <w:rFonts w:ascii="Times New Roman" w:hAnsi="Times New Roman" w:cs="Times New Roman"/>
          <w:sz w:val="24"/>
          <w:szCs w:val="24"/>
        </w:rPr>
        <w:t>Increased energy demand, transport expansion, construction activities, and lifestyle changes associated with urban living contribute to rising greenhouse gas (GHG) emissions, resource depletion, and ecological degradation (Seto et al., 2012).</w:t>
      </w:r>
      <w:r w:rsidR="007D176D">
        <w:rPr>
          <w:rFonts w:ascii="Times New Roman" w:hAnsi="Times New Roman" w:cs="Times New Roman"/>
          <w:sz w:val="24"/>
          <w:szCs w:val="24"/>
        </w:rPr>
        <w:t xml:space="preserve"> </w:t>
      </w:r>
      <w:r w:rsidR="00D239B5" w:rsidRPr="00D239B5">
        <w:rPr>
          <w:rFonts w:ascii="Times New Roman" w:hAnsi="Times New Roman" w:cs="Times New Roman"/>
          <w:sz w:val="24"/>
          <w:szCs w:val="24"/>
        </w:rPr>
        <w:t xml:space="preserve">The environmental implications of urban population growth are particularly profound due to the interplay between land use, energy consumption, and waste generation. </w:t>
      </w:r>
      <w:r w:rsidR="00DB09B2">
        <w:rPr>
          <w:rFonts w:ascii="Times New Roman" w:hAnsi="Times New Roman" w:cs="Times New Roman"/>
          <w:sz w:val="24"/>
          <w:szCs w:val="24"/>
        </w:rPr>
        <w:t>Urban</w:t>
      </w:r>
      <w:r w:rsidR="00D239B5" w:rsidRPr="00D239B5">
        <w:rPr>
          <w:rFonts w:ascii="Times New Roman" w:hAnsi="Times New Roman" w:cs="Times New Roman"/>
          <w:sz w:val="24"/>
          <w:szCs w:val="24"/>
        </w:rPr>
        <w:t xml:space="preserve"> expansion leads to the conversion of natural land into impervious surfaces, disrupting hydrological cycles and increasing surface temperatures</w:t>
      </w:r>
      <w:r w:rsidR="00DB09B2">
        <w:rPr>
          <w:rFonts w:ascii="Times New Roman" w:hAnsi="Times New Roman" w:cs="Times New Roman"/>
          <w:sz w:val="24"/>
          <w:szCs w:val="24"/>
        </w:rPr>
        <w:t xml:space="preserve">. </w:t>
      </w:r>
      <w:r w:rsidR="00D239B5" w:rsidRPr="00D239B5">
        <w:rPr>
          <w:rFonts w:ascii="Times New Roman" w:hAnsi="Times New Roman" w:cs="Times New Roman"/>
          <w:sz w:val="24"/>
          <w:szCs w:val="24"/>
        </w:rPr>
        <w:t xml:space="preserve">Thus, while </w:t>
      </w:r>
      <w:proofErr w:type="spellStart"/>
      <w:r w:rsidR="00D239B5">
        <w:rPr>
          <w:rFonts w:ascii="Times New Roman" w:hAnsi="Times New Roman" w:cs="Times New Roman"/>
          <w:sz w:val="24"/>
          <w:szCs w:val="24"/>
        </w:rPr>
        <w:t>urbanisation</w:t>
      </w:r>
      <w:proofErr w:type="spellEnd"/>
      <w:r w:rsidR="00D239B5">
        <w:rPr>
          <w:rFonts w:ascii="Times New Roman" w:hAnsi="Times New Roman" w:cs="Times New Roman"/>
          <w:sz w:val="24"/>
          <w:szCs w:val="24"/>
        </w:rPr>
        <w:t xml:space="preserve"> continues to drive global economic growth, it also significantly intensifies environmental pressures and policymakers</w:t>
      </w:r>
      <w:r w:rsidR="00D239B5" w:rsidRPr="00C07B6C">
        <w:rPr>
          <w:rFonts w:ascii="Times New Roman" w:hAnsi="Times New Roman" w:cs="Times New Roman"/>
          <w:sz w:val="24"/>
          <w:szCs w:val="24"/>
        </w:rPr>
        <w:t xml:space="preserve"> worldwide face the urgent task of designing and implementing effective strategies to mitigate the impact of global warming.</w:t>
      </w:r>
    </w:p>
    <w:p w14:paraId="336B00F0" w14:textId="1DFB0C85" w:rsidR="00C07B6C" w:rsidRDefault="00C07B6C" w:rsidP="00C07B6C">
      <w:pPr>
        <w:spacing w:line="360" w:lineRule="auto"/>
        <w:jc w:val="both"/>
        <w:rPr>
          <w:rFonts w:ascii="Times New Roman" w:hAnsi="Times New Roman" w:cs="Times New Roman"/>
          <w:sz w:val="24"/>
          <w:szCs w:val="24"/>
        </w:rPr>
      </w:pPr>
      <w:r w:rsidRPr="00C07B6C">
        <w:rPr>
          <w:rFonts w:ascii="Times New Roman" w:hAnsi="Times New Roman" w:cs="Times New Roman"/>
          <w:sz w:val="24"/>
          <w:szCs w:val="24"/>
        </w:rPr>
        <w:t>India is</w:t>
      </w:r>
      <w:r w:rsidR="003B68DC">
        <w:rPr>
          <w:rFonts w:ascii="Times New Roman" w:hAnsi="Times New Roman" w:cs="Times New Roman"/>
          <w:sz w:val="24"/>
          <w:szCs w:val="24"/>
        </w:rPr>
        <w:t xml:space="preserve"> also</w:t>
      </w:r>
      <w:r w:rsidRPr="00C07B6C">
        <w:rPr>
          <w:rFonts w:ascii="Times New Roman" w:hAnsi="Times New Roman" w:cs="Times New Roman"/>
          <w:sz w:val="24"/>
          <w:szCs w:val="24"/>
        </w:rPr>
        <w:t xml:space="preserve"> not immune to the challenges posed by climate change and global warming. As one of the fastest-growing economies, the country has witnessed</w:t>
      </w:r>
      <w:r w:rsidR="00DB09B2">
        <w:rPr>
          <w:rFonts w:ascii="Times New Roman" w:hAnsi="Times New Roman" w:cs="Times New Roman"/>
          <w:sz w:val="24"/>
          <w:szCs w:val="24"/>
        </w:rPr>
        <w:t xml:space="preserve"> rapid </w:t>
      </w:r>
      <w:proofErr w:type="spellStart"/>
      <w:r w:rsidR="00DB09B2">
        <w:rPr>
          <w:rFonts w:ascii="Times New Roman" w:hAnsi="Times New Roman" w:cs="Times New Roman"/>
          <w:sz w:val="24"/>
          <w:szCs w:val="24"/>
        </w:rPr>
        <w:t>urbanisation</w:t>
      </w:r>
      <w:proofErr w:type="spellEnd"/>
      <w:r w:rsidRPr="00C07B6C">
        <w:rPr>
          <w:rFonts w:ascii="Times New Roman" w:hAnsi="Times New Roman" w:cs="Times New Roman"/>
          <w:sz w:val="24"/>
          <w:szCs w:val="24"/>
        </w:rPr>
        <w:t>.</w:t>
      </w:r>
      <w:r w:rsidR="00DB09B2">
        <w:rPr>
          <w:rFonts w:ascii="Times New Roman" w:hAnsi="Times New Roman" w:cs="Times New Roman"/>
          <w:sz w:val="24"/>
          <w:szCs w:val="24"/>
        </w:rPr>
        <w:t xml:space="preserve"> The</w:t>
      </w:r>
      <w:r w:rsidR="003B68DC">
        <w:rPr>
          <w:rFonts w:ascii="Times New Roman" w:hAnsi="Times New Roman" w:cs="Times New Roman"/>
          <w:sz w:val="24"/>
          <w:szCs w:val="24"/>
        </w:rPr>
        <w:t xml:space="preserve"> </w:t>
      </w:r>
      <w:r w:rsidR="00DB09B2" w:rsidRPr="00DB09B2">
        <w:rPr>
          <w:rFonts w:ascii="Times New Roman" w:hAnsi="Times New Roman" w:cs="Times New Roman"/>
          <w:sz w:val="24"/>
          <w:szCs w:val="24"/>
        </w:rPr>
        <w:t>urban population growth in India has been accompanied by sprawling settlements, increased vehicular traffic, soaring energy demands, and haphazard land conversion, all of which strain local ecosystems and contribute to rising carbon footprints</w:t>
      </w:r>
      <w:r w:rsidRPr="00C07B6C">
        <w:rPr>
          <w:rFonts w:ascii="Times New Roman" w:hAnsi="Times New Roman" w:cs="Times New Roman"/>
          <w:sz w:val="24"/>
          <w:szCs w:val="24"/>
        </w:rPr>
        <w:t>.</w:t>
      </w:r>
      <w:r>
        <w:rPr>
          <w:rFonts w:ascii="Times New Roman" w:hAnsi="Times New Roman" w:cs="Times New Roman"/>
          <w:sz w:val="24"/>
          <w:szCs w:val="24"/>
        </w:rPr>
        <w:t xml:space="preserve"> </w:t>
      </w:r>
      <w:r w:rsidR="003B68DC">
        <w:rPr>
          <w:rFonts w:ascii="Times New Roman" w:hAnsi="Times New Roman" w:cs="Times New Roman"/>
          <w:sz w:val="24"/>
          <w:szCs w:val="24"/>
        </w:rPr>
        <w:t>Therefore, u</w:t>
      </w:r>
      <w:r w:rsidR="003B68DC" w:rsidRPr="003B68DC">
        <w:rPr>
          <w:rFonts w:ascii="Times New Roman" w:hAnsi="Times New Roman" w:cs="Times New Roman"/>
          <w:sz w:val="24"/>
          <w:szCs w:val="24"/>
        </w:rPr>
        <w:t>nderstanding and addressing the causal links between climate change and urban population growth in India is thus a policy imperativ</w:t>
      </w:r>
      <w:r w:rsidR="003B68DC">
        <w:rPr>
          <w:rFonts w:ascii="Times New Roman" w:hAnsi="Times New Roman" w:cs="Times New Roman"/>
          <w:sz w:val="24"/>
          <w:szCs w:val="24"/>
        </w:rPr>
        <w:t>e and</w:t>
      </w:r>
      <w:r w:rsidR="003B68DC" w:rsidRPr="003B68DC">
        <w:rPr>
          <w:rFonts w:ascii="Times New Roman" w:hAnsi="Times New Roman" w:cs="Times New Roman"/>
          <w:sz w:val="24"/>
          <w:szCs w:val="24"/>
        </w:rPr>
        <w:t xml:space="preserve"> demands integrated approaches spanning urban planning, environmental governance, and climate resilience.</w:t>
      </w:r>
      <w:r w:rsidR="003B68DC">
        <w:rPr>
          <w:rFonts w:ascii="Times New Roman" w:hAnsi="Times New Roman" w:cs="Times New Roman"/>
          <w:sz w:val="24"/>
          <w:szCs w:val="24"/>
        </w:rPr>
        <w:t xml:space="preserve"> </w:t>
      </w:r>
    </w:p>
    <w:p w14:paraId="54923D3C" w14:textId="2352A813" w:rsidR="00527AB3" w:rsidRDefault="00527AB3" w:rsidP="00C07B6C">
      <w:pPr>
        <w:spacing w:line="360" w:lineRule="auto"/>
        <w:jc w:val="both"/>
        <w:rPr>
          <w:rFonts w:ascii="Times New Roman" w:hAnsi="Times New Roman" w:cs="Times New Roman"/>
          <w:sz w:val="24"/>
          <w:szCs w:val="24"/>
        </w:rPr>
      </w:pPr>
      <w:r w:rsidRPr="00527AB3">
        <w:rPr>
          <w:rFonts w:ascii="Times New Roman" w:hAnsi="Times New Roman" w:cs="Times New Roman"/>
          <w:sz w:val="24"/>
          <w:szCs w:val="24"/>
        </w:rPr>
        <w:lastRenderedPageBreak/>
        <w:t xml:space="preserve">This research objectively investigates the correlation between carbon dioxide (CO2) emissions and population increase, considering India's substantial contribution to global carbon emissions. The work is </w:t>
      </w:r>
      <w:proofErr w:type="spellStart"/>
      <w:r w:rsidRPr="00527AB3">
        <w:rPr>
          <w:rFonts w:ascii="Times New Roman" w:hAnsi="Times New Roman" w:cs="Times New Roman"/>
          <w:sz w:val="24"/>
          <w:szCs w:val="24"/>
        </w:rPr>
        <w:t>organised</w:t>
      </w:r>
      <w:proofErr w:type="spellEnd"/>
      <w:r w:rsidRPr="00527AB3">
        <w:rPr>
          <w:rFonts w:ascii="Times New Roman" w:hAnsi="Times New Roman" w:cs="Times New Roman"/>
          <w:sz w:val="24"/>
          <w:szCs w:val="24"/>
        </w:rPr>
        <w:t xml:space="preserve"> into three sections: Review</w:t>
      </w:r>
      <w:r w:rsidR="00AF7758">
        <w:rPr>
          <w:rFonts w:ascii="Times New Roman" w:hAnsi="Times New Roman" w:cs="Times New Roman"/>
          <w:sz w:val="24"/>
          <w:szCs w:val="24"/>
        </w:rPr>
        <w:t xml:space="preserve"> of Empirical </w:t>
      </w:r>
      <w:r w:rsidR="00AF7758" w:rsidRPr="00527AB3">
        <w:rPr>
          <w:rFonts w:ascii="Times New Roman" w:hAnsi="Times New Roman" w:cs="Times New Roman"/>
          <w:sz w:val="24"/>
          <w:szCs w:val="24"/>
        </w:rPr>
        <w:t>Literature</w:t>
      </w:r>
      <w:r w:rsidRPr="00527AB3">
        <w:rPr>
          <w:rFonts w:ascii="Times New Roman" w:hAnsi="Times New Roman" w:cs="Times New Roman"/>
          <w:sz w:val="24"/>
          <w:szCs w:val="24"/>
        </w:rPr>
        <w:t>, Data and Model Specification, and Empirical Results. The Conclusion and Policy Implications section is an overview of the policy implications associated with the primary results.</w:t>
      </w:r>
    </w:p>
    <w:p w14:paraId="17975A76" w14:textId="4B2EFCB7" w:rsidR="00CA2BBA" w:rsidRDefault="00FA718C" w:rsidP="00C07B6C">
      <w:pPr>
        <w:spacing w:line="360" w:lineRule="auto"/>
        <w:jc w:val="both"/>
        <w:rPr>
          <w:rFonts w:ascii="Times New Roman" w:hAnsi="Times New Roman" w:cs="Times New Roman"/>
          <w:b/>
          <w:bCs/>
          <w:sz w:val="28"/>
          <w:szCs w:val="28"/>
        </w:rPr>
      </w:pPr>
      <w:bookmarkStart w:id="4" w:name="_Hlk232674672"/>
      <w:bookmarkEnd w:id="3"/>
      <w:r>
        <w:rPr>
          <w:rFonts w:ascii="Times New Roman" w:hAnsi="Times New Roman" w:cs="Times New Roman"/>
          <w:b/>
          <w:bCs/>
          <w:sz w:val="28"/>
          <w:szCs w:val="28"/>
        </w:rPr>
        <w:t>2.</w:t>
      </w:r>
      <w:r w:rsidR="00CA2BBA" w:rsidRPr="00CA2BBA">
        <w:rPr>
          <w:rFonts w:ascii="Times New Roman" w:hAnsi="Times New Roman" w:cs="Times New Roman"/>
          <w:b/>
          <w:bCs/>
          <w:sz w:val="28"/>
          <w:szCs w:val="28"/>
        </w:rPr>
        <w:t xml:space="preserve">Review of Empirical Literature </w:t>
      </w:r>
    </w:p>
    <w:p w14:paraId="4AA38E4A" w14:textId="77777777" w:rsidR="009E309C" w:rsidRDefault="009E309C" w:rsidP="00A30A8E">
      <w:pPr>
        <w:spacing w:line="360" w:lineRule="auto"/>
        <w:jc w:val="both"/>
        <w:rPr>
          <w:rFonts w:ascii="Times New Roman" w:hAnsi="Times New Roman" w:cs="Times New Roman"/>
          <w:sz w:val="24"/>
          <w:szCs w:val="24"/>
          <w:lang w:val="en-IN"/>
        </w:rPr>
      </w:pPr>
      <w:r w:rsidRPr="009E309C">
        <w:rPr>
          <w:rFonts w:ascii="Times New Roman" w:hAnsi="Times New Roman" w:cs="Times New Roman"/>
          <w:sz w:val="24"/>
          <w:szCs w:val="24"/>
          <w:lang w:val="en-IN"/>
        </w:rPr>
        <w:t>The correlation between urbanisation and carbon emissions has garnered considerable focus in the environmental economics literature. Rapid urban expansion is acknowledged as a significant structural catalyst of environmental change, especially in developing nations where urban growth frequently correlates with heightened industrial activity, infrastructure development, and energy demand. Nevertheless, scientific evidence about the environmental impacts of urbanisation is inconsistent, indicating variations in economic frameworks, technology advancement, and policy contexts among nations.</w:t>
      </w:r>
    </w:p>
    <w:p w14:paraId="00C02787" w14:textId="67669486" w:rsidR="00A30A8E" w:rsidRPr="00A30A8E" w:rsidRDefault="009E309C" w:rsidP="00A30A8E">
      <w:pPr>
        <w:spacing w:line="360" w:lineRule="auto"/>
        <w:jc w:val="both"/>
        <w:rPr>
          <w:rFonts w:ascii="Times New Roman" w:hAnsi="Times New Roman" w:cs="Times New Roman"/>
          <w:sz w:val="24"/>
          <w:szCs w:val="24"/>
          <w:lang w:val="en-IN"/>
        </w:rPr>
      </w:pPr>
      <w:r w:rsidRPr="009E309C">
        <w:rPr>
          <w:rFonts w:ascii="Times New Roman" w:hAnsi="Times New Roman" w:cs="Times New Roman"/>
          <w:sz w:val="24"/>
          <w:szCs w:val="24"/>
          <w:lang w:val="en-IN"/>
        </w:rPr>
        <w:t>A la</w:t>
      </w:r>
      <w:r>
        <w:rPr>
          <w:rFonts w:ascii="Times New Roman" w:hAnsi="Times New Roman" w:cs="Times New Roman"/>
          <w:sz w:val="24"/>
          <w:szCs w:val="24"/>
          <w:lang w:val="en-IN"/>
        </w:rPr>
        <w:t>rge number of empirical research</w:t>
      </w:r>
      <w:r w:rsidRPr="009E309C">
        <w:rPr>
          <w:rFonts w:ascii="Times New Roman" w:hAnsi="Times New Roman" w:cs="Times New Roman"/>
          <w:sz w:val="24"/>
          <w:szCs w:val="24"/>
          <w:lang w:val="en-IN"/>
        </w:rPr>
        <w:t xml:space="preserve"> indicates that urbanisation leads to elevated carbon emissions, chiefly due to heightened energy consumption and intensified economic activity. Ngong et al. (2022) investigated the correlation between urbanisation and environmental deterioration in CEMAC nations through cointegration methods and discovered that urban expansion markedly elevates CO₂ emi</w:t>
      </w:r>
      <w:r>
        <w:rPr>
          <w:rFonts w:ascii="Times New Roman" w:hAnsi="Times New Roman" w:cs="Times New Roman"/>
          <w:sz w:val="24"/>
          <w:szCs w:val="24"/>
          <w:lang w:val="en-IN"/>
        </w:rPr>
        <w:t>ssions</w:t>
      </w:r>
      <w:r w:rsidR="00A30A8E" w:rsidRPr="00A30A8E">
        <w:rPr>
          <w:rFonts w:ascii="Times New Roman" w:hAnsi="Times New Roman" w:cs="Times New Roman"/>
          <w:sz w:val="24"/>
          <w:szCs w:val="24"/>
          <w:lang w:val="en-IN"/>
        </w:rPr>
        <w:t>. Their findings also reveal feedback effects in which emissions influence urbanization and economic variables. Similarly, Dutta and Hazarika (2023), analysing a panel of low- and lower-middle-income countries across multiple regions, reported that urbanization acts as a key driver of CO₂ emissions, largely due to rising energy demand associated with economic development and population concentration in urban areas. Evidence from Pakistan presented by Ahmad et al. (2022) also indicates that urban population growth and energy consumption significantly increase environmental degradation.</w:t>
      </w:r>
    </w:p>
    <w:p w14:paraId="22B78FF7" w14:textId="77777777" w:rsidR="00527AB3" w:rsidRDefault="00527AB3" w:rsidP="00A30A8E">
      <w:pPr>
        <w:spacing w:line="360" w:lineRule="auto"/>
        <w:jc w:val="both"/>
        <w:rPr>
          <w:rFonts w:ascii="Times New Roman" w:hAnsi="Times New Roman" w:cs="Times New Roman"/>
          <w:sz w:val="24"/>
          <w:szCs w:val="24"/>
          <w:lang w:val="en-IN"/>
        </w:rPr>
      </w:pPr>
      <w:r w:rsidRPr="00527AB3">
        <w:rPr>
          <w:rFonts w:ascii="Times New Roman" w:hAnsi="Times New Roman" w:cs="Times New Roman"/>
          <w:sz w:val="24"/>
          <w:szCs w:val="24"/>
          <w:lang w:val="en-IN"/>
        </w:rPr>
        <w:t xml:space="preserve">Other studies highlight energy expenditure as the primary mechanism by which urbanisation influences environmental quality. Khan et al. (2019) employed the ARDL limits testing methodology for Pakistan and discovered that both energy consumption and urbanisation substantially elevate CO₂ emissions, hence corroborating the Environmental Kuznets Curve (EKC) hypothesis. Siddique et al. (2020) established a long-term correlation among urbanisation, energy consumption, and CO₂ emissions in South Asia, indicating that increasing energy demand linked to economic growth exacerbates environmental strain. Afridi et al. </w:t>
      </w:r>
      <w:r w:rsidRPr="00527AB3">
        <w:rPr>
          <w:rFonts w:ascii="Times New Roman" w:hAnsi="Times New Roman" w:cs="Times New Roman"/>
          <w:sz w:val="24"/>
          <w:szCs w:val="24"/>
          <w:lang w:val="en-IN"/>
        </w:rPr>
        <w:lastRenderedPageBreak/>
        <w:t>(2019) conducted research on the SAARC region, confirming that urbanisation and energy consumption positively influence emissions, but trade openness may somewhat alleviate environmental deterioration. Rahman (2020) reported that in India, population density and energy consumption considerably elevate carbon emissions in both the short and long term.</w:t>
      </w:r>
    </w:p>
    <w:p w14:paraId="23030110" w14:textId="77777777" w:rsidR="00AF7758" w:rsidRDefault="00AF7758" w:rsidP="00A30A8E">
      <w:pPr>
        <w:spacing w:line="360" w:lineRule="auto"/>
        <w:jc w:val="both"/>
        <w:rPr>
          <w:rFonts w:ascii="Times New Roman" w:hAnsi="Times New Roman" w:cs="Times New Roman"/>
          <w:sz w:val="24"/>
          <w:szCs w:val="24"/>
          <w:lang w:val="en-IN"/>
        </w:rPr>
      </w:pPr>
      <w:r w:rsidRPr="00AF7758">
        <w:rPr>
          <w:rFonts w:ascii="Times New Roman" w:hAnsi="Times New Roman" w:cs="Times New Roman"/>
          <w:sz w:val="24"/>
          <w:szCs w:val="24"/>
          <w:lang w:val="en-IN"/>
        </w:rPr>
        <w:t xml:space="preserve">Although numerous studies indicate a positive correlation between urbanisation and emissions, other research emphasises nonlinear or heterogeneous impacts. </w:t>
      </w:r>
      <w:proofErr w:type="spellStart"/>
      <w:r w:rsidRPr="00AF7758">
        <w:rPr>
          <w:rFonts w:ascii="Times New Roman" w:hAnsi="Times New Roman" w:cs="Times New Roman"/>
          <w:sz w:val="24"/>
          <w:szCs w:val="24"/>
          <w:lang w:val="en-IN"/>
        </w:rPr>
        <w:t>Gierałtowska</w:t>
      </w:r>
      <w:proofErr w:type="spellEnd"/>
      <w:r w:rsidRPr="00AF7758">
        <w:rPr>
          <w:rFonts w:ascii="Times New Roman" w:hAnsi="Times New Roman" w:cs="Times New Roman"/>
          <w:sz w:val="24"/>
          <w:szCs w:val="24"/>
          <w:lang w:val="en-IN"/>
        </w:rPr>
        <w:t xml:space="preserve"> et al. (2022), in their analysis of data from 163 nations, identified an inverted U-shaped correlation between urbanisation and CO₂ emissions. Their findings indicate that emissions first rise with urban expansion but subsequently decrease as urbanisation attains a specific threshold, demonstrating advancements in efficiency, technological innovation, and environmental regulation. Xu et al. (2024) describe analogous findings, having analysed eight of the most populous nations and established a nonlinear relationship that aligns with the Environmental Kuznets Curve concept. The findings suggest that the environmental consequences of urbanisation may differ depending on the stages of economic development.</w:t>
      </w:r>
    </w:p>
    <w:p w14:paraId="08452642" w14:textId="77777777" w:rsidR="00AF7758" w:rsidRDefault="00AF7758" w:rsidP="00A30A8E">
      <w:pPr>
        <w:spacing w:line="360" w:lineRule="auto"/>
        <w:jc w:val="both"/>
        <w:rPr>
          <w:rFonts w:ascii="Times New Roman" w:hAnsi="Times New Roman" w:cs="Times New Roman"/>
          <w:sz w:val="24"/>
          <w:szCs w:val="24"/>
          <w:lang w:val="en-IN"/>
        </w:rPr>
      </w:pPr>
      <w:r w:rsidRPr="00AF7758">
        <w:rPr>
          <w:rFonts w:ascii="Times New Roman" w:hAnsi="Times New Roman" w:cs="Times New Roman"/>
          <w:sz w:val="24"/>
          <w:szCs w:val="24"/>
          <w:lang w:val="en-IN"/>
        </w:rPr>
        <w:t xml:space="preserve">Alongside demographic effects, numerous studies emphasise the significance of economic and structural elements in influencing the urbanization-emissions relationship. Farhani and Ozturk (2015) examined the factors influencing carbon emissions in Tunisia and determined that financial development and economic growth substantially elevate emissions. Dogan and </w:t>
      </w:r>
      <w:proofErr w:type="spellStart"/>
      <w:r w:rsidRPr="00AF7758">
        <w:rPr>
          <w:rFonts w:ascii="Times New Roman" w:hAnsi="Times New Roman" w:cs="Times New Roman"/>
          <w:sz w:val="24"/>
          <w:szCs w:val="24"/>
          <w:lang w:val="en-IN"/>
        </w:rPr>
        <w:t>Turkekul</w:t>
      </w:r>
      <w:proofErr w:type="spellEnd"/>
      <w:r w:rsidRPr="00AF7758">
        <w:rPr>
          <w:rFonts w:ascii="Times New Roman" w:hAnsi="Times New Roman" w:cs="Times New Roman"/>
          <w:sz w:val="24"/>
          <w:szCs w:val="24"/>
          <w:lang w:val="en-IN"/>
        </w:rPr>
        <w:t xml:space="preserve"> (2015) indicated analogous findings for the United States, demonstrating that energy use and urbanisation lead to environmental degradation, although financial development does not exert a major influence. Research from the Visegrad countries, as presented by </w:t>
      </w:r>
      <w:proofErr w:type="spellStart"/>
      <w:r w:rsidRPr="00AF7758">
        <w:rPr>
          <w:rFonts w:ascii="Times New Roman" w:hAnsi="Times New Roman" w:cs="Times New Roman"/>
          <w:sz w:val="24"/>
          <w:szCs w:val="24"/>
          <w:lang w:val="en-IN"/>
        </w:rPr>
        <w:t>Myszczyszyn</w:t>
      </w:r>
      <w:proofErr w:type="spellEnd"/>
      <w:r w:rsidRPr="00AF7758">
        <w:rPr>
          <w:rFonts w:ascii="Times New Roman" w:hAnsi="Times New Roman" w:cs="Times New Roman"/>
          <w:sz w:val="24"/>
          <w:szCs w:val="24"/>
          <w:lang w:val="en-IN"/>
        </w:rPr>
        <w:t xml:space="preserve"> and </w:t>
      </w:r>
      <w:proofErr w:type="spellStart"/>
      <w:r w:rsidRPr="00AF7758">
        <w:rPr>
          <w:rFonts w:ascii="Times New Roman" w:hAnsi="Times New Roman" w:cs="Times New Roman"/>
          <w:sz w:val="24"/>
          <w:szCs w:val="24"/>
          <w:lang w:val="en-IN"/>
        </w:rPr>
        <w:t>Supron</w:t>
      </w:r>
      <w:proofErr w:type="spellEnd"/>
      <w:r w:rsidRPr="00AF7758">
        <w:rPr>
          <w:rFonts w:ascii="Times New Roman" w:hAnsi="Times New Roman" w:cs="Times New Roman"/>
          <w:sz w:val="24"/>
          <w:szCs w:val="24"/>
          <w:lang w:val="en-IN"/>
        </w:rPr>
        <w:t xml:space="preserve"> (2022), substantiates that urbanisation affects emissions both directly and indirectly via heightened energy demand.</w:t>
      </w:r>
    </w:p>
    <w:p w14:paraId="2A18E8F0" w14:textId="77777777" w:rsidR="00B16287" w:rsidRDefault="00B16287" w:rsidP="00A30A8E">
      <w:pPr>
        <w:spacing w:line="360" w:lineRule="auto"/>
        <w:jc w:val="both"/>
        <w:rPr>
          <w:rFonts w:ascii="Times New Roman" w:hAnsi="Times New Roman" w:cs="Times New Roman"/>
          <w:sz w:val="24"/>
          <w:szCs w:val="24"/>
          <w:lang w:val="en-IN"/>
        </w:rPr>
      </w:pPr>
      <w:r w:rsidRPr="00B16287">
        <w:rPr>
          <w:rFonts w:ascii="Times New Roman" w:hAnsi="Times New Roman" w:cs="Times New Roman"/>
          <w:sz w:val="24"/>
          <w:szCs w:val="24"/>
          <w:lang w:val="en-IN"/>
        </w:rPr>
        <w:t xml:space="preserve">Regional analyses indicate significant variability in the correlation between urbanisation and environmental results. Zhai and Kong (2024) examined county-level data from Jiangsu Province, China, and discovered that both population and economic urbanisation substantially elevate CO₂ emissions, but with varying degrees of impact across different locations. Conversely, Ma and Ogata (2024) discovered that urbanisation may diminish emissions across a substantial sample of OECD and non-OECD nations, indicating that sophisticated urban systems might attain environmental enhancements via technology advancement and improved governance. </w:t>
      </w:r>
      <w:proofErr w:type="spellStart"/>
      <w:r w:rsidRPr="00B16287">
        <w:rPr>
          <w:rFonts w:ascii="Times New Roman" w:hAnsi="Times New Roman" w:cs="Times New Roman"/>
          <w:sz w:val="24"/>
          <w:szCs w:val="24"/>
          <w:lang w:val="en-IN"/>
        </w:rPr>
        <w:t>Kongkuah</w:t>
      </w:r>
      <w:proofErr w:type="spellEnd"/>
      <w:r w:rsidRPr="00B16287">
        <w:rPr>
          <w:rFonts w:ascii="Times New Roman" w:hAnsi="Times New Roman" w:cs="Times New Roman"/>
          <w:sz w:val="24"/>
          <w:szCs w:val="24"/>
          <w:lang w:val="en-IN"/>
        </w:rPr>
        <w:t xml:space="preserve"> et al. (2021) indicated that although economic expansion and energy </w:t>
      </w:r>
      <w:r w:rsidRPr="00B16287">
        <w:rPr>
          <w:rFonts w:ascii="Times New Roman" w:hAnsi="Times New Roman" w:cs="Times New Roman"/>
          <w:sz w:val="24"/>
          <w:szCs w:val="24"/>
          <w:lang w:val="en-IN"/>
        </w:rPr>
        <w:lastRenderedPageBreak/>
        <w:t>consumption elevate emissions in China, urbanisation may facilitate emission reductions over time via enhanced efficiency and structural transformation.</w:t>
      </w:r>
    </w:p>
    <w:p w14:paraId="6E074950" w14:textId="77777777" w:rsidR="00B16287" w:rsidRDefault="00B16287" w:rsidP="00A30A8E">
      <w:pPr>
        <w:spacing w:line="360" w:lineRule="auto"/>
        <w:jc w:val="both"/>
        <w:rPr>
          <w:rFonts w:ascii="Times New Roman" w:hAnsi="Times New Roman" w:cs="Times New Roman"/>
          <w:sz w:val="24"/>
          <w:szCs w:val="24"/>
          <w:lang w:val="en-IN"/>
        </w:rPr>
      </w:pPr>
      <w:r w:rsidRPr="00B16287">
        <w:rPr>
          <w:rFonts w:ascii="Times New Roman" w:hAnsi="Times New Roman" w:cs="Times New Roman"/>
          <w:sz w:val="24"/>
          <w:szCs w:val="24"/>
          <w:lang w:val="en-IN"/>
        </w:rPr>
        <w:t>Several studies have investigated the overarching causes of emissions by integrating trade, economic growth, and technical variables. Jan (2020) discovered that economic growth, energy consumption, and urban population contribute to CO₂ emissions in Belt and Road Initiative countries, whereas trade openness generally mitigates environmental strain. Szymczyk et al. (2021) documented same findings for OECD nations, indicating that economic expansion, energy consumption, and urban population positively influence emissions, whereas financial development mitigates environmental deterioration. Osman (2022) shown that urbanisation, energy use, and trade liberalisation considerably elevate emissions in Saudi Arabia, especially over the long term.</w:t>
      </w:r>
    </w:p>
    <w:p w14:paraId="2A3A1E68" w14:textId="322F0F52" w:rsidR="00A30A8E" w:rsidRPr="00A30A8E" w:rsidRDefault="00B16287" w:rsidP="00C07B6C">
      <w:pPr>
        <w:spacing w:line="360" w:lineRule="auto"/>
        <w:jc w:val="both"/>
        <w:rPr>
          <w:rFonts w:ascii="Times New Roman" w:hAnsi="Times New Roman" w:cs="Times New Roman"/>
          <w:sz w:val="28"/>
          <w:szCs w:val="28"/>
        </w:rPr>
      </w:pPr>
      <w:r w:rsidRPr="00B16287">
        <w:rPr>
          <w:rFonts w:ascii="Times New Roman" w:hAnsi="Times New Roman" w:cs="Times New Roman"/>
          <w:sz w:val="24"/>
          <w:szCs w:val="24"/>
          <w:lang w:val="en-IN"/>
        </w:rPr>
        <w:t>Notwithstanding the substantial scientific literature, the correlation between urban population expansion and environmental degradation remains ambiguous. Certain research indicate significant positive impacts, whilst others reveal nonlinear or even adverse associations contingent upon the degree of economic development and the quality of institutions. These divergent results underscore the necessity for country-specific assessments that take into account the structural attributes of distinct economies. In India, fast urbanisation coupled with a significant dependence on fossil fuel energy sources may create distinct environmental dynamics that require additional examination.</w:t>
      </w:r>
    </w:p>
    <w:p w14:paraId="1BC975CC" w14:textId="40A1D7CD" w:rsidR="00C74E3F" w:rsidRDefault="00C74E3F" w:rsidP="009A554A">
      <w:pPr>
        <w:spacing w:line="360" w:lineRule="auto"/>
        <w:jc w:val="both"/>
        <w:rPr>
          <w:rFonts w:ascii="Times New Roman" w:hAnsi="Times New Roman" w:cs="Times New Roman"/>
          <w:b/>
          <w:bCs/>
          <w:sz w:val="28"/>
          <w:szCs w:val="28"/>
        </w:rPr>
      </w:pPr>
      <w:r w:rsidRPr="00C74E3F">
        <w:rPr>
          <w:rFonts w:ascii="Times New Roman" w:hAnsi="Times New Roman" w:cs="Times New Roman"/>
          <w:b/>
          <w:bCs/>
          <w:sz w:val="28"/>
          <w:szCs w:val="28"/>
        </w:rPr>
        <w:t>Data and Methodology</w:t>
      </w:r>
    </w:p>
    <w:p w14:paraId="0837AA4F" w14:textId="7E179AD6" w:rsidR="00CA0FAE" w:rsidRPr="00CA0FAE" w:rsidRDefault="00CA0FAE" w:rsidP="009A554A">
      <w:pPr>
        <w:spacing w:line="360" w:lineRule="auto"/>
        <w:jc w:val="both"/>
        <w:rPr>
          <w:rFonts w:ascii="Times New Roman" w:hAnsi="Times New Roman" w:cs="Times New Roman"/>
          <w:b/>
          <w:bCs/>
          <w:sz w:val="24"/>
          <w:szCs w:val="24"/>
        </w:rPr>
      </w:pPr>
      <w:r w:rsidRPr="00CA0FAE">
        <w:rPr>
          <w:rFonts w:ascii="Times New Roman" w:hAnsi="Times New Roman" w:cs="Times New Roman"/>
          <w:b/>
          <w:bCs/>
          <w:sz w:val="24"/>
          <w:szCs w:val="24"/>
        </w:rPr>
        <w:t>Data</w:t>
      </w:r>
    </w:p>
    <w:p w14:paraId="0367B29C" w14:textId="51D3B2E4" w:rsidR="008964D3" w:rsidRDefault="005202F1" w:rsidP="008964D3">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8964D3" w:rsidRPr="008964D3">
        <w:rPr>
          <w:rFonts w:ascii="Times New Roman" w:hAnsi="Times New Roman" w:cs="Times New Roman"/>
          <w:sz w:val="24"/>
          <w:szCs w:val="24"/>
        </w:rPr>
        <w:t xml:space="preserve"> </w:t>
      </w:r>
      <w:r>
        <w:rPr>
          <w:rFonts w:ascii="Times New Roman" w:hAnsi="Times New Roman" w:cs="Times New Roman"/>
          <w:sz w:val="24"/>
          <w:szCs w:val="24"/>
        </w:rPr>
        <w:t>study</w:t>
      </w:r>
      <w:r w:rsidR="008964D3" w:rsidRPr="008964D3">
        <w:rPr>
          <w:rFonts w:ascii="Times New Roman" w:hAnsi="Times New Roman" w:cs="Times New Roman"/>
          <w:sz w:val="24"/>
          <w:szCs w:val="24"/>
        </w:rPr>
        <w:t xml:space="preserve"> </w:t>
      </w:r>
      <w:proofErr w:type="spellStart"/>
      <w:r>
        <w:rPr>
          <w:rFonts w:ascii="Times New Roman" w:hAnsi="Times New Roman" w:cs="Times New Roman"/>
          <w:sz w:val="24"/>
          <w:szCs w:val="24"/>
        </w:rPr>
        <w:t>utilised</w:t>
      </w:r>
      <w:proofErr w:type="spellEnd"/>
      <w:r>
        <w:rPr>
          <w:rFonts w:ascii="Times New Roman" w:hAnsi="Times New Roman" w:cs="Times New Roman"/>
          <w:sz w:val="24"/>
          <w:szCs w:val="24"/>
        </w:rPr>
        <w:t xml:space="preserve"> </w:t>
      </w:r>
      <w:r w:rsidR="00A419D1">
        <w:rPr>
          <w:rFonts w:ascii="Times New Roman" w:hAnsi="Times New Roman" w:cs="Times New Roman"/>
          <w:sz w:val="24"/>
          <w:szCs w:val="24"/>
        </w:rPr>
        <w:t xml:space="preserve">data </w:t>
      </w:r>
      <w:r w:rsidR="008964D3" w:rsidRPr="008964D3">
        <w:rPr>
          <w:rFonts w:ascii="Times New Roman" w:hAnsi="Times New Roman" w:cs="Times New Roman"/>
          <w:sz w:val="24"/>
          <w:szCs w:val="24"/>
        </w:rPr>
        <w:t>from the World Development Indicators database.</w:t>
      </w:r>
      <w:r w:rsidR="00A419D1">
        <w:rPr>
          <w:rFonts w:ascii="Times New Roman" w:hAnsi="Times New Roman" w:cs="Times New Roman"/>
          <w:sz w:val="24"/>
          <w:szCs w:val="24"/>
        </w:rPr>
        <w:t xml:space="preserve"> </w:t>
      </w:r>
      <w:r w:rsidR="00E37F03">
        <w:rPr>
          <w:rFonts w:ascii="Times New Roman" w:hAnsi="Times New Roman" w:cs="Times New Roman"/>
          <w:sz w:val="24"/>
          <w:szCs w:val="24"/>
        </w:rPr>
        <w:t>Carbon dioxide (CO2) emissions (LNCO2), measured in metric tons per capita</w:t>
      </w:r>
      <w:r w:rsidR="0047767A">
        <w:rPr>
          <w:rFonts w:ascii="Times New Roman" w:hAnsi="Times New Roman" w:cs="Times New Roman"/>
          <w:sz w:val="24"/>
          <w:szCs w:val="24"/>
        </w:rPr>
        <w:t>. It is</w:t>
      </w:r>
      <w:r w:rsidR="00E37F03">
        <w:rPr>
          <w:rFonts w:ascii="Times New Roman" w:hAnsi="Times New Roman" w:cs="Times New Roman"/>
          <w:sz w:val="24"/>
          <w:szCs w:val="24"/>
        </w:rPr>
        <w:t xml:space="preserve"> primarily generated by</w:t>
      </w:r>
      <w:r w:rsidR="00A419D1">
        <w:rPr>
          <w:rFonts w:ascii="Times New Roman" w:hAnsi="Times New Roman" w:cs="Times New Roman"/>
          <w:sz w:val="24"/>
          <w:szCs w:val="24"/>
        </w:rPr>
        <w:t xml:space="preserve"> energy production and consumption</w:t>
      </w:r>
      <w:r w:rsidR="0047767A">
        <w:rPr>
          <w:rFonts w:ascii="Times New Roman" w:hAnsi="Times New Roman" w:cs="Times New Roman"/>
          <w:sz w:val="24"/>
          <w:szCs w:val="24"/>
        </w:rPr>
        <w:t xml:space="preserve"> and</w:t>
      </w:r>
      <w:r w:rsidR="00A419D1">
        <w:rPr>
          <w:rFonts w:ascii="Times New Roman" w:hAnsi="Times New Roman" w:cs="Times New Roman"/>
          <w:sz w:val="24"/>
          <w:szCs w:val="24"/>
        </w:rPr>
        <w:t xml:space="preserve"> </w:t>
      </w:r>
      <w:r w:rsidR="0047767A">
        <w:rPr>
          <w:rFonts w:ascii="Times New Roman" w:hAnsi="Times New Roman" w:cs="Times New Roman"/>
          <w:sz w:val="24"/>
          <w:szCs w:val="24"/>
        </w:rPr>
        <w:t>accounting</w:t>
      </w:r>
      <w:r w:rsidR="00E37F03">
        <w:rPr>
          <w:rFonts w:ascii="Times New Roman" w:hAnsi="Times New Roman" w:cs="Times New Roman"/>
          <w:sz w:val="24"/>
          <w:szCs w:val="24"/>
        </w:rPr>
        <w:t xml:space="preserve"> for the largest share of greenhouse gases, specified</w:t>
      </w:r>
      <w:r w:rsidR="0047767A">
        <w:rPr>
          <w:rFonts w:ascii="Times New Roman" w:hAnsi="Times New Roman" w:cs="Times New Roman"/>
          <w:sz w:val="24"/>
          <w:szCs w:val="24"/>
        </w:rPr>
        <w:t xml:space="preserve"> in this study</w:t>
      </w:r>
      <w:r w:rsidR="00E37F03">
        <w:rPr>
          <w:rFonts w:ascii="Times New Roman" w:hAnsi="Times New Roman" w:cs="Times New Roman"/>
          <w:sz w:val="24"/>
          <w:szCs w:val="24"/>
        </w:rPr>
        <w:t xml:space="preserve"> as the dependent variable.</w:t>
      </w:r>
      <w:r w:rsidR="008964D3" w:rsidRPr="008964D3">
        <w:rPr>
          <w:rFonts w:ascii="Times New Roman" w:hAnsi="Times New Roman" w:cs="Times New Roman"/>
          <w:sz w:val="24"/>
          <w:szCs w:val="24"/>
        </w:rPr>
        <w:t xml:space="preserve"> The independent variables consist of</w:t>
      </w:r>
      <w:r w:rsidR="00252063">
        <w:rPr>
          <w:rFonts w:ascii="Times New Roman" w:hAnsi="Times New Roman" w:cs="Times New Roman"/>
          <w:sz w:val="24"/>
          <w:szCs w:val="24"/>
        </w:rPr>
        <w:t xml:space="preserve"> </w:t>
      </w:r>
      <w:r w:rsidR="00252063" w:rsidRPr="008964D3">
        <w:rPr>
          <w:rFonts w:ascii="Times New Roman" w:hAnsi="Times New Roman" w:cs="Times New Roman"/>
          <w:sz w:val="24"/>
          <w:szCs w:val="24"/>
        </w:rPr>
        <w:t>the urban population</w:t>
      </w:r>
      <w:r w:rsidR="00D430B6">
        <w:rPr>
          <w:rFonts w:ascii="Times New Roman" w:hAnsi="Times New Roman" w:cs="Times New Roman"/>
          <w:sz w:val="24"/>
          <w:szCs w:val="24"/>
        </w:rPr>
        <w:t xml:space="preserve"> growth</w:t>
      </w:r>
      <w:r w:rsidR="00252063" w:rsidRPr="008964D3">
        <w:rPr>
          <w:rFonts w:ascii="Times New Roman" w:hAnsi="Times New Roman" w:cs="Times New Roman"/>
          <w:sz w:val="24"/>
          <w:szCs w:val="24"/>
        </w:rPr>
        <w:t xml:space="preserve"> </w:t>
      </w:r>
      <w:r w:rsidR="00252063">
        <w:rPr>
          <w:rFonts w:ascii="Times New Roman" w:hAnsi="Times New Roman" w:cs="Times New Roman"/>
          <w:sz w:val="24"/>
          <w:szCs w:val="24"/>
        </w:rPr>
        <w:t xml:space="preserve">(LNUPOP) serves as a measure of </w:t>
      </w:r>
      <w:proofErr w:type="spellStart"/>
      <w:r w:rsidR="00252063">
        <w:rPr>
          <w:rFonts w:ascii="Times New Roman" w:hAnsi="Times New Roman" w:cs="Times New Roman"/>
          <w:sz w:val="24"/>
          <w:szCs w:val="24"/>
        </w:rPr>
        <w:t>urbanisation</w:t>
      </w:r>
      <w:proofErr w:type="spellEnd"/>
      <w:r w:rsidR="00252063">
        <w:rPr>
          <w:rFonts w:ascii="Times New Roman" w:hAnsi="Times New Roman" w:cs="Times New Roman"/>
          <w:sz w:val="24"/>
          <w:szCs w:val="24"/>
        </w:rPr>
        <w:t>, highlighting the clustering of individuals in urban settings and their</w:t>
      </w:r>
      <w:r w:rsidR="00252063" w:rsidRPr="008964D3">
        <w:rPr>
          <w:rFonts w:ascii="Times New Roman" w:hAnsi="Times New Roman" w:cs="Times New Roman"/>
          <w:sz w:val="24"/>
          <w:szCs w:val="24"/>
        </w:rPr>
        <w:t xml:space="preserve"> effects on energy needs, transport infrastructure, and waste generation</w:t>
      </w:r>
      <w:r w:rsidR="00252063">
        <w:rPr>
          <w:rFonts w:ascii="Times New Roman" w:hAnsi="Times New Roman" w:cs="Times New Roman"/>
          <w:sz w:val="24"/>
          <w:szCs w:val="24"/>
        </w:rPr>
        <w:t>,</w:t>
      </w:r>
      <w:r w:rsidR="00D430B6">
        <w:rPr>
          <w:rFonts w:ascii="Times New Roman" w:hAnsi="Times New Roman" w:cs="Times New Roman"/>
          <w:sz w:val="24"/>
          <w:szCs w:val="24"/>
        </w:rPr>
        <w:t xml:space="preserve"> the other independent variable is</w:t>
      </w:r>
      <w:r w:rsidR="008964D3" w:rsidRPr="008964D3">
        <w:rPr>
          <w:rFonts w:ascii="Times New Roman" w:hAnsi="Times New Roman" w:cs="Times New Roman"/>
          <w:sz w:val="24"/>
          <w:szCs w:val="24"/>
        </w:rPr>
        <w:t xml:space="preserve"> energy use (kilograms of oil equivalent per capita) denoted by (LNENUSE), which encapsulates the consumption of energy resources across the industrial, residential, and transportation sectors. Lastly</w:t>
      </w:r>
      <w:r w:rsidR="00252063">
        <w:rPr>
          <w:rFonts w:ascii="Times New Roman" w:hAnsi="Times New Roman" w:cs="Times New Roman"/>
          <w:sz w:val="24"/>
          <w:szCs w:val="24"/>
        </w:rPr>
        <w:t>, t</w:t>
      </w:r>
      <w:r w:rsidR="00252063" w:rsidRPr="008964D3">
        <w:rPr>
          <w:rFonts w:ascii="Times New Roman" w:hAnsi="Times New Roman" w:cs="Times New Roman"/>
          <w:sz w:val="24"/>
          <w:szCs w:val="24"/>
        </w:rPr>
        <w:t xml:space="preserve">rade (expressed as a percentage of GDP) denoted by (LNTRADE) signifies the openness of the economy and its </w:t>
      </w:r>
      <w:r w:rsidR="00252063" w:rsidRPr="008964D3">
        <w:rPr>
          <w:rFonts w:ascii="Times New Roman" w:hAnsi="Times New Roman" w:cs="Times New Roman"/>
          <w:sz w:val="24"/>
          <w:szCs w:val="24"/>
        </w:rPr>
        <w:lastRenderedPageBreak/>
        <w:t>integration into global markets, potentially affecting emissions through production, transportation, and technological diffusion</w:t>
      </w:r>
      <w:r w:rsidR="00252063">
        <w:rPr>
          <w:rFonts w:ascii="Times New Roman" w:hAnsi="Times New Roman" w:cs="Times New Roman"/>
          <w:sz w:val="24"/>
          <w:szCs w:val="24"/>
        </w:rPr>
        <w:t>.</w:t>
      </w:r>
    </w:p>
    <w:p w14:paraId="7DAC541B" w14:textId="5332A900" w:rsidR="00CA0FAE" w:rsidRPr="00CA0FAE" w:rsidRDefault="00CA0FAE" w:rsidP="008964D3">
      <w:pPr>
        <w:spacing w:line="360" w:lineRule="auto"/>
        <w:jc w:val="both"/>
        <w:rPr>
          <w:rFonts w:ascii="Times New Roman" w:hAnsi="Times New Roman" w:cs="Times New Roman"/>
          <w:b/>
          <w:bCs/>
          <w:sz w:val="24"/>
          <w:szCs w:val="24"/>
        </w:rPr>
      </w:pPr>
      <w:r w:rsidRPr="00CA0FAE">
        <w:rPr>
          <w:rFonts w:ascii="Times New Roman" w:hAnsi="Times New Roman" w:cs="Times New Roman"/>
          <w:b/>
          <w:bCs/>
          <w:sz w:val="24"/>
          <w:szCs w:val="24"/>
        </w:rPr>
        <w:t>Methodology</w:t>
      </w:r>
    </w:p>
    <w:p w14:paraId="2E5354F5" w14:textId="77777777" w:rsidR="00527AB3" w:rsidRDefault="00527AB3" w:rsidP="00527AB3">
      <w:pPr>
        <w:spacing w:line="360" w:lineRule="auto"/>
        <w:rPr>
          <w:rFonts w:ascii="Times New Roman" w:hAnsi="Times New Roman" w:cs="Times New Roman"/>
          <w:sz w:val="24"/>
          <w:szCs w:val="24"/>
        </w:rPr>
      </w:pPr>
      <w:r w:rsidRPr="00527AB3">
        <w:rPr>
          <w:rFonts w:ascii="Times New Roman" w:hAnsi="Times New Roman" w:cs="Times New Roman"/>
          <w:sz w:val="24"/>
          <w:szCs w:val="24"/>
        </w:rPr>
        <w:t xml:space="preserve">This study employs a systematic econometric methodology to </w:t>
      </w:r>
      <w:proofErr w:type="spellStart"/>
      <w:r w:rsidRPr="00527AB3">
        <w:rPr>
          <w:rFonts w:ascii="Times New Roman" w:hAnsi="Times New Roman" w:cs="Times New Roman"/>
          <w:sz w:val="24"/>
          <w:szCs w:val="24"/>
        </w:rPr>
        <w:t>analyse</w:t>
      </w:r>
      <w:proofErr w:type="spellEnd"/>
      <w:r w:rsidRPr="00527AB3">
        <w:rPr>
          <w:rFonts w:ascii="Times New Roman" w:hAnsi="Times New Roman" w:cs="Times New Roman"/>
          <w:sz w:val="24"/>
          <w:szCs w:val="24"/>
        </w:rPr>
        <w:t xml:space="preserve"> the dynamic interrelationship among the chosen variables. The Augmented Dickey-Fuller (ADF) test is </w:t>
      </w:r>
      <w:proofErr w:type="spellStart"/>
      <w:r w:rsidRPr="00527AB3">
        <w:rPr>
          <w:rFonts w:ascii="Times New Roman" w:hAnsi="Times New Roman" w:cs="Times New Roman"/>
          <w:sz w:val="24"/>
          <w:szCs w:val="24"/>
        </w:rPr>
        <w:t>utilised</w:t>
      </w:r>
      <w:proofErr w:type="spellEnd"/>
      <w:r w:rsidRPr="00527AB3">
        <w:rPr>
          <w:rFonts w:ascii="Times New Roman" w:hAnsi="Times New Roman" w:cs="Times New Roman"/>
          <w:sz w:val="24"/>
          <w:szCs w:val="24"/>
        </w:rPr>
        <w:t xml:space="preserve"> as an initial measure to assess the stationarity characteristics of the variables. This step is essential to confirm that no variable demonstrates second-order integration [I(2)], as this would invalidate the subsequent ARDL bounds testing methodology. The ADF test is conducted with both intercept and trend parameters, </w:t>
      </w:r>
      <w:proofErr w:type="spellStart"/>
      <w:r w:rsidRPr="00527AB3">
        <w:rPr>
          <w:rFonts w:ascii="Times New Roman" w:hAnsi="Times New Roman" w:cs="Times New Roman"/>
          <w:sz w:val="24"/>
          <w:szCs w:val="24"/>
        </w:rPr>
        <w:t>utilising</w:t>
      </w:r>
      <w:proofErr w:type="spellEnd"/>
      <w:r w:rsidRPr="00527AB3">
        <w:rPr>
          <w:rFonts w:ascii="Times New Roman" w:hAnsi="Times New Roman" w:cs="Times New Roman"/>
          <w:sz w:val="24"/>
          <w:szCs w:val="24"/>
        </w:rPr>
        <w:t xml:space="preserve"> the Akaike Information Criterion (AIC) to determine the optimal lag length, hence preventing a</w:t>
      </w:r>
      <w:r>
        <w:rPr>
          <w:rFonts w:ascii="Times New Roman" w:hAnsi="Times New Roman" w:cs="Times New Roman"/>
          <w:sz w:val="24"/>
          <w:szCs w:val="24"/>
        </w:rPr>
        <w:t>utocorrelation and overfitting.</w:t>
      </w:r>
    </w:p>
    <w:p w14:paraId="66DA4154" w14:textId="77777777" w:rsidR="00527AB3" w:rsidRDefault="00527AB3" w:rsidP="00527AB3">
      <w:pPr>
        <w:spacing w:line="360" w:lineRule="auto"/>
        <w:rPr>
          <w:rFonts w:ascii="Times New Roman" w:hAnsi="Times New Roman" w:cs="Times New Roman"/>
          <w:sz w:val="24"/>
          <w:szCs w:val="24"/>
        </w:rPr>
      </w:pPr>
      <w:r w:rsidRPr="00527AB3">
        <w:rPr>
          <w:rFonts w:ascii="Times New Roman" w:hAnsi="Times New Roman" w:cs="Times New Roman"/>
          <w:sz w:val="24"/>
          <w:szCs w:val="24"/>
        </w:rPr>
        <w:t xml:space="preserve">Upon confirmation of the integration order as either I(0) or I(1), the Autoregressive Distributed Lag (ARDL) bounds testing technique established by </w:t>
      </w:r>
      <w:proofErr w:type="spellStart"/>
      <w:r w:rsidRPr="00527AB3">
        <w:rPr>
          <w:rFonts w:ascii="Times New Roman" w:hAnsi="Times New Roman" w:cs="Times New Roman"/>
          <w:sz w:val="24"/>
          <w:szCs w:val="24"/>
        </w:rPr>
        <w:t>Pesaran</w:t>
      </w:r>
      <w:proofErr w:type="spellEnd"/>
      <w:r w:rsidRPr="00527AB3">
        <w:rPr>
          <w:rFonts w:ascii="Times New Roman" w:hAnsi="Times New Roman" w:cs="Times New Roman"/>
          <w:sz w:val="24"/>
          <w:szCs w:val="24"/>
        </w:rPr>
        <w:t xml:space="preserve"> et al. (2001) is </w:t>
      </w:r>
      <w:proofErr w:type="spellStart"/>
      <w:r w:rsidRPr="00527AB3">
        <w:rPr>
          <w:rFonts w:ascii="Times New Roman" w:hAnsi="Times New Roman" w:cs="Times New Roman"/>
          <w:sz w:val="24"/>
          <w:szCs w:val="24"/>
        </w:rPr>
        <w:t>utilised</w:t>
      </w:r>
      <w:proofErr w:type="spellEnd"/>
      <w:r w:rsidRPr="00527AB3">
        <w:rPr>
          <w:rFonts w:ascii="Times New Roman" w:hAnsi="Times New Roman" w:cs="Times New Roman"/>
          <w:sz w:val="24"/>
          <w:szCs w:val="24"/>
        </w:rPr>
        <w:t xml:space="preserve"> to examine long-run cointegration. The ARDL model is especially appropriate in this setting because of its adaptability to mixed orders of integration and its resilience in small sample sizes. The ideal lag structure is established by the AIC to identify the suitable dynamic lags in the model. The overarching long-run ARDL model is expressed as:</w:t>
      </w:r>
    </w:p>
    <w:p w14:paraId="08B76578" w14:textId="5E09319E" w:rsidR="00C45A59" w:rsidRDefault="00C45A59" w:rsidP="00527AB3">
      <w:pPr>
        <w:spacing w:line="360" w:lineRule="auto"/>
        <w:rPr>
          <w:rFonts w:ascii="Times New Roman" w:hAnsi="Times New Roman" w:cs="Times New Roman"/>
          <w:sz w:val="24"/>
          <w:szCs w:val="24"/>
          <w:lang w:val="en-GB"/>
        </w:rPr>
      </w:pPr>
      <m:oMathPara>
        <m:oMath>
          <m:r>
            <w:rPr>
              <w:rFonts w:ascii="Cambria Math" w:hAnsi="Cambria Math" w:cs="Times New Roman"/>
              <w:sz w:val="24"/>
              <w:szCs w:val="24"/>
              <w:lang w:val="en-GB"/>
            </w:rPr>
            <m:t>Yt=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α</m:t>
              </m:r>
            </m:e>
            <m:sub>
              <m:r>
                <w:rPr>
                  <w:rFonts w:ascii="Cambria Math" w:hAnsi="Cambria Math" w:cs="Times New Roman"/>
                  <w:sz w:val="24"/>
                  <w:szCs w:val="24"/>
                  <w:lang w:val="en-GB"/>
                </w:rPr>
                <m:t>0</m:t>
              </m:r>
            </m:sub>
          </m:sSub>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p</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i</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Y</m:t>
                  </m:r>
                </m:e>
                <m:sub>
                  <m:r>
                    <w:rPr>
                      <w:rFonts w:ascii="Cambria Math" w:hAnsi="Cambria Math" w:cs="Times New Roman"/>
                      <w:sz w:val="24"/>
                      <w:szCs w:val="24"/>
                      <w:lang w:val="en-GB"/>
                    </w:rPr>
                    <m:t>t-i</m:t>
                  </m:r>
                </m:sub>
              </m:sSub>
            </m:e>
          </m:nary>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j=1</m:t>
              </m:r>
            </m:sub>
            <m:sup>
              <m:r>
                <w:rPr>
                  <w:rFonts w:ascii="Cambria Math" w:hAnsi="Cambria Math" w:cs="Times New Roman"/>
                  <w:sz w:val="24"/>
                  <w:szCs w:val="24"/>
                  <w:lang w:val="en-GB"/>
                </w:rPr>
                <m:t>q1</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δ</m:t>
                  </m:r>
                </m:e>
                <m:sub>
                  <m:r>
                    <w:rPr>
                      <w:rFonts w:ascii="Cambria Math" w:hAnsi="Cambria Math" w:cs="Times New Roman"/>
                      <w:sz w:val="24"/>
                      <w:szCs w:val="24"/>
                      <w:lang w:val="en-GB"/>
                    </w:rPr>
                    <m:t>1i</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1, t-j</m:t>
                  </m:r>
                </m:sub>
              </m:sSub>
            </m:e>
          </m:nary>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j=1</m:t>
              </m:r>
            </m:sub>
            <m:sup>
              <m:r>
                <w:rPr>
                  <w:rFonts w:ascii="Cambria Math" w:hAnsi="Cambria Math" w:cs="Times New Roman"/>
                  <w:sz w:val="24"/>
                  <w:szCs w:val="24"/>
                  <w:lang w:val="en-GB"/>
                </w:rPr>
                <m:t>q2</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δ</m:t>
                  </m:r>
                </m:e>
                <m:sub>
                  <m:r>
                    <w:rPr>
                      <w:rFonts w:ascii="Cambria Math" w:hAnsi="Cambria Math" w:cs="Times New Roman"/>
                      <w:sz w:val="24"/>
                      <w:szCs w:val="24"/>
                      <w:lang w:val="en-GB"/>
                    </w:rPr>
                    <m:t>2i</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2,t-j</m:t>
                  </m:r>
                </m:sub>
              </m:sSub>
            </m:e>
          </m:nary>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j=1</m:t>
              </m:r>
            </m:sub>
            <m:sup>
              <m:r>
                <w:rPr>
                  <w:rFonts w:ascii="Cambria Math" w:hAnsi="Cambria Math" w:cs="Times New Roman"/>
                  <w:sz w:val="24"/>
                  <w:szCs w:val="24"/>
                  <w:lang w:val="en-GB"/>
                </w:rPr>
                <m:t>qn</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δ</m:t>
                  </m:r>
                </m:e>
                <m:sub>
                  <m:r>
                    <w:rPr>
                      <w:rFonts w:ascii="Cambria Math" w:hAnsi="Cambria Math" w:cs="Times New Roman"/>
                      <w:sz w:val="24"/>
                      <w:szCs w:val="24"/>
                      <w:lang w:val="en-GB"/>
                    </w:rPr>
                    <m:t>nj</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n,t-j</m:t>
                  </m:r>
                </m:sub>
              </m:sSub>
            </m:e>
          </m:nary>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μ</m:t>
              </m:r>
            </m:e>
            <m:sub>
              <m:r>
                <w:rPr>
                  <w:rFonts w:ascii="Cambria Math" w:hAnsi="Cambria Math" w:cs="Times New Roman"/>
                  <w:sz w:val="24"/>
                  <w:szCs w:val="24"/>
                  <w:lang w:val="en-GB"/>
                </w:rPr>
                <m:t>t</m:t>
              </m:r>
            </m:sub>
          </m:sSub>
        </m:oMath>
      </m:oMathPara>
    </w:p>
    <w:p w14:paraId="654C7501" w14:textId="4A48C83B" w:rsidR="00CE514D" w:rsidRDefault="00CE514D" w:rsidP="00CE514D">
      <w:pPr>
        <w:spacing w:line="360" w:lineRule="auto"/>
        <w:jc w:val="both"/>
        <w:rPr>
          <w:rFonts w:ascii="Times New Roman" w:hAnsi="Times New Roman" w:cs="Times New Roman"/>
          <w:sz w:val="24"/>
          <w:szCs w:val="24"/>
          <w:lang w:val="en-IN"/>
        </w:rPr>
      </w:pPr>
      <w:r w:rsidRPr="00CE514D">
        <w:rPr>
          <w:rFonts w:ascii="Times New Roman" w:hAnsi="Times New Roman" w:cs="Times New Roman"/>
          <w:sz w:val="24"/>
          <w:szCs w:val="24"/>
          <w:lang w:val="en-IN"/>
        </w:rPr>
        <w:t>Where</w:t>
      </w:r>
      <w:r>
        <w:rPr>
          <w:rFonts w:ascii="Times New Roman" w:hAnsi="Times New Roman" w:cs="Times New Roman"/>
          <w:sz w:val="24"/>
          <w:szCs w:val="24"/>
          <w:lang w:val="en-IN"/>
        </w:rPr>
        <w:t xml:space="preserve"> </w:t>
      </w:r>
      <m:oMath>
        <m:r>
          <w:rPr>
            <w:rFonts w:ascii="Cambria Math" w:hAnsi="Cambria Math" w:cs="Times New Roman"/>
            <w:sz w:val="24"/>
            <w:szCs w:val="24"/>
            <w:lang w:val="en-GB"/>
          </w:rPr>
          <m:t>Yt</m:t>
        </m:r>
      </m:oMath>
      <w:r w:rsidRPr="00CE514D">
        <w:rPr>
          <w:rFonts w:ascii="Times New Roman" w:hAnsi="Times New Roman" w:cs="Times New Roman"/>
          <w:sz w:val="24"/>
          <w:szCs w:val="24"/>
          <w:lang w:val="en-IN"/>
        </w:rPr>
        <w:t xml:space="preserve"> is the dependent variable, </w:t>
      </w:r>
      <m:oMath>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 xml:space="preserve">1, t, </m:t>
            </m:r>
          </m:sub>
        </m:sSub>
        <m:r>
          <w:rPr>
            <w:rFonts w:ascii="Cambria Math" w:hAnsi="Cambria Math" w:cs="Times New Roman"/>
            <w:sz w:val="24"/>
            <w:szCs w:val="24"/>
            <w:lang w:val="en-GB"/>
          </w:rPr>
          <m:t xml:space="preserve"> </m:t>
        </m:r>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2, t</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 xml:space="preserve">n, t </m:t>
            </m:r>
          </m:sub>
        </m:sSub>
      </m:oMath>
      <w:r>
        <w:rPr>
          <w:rFonts w:ascii="Times New Roman" w:eastAsiaTheme="minorEastAsia" w:hAnsi="Times New Roman" w:cs="Times New Roman"/>
          <w:sz w:val="24"/>
          <w:szCs w:val="24"/>
          <w:lang w:val="en-GB"/>
        </w:rPr>
        <w:t xml:space="preserve"> </w:t>
      </w:r>
      <w:r w:rsidRPr="00CE514D">
        <w:rPr>
          <w:rFonts w:ascii="Times New Roman" w:hAnsi="Times New Roman" w:cs="Times New Roman"/>
          <w:sz w:val="24"/>
          <w:szCs w:val="24"/>
          <w:lang w:val="en-IN"/>
        </w:rPr>
        <w:t>represent the explanatory variables, p</w:t>
      </w:r>
      <w:r>
        <w:rPr>
          <w:rFonts w:ascii="Times New Roman" w:hAnsi="Times New Roman" w:cs="Times New Roman"/>
          <w:sz w:val="24"/>
          <w:szCs w:val="24"/>
          <w:lang w:val="en-IN"/>
        </w:rPr>
        <w:t xml:space="preserve"> </w:t>
      </w:r>
      <w:r w:rsidRPr="00CE514D">
        <w:rPr>
          <w:rFonts w:ascii="Times New Roman" w:hAnsi="Times New Roman" w:cs="Times New Roman"/>
          <w:sz w:val="24"/>
          <w:szCs w:val="24"/>
          <w:lang w:val="en-IN"/>
        </w:rPr>
        <w:t xml:space="preserve">and </w:t>
      </w:r>
      <w:proofErr w:type="spellStart"/>
      <w:r>
        <w:rPr>
          <w:rFonts w:ascii="Times New Roman" w:hAnsi="Times New Roman" w:cs="Times New Roman"/>
          <w:sz w:val="24"/>
          <w:szCs w:val="24"/>
          <w:lang w:val="en-IN"/>
        </w:rPr>
        <w:t>q</w:t>
      </w:r>
      <w:r w:rsidRPr="00CE514D">
        <w:rPr>
          <w:rFonts w:ascii="Times New Roman" w:hAnsi="Times New Roman" w:cs="Times New Roman"/>
          <w:sz w:val="24"/>
          <w:szCs w:val="24"/>
          <w:vertAlign w:val="subscript"/>
          <w:lang w:val="en-IN"/>
        </w:rPr>
        <w:t>j</w:t>
      </w:r>
      <w:proofErr w:type="spellEnd"/>
      <w:r w:rsidRPr="00CE514D">
        <w:rPr>
          <w:rFonts w:ascii="Times New Roman" w:hAnsi="Times New Roman" w:cs="Times New Roman"/>
          <w:sz w:val="24"/>
          <w:szCs w:val="24"/>
          <w:lang w:val="en-IN"/>
        </w:rPr>
        <w:t xml:space="preserve">​ denote the lag lengths,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μ</m:t>
            </m:r>
          </m:e>
          <m:sub>
            <m:r>
              <w:rPr>
                <w:rFonts w:ascii="Cambria Math" w:hAnsi="Cambria Math" w:cs="Times New Roman"/>
                <w:sz w:val="24"/>
                <w:szCs w:val="24"/>
                <w:lang w:val="en-GB"/>
              </w:rPr>
              <m:t>t</m:t>
            </m:r>
          </m:sub>
        </m:sSub>
      </m:oMath>
      <w:r w:rsidRPr="00CE514D">
        <w:rPr>
          <w:rFonts w:ascii="Times New Roman" w:hAnsi="Times New Roman" w:cs="Times New Roman"/>
          <w:sz w:val="24"/>
          <w:szCs w:val="24"/>
          <w:lang w:val="en-IN"/>
        </w:rPr>
        <w:t xml:space="preserve"> is the error term. The F-statistic</w:t>
      </w:r>
      <w:r w:rsidR="00710E7A">
        <w:rPr>
          <w:rFonts w:ascii="Times New Roman" w:hAnsi="Times New Roman" w:cs="Times New Roman"/>
          <w:sz w:val="24"/>
          <w:szCs w:val="24"/>
          <w:lang w:val="en-IN"/>
        </w:rPr>
        <w:t xml:space="preserve"> derived from the</w:t>
      </w:r>
      <w:r w:rsidRPr="00CE514D">
        <w:rPr>
          <w:rFonts w:ascii="Times New Roman" w:hAnsi="Times New Roman" w:cs="Times New Roman"/>
          <w:sz w:val="24"/>
          <w:szCs w:val="24"/>
          <w:lang w:val="en-IN"/>
        </w:rPr>
        <w:t xml:space="preserve"> </w:t>
      </w:r>
      <w:r w:rsidR="00710E7A">
        <w:rPr>
          <w:rFonts w:ascii="Times New Roman" w:hAnsi="Times New Roman" w:cs="Times New Roman"/>
          <w:sz w:val="24"/>
          <w:szCs w:val="24"/>
          <w:lang w:val="en-IN"/>
        </w:rPr>
        <w:t xml:space="preserve">ARDL </w:t>
      </w:r>
      <w:r w:rsidRPr="00CE514D">
        <w:rPr>
          <w:rFonts w:ascii="Times New Roman" w:hAnsi="Times New Roman" w:cs="Times New Roman"/>
          <w:sz w:val="24"/>
          <w:szCs w:val="24"/>
          <w:lang w:val="en-IN"/>
        </w:rPr>
        <w:t xml:space="preserve">bounds </w:t>
      </w:r>
      <w:r w:rsidR="00710E7A">
        <w:rPr>
          <w:rFonts w:ascii="Times New Roman" w:hAnsi="Times New Roman" w:cs="Times New Roman"/>
          <w:sz w:val="24"/>
          <w:szCs w:val="24"/>
          <w:lang w:val="en-IN"/>
        </w:rPr>
        <w:t>procedure</w:t>
      </w:r>
      <w:r w:rsidRPr="00CE514D">
        <w:rPr>
          <w:rFonts w:ascii="Times New Roman" w:hAnsi="Times New Roman" w:cs="Times New Roman"/>
          <w:sz w:val="24"/>
          <w:szCs w:val="24"/>
          <w:lang w:val="en-IN"/>
        </w:rPr>
        <w:t xml:space="preserve"> is </w:t>
      </w:r>
      <w:r w:rsidR="00710E7A">
        <w:rPr>
          <w:rFonts w:ascii="Times New Roman" w:hAnsi="Times New Roman" w:cs="Times New Roman"/>
          <w:sz w:val="24"/>
          <w:szCs w:val="24"/>
          <w:lang w:val="en-IN"/>
        </w:rPr>
        <w:t>compared</w:t>
      </w:r>
      <w:r w:rsidRPr="00CE514D">
        <w:rPr>
          <w:rFonts w:ascii="Times New Roman" w:hAnsi="Times New Roman" w:cs="Times New Roman"/>
          <w:sz w:val="24"/>
          <w:szCs w:val="24"/>
          <w:lang w:val="en-IN"/>
        </w:rPr>
        <w:t xml:space="preserve"> with the</w:t>
      </w:r>
      <w:r w:rsidR="00065574">
        <w:rPr>
          <w:rFonts w:ascii="Times New Roman" w:hAnsi="Times New Roman" w:cs="Times New Roman"/>
          <w:sz w:val="24"/>
          <w:szCs w:val="24"/>
          <w:lang w:val="en-IN"/>
        </w:rPr>
        <w:t xml:space="preserve"> lower and upper bounds</w:t>
      </w:r>
      <w:r w:rsidRPr="00CE514D">
        <w:rPr>
          <w:rFonts w:ascii="Times New Roman" w:hAnsi="Times New Roman" w:cs="Times New Roman"/>
          <w:sz w:val="24"/>
          <w:szCs w:val="24"/>
          <w:lang w:val="en-IN"/>
        </w:rPr>
        <w:t xml:space="preserve"> critical values</w:t>
      </w:r>
      <w:r w:rsidR="00065574">
        <w:rPr>
          <w:rFonts w:ascii="Times New Roman" w:hAnsi="Times New Roman" w:cs="Times New Roman"/>
          <w:sz w:val="24"/>
          <w:szCs w:val="24"/>
          <w:lang w:val="en-IN"/>
        </w:rPr>
        <w:t>;</w:t>
      </w:r>
      <w:r w:rsidRPr="00CE514D">
        <w:rPr>
          <w:rFonts w:ascii="Times New Roman" w:hAnsi="Times New Roman" w:cs="Times New Roman"/>
          <w:sz w:val="24"/>
          <w:szCs w:val="24"/>
          <w:lang w:val="en-IN"/>
        </w:rPr>
        <w:t xml:space="preserve"> a value above the upper bound indicates the presence of a long-run relationship.</w:t>
      </w:r>
      <w:r w:rsidR="00065574">
        <w:rPr>
          <w:rFonts w:ascii="Times New Roman" w:hAnsi="Times New Roman" w:cs="Times New Roman"/>
          <w:sz w:val="24"/>
          <w:szCs w:val="24"/>
          <w:lang w:val="en-IN"/>
        </w:rPr>
        <w:t xml:space="preserve"> The short-run dynamics and long-run cointegration relationship </w:t>
      </w:r>
      <w:r w:rsidR="00252063">
        <w:rPr>
          <w:rFonts w:ascii="Times New Roman" w:hAnsi="Times New Roman" w:cs="Times New Roman"/>
          <w:sz w:val="24"/>
          <w:szCs w:val="24"/>
          <w:lang w:val="en-IN"/>
        </w:rPr>
        <w:t xml:space="preserve">are presented in </w:t>
      </w:r>
      <w:r w:rsidR="006B5FD5">
        <w:rPr>
          <w:rFonts w:ascii="Times New Roman" w:hAnsi="Times New Roman" w:cs="Times New Roman"/>
          <w:sz w:val="24"/>
          <w:szCs w:val="24"/>
          <w:lang w:val="en-IN"/>
        </w:rPr>
        <w:t xml:space="preserve">the </w:t>
      </w:r>
      <w:r w:rsidR="00252063">
        <w:rPr>
          <w:rFonts w:ascii="Times New Roman" w:hAnsi="Times New Roman" w:cs="Times New Roman"/>
          <w:sz w:val="24"/>
          <w:szCs w:val="24"/>
          <w:lang w:val="en-IN"/>
        </w:rPr>
        <w:t>equation.</w:t>
      </w:r>
    </w:p>
    <w:p w14:paraId="6649DBF4" w14:textId="3B5C71A2" w:rsidR="00065574" w:rsidRPr="006B5FD5" w:rsidRDefault="006B5FD5" w:rsidP="00CE514D">
      <w:pPr>
        <w:spacing w:line="360" w:lineRule="auto"/>
        <w:jc w:val="both"/>
        <w:rPr>
          <w:rFonts w:ascii="Times New Roman" w:eastAsiaTheme="minorEastAsia" w:hAnsi="Times New Roman" w:cs="Times New Roman"/>
          <w:sz w:val="24"/>
          <w:szCs w:val="24"/>
          <w:lang w:val="en-IN"/>
        </w:rPr>
      </w:pPr>
      <m:oMathPara>
        <m:oMath>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 xml:space="preserve">t </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α</m:t>
              </m:r>
              <m:ctrlPr>
                <w:rPr>
                  <w:rFonts w:ascii="Cambria Math" w:hAnsi="Cambria Math" w:cs="Times New Roman"/>
                  <w:sz w:val="24"/>
                  <w:szCs w:val="24"/>
                  <w:lang w:val="en-IN"/>
                </w:rPr>
              </m:ctrlPr>
            </m:e>
            <m:sub>
              <m:r>
                <w:rPr>
                  <w:rFonts w:ascii="Cambria Math" w:hAnsi="Cambria Math" w:cs="Times New Roman"/>
                  <w:sz w:val="24"/>
                  <w:szCs w:val="24"/>
                  <w:lang w:val="en-IN"/>
                </w:rPr>
                <m:t>0</m:t>
              </m:r>
            </m:sub>
          </m:sSub>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1i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2i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LNUPO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P</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3i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LNENUS</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4i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LNTRAD</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1</m:t>
              </m:r>
            </m:sub>
          </m:sSub>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2</m:t>
              </m:r>
            </m:sub>
          </m:sSub>
          <m:r>
            <w:rPr>
              <w:rFonts w:ascii="Cambria Math" w:hAnsi="Cambria Math" w:cs="Times New Roman"/>
              <w:sz w:val="24"/>
              <w:szCs w:val="24"/>
              <w:lang w:val="en-IN"/>
            </w:rPr>
            <m:t>LNUPO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P</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3</m:t>
              </m:r>
            </m:sub>
          </m:sSub>
          <m:r>
            <w:rPr>
              <w:rFonts w:ascii="Cambria Math" w:hAnsi="Cambria Math" w:cs="Times New Roman"/>
              <w:sz w:val="24"/>
              <w:szCs w:val="24"/>
              <w:lang w:val="en-IN"/>
            </w:rPr>
            <m:t>LNENUS</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4</m:t>
              </m:r>
            </m:sub>
          </m:sSub>
          <m:r>
            <w:rPr>
              <w:rFonts w:ascii="Cambria Math" w:hAnsi="Cambria Math" w:cs="Times New Roman"/>
              <w:sz w:val="24"/>
              <w:szCs w:val="24"/>
              <w:lang w:val="en-IN"/>
            </w:rPr>
            <m:t>LNTRAD</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μ</m:t>
              </m:r>
            </m:e>
            <m:sub>
              <m:r>
                <w:rPr>
                  <w:rFonts w:ascii="Cambria Math" w:hAnsi="Cambria Math" w:cs="Times New Roman"/>
                  <w:sz w:val="24"/>
                  <w:szCs w:val="24"/>
                  <w:lang w:val="en-IN"/>
                </w:rPr>
                <m:t>t</m:t>
              </m:r>
            </m:sub>
          </m:sSub>
        </m:oMath>
      </m:oMathPara>
    </w:p>
    <w:p w14:paraId="17ED67DC" w14:textId="438CF5ED" w:rsidR="006B5FD5" w:rsidRDefault="00797EB2" w:rsidP="00CE514D">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en-IN"/>
        </w:rPr>
        <w:lastRenderedPageBreak/>
        <w:t xml:space="preserve">Here, </w:t>
      </w:r>
      <w:r w:rsidR="007C6C64">
        <w:rPr>
          <w:rFonts w:ascii="Times New Roman" w:eastAsiaTheme="minorEastAsia" w:hAnsi="Times New Roman" w:cs="Times New Roman"/>
          <w:sz w:val="24"/>
          <w:szCs w:val="24"/>
        </w:rPr>
        <w:t>the</w:t>
      </w:r>
      <w:r w:rsidR="007C6C64" w:rsidRPr="007C6C64">
        <w:rPr>
          <w:rFonts w:ascii="Times New Roman" w:eastAsiaTheme="minorEastAsia" w:hAnsi="Times New Roman" w:cs="Times New Roman"/>
          <w:sz w:val="24"/>
          <w:szCs w:val="24"/>
        </w:rPr>
        <w:t xml:space="preserve"> symbol </w:t>
      </w:r>
      <w:r w:rsidR="007C6C64">
        <w:rPr>
          <w:rFonts w:ascii="Times New Roman" w:eastAsiaTheme="minorEastAsia" w:hAnsi="Times New Roman" w:cs="Times New Roman"/>
          <w:sz w:val="24"/>
          <w:szCs w:val="24"/>
        </w:rPr>
        <w:t>Δ</w:t>
      </w:r>
      <w:r w:rsidR="007C6C64" w:rsidRPr="007C6C64">
        <w:rPr>
          <w:rFonts w:ascii="Times New Roman" w:eastAsiaTheme="minorEastAsia" w:hAnsi="Times New Roman" w:cs="Times New Roman"/>
          <w:sz w:val="24"/>
          <w:szCs w:val="24"/>
        </w:rPr>
        <w:t xml:space="preserve"> represents the first-difference operator, capturing short-run changes in the respective variables. The constant term is denoted by </w:t>
      </w:r>
      <m:oMath>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α</m:t>
            </m:r>
            <m:ctrlPr>
              <w:rPr>
                <w:rFonts w:ascii="Cambria Math" w:hAnsi="Cambria Math" w:cs="Times New Roman"/>
                <w:sz w:val="24"/>
                <w:szCs w:val="24"/>
                <w:lang w:val="en-IN"/>
              </w:rPr>
            </m:ctrlPr>
          </m:e>
          <m:sub>
            <m:r>
              <w:rPr>
                <w:rFonts w:ascii="Cambria Math" w:hAnsi="Cambria Math" w:cs="Times New Roman"/>
                <w:sz w:val="24"/>
                <w:szCs w:val="24"/>
                <w:lang w:val="en-IN"/>
              </w:rPr>
              <m:t>0</m:t>
            </m:r>
          </m:sub>
        </m:sSub>
      </m:oMath>
      <w:r w:rsidR="007C6C64" w:rsidRPr="007C6C64">
        <w:rPr>
          <w:rFonts w:ascii="Times New Roman" w:eastAsiaTheme="minorEastAsia" w:hAnsi="Times New Roman" w:cs="Times New Roman"/>
          <w:sz w:val="24"/>
          <w:szCs w:val="24"/>
        </w:rPr>
        <w:t xml:space="preserve">. The short-run dynamic coefficients are represented by </w:t>
      </w:r>
      <m:oMath>
        <m:r>
          <m:rPr>
            <m:sty m:val="p"/>
          </m:rPr>
          <w:rPr>
            <w:rFonts w:ascii="Cambria Math" w:hAnsi="Cambria Math" w:cs="Times New Roman"/>
            <w:sz w:val="24"/>
            <w:szCs w:val="24"/>
            <w:lang w:val="en-IN"/>
          </w:rPr>
          <m:t>β</m:t>
        </m:r>
      </m:oMath>
      <w:r w:rsidR="007C6C64" w:rsidRPr="007C6C64">
        <w:rPr>
          <w:rFonts w:ascii="Times New Roman" w:eastAsiaTheme="minorEastAsia" w:hAnsi="Times New Roman" w:cs="Times New Roman"/>
          <w:sz w:val="24"/>
          <w:szCs w:val="24"/>
        </w:rPr>
        <w:t xml:space="preserve">, while the long-run coefficients associated with the lagged level variables are denoted by </w:t>
      </w:r>
      <m:oMath>
        <m:r>
          <m:rPr>
            <m:sty m:val="p"/>
          </m:rPr>
          <w:rPr>
            <w:rFonts w:ascii="Cambria Math" w:hAnsi="Cambria Math" w:cs="Times New Roman"/>
            <w:sz w:val="24"/>
            <w:szCs w:val="24"/>
            <w:lang w:val="en-IN"/>
          </w:rPr>
          <m:t>λ</m:t>
        </m:r>
      </m:oMath>
      <w:r w:rsidR="007C6C64" w:rsidRPr="007C6C64">
        <w:rPr>
          <w:rFonts w:ascii="Times New Roman" w:eastAsiaTheme="minorEastAsia" w:hAnsi="Times New Roman" w:cs="Times New Roman"/>
          <w:sz w:val="24"/>
          <w:szCs w:val="24"/>
        </w:rPr>
        <w:t xml:space="preserve">. Finally, </w:t>
      </w:r>
      <m:oMath>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μ</m:t>
            </m:r>
          </m:e>
          <m:sub>
            <m:r>
              <w:rPr>
                <w:rFonts w:ascii="Cambria Math" w:hAnsi="Cambria Math" w:cs="Times New Roman"/>
                <w:sz w:val="24"/>
                <w:szCs w:val="24"/>
                <w:lang w:val="en-IN"/>
              </w:rPr>
              <m:t>t</m:t>
            </m:r>
          </m:sub>
        </m:sSub>
      </m:oMath>
      <w:r w:rsidR="007C6C64" w:rsidRPr="007C6C64">
        <w:rPr>
          <w:rFonts w:ascii="Times New Roman" w:eastAsiaTheme="minorEastAsia" w:hAnsi="Times New Roman" w:cs="Times New Roman"/>
          <w:sz w:val="24"/>
          <w:szCs w:val="24"/>
        </w:rPr>
        <w:t xml:space="preserve"> represents the stochastic error term, assumed to be white noise with zero mean and constant variance.</w:t>
      </w:r>
      <w:r w:rsidR="007C6C64">
        <w:rPr>
          <w:rFonts w:ascii="Times New Roman" w:eastAsiaTheme="minorEastAsia" w:hAnsi="Times New Roman" w:cs="Times New Roman"/>
          <w:sz w:val="24"/>
          <w:szCs w:val="24"/>
        </w:rPr>
        <w:t xml:space="preserve"> Finally, the</w:t>
      </w:r>
      <w:r w:rsidR="007C6C64" w:rsidRPr="007C6C64">
        <w:rPr>
          <w:rFonts w:ascii="Times New Roman" w:eastAsiaTheme="minorEastAsia" w:hAnsi="Times New Roman" w:cs="Times New Roman"/>
          <w:sz w:val="24"/>
          <w:szCs w:val="24"/>
        </w:rPr>
        <w:t xml:space="preserve"> prefix LN indicates that all variables are transformed </w:t>
      </w:r>
      <w:r w:rsidR="005C290C">
        <w:rPr>
          <w:rFonts w:ascii="Times New Roman" w:eastAsiaTheme="minorEastAsia" w:hAnsi="Times New Roman" w:cs="Times New Roman"/>
          <w:sz w:val="24"/>
          <w:szCs w:val="24"/>
        </w:rPr>
        <w:t>to natural logarithms</w:t>
      </w:r>
      <w:r w:rsidR="007C6C64" w:rsidRPr="007C6C64">
        <w:rPr>
          <w:rFonts w:ascii="Times New Roman" w:eastAsiaTheme="minorEastAsia" w:hAnsi="Times New Roman" w:cs="Times New Roman"/>
          <w:sz w:val="24"/>
          <w:szCs w:val="24"/>
        </w:rPr>
        <w:t xml:space="preserve"> to interpret the estimated coefficients as elasticities.</w:t>
      </w:r>
    </w:p>
    <w:p w14:paraId="3BC6B34C" w14:textId="5A4007D6" w:rsidR="00197728" w:rsidRPr="00197728" w:rsidRDefault="00197728" w:rsidP="00CE514D">
      <w:pPr>
        <w:spacing w:line="360" w:lineRule="auto"/>
        <w:jc w:val="both"/>
        <w:rPr>
          <w:rFonts w:ascii="Times New Roman" w:eastAsiaTheme="minorEastAsia" w:hAnsi="Times New Roman" w:cs="Times New Roman"/>
          <w:sz w:val="24"/>
          <w:szCs w:val="24"/>
          <w:lang w:val="en-IN"/>
        </w:rPr>
      </w:pPr>
      <m:oMathPara>
        <m:oMath>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α</m:t>
              </m:r>
            </m:e>
            <m:sub>
              <m:r>
                <w:rPr>
                  <w:rFonts w:ascii="Cambria Math" w:hAnsi="Cambria Math" w:cs="Times New Roman"/>
                  <w:sz w:val="24"/>
                  <w:szCs w:val="24"/>
                  <w:lang w:val="en-IN"/>
                </w:rPr>
                <m:t>0</m:t>
              </m:r>
            </m:sub>
          </m:sSub>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1i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2i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lnUPO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P</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3i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lnENUS</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4i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lnTRAD</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+δEC</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M</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μ</m:t>
              </m:r>
            </m:e>
            <m:sub>
              <m:r>
                <w:rPr>
                  <w:rFonts w:ascii="Cambria Math" w:hAnsi="Cambria Math" w:cs="Times New Roman"/>
                  <w:sz w:val="24"/>
                  <w:szCs w:val="24"/>
                  <w:lang w:val="en-IN"/>
                </w:rPr>
                <m:t>t</m:t>
              </m:r>
            </m:sub>
          </m:sSub>
        </m:oMath>
      </m:oMathPara>
    </w:p>
    <w:p w14:paraId="592A6B64" w14:textId="4F759B2C" w:rsidR="00197728" w:rsidRDefault="00CE514D" w:rsidP="00CA0FAE">
      <w:pPr>
        <w:spacing w:line="360" w:lineRule="auto"/>
        <w:jc w:val="both"/>
        <w:rPr>
          <w:rFonts w:ascii="Times New Roman" w:hAnsi="Times New Roman" w:cs="Times New Roman"/>
          <w:sz w:val="24"/>
          <w:szCs w:val="24"/>
          <w:lang w:val="en-IN"/>
        </w:rPr>
      </w:pPr>
      <w:r w:rsidRPr="00CE514D">
        <w:rPr>
          <w:rFonts w:ascii="Times New Roman" w:hAnsi="Times New Roman" w:cs="Times New Roman"/>
          <w:sz w:val="24"/>
          <w:szCs w:val="24"/>
          <w:lang w:val="en-IN"/>
        </w:rPr>
        <w:t xml:space="preserve">Following </w:t>
      </w:r>
      <w:r w:rsidR="00524D29">
        <w:rPr>
          <w:rFonts w:ascii="Times New Roman" w:hAnsi="Times New Roman" w:cs="Times New Roman"/>
          <w:sz w:val="24"/>
          <w:szCs w:val="24"/>
          <w:lang w:val="en-IN"/>
        </w:rPr>
        <w:t xml:space="preserve">confirmation of cointegration, the next step is to estimate the short-run dynamics using the Error Correction Model (ECM), as specified in the equation above </w:t>
      </w:r>
      <w:r w:rsidR="00197728">
        <w:rPr>
          <w:rFonts w:ascii="Times New Roman" w:hAnsi="Times New Roman" w:cs="Times New Roman"/>
          <w:sz w:val="24"/>
          <w:szCs w:val="24"/>
          <w:lang w:val="en-IN"/>
        </w:rPr>
        <w:t xml:space="preserve">and </w:t>
      </w:r>
      <w:r w:rsidRPr="00CE514D">
        <w:rPr>
          <w:rFonts w:ascii="Times New Roman" w:hAnsi="Times New Roman" w:cs="Times New Roman"/>
          <w:sz w:val="24"/>
          <w:szCs w:val="24"/>
          <w:lang w:val="en-IN"/>
        </w:rPr>
        <w:t xml:space="preserve">derived from the ARDL framework. The ECM captures </w:t>
      </w:r>
      <w:r w:rsidR="00197728">
        <w:rPr>
          <w:rFonts w:ascii="Times New Roman" w:hAnsi="Times New Roman" w:cs="Times New Roman"/>
          <w:sz w:val="24"/>
          <w:szCs w:val="24"/>
          <w:lang w:val="en-IN"/>
        </w:rPr>
        <w:t>short-term fluctuations while ensuring convergence to the long-run equilibrium through an error-correction term, as shown in the following equation.</w:t>
      </w:r>
    </w:p>
    <w:p w14:paraId="22D536F2" w14:textId="229E8B8A" w:rsidR="00CA0FAE" w:rsidRPr="00197728" w:rsidRDefault="00197728" w:rsidP="00CA0FAE">
      <w:pPr>
        <w:spacing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Finally,</w:t>
      </w:r>
      <w:r w:rsidR="00524D29" w:rsidRPr="00524D29">
        <w:rPr>
          <w:rFonts w:ascii="Times New Roman" w:hAnsi="Times New Roman" w:cs="Times New Roman"/>
          <w:sz w:val="24"/>
          <w:szCs w:val="24"/>
        </w:rPr>
        <w:t xml:space="preserve"> to </w:t>
      </w:r>
      <w:r w:rsidR="00524D29">
        <w:rPr>
          <w:rFonts w:ascii="Times New Roman" w:hAnsi="Times New Roman" w:cs="Times New Roman"/>
          <w:sz w:val="24"/>
          <w:szCs w:val="24"/>
        </w:rPr>
        <w:t>ensure</w:t>
      </w:r>
      <w:r w:rsidR="00524D29" w:rsidRPr="00524D29">
        <w:rPr>
          <w:rFonts w:ascii="Times New Roman" w:hAnsi="Times New Roman" w:cs="Times New Roman"/>
          <w:sz w:val="24"/>
          <w:szCs w:val="24"/>
        </w:rPr>
        <w:t xml:space="preserve"> the estimated coefficients</w:t>
      </w:r>
      <w:r w:rsidR="00524D29">
        <w:rPr>
          <w:rFonts w:ascii="Times New Roman" w:hAnsi="Times New Roman" w:cs="Times New Roman"/>
          <w:sz w:val="24"/>
          <w:szCs w:val="24"/>
        </w:rPr>
        <w:t xml:space="preserve"> do not exhibit instability</w:t>
      </w:r>
      <w:r w:rsidR="00524D29" w:rsidRPr="00524D29">
        <w:rPr>
          <w:rFonts w:ascii="Times New Roman" w:hAnsi="Times New Roman" w:cs="Times New Roman"/>
          <w:sz w:val="24"/>
          <w:szCs w:val="24"/>
        </w:rPr>
        <w:t xml:space="preserve"> within the given sample period</w:t>
      </w:r>
      <w:r w:rsidR="00524D29">
        <w:rPr>
          <w:rFonts w:ascii="Times New Roman" w:hAnsi="Times New Roman" w:cs="Times New Roman"/>
          <w:sz w:val="24"/>
          <w:szCs w:val="24"/>
        </w:rPr>
        <w:t xml:space="preserve">, the study employed the </w:t>
      </w:r>
      <w:r w:rsidR="00524D29" w:rsidRPr="00524D29">
        <w:rPr>
          <w:rFonts w:ascii="Times New Roman" w:hAnsi="Times New Roman" w:cs="Times New Roman"/>
          <w:sz w:val="24"/>
          <w:szCs w:val="24"/>
        </w:rPr>
        <w:t>Cumulative Sum (CUSUM) and Cumulative Sum of Squares (CUSUMSQ) tests.</w:t>
      </w:r>
      <w:r w:rsidR="00524D29">
        <w:rPr>
          <w:rFonts w:ascii="Times New Roman" w:hAnsi="Times New Roman" w:cs="Times New Roman"/>
          <w:sz w:val="24"/>
          <w:szCs w:val="24"/>
        </w:rPr>
        <w:t xml:space="preserve"> </w:t>
      </w:r>
      <w:r w:rsidR="00CA0FAE" w:rsidRPr="00CA0FAE">
        <w:rPr>
          <w:rFonts w:ascii="Times New Roman" w:hAnsi="Times New Roman" w:cs="Times New Roman"/>
          <w:sz w:val="24"/>
          <w:szCs w:val="24"/>
          <w:lang w:val="en-IN"/>
        </w:rPr>
        <w:t>These diagnostic tools help detect any structural breaks or parameter instability by plotting the recursive residuals against the 5% significance boundaries. If the plots remain within the critical limits, it confirms that the model coefficients are stable, and the estimated relationships are reliable.</w:t>
      </w:r>
    </w:p>
    <w:p w14:paraId="68A9AA11" w14:textId="03B95946" w:rsidR="00CA0FAE" w:rsidRDefault="00CA0FAE" w:rsidP="00CA0FAE">
      <w:pPr>
        <w:spacing w:line="360" w:lineRule="auto"/>
        <w:jc w:val="both"/>
        <w:rPr>
          <w:rFonts w:ascii="Times New Roman" w:hAnsi="Times New Roman" w:cs="Times New Roman"/>
          <w:sz w:val="24"/>
          <w:szCs w:val="24"/>
          <w:lang w:val="en-IN"/>
        </w:rPr>
      </w:pPr>
      <w:r w:rsidRPr="00CA0FAE">
        <w:rPr>
          <w:rFonts w:ascii="Times New Roman" w:hAnsi="Times New Roman" w:cs="Times New Roman"/>
          <w:sz w:val="24"/>
          <w:szCs w:val="24"/>
          <w:lang w:val="en-IN"/>
        </w:rPr>
        <w:t xml:space="preserve">Finally, a series of robustness checks </w:t>
      </w:r>
      <w:r>
        <w:rPr>
          <w:rFonts w:ascii="Times New Roman" w:hAnsi="Times New Roman" w:cs="Times New Roman"/>
          <w:sz w:val="24"/>
          <w:szCs w:val="24"/>
          <w:lang w:val="en-IN"/>
        </w:rPr>
        <w:t>is</w:t>
      </w:r>
      <w:r w:rsidRPr="00CA0FAE">
        <w:rPr>
          <w:rFonts w:ascii="Times New Roman" w:hAnsi="Times New Roman" w:cs="Times New Roman"/>
          <w:sz w:val="24"/>
          <w:szCs w:val="24"/>
          <w:lang w:val="en-IN"/>
        </w:rPr>
        <w:t xml:space="preserve"> conducted to validate the findings.</w:t>
      </w:r>
      <w:r w:rsidR="00524D29">
        <w:rPr>
          <w:rFonts w:ascii="Times New Roman" w:hAnsi="Times New Roman" w:cs="Times New Roman"/>
          <w:sz w:val="24"/>
          <w:szCs w:val="24"/>
          <w:lang w:val="en-IN"/>
        </w:rPr>
        <w:t xml:space="preserve"> For serial correlation in the residuals, the Breusch-Godfrey LM test is used, while to assess potential heteroscedasticity in the model, the Breusch-Pagan-Godfrey test is employed,</w:t>
      </w:r>
      <w:r>
        <w:rPr>
          <w:rFonts w:ascii="Times New Roman" w:hAnsi="Times New Roman" w:cs="Times New Roman"/>
          <w:sz w:val="24"/>
          <w:szCs w:val="24"/>
          <w:lang w:val="en-IN"/>
        </w:rPr>
        <w:t xml:space="preserve"> and</w:t>
      </w:r>
      <w:r w:rsidRPr="00CA0FAE">
        <w:rPr>
          <w:rFonts w:ascii="Times New Roman" w:hAnsi="Times New Roman" w:cs="Times New Roman"/>
          <w:sz w:val="24"/>
          <w:szCs w:val="24"/>
          <w:lang w:val="en-IN"/>
        </w:rPr>
        <w:t xml:space="preserve"> </w:t>
      </w:r>
      <w:r>
        <w:rPr>
          <w:rFonts w:ascii="Times New Roman" w:hAnsi="Times New Roman" w:cs="Times New Roman"/>
          <w:sz w:val="24"/>
          <w:szCs w:val="24"/>
          <w:lang w:val="en-IN"/>
        </w:rPr>
        <w:t>t</w:t>
      </w:r>
      <w:r w:rsidRPr="00CA0FAE">
        <w:rPr>
          <w:rFonts w:ascii="Times New Roman" w:hAnsi="Times New Roman" w:cs="Times New Roman"/>
          <w:sz w:val="24"/>
          <w:szCs w:val="24"/>
          <w:lang w:val="en-IN"/>
        </w:rPr>
        <w:t xml:space="preserve">he </w:t>
      </w:r>
      <w:r w:rsidR="00DF0AEA">
        <w:rPr>
          <w:rFonts w:ascii="Times New Roman" w:hAnsi="Times New Roman" w:cs="Times New Roman"/>
          <w:sz w:val="24"/>
          <w:szCs w:val="24"/>
          <w:lang w:val="en-IN"/>
        </w:rPr>
        <w:t xml:space="preserve">distribution assumption of </w:t>
      </w:r>
      <w:r w:rsidRPr="00CA0FAE">
        <w:rPr>
          <w:rFonts w:ascii="Times New Roman" w:hAnsi="Times New Roman" w:cs="Times New Roman"/>
          <w:sz w:val="24"/>
          <w:szCs w:val="24"/>
          <w:lang w:val="en-IN"/>
        </w:rPr>
        <w:t>normality of residuals is evaluated using the Jarque-Bera test.</w:t>
      </w:r>
    </w:p>
    <w:p w14:paraId="7A0FF340" w14:textId="46FD675A" w:rsidR="00FA09EF" w:rsidRDefault="00FA09EF" w:rsidP="009A554A">
      <w:pPr>
        <w:spacing w:line="360" w:lineRule="auto"/>
        <w:jc w:val="both"/>
        <w:rPr>
          <w:rFonts w:ascii="Times New Roman" w:hAnsi="Times New Roman" w:cs="Times New Roman"/>
          <w:b/>
          <w:bCs/>
          <w:sz w:val="28"/>
          <w:szCs w:val="28"/>
        </w:rPr>
      </w:pPr>
      <w:r w:rsidRPr="00FA09EF">
        <w:rPr>
          <w:rFonts w:ascii="Times New Roman" w:hAnsi="Times New Roman" w:cs="Times New Roman"/>
          <w:b/>
          <w:bCs/>
          <w:sz w:val="28"/>
          <w:szCs w:val="28"/>
        </w:rPr>
        <w:t>Empirical Findings</w:t>
      </w:r>
    </w:p>
    <w:p w14:paraId="223C0531" w14:textId="016F02ED" w:rsidR="00CA0FAE" w:rsidRDefault="00273053" w:rsidP="009A554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Descriptive Analysis</w:t>
      </w:r>
    </w:p>
    <w:p w14:paraId="306A440B" w14:textId="77777777" w:rsidR="00273053" w:rsidRPr="007D0AC8" w:rsidRDefault="00273053" w:rsidP="008F7930">
      <w:pPr>
        <w:spacing w:after="0"/>
        <w:rPr>
          <w:rFonts w:ascii="Times New Roman" w:hAnsi="Times New Roman" w:cs="Times New Roman"/>
        </w:rPr>
      </w:pPr>
      <w:r w:rsidRPr="007D0AC8">
        <w:rPr>
          <w:rFonts w:ascii="Times New Roman" w:hAnsi="Times New Roman" w:cs="Times New Roman"/>
        </w:rPr>
        <w:t>Table 1. Descriptive Analysis of the Variables</w:t>
      </w:r>
    </w:p>
    <w:tbl>
      <w:tblPr>
        <w:tblStyle w:val="TableGridLight"/>
        <w:tblW w:w="0" w:type="auto"/>
        <w:tblLook w:val="06A0" w:firstRow="1" w:lastRow="0" w:firstColumn="1" w:lastColumn="0" w:noHBand="1" w:noVBand="1"/>
      </w:tblPr>
      <w:tblGrid>
        <w:gridCol w:w="1802"/>
        <w:gridCol w:w="1803"/>
        <w:gridCol w:w="1803"/>
        <w:gridCol w:w="1804"/>
        <w:gridCol w:w="1804"/>
      </w:tblGrid>
      <w:tr w:rsidR="00273053" w:rsidRPr="00876EF6" w14:paraId="301E84E5" w14:textId="77777777" w:rsidTr="00141ECC">
        <w:tc>
          <w:tcPr>
            <w:tcW w:w="1802" w:type="dxa"/>
          </w:tcPr>
          <w:p w14:paraId="77C128F8" w14:textId="77777777" w:rsidR="00273053" w:rsidRPr="00876EF6" w:rsidRDefault="00273053" w:rsidP="00141ECC">
            <w:pPr>
              <w:jc w:val="center"/>
              <w:rPr>
                <w:rFonts w:ascii="Times New Roman" w:hAnsi="Times New Roman" w:cs="Times New Roman"/>
                <w:b/>
                <w:bCs/>
                <w:sz w:val="24"/>
                <w:szCs w:val="24"/>
              </w:rPr>
            </w:pPr>
          </w:p>
        </w:tc>
        <w:tc>
          <w:tcPr>
            <w:tcW w:w="1803" w:type="dxa"/>
          </w:tcPr>
          <w:p w14:paraId="484D9D2B" w14:textId="77777777" w:rsidR="00273053" w:rsidRPr="00876EF6" w:rsidRDefault="00273053" w:rsidP="00141EC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LNCO2</w:t>
            </w:r>
          </w:p>
        </w:tc>
        <w:tc>
          <w:tcPr>
            <w:tcW w:w="1803" w:type="dxa"/>
          </w:tcPr>
          <w:p w14:paraId="649343D3" w14:textId="77777777" w:rsidR="00273053" w:rsidRPr="00876EF6" w:rsidRDefault="00273053" w:rsidP="00141EC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LNENUSE</w:t>
            </w:r>
          </w:p>
        </w:tc>
        <w:tc>
          <w:tcPr>
            <w:tcW w:w="1804" w:type="dxa"/>
          </w:tcPr>
          <w:p w14:paraId="009DE141" w14:textId="77777777" w:rsidR="00273053" w:rsidRPr="00876EF6" w:rsidRDefault="00273053" w:rsidP="00141EC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LNTRADE</w:t>
            </w:r>
          </w:p>
        </w:tc>
        <w:tc>
          <w:tcPr>
            <w:tcW w:w="1804" w:type="dxa"/>
          </w:tcPr>
          <w:p w14:paraId="43D727CC" w14:textId="77777777" w:rsidR="00273053" w:rsidRPr="00876EF6" w:rsidRDefault="00273053" w:rsidP="00141EC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LNUPOP</w:t>
            </w:r>
          </w:p>
        </w:tc>
      </w:tr>
      <w:tr w:rsidR="00A757DC" w:rsidRPr="00876EF6" w14:paraId="30494D70" w14:textId="77777777" w:rsidTr="00141ECC">
        <w:tc>
          <w:tcPr>
            <w:tcW w:w="1802" w:type="dxa"/>
          </w:tcPr>
          <w:p w14:paraId="1DDD0495" w14:textId="77777777" w:rsidR="00A757DC" w:rsidRPr="00876EF6" w:rsidRDefault="00A757DC" w:rsidP="00A757D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lastRenderedPageBreak/>
              <w:t>Mean</w:t>
            </w:r>
          </w:p>
        </w:tc>
        <w:tc>
          <w:tcPr>
            <w:tcW w:w="1803" w:type="dxa"/>
          </w:tcPr>
          <w:p w14:paraId="4305953B" w14:textId="6E62AA63"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6.795639</w:t>
            </w:r>
          </w:p>
        </w:tc>
        <w:tc>
          <w:tcPr>
            <w:tcW w:w="1803" w:type="dxa"/>
          </w:tcPr>
          <w:p w14:paraId="483ACEC0" w14:textId="282DEF3B"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5.949379</w:t>
            </w:r>
          </w:p>
        </w:tc>
        <w:tc>
          <w:tcPr>
            <w:tcW w:w="1804" w:type="dxa"/>
          </w:tcPr>
          <w:p w14:paraId="131A7F2F" w14:textId="6B9ADE76"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3.245520</w:t>
            </w:r>
          </w:p>
        </w:tc>
        <w:tc>
          <w:tcPr>
            <w:tcW w:w="1804" w:type="dxa"/>
          </w:tcPr>
          <w:p w14:paraId="7A8DE2F8" w14:textId="739FB40B"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19.44436</w:t>
            </w:r>
          </w:p>
        </w:tc>
      </w:tr>
      <w:tr w:rsidR="00A757DC" w:rsidRPr="00876EF6" w14:paraId="663E496B" w14:textId="77777777" w:rsidTr="00141ECC">
        <w:tc>
          <w:tcPr>
            <w:tcW w:w="1802" w:type="dxa"/>
          </w:tcPr>
          <w:p w14:paraId="072C9995" w14:textId="77777777" w:rsidR="00A757DC" w:rsidRPr="00876EF6" w:rsidRDefault="00A757DC" w:rsidP="00A757D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Median</w:t>
            </w:r>
          </w:p>
        </w:tc>
        <w:tc>
          <w:tcPr>
            <w:tcW w:w="1803" w:type="dxa"/>
          </w:tcPr>
          <w:p w14:paraId="550C9F14" w14:textId="6E6C2143"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6.835860</w:t>
            </w:r>
          </w:p>
        </w:tc>
        <w:tc>
          <w:tcPr>
            <w:tcW w:w="1803" w:type="dxa"/>
          </w:tcPr>
          <w:p w14:paraId="603F93B6" w14:textId="1913AFB0"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5.921515</w:t>
            </w:r>
          </w:p>
        </w:tc>
        <w:tc>
          <w:tcPr>
            <w:tcW w:w="1804" w:type="dxa"/>
          </w:tcPr>
          <w:p w14:paraId="021297F8" w14:textId="0FAB17F7"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3.211472</w:t>
            </w:r>
          </w:p>
        </w:tc>
        <w:tc>
          <w:tcPr>
            <w:tcW w:w="1804" w:type="dxa"/>
          </w:tcPr>
          <w:p w14:paraId="1E5CB952" w14:textId="26810BB1"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19.46808</w:t>
            </w:r>
          </w:p>
        </w:tc>
      </w:tr>
      <w:tr w:rsidR="00A757DC" w:rsidRPr="00876EF6" w14:paraId="525216FC" w14:textId="77777777" w:rsidTr="00141ECC">
        <w:tc>
          <w:tcPr>
            <w:tcW w:w="1802" w:type="dxa"/>
          </w:tcPr>
          <w:p w14:paraId="7E937B6A" w14:textId="77777777" w:rsidR="00A757DC" w:rsidRPr="00876EF6" w:rsidRDefault="00A757DC" w:rsidP="00A757D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Maximum</w:t>
            </w:r>
          </w:p>
        </w:tc>
        <w:tc>
          <w:tcPr>
            <w:tcW w:w="1803" w:type="dxa"/>
          </w:tcPr>
          <w:p w14:paraId="7AF280C6" w14:textId="7F90873E"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7.991315</w:t>
            </w:r>
          </w:p>
        </w:tc>
        <w:tc>
          <w:tcPr>
            <w:tcW w:w="1803" w:type="dxa"/>
          </w:tcPr>
          <w:p w14:paraId="44432217" w14:textId="028182C0"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6.443308</w:t>
            </w:r>
          </w:p>
        </w:tc>
        <w:tc>
          <w:tcPr>
            <w:tcW w:w="1804" w:type="dxa"/>
          </w:tcPr>
          <w:p w14:paraId="5E7FB76D" w14:textId="3401E708"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4.021661</w:t>
            </w:r>
          </w:p>
        </w:tc>
        <w:tc>
          <w:tcPr>
            <w:tcW w:w="1804" w:type="dxa"/>
          </w:tcPr>
          <w:p w14:paraId="64ACC017" w14:textId="173E184A"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20.07498</w:t>
            </w:r>
          </w:p>
        </w:tc>
      </w:tr>
      <w:tr w:rsidR="00A757DC" w:rsidRPr="00876EF6" w14:paraId="4964EF5F" w14:textId="77777777" w:rsidTr="00141ECC">
        <w:tc>
          <w:tcPr>
            <w:tcW w:w="1802" w:type="dxa"/>
          </w:tcPr>
          <w:p w14:paraId="32489937" w14:textId="77777777" w:rsidR="00A757DC" w:rsidRPr="00876EF6" w:rsidRDefault="00A757DC" w:rsidP="00A757D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Minimum</w:t>
            </w:r>
          </w:p>
        </w:tc>
        <w:tc>
          <w:tcPr>
            <w:tcW w:w="1803" w:type="dxa"/>
          </w:tcPr>
          <w:p w14:paraId="262A9A64" w14:textId="573A28B1"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5.470761</w:t>
            </w:r>
          </w:p>
        </w:tc>
        <w:tc>
          <w:tcPr>
            <w:tcW w:w="1803" w:type="dxa"/>
          </w:tcPr>
          <w:p w14:paraId="4B71A5C6" w14:textId="7E6124FB"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5.627930</w:t>
            </w:r>
          </w:p>
        </w:tc>
        <w:tc>
          <w:tcPr>
            <w:tcW w:w="1804" w:type="dxa"/>
          </w:tcPr>
          <w:p w14:paraId="61F186A7" w14:textId="4DCE32E7"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2.503014</w:t>
            </w:r>
          </w:p>
        </w:tc>
        <w:tc>
          <w:tcPr>
            <w:tcW w:w="1804" w:type="dxa"/>
          </w:tcPr>
          <w:p w14:paraId="09C799D3" w14:textId="24F8B723"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18.68615</w:t>
            </w:r>
          </w:p>
        </w:tc>
      </w:tr>
      <w:tr w:rsidR="00A757DC" w:rsidRPr="00876EF6" w14:paraId="7214CF3D" w14:textId="77777777" w:rsidTr="00141ECC">
        <w:tc>
          <w:tcPr>
            <w:tcW w:w="1802" w:type="dxa"/>
          </w:tcPr>
          <w:p w14:paraId="403FE06F" w14:textId="77777777" w:rsidR="00A757DC" w:rsidRPr="00876EF6" w:rsidRDefault="00A757DC" w:rsidP="00A757D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Std. Dev.</w:t>
            </w:r>
          </w:p>
        </w:tc>
        <w:tc>
          <w:tcPr>
            <w:tcW w:w="1803" w:type="dxa"/>
          </w:tcPr>
          <w:p w14:paraId="6D91E2C1" w14:textId="16838B3A"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0.776124</w:t>
            </w:r>
          </w:p>
        </w:tc>
        <w:tc>
          <w:tcPr>
            <w:tcW w:w="1803" w:type="dxa"/>
          </w:tcPr>
          <w:p w14:paraId="10B4FD8D" w14:textId="4B57B1EB"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0.236877</w:t>
            </w:r>
          </w:p>
        </w:tc>
        <w:tc>
          <w:tcPr>
            <w:tcW w:w="1804" w:type="dxa"/>
          </w:tcPr>
          <w:p w14:paraId="0A6FD262" w14:textId="13FC7F41"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0.538403</w:t>
            </w:r>
          </w:p>
        </w:tc>
        <w:tc>
          <w:tcPr>
            <w:tcW w:w="1804" w:type="dxa"/>
          </w:tcPr>
          <w:p w14:paraId="7EE6AA00" w14:textId="26DCDB8B"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0.408220</w:t>
            </w:r>
          </w:p>
        </w:tc>
      </w:tr>
      <w:tr w:rsidR="00A757DC" w:rsidRPr="00876EF6" w14:paraId="79CCD458" w14:textId="77777777" w:rsidTr="00141ECC">
        <w:tc>
          <w:tcPr>
            <w:tcW w:w="1802" w:type="dxa"/>
          </w:tcPr>
          <w:p w14:paraId="235F4023" w14:textId="77777777" w:rsidR="00A757DC" w:rsidRPr="00876EF6" w:rsidRDefault="00A757DC" w:rsidP="00A757D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Skewness</w:t>
            </w:r>
          </w:p>
        </w:tc>
        <w:tc>
          <w:tcPr>
            <w:tcW w:w="1803" w:type="dxa"/>
          </w:tcPr>
          <w:p w14:paraId="182C44A0" w14:textId="1D5312CB"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-0.124898</w:t>
            </w:r>
          </w:p>
        </w:tc>
        <w:tc>
          <w:tcPr>
            <w:tcW w:w="1803" w:type="dxa"/>
          </w:tcPr>
          <w:p w14:paraId="755173A8" w14:textId="66B4DDCD"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0.466698</w:t>
            </w:r>
          </w:p>
        </w:tc>
        <w:tc>
          <w:tcPr>
            <w:tcW w:w="1804" w:type="dxa"/>
          </w:tcPr>
          <w:p w14:paraId="50CEE373" w14:textId="0013F11F"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-0.007195</w:t>
            </w:r>
          </w:p>
        </w:tc>
        <w:tc>
          <w:tcPr>
            <w:tcW w:w="1804" w:type="dxa"/>
          </w:tcPr>
          <w:p w14:paraId="2BF89084" w14:textId="19A2C647"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-0.184864</w:t>
            </w:r>
          </w:p>
        </w:tc>
      </w:tr>
      <w:tr w:rsidR="00A757DC" w:rsidRPr="00876EF6" w14:paraId="0B886FE4" w14:textId="77777777" w:rsidTr="00141ECC">
        <w:tc>
          <w:tcPr>
            <w:tcW w:w="1802" w:type="dxa"/>
          </w:tcPr>
          <w:p w14:paraId="41FB1D3E" w14:textId="77777777" w:rsidR="00A757DC" w:rsidRPr="00876EF6" w:rsidRDefault="00A757DC" w:rsidP="00A757DC">
            <w:pPr>
              <w:jc w:val="center"/>
              <w:rPr>
                <w:rFonts w:ascii="Times New Roman" w:hAnsi="Times New Roman" w:cs="Times New Roman"/>
                <w:b/>
                <w:bCs/>
                <w:sz w:val="24"/>
                <w:szCs w:val="24"/>
              </w:rPr>
            </w:pPr>
            <w:r w:rsidRPr="00876EF6">
              <w:rPr>
                <w:rFonts w:ascii="Times New Roman" w:hAnsi="Times New Roman" w:cs="Times New Roman"/>
                <w:b/>
                <w:bCs/>
                <w:color w:val="000000"/>
                <w:sz w:val="24"/>
                <w:szCs w:val="24"/>
              </w:rPr>
              <w:t>Kurtosis</w:t>
            </w:r>
          </w:p>
        </w:tc>
        <w:tc>
          <w:tcPr>
            <w:tcW w:w="1803" w:type="dxa"/>
          </w:tcPr>
          <w:p w14:paraId="599DB54E" w14:textId="2CAE1569"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1.776074</w:t>
            </w:r>
          </w:p>
        </w:tc>
        <w:tc>
          <w:tcPr>
            <w:tcW w:w="1803" w:type="dxa"/>
          </w:tcPr>
          <w:p w14:paraId="12414CC0" w14:textId="72DC3628"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2.224552</w:t>
            </w:r>
          </w:p>
        </w:tc>
        <w:tc>
          <w:tcPr>
            <w:tcW w:w="1804" w:type="dxa"/>
          </w:tcPr>
          <w:p w14:paraId="6E2A2C4D" w14:textId="4E8E4D3E"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1.421411</w:t>
            </w:r>
          </w:p>
        </w:tc>
        <w:tc>
          <w:tcPr>
            <w:tcW w:w="1804" w:type="dxa"/>
          </w:tcPr>
          <w:p w14:paraId="62F27BE8" w14:textId="6D9DCD19"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1.866097</w:t>
            </w:r>
          </w:p>
        </w:tc>
      </w:tr>
      <w:tr w:rsidR="00A757DC" w:rsidRPr="00876EF6" w14:paraId="658307F1" w14:textId="77777777" w:rsidTr="00141ECC">
        <w:tc>
          <w:tcPr>
            <w:tcW w:w="1802" w:type="dxa"/>
          </w:tcPr>
          <w:p w14:paraId="0C3933EE" w14:textId="77777777" w:rsidR="00A757DC" w:rsidRPr="00876EF6" w:rsidRDefault="00A757DC" w:rsidP="00A757DC">
            <w:pPr>
              <w:jc w:val="center"/>
              <w:rPr>
                <w:rFonts w:ascii="Times New Roman" w:hAnsi="Times New Roman" w:cs="Times New Roman"/>
                <w:b/>
                <w:bCs/>
                <w:color w:val="000000"/>
                <w:sz w:val="24"/>
                <w:szCs w:val="24"/>
              </w:rPr>
            </w:pPr>
            <w:r w:rsidRPr="00876EF6">
              <w:rPr>
                <w:rFonts w:ascii="Times New Roman" w:hAnsi="Times New Roman" w:cs="Times New Roman"/>
                <w:b/>
                <w:bCs/>
                <w:color w:val="000000"/>
                <w:sz w:val="24"/>
                <w:szCs w:val="24"/>
              </w:rPr>
              <w:t>Jarque-Bera</w:t>
            </w:r>
          </w:p>
        </w:tc>
        <w:tc>
          <w:tcPr>
            <w:tcW w:w="1803" w:type="dxa"/>
          </w:tcPr>
          <w:p w14:paraId="0989EA7C" w14:textId="2E7265BE"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3.250816</w:t>
            </w:r>
          </w:p>
        </w:tc>
        <w:tc>
          <w:tcPr>
            <w:tcW w:w="1803" w:type="dxa"/>
          </w:tcPr>
          <w:p w14:paraId="0AF5534B" w14:textId="36484634"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2.515599</w:t>
            </w:r>
          </w:p>
        </w:tc>
        <w:tc>
          <w:tcPr>
            <w:tcW w:w="1804" w:type="dxa"/>
          </w:tcPr>
          <w:p w14:paraId="00891939" w14:textId="351750FF"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5.088140</w:t>
            </w:r>
          </w:p>
        </w:tc>
        <w:tc>
          <w:tcPr>
            <w:tcW w:w="1804" w:type="dxa"/>
          </w:tcPr>
          <w:p w14:paraId="2699634B" w14:textId="25196920"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2.904139</w:t>
            </w:r>
          </w:p>
        </w:tc>
      </w:tr>
      <w:tr w:rsidR="00A757DC" w:rsidRPr="00876EF6" w14:paraId="6A730EA9" w14:textId="77777777" w:rsidTr="00141ECC">
        <w:tc>
          <w:tcPr>
            <w:tcW w:w="1802" w:type="dxa"/>
          </w:tcPr>
          <w:p w14:paraId="6ED489C5" w14:textId="77777777" w:rsidR="00A757DC" w:rsidRPr="00876EF6" w:rsidRDefault="00A757DC" w:rsidP="00A757DC">
            <w:pPr>
              <w:jc w:val="center"/>
              <w:rPr>
                <w:rFonts w:ascii="Times New Roman" w:hAnsi="Times New Roman" w:cs="Times New Roman"/>
                <w:b/>
                <w:bCs/>
                <w:color w:val="000000"/>
                <w:sz w:val="24"/>
                <w:szCs w:val="24"/>
              </w:rPr>
            </w:pPr>
            <w:r w:rsidRPr="00876EF6">
              <w:rPr>
                <w:rFonts w:ascii="Times New Roman" w:hAnsi="Times New Roman" w:cs="Times New Roman"/>
                <w:b/>
                <w:bCs/>
                <w:color w:val="000000"/>
                <w:sz w:val="24"/>
                <w:szCs w:val="24"/>
              </w:rPr>
              <w:t>Probability</w:t>
            </w:r>
          </w:p>
        </w:tc>
        <w:tc>
          <w:tcPr>
            <w:tcW w:w="1803" w:type="dxa"/>
          </w:tcPr>
          <w:p w14:paraId="6AB62B39" w14:textId="5F0A71A2"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0.196831</w:t>
            </w:r>
          </w:p>
        </w:tc>
        <w:tc>
          <w:tcPr>
            <w:tcW w:w="1803" w:type="dxa"/>
          </w:tcPr>
          <w:p w14:paraId="69A50FD5" w14:textId="46F18642"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0.284279</w:t>
            </w:r>
          </w:p>
        </w:tc>
        <w:tc>
          <w:tcPr>
            <w:tcW w:w="1804" w:type="dxa"/>
          </w:tcPr>
          <w:p w14:paraId="7C5D4E52" w14:textId="523209E5"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0.078546</w:t>
            </w:r>
          </w:p>
        </w:tc>
        <w:tc>
          <w:tcPr>
            <w:tcW w:w="1804" w:type="dxa"/>
          </w:tcPr>
          <w:p w14:paraId="229287DE" w14:textId="2F357569" w:rsidR="00A757DC" w:rsidRPr="00876EF6" w:rsidRDefault="00A757DC" w:rsidP="00A757DC">
            <w:pPr>
              <w:jc w:val="center"/>
              <w:rPr>
                <w:rFonts w:ascii="Times New Roman" w:hAnsi="Times New Roman" w:cs="Times New Roman"/>
                <w:sz w:val="24"/>
                <w:szCs w:val="24"/>
              </w:rPr>
            </w:pPr>
            <w:r w:rsidRPr="00876EF6">
              <w:rPr>
                <w:rFonts w:ascii="Times New Roman" w:hAnsi="Times New Roman" w:cs="Times New Roman"/>
              </w:rPr>
              <w:t xml:space="preserve"> 0.234085</w:t>
            </w:r>
          </w:p>
        </w:tc>
      </w:tr>
      <w:tr w:rsidR="00876EF6" w:rsidRPr="00876EF6" w14:paraId="2DB3EE29" w14:textId="77777777" w:rsidTr="00141ECC">
        <w:tc>
          <w:tcPr>
            <w:tcW w:w="1802" w:type="dxa"/>
          </w:tcPr>
          <w:p w14:paraId="5B066061" w14:textId="77777777" w:rsidR="00876EF6" w:rsidRPr="00876EF6" w:rsidRDefault="00876EF6" w:rsidP="00876EF6">
            <w:pPr>
              <w:jc w:val="center"/>
              <w:rPr>
                <w:rFonts w:ascii="Times New Roman" w:hAnsi="Times New Roman" w:cs="Times New Roman"/>
                <w:b/>
                <w:bCs/>
                <w:color w:val="000000"/>
                <w:sz w:val="24"/>
                <w:szCs w:val="24"/>
              </w:rPr>
            </w:pPr>
            <w:r w:rsidRPr="00876EF6">
              <w:rPr>
                <w:rFonts w:ascii="Times New Roman" w:hAnsi="Times New Roman" w:cs="Times New Roman"/>
                <w:b/>
                <w:bCs/>
                <w:color w:val="000000"/>
                <w:sz w:val="24"/>
                <w:szCs w:val="24"/>
              </w:rPr>
              <w:t>Sum</w:t>
            </w:r>
          </w:p>
        </w:tc>
        <w:tc>
          <w:tcPr>
            <w:tcW w:w="1803" w:type="dxa"/>
          </w:tcPr>
          <w:p w14:paraId="1EAC542A" w14:textId="6EA1EE76" w:rsidR="00876EF6" w:rsidRPr="00876EF6" w:rsidRDefault="00876EF6" w:rsidP="00876EF6">
            <w:pPr>
              <w:jc w:val="center"/>
              <w:rPr>
                <w:rFonts w:ascii="Times New Roman" w:hAnsi="Times New Roman" w:cs="Times New Roman"/>
                <w:sz w:val="24"/>
                <w:szCs w:val="24"/>
              </w:rPr>
            </w:pPr>
            <w:r w:rsidRPr="00876EF6">
              <w:rPr>
                <w:rFonts w:ascii="Times New Roman" w:hAnsi="Times New Roman" w:cs="Times New Roman"/>
              </w:rPr>
              <w:t xml:space="preserve"> 339.7820</w:t>
            </w:r>
          </w:p>
        </w:tc>
        <w:tc>
          <w:tcPr>
            <w:tcW w:w="1803" w:type="dxa"/>
          </w:tcPr>
          <w:p w14:paraId="54258A73" w14:textId="33CD92DC" w:rsidR="00876EF6" w:rsidRPr="00876EF6" w:rsidRDefault="00876EF6" w:rsidP="00876EF6">
            <w:pPr>
              <w:jc w:val="center"/>
              <w:rPr>
                <w:rFonts w:ascii="Times New Roman" w:hAnsi="Times New Roman" w:cs="Times New Roman"/>
                <w:sz w:val="24"/>
                <w:szCs w:val="24"/>
              </w:rPr>
            </w:pPr>
            <w:r w:rsidRPr="00876EF6">
              <w:rPr>
                <w:rFonts w:ascii="Times New Roman" w:hAnsi="Times New Roman" w:cs="Times New Roman"/>
              </w:rPr>
              <w:t xml:space="preserve"> 243.9246</w:t>
            </w:r>
          </w:p>
        </w:tc>
        <w:tc>
          <w:tcPr>
            <w:tcW w:w="1804" w:type="dxa"/>
          </w:tcPr>
          <w:p w14:paraId="3F3D4AA6" w14:textId="2626639A" w:rsidR="00876EF6" w:rsidRPr="00876EF6" w:rsidRDefault="00876EF6" w:rsidP="00876EF6">
            <w:pPr>
              <w:jc w:val="center"/>
              <w:rPr>
                <w:rFonts w:ascii="Times New Roman" w:hAnsi="Times New Roman" w:cs="Times New Roman"/>
                <w:sz w:val="24"/>
                <w:szCs w:val="24"/>
              </w:rPr>
            </w:pPr>
            <w:r w:rsidRPr="00876EF6">
              <w:rPr>
                <w:rFonts w:ascii="Times New Roman" w:hAnsi="Times New Roman" w:cs="Times New Roman"/>
              </w:rPr>
              <w:t xml:space="preserve"> 159.0305</w:t>
            </w:r>
          </w:p>
        </w:tc>
        <w:tc>
          <w:tcPr>
            <w:tcW w:w="1804" w:type="dxa"/>
          </w:tcPr>
          <w:p w14:paraId="2D659939" w14:textId="70FD6E97" w:rsidR="00876EF6" w:rsidRPr="00876EF6" w:rsidRDefault="00876EF6" w:rsidP="00876EF6">
            <w:pPr>
              <w:jc w:val="center"/>
              <w:rPr>
                <w:rFonts w:ascii="Times New Roman" w:hAnsi="Times New Roman" w:cs="Times New Roman"/>
                <w:sz w:val="24"/>
                <w:szCs w:val="24"/>
              </w:rPr>
            </w:pPr>
            <w:r w:rsidRPr="00876EF6">
              <w:rPr>
                <w:rFonts w:ascii="Times New Roman" w:hAnsi="Times New Roman" w:cs="Times New Roman"/>
              </w:rPr>
              <w:t xml:space="preserve"> 952.7737</w:t>
            </w:r>
          </w:p>
        </w:tc>
      </w:tr>
      <w:tr w:rsidR="00876EF6" w:rsidRPr="00876EF6" w14:paraId="01DE5FA6" w14:textId="77777777" w:rsidTr="00141ECC">
        <w:tc>
          <w:tcPr>
            <w:tcW w:w="1802" w:type="dxa"/>
          </w:tcPr>
          <w:p w14:paraId="6AC45530" w14:textId="77777777" w:rsidR="00876EF6" w:rsidRPr="00876EF6" w:rsidRDefault="00876EF6" w:rsidP="00876EF6">
            <w:pPr>
              <w:jc w:val="center"/>
              <w:rPr>
                <w:rFonts w:ascii="Times New Roman" w:hAnsi="Times New Roman" w:cs="Times New Roman"/>
                <w:b/>
                <w:bCs/>
                <w:color w:val="000000"/>
                <w:sz w:val="24"/>
                <w:szCs w:val="24"/>
              </w:rPr>
            </w:pPr>
            <w:r w:rsidRPr="00876EF6">
              <w:rPr>
                <w:rFonts w:ascii="Times New Roman" w:hAnsi="Times New Roman" w:cs="Times New Roman"/>
                <w:b/>
                <w:bCs/>
                <w:color w:val="000000"/>
                <w:sz w:val="24"/>
                <w:szCs w:val="24"/>
              </w:rPr>
              <w:t>Sum Sq. Dev.</w:t>
            </w:r>
          </w:p>
        </w:tc>
        <w:tc>
          <w:tcPr>
            <w:tcW w:w="1803" w:type="dxa"/>
          </w:tcPr>
          <w:p w14:paraId="0904F86B" w14:textId="7FB56D86" w:rsidR="00876EF6" w:rsidRPr="00876EF6" w:rsidRDefault="00876EF6" w:rsidP="00876EF6">
            <w:pPr>
              <w:jc w:val="center"/>
              <w:rPr>
                <w:rFonts w:ascii="Times New Roman" w:hAnsi="Times New Roman" w:cs="Times New Roman"/>
                <w:color w:val="000000"/>
                <w:sz w:val="24"/>
                <w:szCs w:val="24"/>
              </w:rPr>
            </w:pPr>
            <w:r w:rsidRPr="00876EF6">
              <w:rPr>
                <w:rFonts w:ascii="Times New Roman" w:hAnsi="Times New Roman" w:cs="Times New Roman"/>
              </w:rPr>
              <w:t xml:space="preserve"> 29.51606</w:t>
            </w:r>
          </w:p>
        </w:tc>
        <w:tc>
          <w:tcPr>
            <w:tcW w:w="1803" w:type="dxa"/>
          </w:tcPr>
          <w:p w14:paraId="1EBADC97" w14:textId="22E739E8" w:rsidR="00876EF6" w:rsidRPr="00876EF6" w:rsidRDefault="00876EF6" w:rsidP="00876EF6">
            <w:pPr>
              <w:jc w:val="center"/>
              <w:rPr>
                <w:rFonts w:ascii="Times New Roman" w:hAnsi="Times New Roman" w:cs="Times New Roman"/>
                <w:color w:val="000000"/>
                <w:sz w:val="24"/>
                <w:szCs w:val="24"/>
              </w:rPr>
            </w:pPr>
            <w:r w:rsidRPr="00876EF6">
              <w:rPr>
                <w:rFonts w:ascii="Times New Roman" w:hAnsi="Times New Roman" w:cs="Times New Roman"/>
              </w:rPr>
              <w:t xml:space="preserve"> 2.244428</w:t>
            </w:r>
          </w:p>
        </w:tc>
        <w:tc>
          <w:tcPr>
            <w:tcW w:w="1804" w:type="dxa"/>
          </w:tcPr>
          <w:p w14:paraId="01AD5DC8" w14:textId="2DE61B4B" w:rsidR="00876EF6" w:rsidRPr="00876EF6" w:rsidRDefault="00876EF6" w:rsidP="00876EF6">
            <w:pPr>
              <w:jc w:val="center"/>
              <w:rPr>
                <w:rFonts w:ascii="Times New Roman" w:hAnsi="Times New Roman" w:cs="Times New Roman"/>
                <w:color w:val="000000"/>
                <w:sz w:val="24"/>
                <w:szCs w:val="24"/>
              </w:rPr>
            </w:pPr>
            <w:r w:rsidRPr="00876EF6">
              <w:rPr>
                <w:rFonts w:ascii="Times New Roman" w:hAnsi="Times New Roman" w:cs="Times New Roman"/>
              </w:rPr>
              <w:t xml:space="preserve"> 13.91414</w:t>
            </w:r>
          </w:p>
        </w:tc>
        <w:tc>
          <w:tcPr>
            <w:tcW w:w="1804" w:type="dxa"/>
          </w:tcPr>
          <w:p w14:paraId="72F37BB9" w14:textId="1339F52E" w:rsidR="00876EF6" w:rsidRPr="00876EF6" w:rsidRDefault="00876EF6" w:rsidP="00876EF6">
            <w:pPr>
              <w:jc w:val="center"/>
              <w:rPr>
                <w:rFonts w:ascii="Times New Roman" w:hAnsi="Times New Roman" w:cs="Times New Roman"/>
                <w:color w:val="000000"/>
                <w:sz w:val="24"/>
                <w:szCs w:val="24"/>
              </w:rPr>
            </w:pPr>
            <w:r w:rsidRPr="00876EF6">
              <w:rPr>
                <w:rFonts w:ascii="Times New Roman" w:hAnsi="Times New Roman" w:cs="Times New Roman"/>
              </w:rPr>
              <w:t xml:space="preserve"> 7.998902</w:t>
            </w:r>
          </w:p>
        </w:tc>
      </w:tr>
    </w:tbl>
    <w:p w14:paraId="4B081C06" w14:textId="77777777" w:rsidR="00273053" w:rsidRPr="007D0AC8" w:rsidRDefault="00273053" w:rsidP="00273053">
      <w:pPr>
        <w:rPr>
          <w:rFonts w:ascii="Times New Roman" w:hAnsi="Times New Roman" w:cs="Times New Roman"/>
        </w:rPr>
      </w:pPr>
      <w:r w:rsidRPr="007D0AC8">
        <w:rPr>
          <w:rFonts w:ascii="Times New Roman" w:hAnsi="Times New Roman" w:cs="Times New Roman"/>
        </w:rPr>
        <w:t>Source: Author</w:t>
      </w:r>
    </w:p>
    <w:p w14:paraId="58E3A628" w14:textId="1127FF48" w:rsidR="00273053" w:rsidRDefault="00273053" w:rsidP="00273053">
      <w:pPr>
        <w:spacing w:line="360" w:lineRule="auto"/>
        <w:jc w:val="both"/>
        <w:rPr>
          <w:rFonts w:ascii="Times New Roman" w:hAnsi="Times New Roman" w:cs="Times New Roman"/>
          <w:sz w:val="24"/>
          <w:szCs w:val="24"/>
        </w:rPr>
      </w:pPr>
      <w:r w:rsidRPr="007D0AC8">
        <w:rPr>
          <w:rFonts w:ascii="Times New Roman" w:hAnsi="Times New Roman" w:cs="Times New Roman"/>
          <w:sz w:val="24"/>
          <w:szCs w:val="24"/>
        </w:rPr>
        <w:t>Table 1 shows the descriptive analysis of the variables under the study. All the variables transform into log values.</w:t>
      </w:r>
    </w:p>
    <w:p w14:paraId="6F66BEE9" w14:textId="77777777" w:rsidR="00524D29" w:rsidRDefault="00524D29" w:rsidP="00273053">
      <w:pPr>
        <w:rPr>
          <w:rFonts w:ascii="Times New Roman" w:hAnsi="Times New Roman" w:cs="Times New Roman"/>
        </w:rPr>
      </w:pPr>
    </w:p>
    <w:p w14:paraId="0DA52824" w14:textId="20DD9340" w:rsidR="00273053" w:rsidRPr="007D0AC8" w:rsidRDefault="00273053" w:rsidP="00273053">
      <w:pPr>
        <w:rPr>
          <w:rFonts w:ascii="Times New Roman" w:hAnsi="Times New Roman" w:cs="Times New Roman"/>
        </w:rPr>
      </w:pPr>
      <w:r w:rsidRPr="007D0AC8">
        <w:rPr>
          <w:rFonts w:ascii="Times New Roman" w:hAnsi="Times New Roman" w:cs="Times New Roman"/>
        </w:rPr>
        <w:t>Figure 1</w:t>
      </w:r>
      <w:r>
        <w:rPr>
          <w:rFonts w:ascii="Times New Roman" w:hAnsi="Times New Roman" w:cs="Times New Roman"/>
        </w:rPr>
        <w:t xml:space="preserve">. </w:t>
      </w:r>
      <w:r w:rsidRPr="007D0AC8">
        <w:rPr>
          <w:rFonts w:ascii="Times New Roman" w:hAnsi="Times New Roman" w:cs="Times New Roman"/>
        </w:rPr>
        <w:t xml:space="preserve"> Line Graph of the Variables </w:t>
      </w:r>
    </w:p>
    <w:p w14:paraId="14019FBC" w14:textId="5A231C2F" w:rsidR="00273053" w:rsidRPr="007D0AC8" w:rsidRDefault="00C95A5D" w:rsidP="00273053">
      <w:pPr>
        <w:rPr>
          <w:rFonts w:ascii="Times New Roman" w:hAnsi="Times New Roman" w:cs="Times New Roman"/>
        </w:rPr>
      </w:pPr>
      <w:r w:rsidRPr="00C95A5D">
        <w:rPr>
          <w:rFonts w:ascii="Times New Roman" w:hAnsi="Times New Roman" w:cs="Times New Roman"/>
          <w:noProof/>
        </w:rPr>
        <w:drawing>
          <wp:inline distT="0" distB="0" distL="0" distR="0" wp14:anchorId="4AFF4412" wp14:editId="6643B96C">
            <wp:extent cx="5731510" cy="3536315"/>
            <wp:effectExtent l="0" t="0" r="2540" b="6985"/>
            <wp:docPr id="1502329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36315"/>
                    </a:xfrm>
                    <a:prstGeom prst="rect">
                      <a:avLst/>
                    </a:prstGeom>
                    <a:noFill/>
                    <a:ln>
                      <a:noFill/>
                    </a:ln>
                  </pic:spPr>
                </pic:pic>
              </a:graphicData>
            </a:graphic>
          </wp:inline>
        </w:drawing>
      </w:r>
    </w:p>
    <w:p w14:paraId="1D599AAF" w14:textId="77777777" w:rsidR="00273053" w:rsidRPr="007D0AC8" w:rsidRDefault="00273053" w:rsidP="00273053">
      <w:pPr>
        <w:rPr>
          <w:rFonts w:ascii="Times New Roman" w:hAnsi="Times New Roman" w:cs="Times New Roman"/>
        </w:rPr>
      </w:pPr>
      <w:r w:rsidRPr="007D0AC8">
        <w:rPr>
          <w:rFonts w:ascii="Times New Roman" w:hAnsi="Times New Roman" w:cs="Times New Roman"/>
        </w:rPr>
        <w:lastRenderedPageBreak/>
        <w:t>Source: Author</w:t>
      </w:r>
    </w:p>
    <w:p w14:paraId="48FE65DC" w14:textId="5225F0EF" w:rsidR="00273053" w:rsidRPr="00273053" w:rsidRDefault="00273053" w:rsidP="00273053">
      <w:pPr>
        <w:spacing w:line="360" w:lineRule="auto"/>
        <w:jc w:val="both"/>
        <w:rPr>
          <w:rFonts w:ascii="Times New Roman" w:hAnsi="Times New Roman" w:cs="Times New Roman"/>
          <w:sz w:val="24"/>
          <w:szCs w:val="24"/>
        </w:rPr>
      </w:pPr>
      <w:r w:rsidRPr="00273053">
        <w:rPr>
          <w:rFonts w:ascii="Times New Roman" w:hAnsi="Times New Roman" w:cs="Times New Roman"/>
          <w:sz w:val="24"/>
          <w:szCs w:val="24"/>
        </w:rPr>
        <w:t>Figure 1 shows the line graphs of all the variables, carbon dioxide (CO</w:t>
      </w:r>
      <w:r w:rsidRPr="00273053">
        <w:rPr>
          <w:rFonts w:ascii="Times New Roman" w:hAnsi="Times New Roman" w:cs="Times New Roman"/>
          <w:sz w:val="24"/>
          <w:szCs w:val="24"/>
          <w:vertAlign w:val="subscript"/>
        </w:rPr>
        <w:t>2</w:t>
      </w:r>
      <w:r w:rsidRPr="00273053">
        <w:rPr>
          <w:rFonts w:ascii="Times New Roman" w:hAnsi="Times New Roman" w:cs="Times New Roman"/>
          <w:sz w:val="24"/>
          <w:szCs w:val="24"/>
        </w:rPr>
        <w:t>) emission</w:t>
      </w:r>
      <w:r w:rsidR="007C6D0C">
        <w:rPr>
          <w:rFonts w:ascii="Times New Roman" w:hAnsi="Times New Roman" w:cs="Times New Roman"/>
          <w:sz w:val="24"/>
          <w:szCs w:val="24"/>
        </w:rPr>
        <w:t>, energy use,</w:t>
      </w:r>
      <w:r w:rsidRPr="00273053">
        <w:rPr>
          <w:rFonts w:ascii="Times New Roman" w:hAnsi="Times New Roman" w:cs="Times New Roman"/>
          <w:sz w:val="24"/>
          <w:szCs w:val="24"/>
        </w:rPr>
        <w:t xml:space="preserve"> </w:t>
      </w:r>
      <w:r w:rsidR="007C6D0C">
        <w:rPr>
          <w:rFonts w:ascii="Times New Roman" w:hAnsi="Times New Roman" w:cs="Times New Roman"/>
          <w:sz w:val="24"/>
          <w:szCs w:val="24"/>
        </w:rPr>
        <w:t>and</w:t>
      </w:r>
      <w:r w:rsidRPr="00273053">
        <w:rPr>
          <w:rFonts w:ascii="Times New Roman" w:hAnsi="Times New Roman" w:cs="Times New Roman"/>
          <w:sz w:val="24"/>
          <w:szCs w:val="24"/>
        </w:rPr>
        <w:t xml:space="preserve"> </w:t>
      </w:r>
      <w:r w:rsidR="007C6D0C">
        <w:rPr>
          <w:rFonts w:ascii="Times New Roman" w:hAnsi="Times New Roman" w:cs="Times New Roman"/>
          <w:sz w:val="24"/>
          <w:szCs w:val="24"/>
        </w:rPr>
        <w:t>t</w:t>
      </w:r>
      <w:r w:rsidRPr="00273053">
        <w:rPr>
          <w:rFonts w:ascii="Times New Roman" w:hAnsi="Times New Roman" w:cs="Times New Roman"/>
          <w:sz w:val="24"/>
          <w:szCs w:val="24"/>
        </w:rPr>
        <w:t xml:space="preserve">he urban </w:t>
      </w:r>
      <w:r w:rsidR="004E23B1" w:rsidRPr="00273053">
        <w:rPr>
          <w:rFonts w:ascii="Times New Roman" w:hAnsi="Times New Roman" w:cs="Times New Roman"/>
          <w:sz w:val="24"/>
          <w:szCs w:val="24"/>
        </w:rPr>
        <w:t>population</w:t>
      </w:r>
      <w:r w:rsidR="004E23B1">
        <w:rPr>
          <w:rFonts w:ascii="Times New Roman" w:hAnsi="Times New Roman" w:cs="Times New Roman"/>
          <w:sz w:val="24"/>
          <w:szCs w:val="24"/>
        </w:rPr>
        <w:t xml:space="preserve"> are</w:t>
      </w:r>
      <w:r w:rsidRPr="00273053">
        <w:rPr>
          <w:rFonts w:ascii="Times New Roman" w:hAnsi="Times New Roman" w:cs="Times New Roman"/>
          <w:sz w:val="24"/>
          <w:szCs w:val="24"/>
        </w:rPr>
        <w:t xml:space="preserve"> rising continuously, and trade has shown various ups and downs throughout the years.</w:t>
      </w:r>
    </w:p>
    <w:p w14:paraId="584946C1" w14:textId="6B02D270" w:rsidR="00273053" w:rsidRDefault="00273053" w:rsidP="00273053">
      <w:pPr>
        <w:spacing w:line="360" w:lineRule="auto"/>
        <w:jc w:val="both"/>
        <w:rPr>
          <w:rFonts w:ascii="Times New Roman" w:hAnsi="Times New Roman" w:cs="Times New Roman"/>
          <w:b/>
          <w:bCs/>
          <w:sz w:val="24"/>
          <w:szCs w:val="24"/>
        </w:rPr>
      </w:pPr>
      <w:r w:rsidRPr="00273053">
        <w:rPr>
          <w:rFonts w:ascii="Times New Roman" w:hAnsi="Times New Roman" w:cs="Times New Roman"/>
          <w:b/>
          <w:bCs/>
          <w:sz w:val="24"/>
          <w:szCs w:val="24"/>
        </w:rPr>
        <w:t>Unit Root Test</w:t>
      </w:r>
    </w:p>
    <w:p w14:paraId="601DD049" w14:textId="1790C1E4" w:rsidR="00273053" w:rsidRPr="00273053" w:rsidRDefault="00273053" w:rsidP="008F7930">
      <w:pPr>
        <w:spacing w:after="0" w:line="360" w:lineRule="auto"/>
        <w:jc w:val="both"/>
        <w:rPr>
          <w:rFonts w:ascii="Times New Roman" w:hAnsi="Times New Roman" w:cs="Times New Roman"/>
        </w:rPr>
      </w:pPr>
      <w:r w:rsidRPr="00273053">
        <w:rPr>
          <w:rFonts w:ascii="Times New Roman" w:hAnsi="Times New Roman" w:cs="Times New Roman"/>
        </w:rPr>
        <w:t>Table 2</w:t>
      </w:r>
      <w:r>
        <w:rPr>
          <w:rFonts w:ascii="Times New Roman" w:hAnsi="Times New Roman" w:cs="Times New Roman"/>
        </w:rPr>
        <w:t>.</w:t>
      </w:r>
      <w:r w:rsidRPr="00273053">
        <w:rPr>
          <w:rFonts w:ascii="Times New Roman" w:hAnsi="Times New Roman" w:cs="Times New Roman"/>
        </w:rPr>
        <w:t xml:space="preserve"> Augmented Dickey Fuller Test</w:t>
      </w:r>
    </w:p>
    <w:tbl>
      <w:tblPr>
        <w:tblStyle w:val="TableGrid"/>
        <w:tblW w:w="0" w:type="auto"/>
        <w:tblLook w:val="06A0" w:firstRow="1" w:lastRow="0" w:firstColumn="1" w:lastColumn="0" w:noHBand="1" w:noVBand="1"/>
      </w:tblPr>
      <w:tblGrid>
        <w:gridCol w:w="2254"/>
        <w:gridCol w:w="2254"/>
        <w:gridCol w:w="2254"/>
        <w:gridCol w:w="2254"/>
      </w:tblGrid>
      <w:tr w:rsidR="00273053" w:rsidRPr="007D0AC8" w14:paraId="757626A3" w14:textId="77777777" w:rsidTr="00141ECC">
        <w:tc>
          <w:tcPr>
            <w:tcW w:w="9016" w:type="dxa"/>
            <w:gridSpan w:val="4"/>
            <w:vAlign w:val="center"/>
          </w:tcPr>
          <w:p w14:paraId="208DA816"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LNCO2 (At Level)</w:t>
            </w:r>
          </w:p>
        </w:tc>
      </w:tr>
      <w:tr w:rsidR="00273053" w:rsidRPr="007D0AC8" w14:paraId="017258AA" w14:textId="77777777" w:rsidTr="00141ECC">
        <w:tc>
          <w:tcPr>
            <w:tcW w:w="2254" w:type="dxa"/>
            <w:vAlign w:val="center"/>
          </w:tcPr>
          <w:p w14:paraId="50B52277"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4FF814C2"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7B413508"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0F9C7CF4"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162B0266" w14:textId="77777777" w:rsidTr="00141ECC">
        <w:tc>
          <w:tcPr>
            <w:tcW w:w="2254" w:type="dxa"/>
            <w:vAlign w:val="center"/>
          </w:tcPr>
          <w:p w14:paraId="1AC011D4"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Intercept</w:t>
            </w:r>
          </w:p>
        </w:tc>
        <w:tc>
          <w:tcPr>
            <w:tcW w:w="2254" w:type="dxa"/>
            <w:vAlign w:val="center"/>
          </w:tcPr>
          <w:p w14:paraId="5578C1F7" w14:textId="5DB2E0A6"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-1.</w:t>
            </w:r>
            <w:r w:rsidR="007C6D0C">
              <w:rPr>
                <w:rFonts w:ascii="Times New Roman" w:hAnsi="Times New Roman" w:cs="Times New Roman"/>
                <w:color w:val="000000"/>
                <w:sz w:val="24"/>
                <w:szCs w:val="24"/>
              </w:rPr>
              <w:t>0951</w:t>
            </w:r>
          </w:p>
        </w:tc>
        <w:tc>
          <w:tcPr>
            <w:tcW w:w="2254" w:type="dxa"/>
            <w:vAlign w:val="center"/>
          </w:tcPr>
          <w:p w14:paraId="14B5FECE" w14:textId="770BB39A"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 0.</w:t>
            </w:r>
            <w:r w:rsidR="007C6D0C">
              <w:rPr>
                <w:rFonts w:ascii="Times New Roman" w:hAnsi="Times New Roman" w:cs="Times New Roman"/>
                <w:color w:val="000000"/>
                <w:sz w:val="24"/>
                <w:szCs w:val="24"/>
              </w:rPr>
              <w:t>7106</w:t>
            </w:r>
          </w:p>
        </w:tc>
        <w:tc>
          <w:tcPr>
            <w:tcW w:w="2254" w:type="dxa"/>
            <w:vAlign w:val="center"/>
          </w:tcPr>
          <w:p w14:paraId="24FCED5E"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Non-Stationary</w:t>
            </w:r>
          </w:p>
        </w:tc>
      </w:tr>
      <w:tr w:rsidR="00273053" w:rsidRPr="007D0AC8" w14:paraId="295A8C01" w14:textId="77777777" w:rsidTr="00141ECC">
        <w:tc>
          <w:tcPr>
            <w:tcW w:w="9016" w:type="dxa"/>
            <w:gridSpan w:val="4"/>
            <w:vAlign w:val="center"/>
          </w:tcPr>
          <w:p w14:paraId="45A36B5C"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LNCO2 (At First Difference)</w:t>
            </w:r>
          </w:p>
        </w:tc>
      </w:tr>
      <w:tr w:rsidR="00273053" w:rsidRPr="007D0AC8" w14:paraId="6E47BADE" w14:textId="77777777" w:rsidTr="00141ECC">
        <w:tc>
          <w:tcPr>
            <w:tcW w:w="2254" w:type="dxa"/>
            <w:vAlign w:val="center"/>
          </w:tcPr>
          <w:p w14:paraId="11B9C534"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1ECF104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08AFD946"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5D2EFA5D"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648FD451" w14:textId="77777777" w:rsidTr="00141ECC">
        <w:tc>
          <w:tcPr>
            <w:tcW w:w="2254" w:type="dxa"/>
            <w:vAlign w:val="center"/>
          </w:tcPr>
          <w:p w14:paraId="50D8C4DE"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Intercept</w:t>
            </w:r>
          </w:p>
        </w:tc>
        <w:tc>
          <w:tcPr>
            <w:tcW w:w="2254" w:type="dxa"/>
            <w:vAlign w:val="center"/>
          </w:tcPr>
          <w:p w14:paraId="270559FB" w14:textId="58D779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w:t>
            </w:r>
            <w:r w:rsidR="007C6D0C">
              <w:rPr>
                <w:rFonts w:ascii="Times New Roman" w:hAnsi="Times New Roman" w:cs="Times New Roman"/>
                <w:color w:val="000000"/>
                <w:sz w:val="24"/>
                <w:szCs w:val="24"/>
              </w:rPr>
              <w:t>6</w:t>
            </w:r>
            <w:r w:rsidRPr="007D0AC8">
              <w:rPr>
                <w:rFonts w:ascii="Times New Roman" w:hAnsi="Times New Roman" w:cs="Times New Roman"/>
                <w:color w:val="000000"/>
                <w:sz w:val="24"/>
                <w:szCs w:val="24"/>
              </w:rPr>
              <w:t>.</w:t>
            </w:r>
            <w:r w:rsidR="007C6D0C">
              <w:rPr>
                <w:rFonts w:ascii="Times New Roman" w:hAnsi="Times New Roman" w:cs="Times New Roman"/>
                <w:color w:val="000000"/>
                <w:sz w:val="24"/>
                <w:szCs w:val="24"/>
              </w:rPr>
              <w:t>1263</w:t>
            </w:r>
          </w:p>
        </w:tc>
        <w:tc>
          <w:tcPr>
            <w:tcW w:w="2254" w:type="dxa"/>
            <w:vAlign w:val="bottom"/>
          </w:tcPr>
          <w:p w14:paraId="1359CA27" w14:textId="20DA2AE4"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 0.000</w:t>
            </w:r>
            <w:r w:rsidR="007C6D0C">
              <w:rPr>
                <w:rFonts w:ascii="Times New Roman" w:hAnsi="Times New Roman" w:cs="Times New Roman"/>
                <w:color w:val="000000"/>
                <w:sz w:val="24"/>
                <w:szCs w:val="24"/>
              </w:rPr>
              <w:t>0</w:t>
            </w:r>
          </w:p>
        </w:tc>
        <w:tc>
          <w:tcPr>
            <w:tcW w:w="2254" w:type="dxa"/>
            <w:vAlign w:val="center"/>
          </w:tcPr>
          <w:p w14:paraId="76ACF71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Stationary</w:t>
            </w:r>
          </w:p>
        </w:tc>
      </w:tr>
    </w:tbl>
    <w:p w14:paraId="198BBD8D" w14:textId="77777777" w:rsidR="00273053" w:rsidRDefault="00273053" w:rsidP="00273053">
      <w:pPr>
        <w:rPr>
          <w:rFonts w:ascii="Times New Roman" w:hAnsi="Times New Roman" w:cs="Times New Roman"/>
        </w:rPr>
      </w:pPr>
    </w:p>
    <w:p w14:paraId="4FB3BA7B" w14:textId="77777777" w:rsidR="00D430B6" w:rsidRDefault="00D430B6" w:rsidP="00273053">
      <w:pPr>
        <w:rPr>
          <w:rFonts w:ascii="Times New Roman" w:hAnsi="Times New Roman" w:cs="Times New Roman"/>
        </w:rPr>
      </w:pPr>
    </w:p>
    <w:p w14:paraId="239A63FE" w14:textId="77777777" w:rsidR="00D430B6" w:rsidRPr="007D0AC8" w:rsidRDefault="00D430B6" w:rsidP="00273053">
      <w:pPr>
        <w:rPr>
          <w:rFonts w:ascii="Times New Roman" w:hAnsi="Times New Roman" w:cs="Times New Roman"/>
        </w:rPr>
      </w:pPr>
    </w:p>
    <w:tbl>
      <w:tblPr>
        <w:tblStyle w:val="TableGrid"/>
        <w:tblW w:w="0" w:type="auto"/>
        <w:tblLook w:val="06A0" w:firstRow="1" w:lastRow="0" w:firstColumn="1" w:lastColumn="0" w:noHBand="1" w:noVBand="1"/>
      </w:tblPr>
      <w:tblGrid>
        <w:gridCol w:w="2254"/>
        <w:gridCol w:w="2254"/>
        <w:gridCol w:w="2254"/>
        <w:gridCol w:w="2254"/>
      </w:tblGrid>
      <w:tr w:rsidR="00273053" w:rsidRPr="007D0AC8" w14:paraId="3A1B5754" w14:textId="77777777" w:rsidTr="00141ECC">
        <w:tc>
          <w:tcPr>
            <w:tcW w:w="9016" w:type="dxa"/>
            <w:gridSpan w:val="4"/>
            <w:vAlign w:val="center"/>
          </w:tcPr>
          <w:p w14:paraId="20F38AAA"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LNENUSE (At Level)</w:t>
            </w:r>
          </w:p>
        </w:tc>
      </w:tr>
      <w:tr w:rsidR="00273053" w:rsidRPr="007D0AC8" w14:paraId="58C09972" w14:textId="77777777" w:rsidTr="00141ECC">
        <w:tc>
          <w:tcPr>
            <w:tcW w:w="2254" w:type="dxa"/>
            <w:vAlign w:val="center"/>
          </w:tcPr>
          <w:p w14:paraId="45F1F480"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6E3DBB2C"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51427DAC"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7EDBFE88"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0127AD94" w14:textId="77777777" w:rsidTr="00141ECC">
        <w:tc>
          <w:tcPr>
            <w:tcW w:w="2254" w:type="dxa"/>
            <w:vAlign w:val="center"/>
          </w:tcPr>
          <w:p w14:paraId="6FCB95EF"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Intercept</w:t>
            </w:r>
          </w:p>
        </w:tc>
        <w:tc>
          <w:tcPr>
            <w:tcW w:w="2254" w:type="dxa"/>
            <w:vAlign w:val="bottom"/>
          </w:tcPr>
          <w:p w14:paraId="7043E4C3" w14:textId="3B7139A9" w:rsidR="00273053" w:rsidRPr="007D0AC8" w:rsidRDefault="007C6D0C" w:rsidP="00141ECC">
            <w:pPr>
              <w:jc w:val="center"/>
              <w:rPr>
                <w:rFonts w:ascii="Times New Roman" w:hAnsi="Times New Roman" w:cs="Times New Roman"/>
                <w:sz w:val="24"/>
                <w:szCs w:val="24"/>
              </w:rPr>
            </w:pPr>
            <w:r w:rsidRPr="007C6D0C">
              <w:rPr>
                <w:rFonts w:ascii="Times New Roman" w:hAnsi="Times New Roman" w:cs="Times New Roman"/>
                <w:color w:val="000000"/>
                <w:sz w:val="24"/>
                <w:szCs w:val="24"/>
              </w:rPr>
              <w:t>3.2082</w:t>
            </w:r>
          </w:p>
        </w:tc>
        <w:tc>
          <w:tcPr>
            <w:tcW w:w="2254" w:type="dxa"/>
            <w:vAlign w:val="center"/>
          </w:tcPr>
          <w:p w14:paraId="77ABFF41" w14:textId="62C78176"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 </w:t>
            </w:r>
            <w:r w:rsidR="007C6D0C" w:rsidRPr="007C6D0C">
              <w:rPr>
                <w:rFonts w:ascii="Times New Roman" w:hAnsi="Times New Roman" w:cs="Times New Roman"/>
                <w:color w:val="000000"/>
                <w:sz w:val="24"/>
                <w:szCs w:val="24"/>
              </w:rPr>
              <w:t>1.0000</w:t>
            </w:r>
          </w:p>
        </w:tc>
        <w:tc>
          <w:tcPr>
            <w:tcW w:w="2254" w:type="dxa"/>
            <w:vAlign w:val="center"/>
          </w:tcPr>
          <w:p w14:paraId="1C6C488B"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Non-Stationary</w:t>
            </w:r>
          </w:p>
        </w:tc>
      </w:tr>
      <w:tr w:rsidR="00273053" w:rsidRPr="007D0AC8" w14:paraId="232A8DC0" w14:textId="77777777" w:rsidTr="00141ECC">
        <w:tc>
          <w:tcPr>
            <w:tcW w:w="9016" w:type="dxa"/>
            <w:gridSpan w:val="4"/>
            <w:vAlign w:val="center"/>
          </w:tcPr>
          <w:p w14:paraId="760E71A4"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LNENUSE (At First Difference)</w:t>
            </w:r>
          </w:p>
        </w:tc>
      </w:tr>
      <w:tr w:rsidR="00273053" w:rsidRPr="007D0AC8" w14:paraId="7B00234A" w14:textId="77777777" w:rsidTr="00141ECC">
        <w:tc>
          <w:tcPr>
            <w:tcW w:w="2254" w:type="dxa"/>
            <w:vAlign w:val="center"/>
          </w:tcPr>
          <w:p w14:paraId="328CCB41"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5E5E418C"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610575E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2988AA7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6D6691C8" w14:textId="77777777" w:rsidTr="00141ECC">
        <w:tc>
          <w:tcPr>
            <w:tcW w:w="2254" w:type="dxa"/>
            <w:vAlign w:val="center"/>
          </w:tcPr>
          <w:p w14:paraId="4F56D773"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Intercept</w:t>
            </w:r>
          </w:p>
        </w:tc>
        <w:tc>
          <w:tcPr>
            <w:tcW w:w="2254" w:type="dxa"/>
            <w:vAlign w:val="center"/>
          </w:tcPr>
          <w:p w14:paraId="5194437F" w14:textId="22EFDEBF" w:rsidR="00273053" w:rsidRPr="007D0AC8" w:rsidRDefault="007C6D0C" w:rsidP="00141ECC">
            <w:pPr>
              <w:jc w:val="center"/>
              <w:rPr>
                <w:rFonts w:ascii="Times New Roman" w:hAnsi="Times New Roman" w:cs="Times New Roman"/>
                <w:sz w:val="24"/>
                <w:szCs w:val="24"/>
              </w:rPr>
            </w:pPr>
            <w:r w:rsidRPr="007C6D0C">
              <w:rPr>
                <w:rFonts w:ascii="Times New Roman" w:hAnsi="Times New Roman" w:cs="Times New Roman"/>
                <w:color w:val="000000"/>
                <w:sz w:val="24"/>
                <w:szCs w:val="24"/>
              </w:rPr>
              <w:t>-4.6768</w:t>
            </w:r>
          </w:p>
        </w:tc>
        <w:tc>
          <w:tcPr>
            <w:tcW w:w="2254" w:type="dxa"/>
            <w:vAlign w:val="bottom"/>
          </w:tcPr>
          <w:p w14:paraId="3FEE4E7B" w14:textId="43C01AA3"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0.000</w:t>
            </w:r>
            <w:r w:rsidR="007C6D0C">
              <w:rPr>
                <w:rFonts w:ascii="Times New Roman" w:hAnsi="Times New Roman" w:cs="Times New Roman"/>
                <w:color w:val="000000"/>
                <w:sz w:val="24"/>
                <w:szCs w:val="24"/>
              </w:rPr>
              <w:t>5</w:t>
            </w:r>
          </w:p>
        </w:tc>
        <w:tc>
          <w:tcPr>
            <w:tcW w:w="2254" w:type="dxa"/>
            <w:vAlign w:val="center"/>
          </w:tcPr>
          <w:p w14:paraId="34459B60"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Stationary</w:t>
            </w:r>
          </w:p>
        </w:tc>
      </w:tr>
    </w:tbl>
    <w:p w14:paraId="0EA00100" w14:textId="77777777" w:rsidR="00273053" w:rsidRPr="007D0AC8" w:rsidRDefault="00273053" w:rsidP="00273053">
      <w:pPr>
        <w:rPr>
          <w:rFonts w:ascii="Times New Roman" w:hAnsi="Times New Roman" w:cs="Times New Roman"/>
        </w:rPr>
      </w:pPr>
    </w:p>
    <w:tbl>
      <w:tblPr>
        <w:tblStyle w:val="TableGrid"/>
        <w:tblW w:w="0" w:type="auto"/>
        <w:tblLook w:val="06A0" w:firstRow="1" w:lastRow="0" w:firstColumn="1" w:lastColumn="0" w:noHBand="1" w:noVBand="1"/>
      </w:tblPr>
      <w:tblGrid>
        <w:gridCol w:w="2254"/>
        <w:gridCol w:w="2254"/>
        <w:gridCol w:w="2254"/>
        <w:gridCol w:w="2254"/>
      </w:tblGrid>
      <w:tr w:rsidR="00273053" w:rsidRPr="007D0AC8" w14:paraId="2D83804B" w14:textId="77777777" w:rsidTr="00141ECC">
        <w:tc>
          <w:tcPr>
            <w:tcW w:w="9016" w:type="dxa"/>
            <w:gridSpan w:val="4"/>
            <w:vAlign w:val="center"/>
          </w:tcPr>
          <w:p w14:paraId="2B531619"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LNTRADE (At Level)</w:t>
            </w:r>
          </w:p>
        </w:tc>
      </w:tr>
      <w:tr w:rsidR="00273053" w:rsidRPr="007D0AC8" w14:paraId="3AC90FBF" w14:textId="77777777" w:rsidTr="00141ECC">
        <w:tc>
          <w:tcPr>
            <w:tcW w:w="2254" w:type="dxa"/>
            <w:vAlign w:val="center"/>
          </w:tcPr>
          <w:p w14:paraId="28DD9477"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57955D30"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1824F0FA"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5C3D67EE"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016B35C8" w14:textId="77777777" w:rsidTr="00141ECC">
        <w:tc>
          <w:tcPr>
            <w:tcW w:w="2254" w:type="dxa"/>
            <w:vAlign w:val="center"/>
          </w:tcPr>
          <w:p w14:paraId="4E6DD6A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Intercept</w:t>
            </w:r>
          </w:p>
        </w:tc>
        <w:tc>
          <w:tcPr>
            <w:tcW w:w="2254" w:type="dxa"/>
            <w:vAlign w:val="bottom"/>
          </w:tcPr>
          <w:p w14:paraId="66D063FC" w14:textId="34AB095C" w:rsidR="00273053" w:rsidRPr="007D0AC8" w:rsidRDefault="007C6D0C" w:rsidP="00141ECC">
            <w:pPr>
              <w:jc w:val="center"/>
              <w:rPr>
                <w:rFonts w:ascii="Times New Roman" w:hAnsi="Times New Roman" w:cs="Times New Roman"/>
                <w:sz w:val="24"/>
                <w:szCs w:val="24"/>
              </w:rPr>
            </w:pPr>
            <w:r w:rsidRPr="007C6D0C">
              <w:rPr>
                <w:rFonts w:ascii="Times New Roman" w:hAnsi="Times New Roman" w:cs="Times New Roman"/>
                <w:color w:val="000000"/>
                <w:sz w:val="24"/>
                <w:szCs w:val="24"/>
              </w:rPr>
              <w:t>-0.8669</w:t>
            </w:r>
          </w:p>
        </w:tc>
        <w:tc>
          <w:tcPr>
            <w:tcW w:w="2254" w:type="dxa"/>
            <w:vAlign w:val="center"/>
          </w:tcPr>
          <w:p w14:paraId="6398B7E6" w14:textId="67175D7A" w:rsidR="00273053" w:rsidRPr="007D0AC8" w:rsidRDefault="007C6D0C" w:rsidP="00141ECC">
            <w:pPr>
              <w:jc w:val="center"/>
              <w:rPr>
                <w:rFonts w:ascii="Times New Roman" w:hAnsi="Times New Roman" w:cs="Times New Roman"/>
                <w:sz w:val="24"/>
                <w:szCs w:val="24"/>
              </w:rPr>
            </w:pPr>
            <w:r w:rsidRPr="007C6D0C">
              <w:rPr>
                <w:rFonts w:ascii="Times New Roman" w:hAnsi="Times New Roman" w:cs="Times New Roman"/>
                <w:color w:val="000000"/>
                <w:sz w:val="24"/>
                <w:szCs w:val="24"/>
              </w:rPr>
              <w:t>0.7902</w:t>
            </w:r>
          </w:p>
        </w:tc>
        <w:tc>
          <w:tcPr>
            <w:tcW w:w="2254" w:type="dxa"/>
            <w:vAlign w:val="center"/>
          </w:tcPr>
          <w:p w14:paraId="74D3EE5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Non-Stationary</w:t>
            </w:r>
          </w:p>
        </w:tc>
      </w:tr>
      <w:tr w:rsidR="00273053" w:rsidRPr="007D0AC8" w14:paraId="76BA7D96" w14:textId="77777777" w:rsidTr="00141ECC">
        <w:tc>
          <w:tcPr>
            <w:tcW w:w="9016" w:type="dxa"/>
            <w:gridSpan w:val="4"/>
            <w:vAlign w:val="center"/>
          </w:tcPr>
          <w:p w14:paraId="004874EE"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LNTRADE (At First Difference)</w:t>
            </w:r>
          </w:p>
        </w:tc>
      </w:tr>
      <w:tr w:rsidR="00273053" w:rsidRPr="007D0AC8" w14:paraId="00E9E898" w14:textId="77777777" w:rsidTr="00141ECC">
        <w:tc>
          <w:tcPr>
            <w:tcW w:w="2254" w:type="dxa"/>
            <w:vAlign w:val="center"/>
          </w:tcPr>
          <w:p w14:paraId="6B70ED5C"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664ED309"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790300C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0341731E"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67480F11" w14:textId="77777777" w:rsidTr="00141ECC">
        <w:tc>
          <w:tcPr>
            <w:tcW w:w="2254" w:type="dxa"/>
            <w:vAlign w:val="center"/>
          </w:tcPr>
          <w:p w14:paraId="288CC68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lastRenderedPageBreak/>
              <w:t>Intercept</w:t>
            </w:r>
          </w:p>
        </w:tc>
        <w:tc>
          <w:tcPr>
            <w:tcW w:w="2254" w:type="dxa"/>
            <w:vAlign w:val="center"/>
          </w:tcPr>
          <w:p w14:paraId="3BA8A8BD" w14:textId="1137E99B" w:rsidR="00273053" w:rsidRPr="007D0AC8" w:rsidRDefault="007C6D0C" w:rsidP="00141ECC">
            <w:pPr>
              <w:jc w:val="center"/>
              <w:rPr>
                <w:rFonts w:ascii="Times New Roman" w:hAnsi="Times New Roman" w:cs="Times New Roman"/>
                <w:sz w:val="24"/>
                <w:szCs w:val="24"/>
              </w:rPr>
            </w:pPr>
            <w:r w:rsidRPr="007C6D0C">
              <w:rPr>
                <w:rFonts w:ascii="Times New Roman" w:hAnsi="Times New Roman" w:cs="Times New Roman"/>
                <w:color w:val="000000"/>
                <w:sz w:val="24"/>
                <w:szCs w:val="24"/>
              </w:rPr>
              <w:t>-5.7759</w:t>
            </w:r>
          </w:p>
        </w:tc>
        <w:tc>
          <w:tcPr>
            <w:tcW w:w="2254" w:type="dxa"/>
            <w:vAlign w:val="bottom"/>
          </w:tcPr>
          <w:p w14:paraId="505E2BD8"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0.0000</w:t>
            </w:r>
          </w:p>
        </w:tc>
        <w:tc>
          <w:tcPr>
            <w:tcW w:w="2254" w:type="dxa"/>
            <w:vAlign w:val="center"/>
          </w:tcPr>
          <w:p w14:paraId="47C4E312"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Stationary</w:t>
            </w:r>
          </w:p>
        </w:tc>
      </w:tr>
    </w:tbl>
    <w:p w14:paraId="52A724AF" w14:textId="77777777" w:rsidR="00273053" w:rsidRPr="007D0AC8" w:rsidRDefault="00273053" w:rsidP="00273053">
      <w:pPr>
        <w:rPr>
          <w:rFonts w:ascii="Times New Roman" w:hAnsi="Times New Roman" w:cs="Times New Roman"/>
        </w:rPr>
      </w:pPr>
    </w:p>
    <w:tbl>
      <w:tblPr>
        <w:tblStyle w:val="TableGrid"/>
        <w:tblW w:w="0" w:type="auto"/>
        <w:tblLook w:val="06A0" w:firstRow="1" w:lastRow="0" w:firstColumn="1" w:lastColumn="0" w:noHBand="1" w:noVBand="1"/>
      </w:tblPr>
      <w:tblGrid>
        <w:gridCol w:w="2254"/>
        <w:gridCol w:w="2254"/>
        <w:gridCol w:w="2254"/>
        <w:gridCol w:w="2254"/>
      </w:tblGrid>
      <w:tr w:rsidR="00273053" w:rsidRPr="007D0AC8" w14:paraId="6CD01517" w14:textId="77777777" w:rsidTr="00141ECC">
        <w:tc>
          <w:tcPr>
            <w:tcW w:w="9016" w:type="dxa"/>
            <w:gridSpan w:val="4"/>
            <w:vAlign w:val="center"/>
          </w:tcPr>
          <w:p w14:paraId="71372D41"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LNUPOP (At Level)</w:t>
            </w:r>
          </w:p>
        </w:tc>
      </w:tr>
      <w:tr w:rsidR="00273053" w:rsidRPr="007D0AC8" w14:paraId="7FECDDD8" w14:textId="77777777" w:rsidTr="00141ECC">
        <w:tc>
          <w:tcPr>
            <w:tcW w:w="2254" w:type="dxa"/>
            <w:vAlign w:val="center"/>
          </w:tcPr>
          <w:p w14:paraId="05C60493"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18AA4090"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567BA0E3"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5FD816BB"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0CC9407F" w14:textId="77777777" w:rsidTr="00141ECC">
        <w:tc>
          <w:tcPr>
            <w:tcW w:w="2254" w:type="dxa"/>
            <w:vAlign w:val="center"/>
          </w:tcPr>
          <w:p w14:paraId="3D07A679"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Intercept</w:t>
            </w:r>
          </w:p>
        </w:tc>
        <w:tc>
          <w:tcPr>
            <w:tcW w:w="2254" w:type="dxa"/>
            <w:vAlign w:val="bottom"/>
          </w:tcPr>
          <w:p w14:paraId="698A454C" w14:textId="1B1BF152" w:rsidR="00273053" w:rsidRPr="007D0AC8" w:rsidRDefault="007C6D0C" w:rsidP="00141ECC">
            <w:pPr>
              <w:jc w:val="center"/>
              <w:rPr>
                <w:rFonts w:ascii="Times New Roman" w:hAnsi="Times New Roman" w:cs="Times New Roman"/>
                <w:sz w:val="24"/>
                <w:szCs w:val="24"/>
              </w:rPr>
            </w:pPr>
            <w:r w:rsidRPr="007C6D0C">
              <w:rPr>
                <w:rFonts w:ascii="Times New Roman" w:hAnsi="Times New Roman" w:cs="Times New Roman"/>
                <w:color w:val="000000"/>
                <w:sz w:val="24"/>
                <w:szCs w:val="24"/>
              </w:rPr>
              <w:t>-2.6995</w:t>
            </w:r>
          </w:p>
        </w:tc>
        <w:tc>
          <w:tcPr>
            <w:tcW w:w="2254" w:type="dxa"/>
            <w:vAlign w:val="center"/>
          </w:tcPr>
          <w:p w14:paraId="7891708A"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0.0292</w:t>
            </w:r>
          </w:p>
        </w:tc>
        <w:tc>
          <w:tcPr>
            <w:tcW w:w="2254" w:type="dxa"/>
            <w:vAlign w:val="center"/>
          </w:tcPr>
          <w:p w14:paraId="7E97489A"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Stationary</w:t>
            </w:r>
          </w:p>
        </w:tc>
      </w:tr>
      <w:tr w:rsidR="00273053" w:rsidRPr="007D0AC8" w14:paraId="25A3C438" w14:textId="77777777" w:rsidTr="00141ECC">
        <w:tc>
          <w:tcPr>
            <w:tcW w:w="9016" w:type="dxa"/>
            <w:gridSpan w:val="4"/>
            <w:vAlign w:val="center"/>
          </w:tcPr>
          <w:p w14:paraId="1F3093D3"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LNUPOP (At First Difference)</w:t>
            </w:r>
          </w:p>
        </w:tc>
      </w:tr>
      <w:tr w:rsidR="00273053" w:rsidRPr="007D0AC8" w14:paraId="026F42B6" w14:textId="77777777" w:rsidTr="00141ECC">
        <w:tc>
          <w:tcPr>
            <w:tcW w:w="2254" w:type="dxa"/>
            <w:vAlign w:val="center"/>
          </w:tcPr>
          <w:p w14:paraId="16AB6586" w14:textId="77777777" w:rsidR="00273053" w:rsidRPr="007D0AC8" w:rsidRDefault="00273053" w:rsidP="00141ECC">
            <w:pPr>
              <w:jc w:val="center"/>
              <w:rPr>
                <w:rFonts w:ascii="Times New Roman" w:hAnsi="Times New Roman" w:cs="Times New Roman"/>
                <w:sz w:val="24"/>
                <w:szCs w:val="24"/>
              </w:rPr>
            </w:pPr>
          </w:p>
        </w:tc>
        <w:tc>
          <w:tcPr>
            <w:tcW w:w="2254" w:type="dxa"/>
            <w:vAlign w:val="center"/>
          </w:tcPr>
          <w:p w14:paraId="48627C9A"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0552FF42"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p-value</w:t>
            </w:r>
          </w:p>
        </w:tc>
        <w:tc>
          <w:tcPr>
            <w:tcW w:w="2254" w:type="dxa"/>
            <w:vAlign w:val="center"/>
          </w:tcPr>
          <w:p w14:paraId="5C173C40"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Decision</w:t>
            </w:r>
          </w:p>
        </w:tc>
      </w:tr>
      <w:tr w:rsidR="00273053" w:rsidRPr="007D0AC8" w14:paraId="179ED0FA" w14:textId="77777777" w:rsidTr="00141ECC">
        <w:tc>
          <w:tcPr>
            <w:tcW w:w="2254" w:type="dxa"/>
            <w:vAlign w:val="center"/>
          </w:tcPr>
          <w:p w14:paraId="015F0355"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Intercept</w:t>
            </w:r>
          </w:p>
        </w:tc>
        <w:tc>
          <w:tcPr>
            <w:tcW w:w="2254" w:type="dxa"/>
            <w:vAlign w:val="center"/>
          </w:tcPr>
          <w:p w14:paraId="350F84BC"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w:t>
            </w:r>
          </w:p>
        </w:tc>
        <w:tc>
          <w:tcPr>
            <w:tcW w:w="2254" w:type="dxa"/>
            <w:vAlign w:val="bottom"/>
          </w:tcPr>
          <w:p w14:paraId="2F63FB41"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color w:val="000000"/>
                <w:sz w:val="24"/>
                <w:szCs w:val="24"/>
              </w:rPr>
              <w:t>-</w:t>
            </w:r>
          </w:p>
        </w:tc>
        <w:tc>
          <w:tcPr>
            <w:tcW w:w="2254" w:type="dxa"/>
            <w:vAlign w:val="center"/>
          </w:tcPr>
          <w:p w14:paraId="29AAC6F1" w14:textId="77777777" w:rsidR="00273053" w:rsidRPr="007D0AC8" w:rsidRDefault="00273053" w:rsidP="00141ECC">
            <w:pPr>
              <w:jc w:val="center"/>
              <w:rPr>
                <w:rFonts w:ascii="Times New Roman" w:hAnsi="Times New Roman" w:cs="Times New Roman"/>
                <w:sz w:val="24"/>
                <w:szCs w:val="24"/>
              </w:rPr>
            </w:pPr>
            <w:r w:rsidRPr="007D0AC8">
              <w:rPr>
                <w:rFonts w:ascii="Times New Roman" w:hAnsi="Times New Roman" w:cs="Times New Roman"/>
                <w:sz w:val="24"/>
                <w:szCs w:val="24"/>
              </w:rPr>
              <w:t>-</w:t>
            </w:r>
          </w:p>
        </w:tc>
      </w:tr>
    </w:tbl>
    <w:p w14:paraId="2FBF2CE5" w14:textId="4BD94510" w:rsidR="00273053" w:rsidRPr="007D0AC8" w:rsidRDefault="00273053" w:rsidP="00273053">
      <w:pPr>
        <w:rPr>
          <w:rFonts w:ascii="Times New Roman" w:hAnsi="Times New Roman" w:cs="Times New Roman"/>
        </w:rPr>
      </w:pPr>
      <w:r>
        <w:rPr>
          <w:rFonts w:ascii="Times New Roman" w:hAnsi="Times New Roman" w:cs="Times New Roman"/>
        </w:rPr>
        <w:t>Source: Author</w:t>
      </w:r>
    </w:p>
    <w:p w14:paraId="3ECA6779" w14:textId="02C0C06C" w:rsidR="00AC15E6" w:rsidRDefault="00527AB3" w:rsidP="00273053">
      <w:pPr>
        <w:spacing w:line="360" w:lineRule="auto"/>
        <w:jc w:val="both"/>
        <w:rPr>
          <w:rFonts w:ascii="Times New Roman" w:hAnsi="Times New Roman" w:cs="Times New Roman"/>
          <w:b/>
          <w:bCs/>
          <w:sz w:val="24"/>
          <w:szCs w:val="24"/>
        </w:rPr>
      </w:pPr>
      <w:r w:rsidRPr="00527AB3">
        <w:rPr>
          <w:rFonts w:ascii="Times New Roman" w:hAnsi="Times New Roman" w:cs="Times New Roman"/>
          <w:sz w:val="24"/>
          <w:szCs w:val="24"/>
        </w:rPr>
        <w:t>The outcomes of the Augmented Dickey-Fuller test are depicted in the tables above. The unit root analysis using the ADF test reveals a mixed order of integration, necessitating the application of the ARDL bounds test. The series LNCO2, LNTRADE, and LNUPOP exhibit non-stationarity at levels I(0) but achieve stationarity at first differences I(1). Moreover, LNUPOP is stationary at levels I(0).</w:t>
      </w:r>
    </w:p>
    <w:p w14:paraId="37A2936D" w14:textId="77777777" w:rsidR="00527AB3" w:rsidRDefault="00527AB3" w:rsidP="00273053">
      <w:pPr>
        <w:spacing w:line="360" w:lineRule="auto"/>
        <w:jc w:val="both"/>
        <w:rPr>
          <w:rFonts w:ascii="Times New Roman" w:hAnsi="Times New Roman" w:cs="Times New Roman"/>
          <w:b/>
          <w:bCs/>
          <w:sz w:val="24"/>
          <w:szCs w:val="24"/>
        </w:rPr>
      </w:pPr>
    </w:p>
    <w:p w14:paraId="72FE8C2C" w14:textId="77777777" w:rsidR="00527AB3" w:rsidRDefault="00527AB3" w:rsidP="00273053">
      <w:pPr>
        <w:spacing w:line="360" w:lineRule="auto"/>
        <w:jc w:val="both"/>
        <w:rPr>
          <w:rFonts w:ascii="Times New Roman" w:hAnsi="Times New Roman" w:cs="Times New Roman"/>
          <w:b/>
          <w:bCs/>
          <w:sz w:val="24"/>
          <w:szCs w:val="24"/>
        </w:rPr>
      </w:pPr>
    </w:p>
    <w:p w14:paraId="7CA3B9E9" w14:textId="2670571B" w:rsidR="00273053" w:rsidRDefault="00273053" w:rsidP="00273053">
      <w:pPr>
        <w:spacing w:line="360" w:lineRule="auto"/>
        <w:jc w:val="both"/>
        <w:rPr>
          <w:rFonts w:ascii="Times New Roman" w:hAnsi="Times New Roman" w:cs="Times New Roman"/>
          <w:b/>
          <w:bCs/>
          <w:sz w:val="24"/>
          <w:szCs w:val="24"/>
        </w:rPr>
      </w:pPr>
      <w:r w:rsidRPr="00273053">
        <w:rPr>
          <w:rFonts w:ascii="Times New Roman" w:hAnsi="Times New Roman" w:cs="Times New Roman"/>
          <w:b/>
          <w:bCs/>
          <w:sz w:val="24"/>
          <w:szCs w:val="24"/>
        </w:rPr>
        <w:t>ARDL Bound Test and Long run coefficients</w:t>
      </w:r>
    </w:p>
    <w:p w14:paraId="1FEC2EC5" w14:textId="2B8F853C" w:rsidR="00273053" w:rsidRDefault="00273053" w:rsidP="00273053">
      <w:pPr>
        <w:spacing w:line="360" w:lineRule="auto"/>
        <w:jc w:val="both"/>
        <w:rPr>
          <w:rFonts w:ascii="Times New Roman" w:hAnsi="Times New Roman" w:cs="Times New Roman"/>
          <w:sz w:val="24"/>
          <w:szCs w:val="24"/>
        </w:rPr>
      </w:pPr>
      <w:r w:rsidRPr="007D0AC8">
        <w:rPr>
          <w:rFonts w:ascii="Times New Roman" w:hAnsi="Times New Roman" w:cs="Times New Roman"/>
          <w:sz w:val="24"/>
          <w:szCs w:val="24"/>
        </w:rPr>
        <w:t xml:space="preserve">The Augmented Dickey-Fuller test for </w:t>
      </w:r>
      <w:r w:rsidR="00834C8C">
        <w:rPr>
          <w:rFonts w:ascii="Times New Roman" w:hAnsi="Times New Roman" w:cs="Times New Roman"/>
          <w:sz w:val="24"/>
          <w:szCs w:val="24"/>
        </w:rPr>
        <w:t>stationarity</w:t>
      </w:r>
      <w:r w:rsidRPr="007D0AC8">
        <w:rPr>
          <w:rFonts w:ascii="Times New Roman" w:hAnsi="Times New Roman" w:cs="Times New Roman"/>
          <w:sz w:val="24"/>
          <w:szCs w:val="24"/>
        </w:rPr>
        <w:t xml:space="preserve"> shows that the variables under consideration are integrated in mixed order, and no variables are stationary at the second difference. The stationary tests fulfil the prerequisite condition of the ARDL model. Therefore, the ARDL model is suitable for our study. </w:t>
      </w:r>
      <w:r w:rsidR="00527AB3" w:rsidRPr="00527AB3">
        <w:rPr>
          <w:rFonts w:ascii="Times New Roman" w:hAnsi="Times New Roman" w:cs="Times New Roman"/>
          <w:sz w:val="24"/>
          <w:szCs w:val="24"/>
        </w:rPr>
        <w:t>The ARDL bound test assesses the existence of a long-run equilibrium connection by comparing the computed F-statistic with the established upper and lower bounds. If the calculated f-statistics exceed the upper bound critical value, the null hypothesis of no long-run connection is rejected, signifying that the variables are cointegrated. Conversely, when the statistic is below the lower bound, the null hypothesis cannot be rejected, indicating a lack of a stable long-term link. When the F-statistic falls within the range defined by these two crucial values, the test yields no conclusive result, necessitating additional evidence to determine cointegration.</w:t>
      </w:r>
    </w:p>
    <w:p w14:paraId="0F86C803" w14:textId="77777777" w:rsidR="00F415DF" w:rsidRDefault="00F415DF" w:rsidP="00273053">
      <w:pPr>
        <w:spacing w:line="360" w:lineRule="auto"/>
        <w:jc w:val="both"/>
        <w:rPr>
          <w:rFonts w:ascii="Times New Roman" w:hAnsi="Times New Roman" w:cs="Times New Roman"/>
          <w:sz w:val="24"/>
          <w:szCs w:val="24"/>
        </w:rPr>
      </w:pPr>
    </w:p>
    <w:p w14:paraId="0143A803" w14:textId="75325639" w:rsidR="00273053" w:rsidRPr="00834C8C" w:rsidRDefault="00273053" w:rsidP="008F7930">
      <w:pPr>
        <w:spacing w:after="0" w:line="360" w:lineRule="auto"/>
        <w:jc w:val="both"/>
        <w:rPr>
          <w:rFonts w:ascii="Times New Roman" w:hAnsi="Times New Roman" w:cs="Times New Roman"/>
          <w:b/>
          <w:bCs/>
        </w:rPr>
      </w:pPr>
      <w:r w:rsidRPr="00834C8C">
        <w:rPr>
          <w:rFonts w:ascii="Times New Roman" w:hAnsi="Times New Roman" w:cs="Times New Roman"/>
          <w:b/>
          <w:bCs/>
        </w:rPr>
        <w:lastRenderedPageBreak/>
        <w:t>Table 3. ARDL Bound Test</w:t>
      </w:r>
    </w:p>
    <w:tbl>
      <w:tblPr>
        <w:tblStyle w:val="TableGrid"/>
        <w:tblW w:w="0" w:type="auto"/>
        <w:tblLook w:val="06A0" w:firstRow="1" w:lastRow="0" w:firstColumn="1" w:lastColumn="0" w:noHBand="1" w:noVBand="1"/>
      </w:tblPr>
      <w:tblGrid>
        <w:gridCol w:w="1803"/>
        <w:gridCol w:w="1803"/>
        <w:gridCol w:w="1803"/>
        <w:gridCol w:w="1803"/>
        <w:gridCol w:w="1804"/>
      </w:tblGrid>
      <w:tr w:rsidR="00273053" w:rsidRPr="007D0AC8" w14:paraId="403D5330" w14:textId="77777777" w:rsidTr="00141ECC">
        <w:tc>
          <w:tcPr>
            <w:tcW w:w="9016" w:type="dxa"/>
            <w:gridSpan w:val="5"/>
            <w:vAlign w:val="center"/>
          </w:tcPr>
          <w:p w14:paraId="317713BF"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ARDL Bound Test</w:t>
            </w:r>
          </w:p>
        </w:tc>
      </w:tr>
      <w:tr w:rsidR="00273053" w:rsidRPr="007D0AC8" w14:paraId="5E07F308" w14:textId="77777777" w:rsidTr="00141ECC">
        <w:tc>
          <w:tcPr>
            <w:tcW w:w="1803" w:type="dxa"/>
            <w:vAlign w:val="center"/>
          </w:tcPr>
          <w:p w14:paraId="0BAD3940"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F-statistics</w:t>
            </w:r>
          </w:p>
        </w:tc>
        <w:tc>
          <w:tcPr>
            <w:tcW w:w="1803" w:type="dxa"/>
            <w:vAlign w:val="center"/>
          </w:tcPr>
          <w:p w14:paraId="0F79F371" w14:textId="38395463" w:rsidR="00273053" w:rsidRPr="007D0AC8" w:rsidRDefault="007C6D0C" w:rsidP="00141ECC">
            <w:pPr>
              <w:spacing w:line="360"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39.521034</w:t>
            </w:r>
          </w:p>
        </w:tc>
        <w:tc>
          <w:tcPr>
            <w:tcW w:w="1803" w:type="dxa"/>
            <w:vAlign w:val="center"/>
          </w:tcPr>
          <w:p w14:paraId="547CE973"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10%</w:t>
            </w:r>
          </w:p>
        </w:tc>
        <w:tc>
          <w:tcPr>
            <w:tcW w:w="1803" w:type="dxa"/>
            <w:vAlign w:val="center"/>
          </w:tcPr>
          <w:p w14:paraId="5714D1D8"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5%</w:t>
            </w:r>
          </w:p>
        </w:tc>
        <w:tc>
          <w:tcPr>
            <w:tcW w:w="1804" w:type="dxa"/>
            <w:vAlign w:val="center"/>
          </w:tcPr>
          <w:p w14:paraId="54C328FA"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1%</w:t>
            </w:r>
          </w:p>
        </w:tc>
      </w:tr>
      <w:tr w:rsidR="00273053" w:rsidRPr="007D0AC8" w14:paraId="36420766" w14:textId="77777777" w:rsidTr="00141ECC">
        <w:tc>
          <w:tcPr>
            <w:tcW w:w="1803" w:type="dxa"/>
            <w:vAlign w:val="center"/>
          </w:tcPr>
          <w:p w14:paraId="72036F8A"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Critical Values</w:t>
            </w:r>
          </w:p>
        </w:tc>
        <w:tc>
          <w:tcPr>
            <w:tcW w:w="1803" w:type="dxa"/>
            <w:vAlign w:val="center"/>
          </w:tcPr>
          <w:p w14:paraId="08DB0815"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Lower Bound</w:t>
            </w:r>
          </w:p>
        </w:tc>
        <w:tc>
          <w:tcPr>
            <w:tcW w:w="1803" w:type="dxa"/>
            <w:vAlign w:val="center"/>
          </w:tcPr>
          <w:p w14:paraId="55D1C659"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2.37</w:t>
            </w:r>
          </w:p>
        </w:tc>
        <w:tc>
          <w:tcPr>
            <w:tcW w:w="1803" w:type="dxa"/>
            <w:vAlign w:val="center"/>
          </w:tcPr>
          <w:p w14:paraId="6BB3316D"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2.79</w:t>
            </w:r>
          </w:p>
        </w:tc>
        <w:tc>
          <w:tcPr>
            <w:tcW w:w="1804" w:type="dxa"/>
            <w:vAlign w:val="center"/>
          </w:tcPr>
          <w:p w14:paraId="547C0E6B"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3.65</w:t>
            </w:r>
          </w:p>
        </w:tc>
      </w:tr>
      <w:tr w:rsidR="00273053" w:rsidRPr="007D0AC8" w14:paraId="0CCC302B" w14:textId="77777777" w:rsidTr="00141ECC">
        <w:tc>
          <w:tcPr>
            <w:tcW w:w="1803" w:type="dxa"/>
            <w:vAlign w:val="center"/>
          </w:tcPr>
          <w:p w14:paraId="1E229672" w14:textId="77777777" w:rsidR="00273053" w:rsidRPr="007D0AC8" w:rsidRDefault="00273053" w:rsidP="00141ECC">
            <w:pPr>
              <w:spacing w:line="360" w:lineRule="auto"/>
              <w:jc w:val="center"/>
              <w:rPr>
                <w:rFonts w:ascii="Times New Roman" w:hAnsi="Times New Roman" w:cs="Times New Roman"/>
                <w:sz w:val="24"/>
                <w:szCs w:val="24"/>
              </w:rPr>
            </w:pPr>
          </w:p>
        </w:tc>
        <w:tc>
          <w:tcPr>
            <w:tcW w:w="1803" w:type="dxa"/>
            <w:vAlign w:val="center"/>
          </w:tcPr>
          <w:p w14:paraId="2FF24458"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Upper Bound</w:t>
            </w:r>
          </w:p>
        </w:tc>
        <w:tc>
          <w:tcPr>
            <w:tcW w:w="1803" w:type="dxa"/>
            <w:vAlign w:val="center"/>
          </w:tcPr>
          <w:p w14:paraId="7C34AEE5"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3.02</w:t>
            </w:r>
          </w:p>
        </w:tc>
        <w:tc>
          <w:tcPr>
            <w:tcW w:w="1803" w:type="dxa"/>
            <w:vAlign w:val="center"/>
          </w:tcPr>
          <w:p w14:paraId="0C26799C"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3.67</w:t>
            </w:r>
          </w:p>
        </w:tc>
        <w:tc>
          <w:tcPr>
            <w:tcW w:w="1804" w:type="dxa"/>
            <w:vAlign w:val="center"/>
          </w:tcPr>
          <w:p w14:paraId="3B14173C"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4.66</w:t>
            </w:r>
          </w:p>
        </w:tc>
      </w:tr>
    </w:tbl>
    <w:p w14:paraId="10608D28" w14:textId="77777777" w:rsidR="00273053" w:rsidRPr="007D0AC8" w:rsidRDefault="00273053" w:rsidP="00273053">
      <w:pPr>
        <w:spacing w:line="360" w:lineRule="auto"/>
        <w:jc w:val="both"/>
        <w:rPr>
          <w:rFonts w:ascii="Times New Roman" w:hAnsi="Times New Roman" w:cs="Times New Roman"/>
          <w:sz w:val="24"/>
          <w:szCs w:val="24"/>
        </w:rPr>
      </w:pPr>
      <w:r w:rsidRPr="007D0AC8">
        <w:rPr>
          <w:rFonts w:ascii="Times New Roman" w:hAnsi="Times New Roman" w:cs="Times New Roman"/>
          <w:sz w:val="24"/>
          <w:szCs w:val="24"/>
        </w:rPr>
        <w:t>Source: Author</w:t>
      </w:r>
    </w:p>
    <w:p w14:paraId="6313FF76" w14:textId="54C1B65B" w:rsidR="00273053" w:rsidRDefault="00273053" w:rsidP="00273053">
      <w:pPr>
        <w:spacing w:line="360" w:lineRule="auto"/>
        <w:jc w:val="both"/>
        <w:rPr>
          <w:rFonts w:ascii="Times New Roman" w:hAnsi="Times New Roman" w:cs="Times New Roman"/>
          <w:sz w:val="24"/>
          <w:szCs w:val="24"/>
        </w:rPr>
      </w:pPr>
      <w:r w:rsidRPr="007D0AC8">
        <w:rPr>
          <w:rFonts w:ascii="Times New Roman" w:hAnsi="Times New Roman" w:cs="Times New Roman"/>
          <w:sz w:val="24"/>
          <w:szCs w:val="24"/>
        </w:rPr>
        <w:t xml:space="preserve">The value of </w:t>
      </w:r>
      <w:r w:rsidR="00AC15E6">
        <w:rPr>
          <w:rFonts w:ascii="Times New Roman" w:hAnsi="Times New Roman" w:cs="Times New Roman"/>
          <w:sz w:val="24"/>
          <w:szCs w:val="24"/>
        </w:rPr>
        <w:t>the computed f-statistic</w:t>
      </w:r>
      <w:r w:rsidRPr="007D0AC8">
        <w:rPr>
          <w:rFonts w:ascii="Times New Roman" w:hAnsi="Times New Roman" w:cs="Times New Roman"/>
          <w:sz w:val="24"/>
          <w:szCs w:val="24"/>
        </w:rPr>
        <w:t xml:space="preserve"> </w:t>
      </w:r>
      <w:r w:rsidR="00AC15E6">
        <w:rPr>
          <w:rFonts w:ascii="Times New Roman" w:hAnsi="Times New Roman" w:cs="Times New Roman"/>
          <w:sz w:val="24"/>
          <w:szCs w:val="24"/>
        </w:rPr>
        <w:t>(</w:t>
      </w:r>
      <w:r w:rsidR="007C6D0C">
        <w:rPr>
          <w:rFonts w:ascii="Times New Roman" w:hAnsi="Times New Roman" w:cs="Times New Roman"/>
          <w:sz w:val="24"/>
          <w:szCs w:val="24"/>
        </w:rPr>
        <w:t>39.521034</w:t>
      </w:r>
      <w:r w:rsidR="00AC15E6">
        <w:rPr>
          <w:rFonts w:ascii="Times New Roman" w:hAnsi="Times New Roman" w:cs="Times New Roman"/>
          <w:sz w:val="24"/>
          <w:szCs w:val="24"/>
        </w:rPr>
        <w:t>)</w:t>
      </w:r>
      <w:r w:rsidRPr="007D0AC8">
        <w:rPr>
          <w:rFonts w:ascii="Times New Roman" w:hAnsi="Times New Roman" w:cs="Times New Roman"/>
          <w:sz w:val="24"/>
          <w:szCs w:val="24"/>
        </w:rPr>
        <w:t xml:space="preserve"> </w:t>
      </w:r>
      <w:r w:rsidR="00AC15E6">
        <w:rPr>
          <w:rFonts w:ascii="Times New Roman" w:hAnsi="Times New Roman" w:cs="Times New Roman"/>
          <w:sz w:val="24"/>
          <w:szCs w:val="24"/>
        </w:rPr>
        <w:t xml:space="preserve">substantially exceeds the </w:t>
      </w:r>
      <w:r w:rsidRPr="007D0AC8">
        <w:rPr>
          <w:rFonts w:ascii="Times New Roman" w:hAnsi="Times New Roman" w:cs="Times New Roman"/>
          <w:sz w:val="24"/>
          <w:szCs w:val="24"/>
        </w:rPr>
        <w:t>upper</w:t>
      </w:r>
      <w:r w:rsidR="00AC15E6">
        <w:rPr>
          <w:rFonts w:ascii="Times New Roman" w:hAnsi="Times New Roman" w:cs="Times New Roman"/>
          <w:sz w:val="24"/>
          <w:szCs w:val="24"/>
        </w:rPr>
        <w:t xml:space="preserve"> critical</w:t>
      </w:r>
      <w:r w:rsidRPr="007D0AC8">
        <w:rPr>
          <w:rFonts w:ascii="Times New Roman" w:hAnsi="Times New Roman" w:cs="Times New Roman"/>
          <w:sz w:val="24"/>
          <w:szCs w:val="24"/>
        </w:rPr>
        <w:t xml:space="preserve"> bound</w:t>
      </w:r>
      <w:r w:rsidR="00AC15E6">
        <w:rPr>
          <w:rFonts w:ascii="Times New Roman" w:hAnsi="Times New Roman" w:cs="Times New Roman"/>
          <w:sz w:val="24"/>
          <w:szCs w:val="24"/>
        </w:rPr>
        <w:t>s</w:t>
      </w:r>
      <w:r w:rsidRPr="007D0AC8">
        <w:rPr>
          <w:rFonts w:ascii="Times New Roman" w:hAnsi="Times New Roman" w:cs="Times New Roman"/>
          <w:sz w:val="24"/>
          <w:szCs w:val="24"/>
        </w:rPr>
        <w:t xml:space="preserve"> at 10%, 5% and 1% significance levels</w:t>
      </w:r>
      <w:r w:rsidR="006C13F4">
        <w:rPr>
          <w:rFonts w:ascii="Times New Roman" w:hAnsi="Times New Roman" w:cs="Times New Roman"/>
          <w:sz w:val="24"/>
          <w:szCs w:val="24"/>
        </w:rPr>
        <w:t>.  The findings imply that th</w:t>
      </w:r>
      <w:r w:rsidR="006C13F4" w:rsidRPr="006C13F4">
        <w:rPr>
          <w:rFonts w:ascii="Times New Roman" w:hAnsi="Times New Roman" w:cs="Times New Roman"/>
          <w:sz w:val="24"/>
          <w:szCs w:val="24"/>
        </w:rPr>
        <w:t xml:space="preserve">e null </w:t>
      </w:r>
      <w:r w:rsidR="006C13F4">
        <w:rPr>
          <w:rFonts w:ascii="Times New Roman" w:hAnsi="Times New Roman" w:cs="Times New Roman"/>
          <w:sz w:val="24"/>
          <w:szCs w:val="24"/>
        </w:rPr>
        <w:t>of no long-term relationship is unequivocally rejected, thereby supporting cointegration among the variables in the bounds-testing</w:t>
      </w:r>
      <w:r w:rsidR="006C13F4" w:rsidRPr="006C13F4">
        <w:rPr>
          <w:rFonts w:ascii="Times New Roman" w:hAnsi="Times New Roman" w:cs="Times New Roman"/>
          <w:sz w:val="24"/>
          <w:szCs w:val="24"/>
        </w:rPr>
        <w:t xml:space="preserve"> framework.</w:t>
      </w:r>
    </w:p>
    <w:p w14:paraId="1434A02B" w14:textId="794FC05A" w:rsidR="00273053" w:rsidRPr="008F7930" w:rsidRDefault="00273053" w:rsidP="008F7930">
      <w:pPr>
        <w:spacing w:after="0" w:line="360" w:lineRule="auto"/>
        <w:jc w:val="both"/>
        <w:rPr>
          <w:rFonts w:ascii="Times New Roman" w:hAnsi="Times New Roman" w:cs="Times New Roman"/>
        </w:rPr>
      </w:pPr>
      <w:r w:rsidRPr="008F7930">
        <w:rPr>
          <w:rFonts w:ascii="Times New Roman" w:hAnsi="Times New Roman" w:cs="Times New Roman"/>
        </w:rPr>
        <w:t>Table 4. Long-run Estimates</w:t>
      </w:r>
    </w:p>
    <w:tbl>
      <w:tblPr>
        <w:tblStyle w:val="TableGrid"/>
        <w:tblW w:w="0" w:type="auto"/>
        <w:tblLook w:val="06A0" w:firstRow="1" w:lastRow="0" w:firstColumn="1" w:lastColumn="0" w:noHBand="1" w:noVBand="1"/>
      </w:tblPr>
      <w:tblGrid>
        <w:gridCol w:w="2254"/>
        <w:gridCol w:w="2254"/>
        <w:gridCol w:w="2254"/>
        <w:gridCol w:w="2254"/>
      </w:tblGrid>
      <w:tr w:rsidR="00273053" w:rsidRPr="007D0AC8" w14:paraId="29CB5751" w14:textId="77777777" w:rsidTr="00141ECC">
        <w:tc>
          <w:tcPr>
            <w:tcW w:w="2254" w:type="dxa"/>
            <w:vAlign w:val="center"/>
          </w:tcPr>
          <w:p w14:paraId="113C3A18"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Variables</w:t>
            </w:r>
          </w:p>
        </w:tc>
        <w:tc>
          <w:tcPr>
            <w:tcW w:w="2254" w:type="dxa"/>
            <w:vAlign w:val="center"/>
          </w:tcPr>
          <w:p w14:paraId="4E8D7798"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Coefficient</w:t>
            </w:r>
          </w:p>
        </w:tc>
        <w:tc>
          <w:tcPr>
            <w:tcW w:w="2254" w:type="dxa"/>
            <w:vAlign w:val="center"/>
          </w:tcPr>
          <w:p w14:paraId="2431E9FF"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29EAA511"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p-value</w:t>
            </w:r>
          </w:p>
        </w:tc>
      </w:tr>
      <w:tr w:rsidR="00715695" w:rsidRPr="007D0AC8" w14:paraId="75C5F7F8" w14:textId="77777777">
        <w:tc>
          <w:tcPr>
            <w:tcW w:w="2254" w:type="dxa"/>
            <w:vAlign w:val="bottom"/>
          </w:tcPr>
          <w:p w14:paraId="4386B12D" w14:textId="41221CC1" w:rsidR="00715695" w:rsidRPr="007D0AC8" w:rsidRDefault="00715695" w:rsidP="00715695">
            <w:pPr>
              <w:spacing w:line="360" w:lineRule="auto"/>
              <w:jc w:val="center"/>
              <w:rPr>
                <w:rFonts w:ascii="Times New Roman" w:hAnsi="Times New Roman" w:cs="Times New Roman"/>
                <w:color w:val="000000"/>
                <w:sz w:val="24"/>
                <w:szCs w:val="24"/>
              </w:rPr>
            </w:pPr>
            <w:r w:rsidRPr="007D0AC8">
              <w:rPr>
                <w:rFonts w:ascii="Times New Roman" w:hAnsi="Times New Roman" w:cs="Times New Roman"/>
                <w:color w:val="000000"/>
                <w:sz w:val="24"/>
                <w:szCs w:val="24"/>
              </w:rPr>
              <w:t>LNUPOP</w:t>
            </w:r>
          </w:p>
        </w:tc>
        <w:tc>
          <w:tcPr>
            <w:tcW w:w="2254" w:type="dxa"/>
            <w:vAlign w:val="bottom"/>
          </w:tcPr>
          <w:p w14:paraId="2147E617" w14:textId="54B5DD32" w:rsidR="00715695" w:rsidRPr="007D0AC8" w:rsidRDefault="00715695" w:rsidP="00715695">
            <w:pPr>
              <w:spacing w:line="360" w:lineRule="auto"/>
              <w:jc w:val="center"/>
              <w:rPr>
                <w:rFonts w:ascii="Times New Roman" w:hAnsi="Times New Roman" w:cs="Times New Roman"/>
                <w:color w:val="000000"/>
                <w:sz w:val="24"/>
                <w:szCs w:val="24"/>
              </w:rPr>
            </w:pPr>
            <w:r w:rsidRPr="00805F07">
              <w:rPr>
                <w:rFonts w:ascii="Times New Roman" w:hAnsi="Times New Roman" w:cs="Times New Roman"/>
                <w:color w:val="000000"/>
                <w:sz w:val="24"/>
                <w:szCs w:val="24"/>
              </w:rPr>
              <w:t>1.175019</w:t>
            </w:r>
          </w:p>
        </w:tc>
        <w:tc>
          <w:tcPr>
            <w:tcW w:w="2254" w:type="dxa"/>
          </w:tcPr>
          <w:p w14:paraId="5E52B28E" w14:textId="5FF3B322" w:rsidR="00715695" w:rsidRPr="00805F07" w:rsidRDefault="00715695" w:rsidP="00715695">
            <w:pPr>
              <w:spacing w:line="360" w:lineRule="auto"/>
              <w:jc w:val="center"/>
              <w:rPr>
                <w:rFonts w:ascii="Times New Roman" w:hAnsi="Times New Roman" w:cs="Times New Roman"/>
                <w:sz w:val="24"/>
                <w:szCs w:val="24"/>
              </w:rPr>
            </w:pPr>
            <w:r w:rsidRPr="00805F07">
              <w:rPr>
                <w:rFonts w:ascii="Times New Roman" w:hAnsi="Times New Roman" w:cs="Times New Roman"/>
                <w:sz w:val="24"/>
                <w:szCs w:val="24"/>
              </w:rPr>
              <w:t>18.91374</w:t>
            </w:r>
          </w:p>
        </w:tc>
        <w:tc>
          <w:tcPr>
            <w:tcW w:w="2254" w:type="dxa"/>
            <w:vAlign w:val="bottom"/>
          </w:tcPr>
          <w:p w14:paraId="2598E640" w14:textId="232C15BE" w:rsidR="00715695" w:rsidRPr="007D0AC8" w:rsidRDefault="00715695" w:rsidP="00715695">
            <w:pPr>
              <w:spacing w:line="360" w:lineRule="auto"/>
              <w:jc w:val="center"/>
              <w:rPr>
                <w:rFonts w:ascii="Times New Roman" w:hAnsi="Times New Roman" w:cs="Times New Roman"/>
                <w:color w:val="000000"/>
                <w:sz w:val="24"/>
                <w:szCs w:val="24"/>
              </w:rPr>
            </w:pPr>
            <w:r w:rsidRPr="007D0AC8">
              <w:rPr>
                <w:rFonts w:ascii="Times New Roman" w:hAnsi="Times New Roman" w:cs="Times New Roman"/>
                <w:color w:val="000000"/>
                <w:sz w:val="24"/>
                <w:szCs w:val="24"/>
              </w:rPr>
              <w:t>0.0000</w:t>
            </w:r>
          </w:p>
        </w:tc>
      </w:tr>
      <w:tr w:rsidR="00715695" w:rsidRPr="007D0AC8" w14:paraId="1B1CC92C" w14:textId="77777777">
        <w:tc>
          <w:tcPr>
            <w:tcW w:w="2254" w:type="dxa"/>
            <w:vAlign w:val="bottom"/>
          </w:tcPr>
          <w:p w14:paraId="78E1859B" w14:textId="77777777"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LNENUSE</w:t>
            </w:r>
          </w:p>
        </w:tc>
        <w:tc>
          <w:tcPr>
            <w:tcW w:w="2254" w:type="dxa"/>
            <w:vAlign w:val="bottom"/>
          </w:tcPr>
          <w:p w14:paraId="7ECF7A93" w14:textId="4FC52433"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1.</w:t>
            </w:r>
            <w:r>
              <w:rPr>
                <w:rFonts w:ascii="Times New Roman" w:hAnsi="Times New Roman" w:cs="Times New Roman"/>
                <w:color w:val="000000"/>
                <w:sz w:val="24"/>
                <w:szCs w:val="24"/>
              </w:rPr>
              <w:t>022993</w:t>
            </w:r>
          </w:p>
        </w:tc>
        <w:tc>
          <w:tcPr>
            <w:tcW w:w="2254" w:type="dxa"/>
          </w:tcPr>
          <w:p w14:paraId="789E4F90" w14:textId="4CBCC511" w:rsidR="00715695" w:rsidRPr="00805F07" w:rsidRDefault="00715695" w:rsidP="00715695">
            <w:pPr>
              <w:spacing w:line="360" w:lineRule="auto"/>
              <w:jc w:val="center"/>
              <w:rPr>
                <w:rFonts w:ascii="Times New Roman" w:hAnsi="Times New Roman" w:cs="Times New Roman"/>
                <w:sz w:val="24"/>
                <w:szCs w:val="24"/>
              </w:rPr>
            </w:pPr>
            <w:r w:rsidRPr="00805F07">
              <w:rPr>
                <w:rFonts w:ascii="Times New Roman" w:hAnsi="Times New Roman" w:cs="Times New Roman"/>
                <w:sz w:val="24"/>
                <w:szCs w:val="24"/>
              </w:rPr>
              <w:t>20.35678</w:t>
            </w:r>
          </w:p>
        </w:tc>
        <w:tc>
          <w:tcPr>
            <w:tcW w:w="2254" w:type="dxa"/>
            <w:vAlign w:val="bottom"/>
          </w:tcPr>
          <w:p w14:paraId="6C5F3262" w14:textId="77777777"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0.0000</w:t>
            </w:r>
          </w:p>
        </w:tc>
      </w:tr>
      <w:tr w:rsidR="00715695" w:rsidRPr="007D0AC8" w14:paraId="3CFBB2DB" w14:textId="77777777">
        <w:tc>
          <w:tcPr>
            <w:tcW w:w="2254" w:type="dxa"/>
            <w:vAlign w:val="bottom"/>
          </w:tcPr>
          <w:p w14:paraId="3A5E624B" w14:textId="77777777"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LNTRADE</w:t>
            </w:r>
          </w:p>
        </w:tc>
        <w:tc>
          <w:tcPr>
            <w:tcW w:w="2254" w:type="dxa"/>
            <w:vAlign w:val="bottom"/>
          </w:tcPr>
          <w:p w14:paraId="51EDB1C2" w14:textId="3D706408"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0.</w:t>
            </w:r>
            <w:r>
              <w:rPr>
                <w:rFonts w:ascii="Times New Roman" w:hAnsi="Times New Roman" w:cs="Times New Roman"/>
                <w:color w:val="000000"/>
                <w:sz w:val="24"/>
                <w:szCs w:val="24"/>
              </w:rPr>
              <w:t>098939</w:t>
            </w:r>
          </w:p>
        </w:tc>
        <w:tc>
          <w:tcPr>
            <w:tcW w:w="2254" w:type="dxa"/>
          </w:tcPr>
          <w:p w14:paraId="26C94981" w14:textId="13F34002" w:rsidR="00715695" w:rsidRPr="00805F07" w:rsidRDefault="00715695" w:rsidP="00715695">
            <w:pPr>
              <w:spacing w:line="360" w:lineRule="auto"/>
              <w:jc w:val="center"/>
              <w:rPr>
                <w:rFonts w:ascii="Times New Roman" w:hAnsi="Times New Roman" w:cs="Times New Roman"/>
                <w:sz w:val="24"/>
                <w:szCs w:val="24"/>
              </w:rPr>
            </w:pPr>
            <w:r w:rsidRPr="00805F07">
              <w:rPr>
                <w:rFonts w:ascii="Times New Roman" w:hAnsi="Times New Roman" w:cs="Times New Roman"/>
                <w:sz w:val="24"/>
                <w:szCs w:val="24"/>
              </w:rPr>
              <w:t>5.291736</w:t>
            </w:r>
          </w:p>
        </w:tc>
        <w:tc>
          <w:tcPr>
            <w:tcW w:w="2254" w:type="dxa"/>
            <w:vAlign w:val="bottom"/>
          </w:tcPr>
          <w:p w14:paraId="13158E2B" w14:textId="67DE4897"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0.00</w:t>
            </w:r>
            <w:r>
              <w:rPr>
                <w:rFonts w:ascii="Times New Roman" w:hAnsi="Times New Roman" w:cs="Times New Roman"/>
                <w:color w:val="000000"/>
                <w:sz w:val="24"/>
                <w:szCs w:val="24"/>
              </w:rPr>
              <w:t>00</w:t>
            </w:r>
          </w:p>
        </w:tc>
      </w:tr>
      <w:tr w:rsidR="00715695" w:rsidRPr="007D0AC8" w14:paraId="17DBC772" w14:textId="77777777">
        <w:tc>
          <w:tcPr>
            <w:tcW w:w="2254" w:type="dxa"/>
            <w:vAlign w:val="bottom"/>
          </w:tcPr>
          <w:p w14:paraId="1F094DFB" w14:textId="34A255B0"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C</w:t>
            </w:r>
          </w:p>
        </w:tc>
        <w:tc>
          <w:tcPr>
            <w:tcW w:w="2254" w:type="dxa"/>
            <w:vAlign w:val="bottom"/>
          </w:tcPr>
          <w:p w14:paraId="43016888" w14:textId="52BE189A" w:rsidR="00715695" w:rsidRPr="007D0AC8" w:rsidRDefault="00715695" w:rsidP="00715695">
            <w:pPr>
              <w:spacing w:line="360" w:lineRule="auto"/>
              <w:jc w:val="center"/>
              <w:rPr>
                <w:rFonts w:ascii="Times New Roman" w:hAnsi="Times New Roman" w:cs="Times New Roman"/>
                <w:sz w:val="24"/>
                <w:szCs w:val="24"/>
              </w:rPr>
            </w:pPr>
            <w:r w:rsidRPr="00805F07">
              <w:rPr>
                <w:rFonts w:ascii="Times New Roman" w:hAnsi="Times New Roman" w:cs="Times New Roman"/>
                <w:color w:val="000000"/>
                <w:sz w:val="24"/>
                <w:szCs w:val="24"/>
              </w:rPr>
              <w:t>-21.48911</w:t>
            </w:r>
          </w:p>
        </w:tc>
        <w:tc>
          <w:tcPr>
            <w:tcW w:w="2254" w:type="dxa"/>
          </w:tcPr>
          <w:p w14:paraId="2813F4C9" w14:textId="61C2B9B7" w:rsidR="00715695" w:rsidRPr="00805F07" w:rsidRDefault="00715695" w:rsidP="00715695">
            <w:pPr>
              <w:spacing w:line="360" w:lineRule="auto"/>
              <w:jc w:val="center"/>
              <w:rPr>
                <w:rFonts w:ascii="Times New Roman" w:hAnsi="Times New Roman" w:cs="Times New Roman"/>
                <w:sz w:val="24"/>
                <w:szCs w:val="24"/>
              </w:rPr>
            </w:pPr>
            <w:r w:rsidRPr="00805F07">
              <w:rPr>
                <w:rFonts w:ascii="Times New Roman" w:hAnsi="Times New Roman" w:cs="Times New Roman"/>
                <w:sz w:val="24"/>
                <w:szCs w:val="24"/>
              </w:rPr>
              <w:t>-19.80720</w:t>
            </w:r>
          </w:p>
        </w:tc>
        <w:tc>
          <w:tcPr>
            <w:tcW w:w="2254" w:type="dxa"/>
            <w:vAlign w:val="bottom"/>
          </w:tcPr>
          <w:p w14:paraId="20A29285" w14:textId="065B7F4B" w:rsidR="00715695" w:rsidRPr="007D0AC8" w:rsidRDefault="00715695" w:rsidP="00715695">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0.0000</w:t>
            </w:r>
          </w:p>
        </w:tc>
      </w:tr>
    </w:tbl>
    <w:p w14:paraId="693BB823" w14:textId="77777777" w:rsidR="00273053" w:rsidRPr="007D0AC8" w:rsidRDefault="00273053" w:rsidP="00273053">
      <w:pPr>
        <w:spacing w:line="360" w:lineRule="auto"/>
        <w:jc w:val="both"/>
        <w:rPr>
          <w:rFonts w:ascii="Times New Roman" w:hAnsi="Times New Roman" w:cs="Times New Roman"/>
          <w:sz w:val="24"/>
          <w:szCs w:val="24"/>
        </w:rPr>
      </w:pPr>
      <w:r w:rsidRPr="007D0AC8">
        <w:rPr>
          <w:rFonts w:ascii="Times New Roman" w:hAnsi="Times New Roman" w:cs="Times New Roman"/>
          <w:sz w:val="24"/>
          <w:szCs w:val="24"/>
        </w:rPr>
        <w:t>Source: Author</w:t>
      </w:r>
    </w:p>
    <w:p w14:paraId="680A990F" w14:textId="1C5FE35F" w:rsidR="00682089" w:rsidRPr="00682089" w:rsidRDefault="00911D29" w:rsidP="00682089">
      <w:pPr>
        <w:spacing w:line="360" w:lineRule="auto"/>
        <w:jc w:val="both"/>
        <w:rPr>
          <w:rFonts w:ascii="Times New Roman" w:hAnsi="Times New Roman" w:cs="Times New Roman"/>
          <w:sz w:val="24"/>
          <w:szCs w:val="24"/>
          <w:lang w:val="en-IN"/>
        </w:rPr>
      </w:pPr>
      <w:bookmarkStart w:id="5" w:name="_Toc183050132"/>
      <w:r w:rsidRPr="00911D29">
        <w:rPr>
          <w:rFonts w:ascii="Times New Roman" w:hAnsi="Times New Roman" w:cs="Times New Roman"/>
          <w:sz w:val="24"/>
          <w:szCs w:val="24"/>
          <w:lang w:val="en-IN"/>
        </w:rPr>
        <w:t xml:space="preserve">Table 4 depicts the estimated long-term coefficients derived from the ARDL model. The findings demonstrate that urban population increase is the primary factor driving environmental degradation in India. The coefficient for urban population (LNUPOP) is positive and statistically significant (1.175019), indicating that a 1% rise in the urban population results in an approximate 1.17% increase in CO₂ emissions over the long term. The result aligns with previous research indicating a robust positive correlation between urbanisation and carbon emissions (Abbasi et al., 2020; Franco et al., 2017; </w:t>
      </w:r>
      <w:proofErr w:type="spellStart"/>
      <w:r w:rsidRPr="00911D29">
        <w:rPr>
          <w:rFonts w:ascii="Times New Roman" w:hAnsi="Times New Roman" w:cs="Times New Roman"/>
          <w:sz w:val="24"/>
          <w:szCs w:val="24"/>
          <w:lang w:val="en-IN"/>
        </w:rPr>
        <w:t>Itoo</w:t>
      </w:r>
      <w:proofErr w:type="spellEnd"/>
      <w:r w:rsidRPr="00911D29">
        <w:rPr>
          <w:rFonts w:ascii="Times New Roman" w:hAnsi="Times New Roman" w:cs="Times New Roman"/>
          <w:sz w:val="24"/>
          <w:szCs w:val="24"/>
          <w:lang w:val="en-IN"/>
        </w:rPr>
        <w:t xml:space="preserve"> &amp; Ali, 2022). Accelerated urbanisation heightens the demand for housing, infrastructure, and transportation services, thus elevating energy consumption and exacerbating emissions. The expansion of urban areas significantly elevates energy consumption in both residential and transportation sectors.</w:t>
      </w:r>
      <w:r w:rsidR="00682089" w:rsidRPr="00682089">
        <w:rPr>
          <w:rFonts w:ascii="Times New Roman" w:hAnsi="Times New Roman" w:cs="Times New Roman"/>
          <w:sz w:val="24"/>
          <w:szCs w:val="24"/>
          <w:lang w:val="en-IN"/>
        </w:rPr>
        <w:t xml:space="preserve"> A substantial share of this energy demand arises from household electricity consumption and cooking fuels such </w:t>
      </w:r>
      <w:r w:rsidR="00682089" w:rsidRPr="00682089">
        <w:rPr>
          <w:rFonts w:ascii="Times New Roman" w:hAnsi="Times New Roman" w:cs="Times New Roman"/>
          <w:sz w:val="24"/>
          <w:szCs w:val="24"/>
          <w:lang w:val="en-IN"/>
        </w:rPr>
        <w:lastRenderedPageBreak/>
        <w:t xml:space="preserve">as liquefied petroleum gas (LPG), coal, dung cake, and </w:t>
      </w:r>
      <w:proofErr w:type="spellStart"/>
      <w:r w:rsidR="00682089" w:rsidRPr="00682089">
        <w:rPr>
          <w:rFonts w:ascii="Times New Roman" w:hAnsi="Times New Roman" w:cs="Times New Roman"/>
          <w:sz w:val="24"/>
          <w:szCs w:val="24"/>
          <w:lang w:val="en-IN"/>
        </w:rPr>
        <w:t>gobar</w:t>
      </w:r>
      <w:proofErr w:type="spellEnd"/>
      <w:r w:rsidR="00682089" w:rsidRPr="00682089">
        <w:rPr>
          <w:rFonts w:ascii="Times New Roman" w:hAnsi="Times New Roman" w:cs="Times New Roman"/>
          <w:sz w:val="24"/>
          <w:szCs w:val="24"/>
          <w:lang w:val="en-IN"/>
        </w:rPr>
        <w:t xml:space="preserve"> gas. In addition, the growing reliance on private transportation further intensifies fossil fuel consumption, particularly in rapidly expanding urban areas where energy-efficient transport systems are still developing (Ahmad et al., 2015).</w:t>
      </w:r>
    </w:p>
    <w:p w14:paraId="799EB075" w14:textId="77777777" w:rsidR="00682089" w:rsidRPr="00682089" w:rsidRDefault="00682089" w:rsidP="00682089">
      <w:pPr>
        <w:spacing w:line="360" w:lineRule="auto"/>
        <w:jc w:val="both"/>
        <w:rPr>
          <w:rFonts w:ascii="Times New Roman" w:hAnsi="Times New Roman" w:cs="Times New Roman"/>
          <w:sz w:val="24"/>
          <w:szCs w:val="24"/>
          <w:lang w:val="en-IN"/>
        </w:rPr>
      </w:pPr>
      <w:r w:rsidRPr="00682089">
        <w:rPr>
          <w:rFonts w:ascii="Times New Roman" w:hAnsi="Times New Roman" w:cs="Times New Roman"/>
          <w:sz w:val="24"/>
          <w:szCs w:val="24"/>
          <w:lang w:val="en-IN"/>
        </w:rPr>
        <w:t xml:space="preserve">Similarly, energy use (LNENUSE) exhibits a positive and statistically significant coefficient. The results indicate that a 1% increase in energy consumption leads to an approximately 1.02% increase in CO₂ emissions, holding other factors constant. This confirms that energy consumption remains a major driver of emissions in India. The positive relationship between energy use and emissions can largely be explained by the structure of energy consumption across major economic sectors. The energy sector represents the largest source of emissions due to the dominance of coal in electricity generation and the use of natural gas in power production (Philip &amp; Kuriakose, 2025; </w:t>
      </w:r>
      <w:proofErr w:type="spellStart"/>
      <w:r w:rsidRPr="00682089">
        <w:rPr>
          <w:rFonts w:ascii="Times New Roman" w:hAnsi="Times New Roman" w:cs="Times New Roman"/>
          <w:sz w:val="24"/>
          <w:szCs w:val="24"/>
          <w:lang w:val="en-IN"/>
        </w:rPr>
        <w:t>Jóźwik</w:t>
      </w:r>
      <w:proofErr w:type="spellEnd"/>
      <w:r w:rsidRPr="00682089">
        <w:rPr>
          <w:rFonts w:ascii="Times New Roman" w:hAnsi="Times New Roman" w:cs="Times New Roman"/>
          <w:sz w:val="24"/>
          <w:szCs w:val="24"/>
          <w:lang w:val="en-IN"/>
        </w:rPr>
        <w:t xml:space="preserve"> et al., 2025; Mukhopadhyay &amp; Chakraborty, 2003). The manufacturing sector also contributes significantly to emissions, as industrial production processes require substantial energy inputs derived mainly from coal, petroleum, and natural gas (Sahu &amp; Mehta, 2016). Furthermore, rapid economic expansion, industrial development, and the expansion of road infrastructure have increased transportation demand, thereby intensifying fuel consumption and carbon emissions.</w:t>
      </w:r>
    </w:p>
    <w:p w14:paraId="57E47ACE" w14:textId="77777777" w:rsidR="00682089" w:rsidRPr="00682089" w:rsidRDefault="00682089" w:rsidP="00682089">
      <w:pPr>
        <w:spacing w:line="360" w:lineRule="auto"/>
        <w:jc w:val="both"/>
        <w:rPr>
          <w:rFonts w:ascii="Times New Roman" w:hAnsi="Times New Roman" w:cs="Times New Roman"/>
          <w:sz w:val="24"/>
          <w:szCs w:val="24"/>
          <w:lang w:val="en-IN"/>
        </w:rPr>
      </w:pPr>
      <w:r w:rsidRPr="00682089">
        <w:rPr>
          <w:rFonts w:ascii="Times New Roman" w:hAnsi="Times New Roman" w:cs="Times New Roman"/>
          <w:sz w:val="24"/>
          <w:szCs w:val="24"/>
          <w:lang w:val="en-IN"/>
        </w:rPr>
        <w:t>Finally, the coefficient of trade openness (LNTRADE) is positive and statistically significant, with an estimated elasticity of approximately 0.09. This indicates that a 1% increase in trade (as a share of GDP) leads to a 0.09% increase in CO₂ emissions. The positive relationship suggests that increased trade activity may contribute to higher emissions through expanded production, transportation, and energy use associated with international trade flows.</w:t>
      </w:r>
    </w:p>
    <w:p w14:paraId="22E89C41" w14:textId="74F4AF4F" w:rsidR="00273053" w:rsidRPr="00273053" w:rsidRDefault="00273053" w:rsidP="00273053">
      <w:pPr>
        <w:spacing w:line="360" w:lineRule="auto"/>
        <w:jc w:val="both"/>
        <w:rPr>
          <w:rFonts w:ascii="Times New Roman" w:hAnsi="Times New Roman" w:cs="Times New Roman"/>
          <w:sz w:val="24"/>
          <w:szCs w:val="24"/>
        </w:rPr>
      </w:pPr>
      <w:r w:rsidRPr="00273053">
        <w:rPr>
          <w:rFonts w:ascii="Times New Roman" w:hAnsi="Times New Roman" w:cs="Times New Roman"/>
          <w:b/>
          <w:bCs/>
          <w:sz w:val="24"/>
          <w:szCs w:val="24"/>
        </w:rPr>
        <w:t>Error Correction Term</w:t>
      </w:r>
      <w:bookmarkEnd w:id="5"/>
    </w:p>
    <w:p w14:paraId="50BF3451" w14:textId="448D6935" w:rsidR="00273053" w:rsidRPr="008F7930" w:rsidRDefault="00273053" w:rsidP="008F7930">
      <w:pPr>
        <w:spacing w:after="0"/>
        <w:rPr>
          <w:rFonts w:ascii="Times New Roman" w:hAnsi="Times New Roman" w:cs="Times New Roman"/>
          <w:sz w:val="20"/>
          <w:szCs w:val="20"/>
        </w:rPr>
      </w:pPr>
      <w:r w:rsidRPr="008F7930">
        <w:rPr>
          <w:rFonts w:ascii="Times New Roman" w:hAnsi="Times New Roman" w:cs="Times New Roman"/>
        </w:rPr>
        <w:t>Table 5. Error Correction Term (ECT)</w:t>
      </w:r>
    </w:p>
    <w:tbl>
      <w:tblPr>
        <w:tblStyle w:val="TableGrid"/>
        <w:tblW w:w="0" w:type="auto"/>
        <w:tblLook w:val="06A0" w:firstRow="1" w:lastRow="0" w:firstColumn="1" w:lastColumn="0" w:noHBand="1" w:noVBand="1"/>
      </w:tblPr>
      <w:tblGrid>
        <w:gridCol w:w="2254"/>
        <w:gridCol w:w="2254"/>
        <w:gridCol w:w="2254"/>
        <w:gridCol w:w="2254"/>
      </w:tblGrid>
      <w:tr w:rsidR="00273053" w:rsidRPr="007D0AC8" w14:paraId="401DCC4B" w14:textId="77777777" w:rsidTr="00141ECC">
        <w:tc>
          <w:tcPr>
            <w:tcW w:w="2254" w:type="dxa"/>
            <w:vAlign w:val="center"/>
          </w:tcPr>
          <w:p w14:paraId="5246E4EF"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Variables</w:t>
            </w:r>
          </w:p>
        </w:tc>
        <w:tc>
          <w:tcPr>
            <w:tcW w:w="2254" w:type="dxa"/>
            <w:vAlign w:val="center"/>
          </w:tcPr>
          <w:p w14:paraId="04C9990B"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Coefficient</w:t>
            </w:r>
          </w:p>
        </w:tc>
        <w:tc>
          <w:tcPr>
            <w:tcW w:w="2254" w:type="dxa"/>
            <w:vAlign w:val="center"/>
          </w:tcPr>
          <w:p w14:paraId="4500E3E8"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t-stat</w:t>
            </w:r>
          </w:p>
        </w:tc>
        <w:tc>
          <w:tcPr>
            <w:tcW w:w="2254" w:type="dxa"/>
            <w:vAlign w:val="center"/>
          </w:tcPr>
          <w:p w14:paraId="4E341BDD"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p-value</w:t>
            </w:r>
          </w:p>
        </w:tc>
      </w:tr>
      <w:tr w:rsidR="00273053" w:rsidRPr="007D0AC8" w14:paraId="1278D62D" w14:textId="77777777" w:rsidTr="00141ECC">
        <w:tc>
          <w:tcPr>
            <w:tcW w:w="2254" w:type="dxa"/>
            <w:vAlign w:val="bottom"/>
          </w:tcPr>
          <w:p w14:paraId="52333F5F" w14:textId="77777777" w:rsidR="00273053" w:rsidRPr="007D0AC8" w:rsidRDefault="00273053" w:rsidP="00141ECC">
            <w:pPr>
              <w:spacing w:line="360" w:lineRule="auto"/>
              <w:jc w:val="center"/>
              <w:rPr>
                <w:rFonts w:ascii="Times New Roman" w:hAnsi="Times New Roman" w:cs="Times New Roman"/>
                <w:sz w:val="24"/>
                <w:szCs w:val="24"/>
              </w:rPr>
            </w:pPr>
            <w:proofErr w:type="spellStart"/>
            <w:r w:rsidRPr="007D0AC8">
              <w:rPr>
                <w:rFonts w:ascii="Times New Roman" w:hAnsi="Times New Roman" w:cs="Times New Roman"/>
                <w:color w:val="000000"/>
                <w:sz w:val="24"/>
                <w:szCs w:val="24"/>
              </w:rPr>
              <w:t>CointEq</w:t>
            </w:r>
            <w:proofErr w:type="spellEnd"/>
            <w:r w:rsidRPr="007D0AC8">
              <w:rPr>
                <w:rFonts w:ascii="Times New Roman" w:hAnsi="Times New Roman" w:cs="Times New Roman"/>
                <w:color w:val="000000"/>
                <w:sz w:val="24"/>
                <w:szCs w:val="24"/>
              </w:rPr>
              <w:t>(-1)*</w:t>
            </w:r>
          </w:p>
        </w:tc>
        <w:tc>
          <w:tcPr>
            <w:tcW w:w="2254" w:type="dxa"/>
            <w:vAlign w:val="bottom"/>
          </w:tcPr>
          <w:p w14:paraId="13130F75" w14:textId="5743FF82"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-0.</w:t>
            </w:r>
            <w:r w:rsidR="00805F07">
              <w:rPr>
                <w:rFonts w:ascii="Times New Roman" w:hAnsi="Times New Roman" w:cs="Times New Roman"/>
                <w:color w:val="000000"/>
                <w:sz w:val="24"/>
                <w:szCs w:val="24"/>
              </w:rPr>
              <w:t>99</w:t>
            </w:r>
            <w:r w:rsidRPr="007D0AC8">
              <w:rPr>
                <w:rFonts w:ascii="Times New Roman" w:hAnsi="Times New Roman" w:cs="Times New Roman"/>
                <w:color w:val="000000"/>
                <w:sz w:val="24"/>
                <w:szCs w:val="24"/>
              </w:rPr>
              <w:t>4573</w:t>
            </w:r>
          </w:p>
        </w:tc>
        <w:tc>
          <w:tcPr>
            <w:tcW w:w="2254" w:type="dxa"/>
            <w:vAlign w:val="bottom"/>
          </w:tcPr>
          <w:p w14:paraId="5D44BD37"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-6.825039</w:t>
            </w:r>
          </w:p>
        </w:tc>
        <w:tc>
          <w:tcPr>
            <w:tcW w:w="2254" w:type="dxa"/>
            <w:vAlign w:val="bottom"/>
          </w:tcPr>
          <w:p w14:paraId="311BCC49"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0.0000</w:t>
            </w:r>
          </w:p>
        </w:tc>
      </w:tr>
    </w:tbl>
    <w:p w14:paraId="40BD4507" w14:textId="77777777" w:rsidR="00273053" w:rsidRPr="007D0AC8" w:rsidRDefault="00273053" w:rsidP="00273053">
      <w:pPr>
        <w:spacing w:line="360" w:lineRule="auto"/>
        <w:jc w:val="both"/>
        <w:rPr>
          <w:rFonts w:ascii="Times New Roman" w:hAnsi="Times New Roman" w:cs="Times New Roman"/>
        </w:rPr>
      </w:pPr>
      <w:r w:rsidRPr="007D0AC8">
        <w:rPr>
          <w:rFonts w:ascii="Times New Roman" w:hAnsi="Times New Roman" w:cs="Times New Roman"/>
        </w:rPr>
        <w:t>Source: Author</w:t>
      </w:r>
    </w:p>
    <w:p w14:paraId="083AC271" w14:textId="77777777" w:rsidR="000D3C86" w:rsidRDefault="00273053" w:rsidP="00273053">
      <w:pPr>
        <w:spacing w:line="360" w:lineRule="auto"/>
        <w:jc w:val="both"/>
        <w:rPr>
          <w:rFonts w:ascii="Times New Roman" w:hAnsi="Times New Roman" w:cs="Times New Roman"/>
          <w:sz w:val="24"/>
          <w:szCs w:val="24"/>
        </w:rPr>
      </w:pPr>
      <w:r w:rsidRPr="007D0AC8">
        <w:rPr>
          <w:rFonts w:ascii="Times New Roman" w:hAnsi="Times New Roman" w:cs="Times New Roman"/>
          <w:sz w:val="24"/>
          <w:szCs w:val="24"/>
        </w:rPr>
        <w:t xml:space="preserve">The error correction term (ECT) coefficient, denoted as </w:t>
      </w:r>
      <w:proofErr w:type="spellStart"/>
      <w:r w:rsidRPr="007D0AC8">
        <w:rPr>
          <w:rStyle w:val="Strong"/>
          <w:rFonts w:ascii="Times New Roman" w:hAnsi="Times New Roman" w:cs="Times New Roman"/>
          <w:sz w:val="24"/>
          <w:szCs w:val="24"/>
        </w:rPr>
        <w:t>CointEq</w:t>
      </w:r>
      <w:proofErr w:type="spellEnd"/>
      <w:r w:rsidRPr="007D0AC8">
        <w:rPr>
          <w:rStyle w:val="Strong"/>
          <w:rFonts w:ascii="Times New Roman" w:hAnsi="Times New Roman" w:cs="Times New Roman"/>
          <w:sz w:val="24"/>
          <w:szCs w:val="24"/>
        </w:rPr>
        <w:t>(-1)</w:t>
      </w:r>
      <w:r w:rsidRPr="007D0AC8">
        <w:rPr>
          <w:rFonts w:ascii="Times New Roman" w:hAnsi="Times New Roman" w:cs="Times New Roman"/>
          <w:sz w:val="24"/>
          <w:szCs w:val="24"/>
        </w:rPr>
        <w:t xml:space="preserve">, measures the speed of adjustment towards the long-run equilibrium after a short-run deviation. </w:t>
      </w:r>
      <w:bookmarkStart w:id="6" w:name="_Toc183050133"/>
      <w:r w:rsidR="000D3C86" w:rsidRPr="000D3C86">
        <w:rPr>
          <w:rFonts w:ascii="Times New Roman" w:hAnsi="Times New Roman" w:cs="Times New Roman"/>
          <w:sz w:val="24"/>
          <w:szCs w:val="24"/>
        </w:rPr>
        <w:t xml:space="preserve">This negative sign indicates that any short-run disequilibrium in CO₂ emissions is gradually corrected over time. </w:t>
      </w:r>
      <w:r w:rsidR="000D3C86" w:rsidRPr="000D3C86">
        <w:rPr>
          <w:rFonts w:ascii="Times New Roman" w:hAnsi="Times New Roman" w:cs="Times New Roman"/>
          <w:sz w:val="24"/>
          <w:szCs w:val="24"/>
        </w:rPr>
        <w:lastRenderedPageBreak/>
        <w:t>The estimated speed of adjustment suggests that approximately 99.46% of deviations from the long-run equilibrium level of CO₂ emissions are eliminated within the following period, indicating a rapid convergence of the system back to its long-run path.</w:t>
      </w:r>
    </w:p>
    <w:p w14:paraId="0BF1EF9A" w14:textId="6890708D" w:rsidR="00273053" w:rsidRDefault="00273053" w:rsidP="00273053">
      <w:pPr>
        <w:spacing w:line="360" w:lineRule="auto"/>
        <w:jc w:val="both"/>
        <w:rPr>
          <w:rFonts w:ascii="Times New Roman" w:hAnsi="Times New Roman" w:cs="Times New Roman"/>
          <w:b/>
          <w:bCs/>
          <w:sz w:val="24"/>
          <w:szCs w:val="24"/>
        </w:rPr>
      </w:pPr>
      <w:r w:rsidRPr="00273053">
        <w:rPr>
          <w:rFonts w:ascii="Times New Roman" w:hAnsi="Times New Roman" w:cs="Times New Roman"/>
          <w:b/>
          <w:bCs/>
          <w:sz w:val="24"/>
          <w:szCs w:val="24"/>
        </w:rPr>
        <w:t>CUSUM and CUSUM Square</w:t>
      </w:r>
      <w:bookmarkEnd w:id="6"/>
    </w:p>
    <w:p w14:paraId="401F0EFB" w14:textId="7D44A675" w:rsidR="000D3C86" w:rsidRPr="00273053" w:rsidRDefault="003B51F5" w:rsidP="00273053">
      <w:pPr>
        <w:spacing w:line="360" w:lineRule="auto"/>
        <w:jc w:val="both"/>
        <w:rPr>
          <w:rFonts w:ascii="Times New Roman" w:hAnsi="Times New Roman" w:cs="Times New Roman"/>
          <w:sz w:val="24"/>
          <w:szCs w:val="24"/>
        </w:rPr>
      </w:pPr>
      <w:r>
        <w:rPr>
          <w:rFonts w:ascii="Times New Roman" w:hAnsi="Times New Roman" w:cs="Times New Roman"/>
          <w:sz w:val="24"/>
          <w:szCs w:val="24"/>
        </w:rPr>
        <w:t>Finally, t</w:t>
      </w:r>
      <w:r w:rsidRPr="003B51F5">
        <w:rPr>
          <w:rFonts w:ascii="Times New Roman" w:hAnsi="Times New Roman" w:cs="Times New Roman"/>
          <w:sz w:val="24"/>
          <w:szCs w:val="24"/>
        </w:rPr>
        <w:t>o examine the stability of the estimated parameters, the CUSUM and CUSUMSQ tests are applied</w:t>
      </w:r>
      <w:r>
        <w:rPr>
          <w:rFonts w:ascii="Times New Roman" w:hAnsi="Times New Roman" w:cs="Times New Roman"/>
          <w:sz w:val="24"/>
          <w:szCs w:val="24"/>
        </w:rPr>
        <w:t xml:space="preserve">. </w:t>
      </w:r>
      <w:r w:rsidRPr="003B51F5">
        <w:rPr>
          <w:rFonts w:ascii="Times New Roman" w:hAnsi="Times New Roman" w:cs="Times New Roman"/>
          <w:sz w:val="24"/>
          <w:szCs w:val="24"/>
        </w:rPr>
        <w:t>These diagnostic procedures evaluate whether the model’s coefficients remain stable throughout the sample period. The graphical results show that the cumulative sums remain within the 5% critical boundaries, indicating that the estimated parameters do not exhibit structural instability over time. This outcome confirms the overall stability and reliability of the model specification.</w:t>
      </w:r>
    </w:p>
    <w:bookmarkStart w:id="7" w:name="_Toc183050134"/>
    <w:p w14:paraId="3D54F078" w14:textId="4414C00A" w:rsidR="008F7930" w:rsidRDefault="008F7930" w:rsidP="00273053">
      <w:pPr>
        <w:spacing w:line="360" w:lineRule="auto"/>
        <w:jc w:val="both"/>
        <w:rPr>
          <w:rFonts w:ascii="Times New Roman" w:hAnsi="Times New Roman" w:cs="Times New Roman"/>
        </w:rPr>
      </w:pPr>
      <w:r w:rsidRPr="007D0AC8">
        <w:rPr>
          <w:rFonts w:ascii="Times New Roman" w:hAnsi="Times New Roman" w:cs="Times New Roman"/>
        </w:rPr>
        <w:object w:dxaOrig="7231" w:dyaOrig="5100" w14:anchorId="23D67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8pt;height:137.4pt" o:ole="">
            <v:imagedata r:id="rId8" o:title=""/>
          </v:shape>
          <o:OLEObject Type="Embed" ProgID="EViews.Workfile.2" ShapeID="_x0000_i1025" DrawAspect="Content" ObjectID="_1843482372" r:id="rId9"/>
        </w:object>
      </w:r>
      <w:r w:rsidRPr="007D0AC8">
        <w:rPr>
          <w:rFonts w:ascii="Times New Roman" w:hAnsi="Times New Roman" w:cs="Times New Roman"/>
        </w:rPr>
        <w:object w:dxaOrig="7270" w:dyaOrig="5100" w14:anchorId="444CCF02">
          <v:shape id="_x0000_i1026" type="#_x0000_t75" style="width:201pt;height:143.4pt" o:ole="">
            <v:imagedata r:id="rId10" o:title=""/>
          </v:shape>
          <o:OLEObject Type="Embed" ProgID="EViews.Workfile.2" ShapeID="_x0000_i1026" DrawAspect="Content" ObjectID="_1843482373" r:id="rId11"/>
        </w:object>
      </w:r>
    </w:p>
    <w:p w14:paraId="0007A58B" w14:textId="7CBF2596" w:rsidR="008F7930" w:rsidRPr="004E23B1" w:rsidRDefault="008F7930" w:rsidP="00273053">
      <w:pPr>
        <w:spacing w:line="360" w:lineRule="auto"/>
        <w:jc w:val="both"/>
        <w:rPr>
          <w:rFonts w:ascii="Times New Roman" w:hAnsi="Times New Roman" w:cs="Times New Roman"/>
        </w:rPr>
      </w:pPr>
      <w:r>
        <w:rPr>
          <w:rFonts w:ascii="Times New Roman" w:hAnsi="Times New Roman" w:cs="Times New Roman"/>
        </w:rPr>
        <w:t>Source: Author</w:t>
      </w:r>
    </w:p>
    <w:p w14:paraId="71D63295" w14:textId="1B722D55" w:rsidR="00273053" w:rsidRPr="008F7930" w:rsidRDefault="00273053" w:rsidP="008F7930">
      <w:pPr>
        <w:spacing w:line="360" w:lineRule="auto"/>
        <w:jc w:val="both"/>
        <w:rPr>
          <w:rFonts w:ascii="Times New Roman" w:hAnsi="Times New Roman" w:cs="Times New Roman"/>
          <w:sz w:val="24"/>
          <w:szCs w:val="24"/>
        </w:rPr>
      </w:pPr>
      <w:r w:rsidRPr="008F7930">
        <w:rPr>
          <w:rFonts w:ascii="Times New Roman" w:hAnsi="Times New Roman" w:cs="Times New Roman"/>
          <w:b/>
          <w:bCs/>
          <w:sz w:val="24"/>
          <w:szCs w:val="24"/>
        </w:rPr>
        <w:t>Residual Diagnostic</w:t>
      </w:r>
      <w:bookmarkEnd w:id="7"/>
    </w:p>
    <w:p w14:paraId="083BFE26" w14:textId="7DB6C48A" w:rsidR="003B51F5" w:rsidRDefault="00911D29" w:rsidP="008F7930">
      <w:pPr>
        <w:spacing w:after="0" w:line="360" w:lineRule="auto"/>
        <w:jc w:val="both"/>
        <w:rPr>
          <w:rFonts w:ascii="Times New Roman" w:hAnsi="Times New Roman" w:cs="Times New Roman"/>
        </w:rPr>
      </w:pPr>
      <w:r w:rsidRPr="00911D29">
        <w:rPr>
          <w:rFonts w:ascii="Times New Roman" w:hAnsi="Times New Roman" w:cs="Times New Roman"/>
          <w:sz w:val="24"/>
          <w:szCs w:val="24"/>
        </w:rPr>
        <w:t>A number of post-estimation diagnostic tests are done to assess the sufficiency and reliability of the estimated ARDL model. These tests assess the validity of the fundamental assumptions of the conventional regression framework. The Breusch–Godfrey LM test identifies serial correlation in residuals, the Breusch–Pagan–Godfrey test assesses heteroskedasticity, and the Jarque–Bera test determines if the residuals adhere to a normal distribution. The outcomes of these diagnostic assessments demonstrate that the proposed model adheres to the essential statistical assumptions necessary for dependable inference. The residuals are regularly distributed, devoid of serial correlation, and demonstrate constant variance.</w:t>
      </w:r>
      <w:r w:rsidR="003B51F5" w:rsidRPr="003B51F5">
        <w:rPr>
          <w:rFonts w:ascii="Times New Roman" w:hAnsi="Times New Roman" w:cs="Times New Roman"/>
          <w:sz w:val="24"/>
          <w:szCs w:val="24"/>
        </w:rPr>
        <w:t xml:space="preserve"> These outcomes suggest that the ARDL specification is well behaved and that the estimated coefficients can be considered statistically robust.</w:t>
      </w:r>
    </w:p>
    <w:p w14:paraId="7D6A86A7" w14:textId="77777777" w:rsidR="003B51F5" w:rsidRDefault="003B51F5" w:rsidP="008F7930">
      <w:pPr>
        <w:spacing w:after="0" w:line="360" w:lineRule="auto"/>
        <w:jc w:val="both"/>
        <w:rPr>
          <w:rFonts w:ascii="Times New Roman" w:hAnsi="Times New Roman" w:cs="Times New Roman"/>
        </w:rPr>
      </w:pPr>
    </w:p>
    <w:p w14:paraId="291228FA" w14:textId="469D9391" w:rsidR="008F7930" w:rsidRPr="008F7930" w:rsidRDefault="008F7930" w:rsidP="008F7930">
      <w:pPr>
        <w:spacing w:after="0" w:line="360" w:lineRule="auto"/>
        <w:jc w:val="both"/>
        <w:rPr>
          <w:rFonts w:ascii="Times New Roman" w:hAnsi="Times New Roman" w:cs="Times New Roman"/>
        </w:rPr>
      </w:pPr>
      <w:r w:rsidRPr="008F7930">
        <w:rPr>
          <w:rFonts w:ascii="Times New Roman" w:hAnsi="Times New Roman" w:cs="Times New Roman"/>
        </w:rPr>
        <w:t xml:space="preserve">Table </w:t>
      </w:r>
      <w:r w:rsidR="006E07E9">
        <w:rPr>
          <w:rFonts w:ascii="Times New Roman" w:hAnsi="Times New Roman" w:cs="Times New Roman"/>
        </w:rPr>
        <w:t>6</w:t>
      </w:r>
      <w:r w:rsidRPr="008F7930">
        <w:rPr>
          <w:rFonts w:ascii="Times New Roman" w:hAnsi="Times New Roman" w:cs="Times New Roman"/>
        </w:rPr>
        <w:t xml:space="preserve">. Test for Normality, Autocorrelation and </w:t>
      </w:r>
      <w:proofErr w:type="spellStart"/>
      <w:r w:rsidRPr="008F7930">
        <w:rPr>
          <w:rFonts w:ascii="Times New Roman" w:hAnsi="Times New Roman" w:cs="Times New Roman"/>
        </w:rPr>
        <w:t>Heteroscadaticity</w:t>
      </w:r>
      <w:proofErr w:type="spellEnd"/>
    </w:p>
    <w:tbl>
      <w:tblPr>
        <w:tblStyle w:val="TableGrid"/>
        <w:tblW w:w="0" w:type="auto"/>
        <w:tblLook w:val="06A0" w:firstRow="1" w:lastRow="0" w:firstColumn="1" w:lastColumn="0" w:noHBand="1" w:noVBand="1"/>
      </w:tblPr>
      <w:tblGrid>
        <w:gridCol w:w="2254"/>
        <w:gridCol w:w="3553"/>
        <w:gridCol w:w="3119"/>
      </w:tblGrid>
      <w:tr w:rsidR="00273053" w:rsidRPr="007D0AC8" w14:paraId="4E8854EA" w14:textId="77777777" w:rsidTr="00141ECC">
        <w:tc>
          <w:tcPr>
            <w:tcW w:w="2254" w:type="dxa"/>
            <w:vAlign w:val="center"/>
          </w:tcPr>
          <w:p w14:paraId="02EC6931"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lastRenderedPageBreak/>
              <w:t>Tests</w:t>
            </w:r>
          </w:p>
        </w:tc>
        <w:tc>
          <w:tcPr>
            <w:tcW w:w="3553" w:type="dxa"/>
            <w:vAlign w:val="center"/>
          </w:tcPr>
          <w:p w14:paraId="428C251D"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f-stat</w:t>
            </w:r>
          </w:p>
        </w:tc>
        <w:tc>
          <w:tcPr>
            <w:tcW w:w="3119" w:type="dxa"/>
            <w:vAlign w:val="center"/>
          </w:tcPr>
          <w:p w14:paraId="157898BD"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p-value</w:t>
            </w:r>
          </w:p>
        </w:tc>
      </w:tr>
      <w:tr w:rsidR="00273053" w:rsidRPr="007D0AC8" w14:paraId="0B6EDE73" w14:textId="77777777" w:rsidTr="00141ECC">
        <w:tc>
          <w:tcPr>
            <w:tcW w:w="2254" w:type="dxa"/>
            <w:vAlign w:val="bottom"/>
          </w:tcPr>
          <w:p w14:paraId="5F2E6F12"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Normality</w:t>
            </w:r>
          </w:p>
        </w:tc>
        <w:tc>
          <w:tcPr>
            <w:tcW w:w="3553" w:type="dxa"/>
            <w:vAlign w:val="bottom"/>
          </w:tcPr>
          <w:p w14:paraId="1367EC1E" w14:textId="77777777" w:rsidR="00273053" w:rsidRPr="007D0AC8" w:rsidRDefault="00273053" w:rsidP="00141ECC">
            <w:pPr>
              <w:spacing w:line="360" w:lineRule="auto"/>
              <w:jc w:val="center"/>
              <w:rPr>
                <w:rFonts w:ascii="Times New Roman" w:hAnsi="Times New Roman" w:cs="Times New Roman"/>
                <w:sz w:val="24"/>
                <w:szCs w:val="24"/>
              </w:rPr>
            </w:pPr>
          </w:p>
        </w:tc>
        <w:tc>
          <w:tcPr>
            <w:tcW w:w="3119" w:type="dxa"/>
            <w:vAlign w:val="bottom"/>
          </w:tcPr>
          <w:p w14:paraId="14DA07ED" w14:textId="137E8555"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sz w:val="24"/>
                <w:szCs w:val="24"/>
              </w:rPr>
              <w:t>0.</w:t>
            </w:r>
            <w:r w:rsidR="00805F07">
              <w:rPr>
                <w:rFonts w:ascii="Times New Roman" w:hAnsi="Times New Roman" w:cs="Times New Roman"/>
                <w:sz w:val="24"/>
                <w:szCs w:val="24"/>
              </w:rPr>
              <w:t>9977</w:t>
            </w:r>
          </w:p>
        </w:tc>
      </w:tr>
      <w:tr w:rsidR="00273053" w:rsidRPr="007D0AC8" w14:paraId="0BA342FB" w14:textId="77777777" w:rsidTr="00141ECC">
        <w:tc>
          <w:tcPr>
            <w:tcW w:w="2254" w:type="dxa"/>
            <w:vAlign w:val="bottom"/>
          </w:tcPr>
          <w:p w14:paraId="3758A2F7" w14:textId="77777777"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Autocorrelation</w:t>
            </w:r>
          </w:p>
        </w:tc>
        <w:tc>
          <w:tcPr>
            <w:tcW w:w="3553" w:type="dxa"/>
            <w:vAlign w:val="bottom"/>
          </w:tcPr>
          <w:p w14:paraId="5E70B89E" w14:textId="633FA110" w:rsidR="00273053" w:rsidRPr="007D0AC8" w:rsidRDefault="00273053" w:rsidP="00141ECC">
            <w:pPr>
              <w:spacing w:line="360" w:lineRule="auto"/>
              <w:jc w:val="center"/>
              <w:rPr>
                <w:rFonts w:ascii="Times New Roman" w:hAnsi="Times New Roman" w:cs="Times New Roman"/>
                <w:sz w:val="24"/>
                <w:szCs w:val="24"/>
              </w:rPr>
            </w:pPr>
            <w:r w:rsidRPr="007D0AC8">
              <w:rPr>
                <w:rFonts w:ascii="Times New Roman" w:hAnsi="Times New Roman" w:cs="Times New Roman"/>
                <w:color w:val="000000"/>
                <w:sz w:val="24"/>
                <w:szCs w:val="24"/>
              </w:rPr>
              <w:t>1.</w:t>
            </w:r>
            <w:r w:rsidR="00805F07">
              <w:rPr>
                <w:rFonts w:ascii="Times New Roman" w:hAnsi="Times New Roman" w:cs="Times New Roman"/>
                <w:color w:val="000000"/>
                <w:sz w:val="24"/>
                <w:szCs w:val="24"/>
              </w:rPr>
              <w:t>507660</w:t>
            </w:r>
          </w:p>
        </w:tc>
        <w:tc>
          <w:tcPr>
            <w:tcW w:w="3119" w:type="dxa"/>
            <w:vAlign w:val="bottom"/>
          </w:tcPr>
          <w:p w14:paraId="25676BE7" w14:textId="2C93708C" w:rsidR="00273053" w:rsidRPr="007D0AC8" w:rsidRDefault="00805F07" w:rsidP="00141ECC">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0.2434</w:t>
            </w:r>
          </w:p>
        </w:tc>
      </w:tr>
      <w:tr w:rsidR="00273053" w:rsidRPr="007D0AC8" w14:paraId="6BF817AA" w14:textId="77777777" w:rsidTr="00141ECC">
        <w:tc>
          <w:tcPr>
            <w:tcW w:w="2254" w:type="dxa"/>
            <w:vAlign w:val="bottom"/>
          </w:tcPr>
          <w:p w14:paraId="114D444B" w14:textId="77777777" w:rsidR="00273053" w:rsidRPr="007D0AC8" w:rsidRDefault="00273053" w:rsidP="00141ECC">
            <w:pPr>
              <w:spacing w:line="360" w:lineRule="auto"/>
              <w:jc w:val="center"/>
              <w:rPr>
                <w:rFonts w:ascii="Times New Roman" w:hAnsi="Times New Roman" w:cs="Times New Roman"/>
                <w:sz w:val="24"/>
                <w:szCs w:val="24"/>
              </w:rPr>
            </w:pPr>
            <w:proofErr w:type="spellStart"/>
            <w:r w:rsidRPr="007D0AC8">
              <w:rPr>
                <w:rFonts w:ascii="Times New Roman" w:hAnsi="Times New Roman" w:cs="Times New Roman"/>
                <w:color w:val="000000"/>
                <w:sz w:val="24"/>
                <w:szCs w:val="24"/>
              </w:rPr>
              <w:t>Heteroscadasticity</w:t>
            </w:r>
            <w:proofErr w:type="spellEnd"/>
          </w:p>
        </w:tc>
        <w:tc>
          <w:tcPr>
            <w:tcW w:w="3553" w:type="dxa"/>
            <w:vAlign w:val="bottom"/>
          </w:tcPr>
          <w:p w14:paraId="5C41B20F" w14:textId="7D408C92" w:rsidR="00273053" w:rsidRPr="007D0AC8" w:rsidRDefault="00805F07" w:rsidP="00141ECC">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0.454104</w:t>
            </w:r>
          </w:p>
        </w:tc>
        <w:tc>
          <w:tcPr>
            <w:tcW w:w="3119" w:type="dxa"/>
            <w:vAlign w:val="bottom"/>
          </w:tcPr>
          <w:p w14:paraId="5F58C7DB" w14:textId="729E9F19" w:rsidR="00273053" w:rsidRPr="007D0AC8" w:rsidRDefault="00805F07" w:rsidP="00141ECC">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0.9223</w:t>
            </w:r>
          </w:p>
        </w:tc>
      </w:tr>
    </w:tbl>
    <w:p w14:paraId="27B0BF4F" w14:textId="3DEF4156" w:rsidR="00273053" w:rsidRPr="008F7930" w:rsidRDefault="008F7930" w:rsidP="00273053">
      <w:pPr>
        <w:spacing w:line="360" w:lineRule="auto"/>
        <w:jc w:val="both"/>
        <w:rPr>
          <w:rFonts w:ascii="Times New Roman" w:hAnsi="Times New Roman" w:cs="Times New Roman"/>
        </w:rPr>
      </w:pPr>
      <w:r w:rsidRPr="008F7930">
        <w:rPr>
          <w:rFonts w:ascii="Times New Roman" w:hAnsi="Times New Roman" w:cs="Times New Roman"/>
        </w:rPr>
        <w:t>Source: Author</w:t>
      </w:r>
    </w:p>
    <w:p w14:paraId="45717AE2" w14:textId="77777777" w:rsidR="00911D29" w:rsidRDefault="00911D29" w:rsidP="004E23B1">
      <w:pPr>
        <w:spacing w:line="360" w:lineRule="auto"/>
        <w:jc w:val="both"/>
        <w:rPr>
          <w:rFonts w:ascii="Times New Roman" w:hAnsi="Times New Roman" w:cs="Times New Roman"/>
          <w:sz w:val="24"/>
          <w:szCs w:val="24"/>
        </w:rPr>
      </w:pPr>
      <w:r w:rsidRPr="00911D29">
        <w:rPr>
          <w:rFonts w:ascii="Times New Roman" w:hAnsi="Times New Roman" w:cs="Times New Roman"/>
          <w:sz w:val="24"/>
          <w:szCs w:val="24"/>
        </w:rPr>
        <w:t>The results of the residual diagnostic tests indicate that the estimated model meets the essential statistical assumptions necessary for valid inference. The results specifically indicate that the residuals are normally distributed, devoid of serial correlation, and demonstrate constant variance, suggesting the lack of heteroskedasticity.</w:t>
      </w:r>
    </w:p>
    <w:p w14:paraId="4A66C81F" w14:textId="0B358212" w:rsidR="003B51F5" w:rsidRDefault="006E07E9" w:rsidP="004E23B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Conclusion</w:t>
      </w:r>
      <w:r w:rsidR="003B51F5" w:rsidRPr="003B51F5">
        <w:rPr>
          <w:rFonts w:ascii="Times New Roman" w:hAnsi="Times New Roman" w:cs="Times New Roman"/>
          <w:b/>
          <w:bCs/>
          <w:sz w:val="28"/>
          <w:szCs w:val="28"/>
        </w:rPr>
        <w:t xml:space="preserve"> and Policy Implications</w:t>
      </w:r>
    </w:p>
    <w:p w14:paraId="3CF54166" w14:textId="5B7ED0C5" w:rsidR="003B51F5" w:rsidRPr="003B51F5" w:rsidRDefault="00911D29" w:rsidP="003B51F5">
      <w:pPr>
        <w:spacing w:line="360" w:lineRule="auto"/>
        <w:jc w:val="both"/>
        <w:rPr>
          <w:rFonts w:ascii="Times New Roman" w:hAnsi="Times New Roman" w:cs="Times New Roman"/>
          <w:sz w:val="24"/>
          <w:szCs w:val="24"/>
          <w:lang w:val="en-IN"/>
        </w:rPr>
      </w:pPr>
      <w:r w:rsidRPr="00911D29">
        <w:rPr>
          <w:rFonts w:ascii="Times New Roman" w:hAnsi="Times New Roman" w:cs="Times New Roman"/>
          <w:sz w:val="24"/>
          <w:szCs w:val="24"/>
          <w:lang w:val="en-IN"/>
        </w:rPr>
        <w:t>This study examines the long-term and short-term links among urban population growth, energy consumption, trade openness, and carbon emissions in India utilising the ARDL limits testing methodology. The empirical results validate the presence of a stable long-term equilibrium relationship among the variables.</w:t>
      </w:r>
      <w:r w:rsidR="003B51F5" w:rsidRPr="003B51F5">
        <w:rPr>
          <w:rFonts w:ascii="Times New Roman" w:hAnsi="Times New Roman" w:cs="Times New Roman"/>
          <w:sz w:val="24"/>
          <w:szCs w:val="24"/>
          <w:lang w:val="en-IN"/>
        </w:rPr>
        <w:t xml:space="preserve"> The results indicate that urban population growth is the most influential factor contributing to environmental degradation. Specifically, the long-run elasticity of urban population suggests that a 1% increase in urban population leads to approximately a 1.17% increase in CO₂ emissions. This finding highlights the environmental pressures associated with rapid urban expansion, particularly through increased demand for housing, infrastructure, transportation, and energy services.</w:t>
      </w:r>
    </w:p>
    <w:p w14:paraId="27DACD15" w14:textId="4C5F52DD" w:rsidR="003B51F5" w:rsidRPr="003B51F5" w:rsidRDefault="003B51F5" w:rsidP="003B51F5">
      <w:pPr>
        <w:spacing w:line="360" w:lineRule="auto"/>
        <w:jc w:val="both"/>
        <w:rPr>
          <w:rFonts w:ascii="Times New Roman" w:hAnsi="Times New Roman" w:cs="Times New Roman"/>
          <w:sz w:val="24"/>
          <w:szCs w:val="24"/>
          <w:lang w:val="en-IN"/>
        </w:rPr>
      </w:pPr>
      <w:r w:rsidRPr="003B51F5">
        <w:rPr>
          <w:rFonts w:ascii="Times New Roman" w:hAnsi="Times New Roman" w:cs="Times New Roman"/>
          <w:sz w:val="24"/>
          <w:szCs w:val="24"/>
          <w:lang w:val="en-IN"/>
        </w:rPr>
        <w:t>Energy consumption also exhibits a strong and positive relationship with carbon emissions. The results indicate that higher energy use significantly increases CO₂ emissions, reflecting the continued dependence on fossil-fuel-based energy sources in India. The dominance of coal in electricity generation and the widespread use of petroleum products in transportation contribute substantially to the emission intensity of energy consumption. In addition, trade shows a statistically significant impact on emissions, suggesting that economic integration and expanding production activities may intensify environmental pressures if not accompanied by cleaner production technologies.</w:t>
      </w:r>
    </w:p>
    <w:p w14:paraId="6623DDFE" w14:textId="4C240289" w:rsidR="00911D29" w:rsidRPr="00911D29" w:rsidRDefault="00911D29" w:rsidP="00911D29">
      <w:pPr>
        <w:spacing w:line="360" w:lineRule="auto"/>
        <w:jc w:val="both"/>
        <w:rPr>
          <w:rFonts w:ascii="Times New Roman" w:hAnsi="Times New Roman" w:cs="Times New Roman"/>
          <w:sz w:val="24"/>
          <w:szCs w:val="24"/>
          <w:lang w:val="en-IN"/>
        </w:rPr>
      </w:pPr>
      <w:r w:rsidRPr="00911D29">
        <w:rPr>
          <w:rFonts w:ascii="Times New Roman" w:hAnsi="Times New Roman" w:cs="Times New Roman"/>
          <w:sz w:val="24"/>
          <w:szCs w:val="24"/>
          <w:lang w:val="en-IN"/>
        </w:rPr>
        <w:t xml:space="preserve">The short-run dynamics further validate the system's transition towards long-run equilibrium, as evidenced by the statistically significant and negative error correction term. The adjustment </w:t>
      </w:r>
      <w:r w:rsidRPr="00911D29">
        <w:rPr>
          <w:rFonts w:ascii="Times New Roman" w:hAnsi="Times New Roman" w:cs="Times New Roman"/>
          <w:sz w:val="24"/>
          <w:szCs w:val="24"/>
          <w:lang w:val="en-IN"/>
        </w:rPr>
        <w:lastRenderedPageBreak/>
        <w:t>speed indicates that discrepancies from the equilibrium emission levels are rectified promptly. Diagnostic and stability assessments indicate that the estimated ARDL model is statistically robust and stabl</w:t>
      </w:r>
      <w:r>
        <w:rPr>
          <w:rFonts w:ascii="Times New Roman" w:hAnsi="Times New Roman" w:cs="Times New Roman"/>
          <w:sz w:val="24"/>
          <w:szCs w:val="24"/>
          <w:lang w:val="en-IN"/>
        </w:rPr>
        <w:t>e throughout the sample period.</w:t>
      </w:r>
    </w:p>
    <w:p w14:paraId="1CEDD691" w14:textId="487809AD" w:rsidR="00911D29" w:rsidRPr="00911D29" w:rsidRDefault="00911D29" w:rsidP="00911D29">
      <w:pPr>
        <w:spacing w:line="360" w:lineRule="auto"/>
        <w:jc w:val="both"/>
        <w:rPr>
          <w:rFonts w:ascii="Times New Roman" w:hAnsi="Times New Roman" w:cs="Times New Roman"/>
          <w:sz w:val="24"/>
          <w:szCs w:val="24"/>
          <w:lang w:val="en-IN"/>
        </w:rPr>
      </w:pPr>
      <w:r w:rsidRPr="00911D29">
        <w:rPr>
          <w:rFonts w:ascii="Times New Roman" w:hAnsi="Times New Roman" w:cs="Times New Roman"/>
          <w:sz w:val="24"/>
          <w:szCs w:val="24"/>
          <w:lang w:val="en-IN"/>
        </w:rPr>
        <w:t>The findings underscore that urbanisation, energy consumption habits, and economic activity all influence the trajectory of environmental quality in India. Specifically, urban population growth serves as a structural catalyst for emissions by elevating energy consumption a</w:t>
      </w:r>
      <w:r>
        <w:rPr>
          <w:rFonts w:ascii="Times New Roman" w:hAnsi="Times New Roman" w:cs="Times New Roman"/>
          <w:sz w:val="24"/>
          <w:szCs w:val="24"/>
          <w:lang w:val="en-IN"/>
        </w:rPr>
        <w:t>cross various economic sectors.</w:t>
      </w:r>
    </w:p>
    <w:p w14:paraId="4018185A" w14:textId="77777777" w:rsidR="00911D29" w:rsidRDefault="00911D29" w:rsidP="00911D29">
      <w:pPr>
        <w:spacing w:line="360" w:lineRule="auto"/>
        <w:jc w:val="both"/>
        <w:rPr>
          <w:rFonts w:ascii="Times New Roman" w:hAnsi="Times New Roman" w:cs="Times New Roman"/>
          <w:sz w:val="24"/>
          <w:szCs w:val="24"/>
          <w:lang w:val="en-IN"/>
        </w:rPr>
      </w:pPr>
      <w:r w:rsidRPr="00911D29">
        <w:rPr>
          <w:rFonts w:ascii="Times New Roman" w:hAnsi="Times New Roman" w:cs="Times New Roman"/>
          <w:sz w:val="24"/>
          <w:szCs w:val="24"/>
          <w:lang w:val="en-IN"/>
        </w:rPr>
        <w:t>Furthermore, all residual diagnostic assessments validate the model's accuracy. This enhances the dependability of the calculated coefficients and the validity of policy conclusions drawn from the model.</w:t>
      </w:r>
    </w:p>
    <w:p w14:paraId="2D9406C3" w14:textId="776AFAC0" w:rsidR="003B51F5" w:rsidRPr="003B51F5" w:rsidRDefault="003B51F5" w:rsidP="00911D29">
      <w:pPr>
        <w:spacing w:line="360" w:lineRule="auto"/>
        <w:jc w:val="both"/>
        <w:rPr>
          <w:rFonts w:ascii="Times New Roman" w:hAnsi="Times New Roman" w:cs="Times New Roman"/>
          <w:sz w:val="24"/>
          <w:szCs w:val="24"/>
          <w:lang w:val="en-IN"/>
        </w:rPr>
      </w:pPr>
      <w:r w:rsidRPr="003B51F5">
        <w:rPr>
          <w:rFonts w:ascii="Times New Roman" w:hAnsi="Times New Roman" w:cs="Times New Roman"/>
          <w:sz w:val="24"/>
          <w:szCs w:val="24"/>
          <w:lang w:val="en-IN"/>
        </w:rPr>
        <w:t xml:space="preserve">Given these findings, several policy implications emerge. First, policymakers should prioritize the transition toward cleaner and more sustainable energy sources to reduce the carbon intensity of energy consumption. Expanding renewable energy capacity, particularly solar and wind power, can play a crucial role in mitigating emissions while meeting rising energy demand. Second, urban planning policies should focus on promoting sustainable urban development </w:t>
      </w:r>
      <w:r>
        <w:rPr>
          <w:rFonts w:ascii="Times New Roman" w:hAnsi="Times New Roman" w:cs="Times New Roman"/>
          <w:sz w:val="24"/>
          <w:szCs w:val="24"/>
          <w:lang w:val="en-IN"/>
        </w:rPr>
        <w:t>by improving public transportation systems, promoting energy-efficient housing, and designing compact cities that reduce energy-intensive mobility</w:t>
      </w:r>
      <w:r w:rsidRPr="003B51F5">
        <w:rPr>
          <w:rFonts w:ascii="Times New Roman" w:hAnsi="Times New Roman" w:cs="Times New Roman"/>
          <w:sz w:val="24"/>
          <w:szCs w:val="24"/>
          <w:lang w:val="en-IN"/>
        </w:rPr>
        <w:t>. Third, technological innovation and energy efficiency improvements in industrial and manufacturing sectors are essential for reducing emissions without constraining economic growth. Finally, strengthening environmental regulations and implementing market-based instruments such as carbon pricing or emission trading mechanisms can encourage industries and households to adopt cleaner technologies and reduce their carbon footprint.</w:t>
      </w:r>
    </w:p>
    <w:p w14:paraId="0D941C4A" w14:textId="1421A04D" w:rsidR="003B51F5" w:rsidRDefault="003B51F5" w:rsidP="009A554A">
      <w:pPr>
        <w:spacing w:line="360" w:lineRule="auto"/>
        <w:jc w:val="both"/>
        <w:rPr>
          <w:rFonts w:ascii="Times New Roman" w:hAnsi="Times New Roman" w:cs="Times New Roman"/>
          <w:sz w:val="24"/>
          <w:szCs w:val="24"/>
          <w:lang w:val="en-IN"/>
        </w:rPr>
      </w:pPr>
      <w:r w:rsidRPr="003B51F5">
        <w:rPr>
          <w:rFonts w:ascii="Times New Roman" w:hAnsi="Times New Roman" w:cs="Times New Roman"/>
          <w:sz w:val="24"/>
          <w:szCs w:val="24"/>
          <w:lang w:val="en-IN"/>
        </w:rPr>
        <w:t>In conclusion, addressing the environmental challenges associated with rapid urbanization requires an integrated policy approach that combines sustainable urban planning, clean energy transition, and technological innovation. Such strategies are essential for ensuring that economic development and urban growth in India proceed in an environmentally sustainable manner.</w:t>
      </w:r>
    </w:p>
    <w:p w14:paraId="0E0DB01E" w14:textId="77777777" w:rsidR="008946F9" w:rsidRPr="000839CE" w:rsidRDefault="008946F9" w:rsidP="008946F9">
      <w:pPr>
        <w:spacing w:after="0" w:line="240" w:lineRule="auto"/>
        <w:rPr>
          <w:rFonts w:ascii="Times New Roman" w:hAnsi="Times New Roman" w:cs="Times New Roman"/>
          <w:b/>
        </w:rPr>
      </w:pPr>
      <w:bookmarkStart w:id="8" w:name="_Hlk232755622"/>
      <w:r w:rsidRPr="000839CE">
        <w:rPr>
          <w:rFonts w:ascii="Times New Roman" w:hAnsi="Times New Roman" w:cs="Times New Roman"/>
          <w:b/>
        </w:rPr>
        <w:t>Declaration of AI Use</w:t>
      </w:r>
    </w:p>
    <w:p w14:paraId="3E2A17CF" w14:textId="77777777" w:rsidR="008946F9" w:rsidRPr="000839CE" w:rsidRDefault="008946F9" w:rsidP="008946F9">
      <w:pPr>
        <w:spacing w:after="0" w:line="240" w:lineRule="auto"/>
        <w:rPr>
          <w:rFonts w:ascii="Times New Roman" w:hAnsi="Times New Roman" w:cs="Times New Roman"/>
        </w:rPr>
      </w:pPr>
    </w:p>
    <w:p w14:paraId="6FE040C7" w14:textId="77777777" w:rsidR="008946F9" w:rsidRPr="000839CE" w:rsidRDefault="008946F9" w:rsidP="008946F9">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w:t>
      </w:r>
      <w:r w:rsidRPr="00C56790">
        <w:rPr>
          <w:rFonts w:ascii="Times New Roman" w:hAnsi="Times New Roman" w:cs="Times New Roman"/>
        </w:rPr>
        <w:lastRenderedPageBreak/>
        <w:t>outputs, including content, references, and interpretations, were carefully reviewed, revised, verified, and approved by the author(s). The author(s) accept full responsibility for the accuracy, integrity, and final content of the manuscript.</w:t>
      </w:r>
    </w:p>
    <w:bookmarkEnd w:id="8"/>
    <w:p w14:paraId="690F611E" w14:textId="77777777" w:rsidR="008946F9" w:rsidRDefault="008946F9" w:rsidP="009A554A">
      <w:pPr>
        <w:spacing w:line="360" w:lineRule="auto"/>
        <w:jc w:val="both"/>
        <w:rPr>
          <w:rFonts w:ascii="Times New Roman" w:hAnsi="Times New Roman" w:cs="Times New Roman"/>
          <w:sz w:val="24"/>
          <w:szCs w:val="24"/>
          <w:lang w:val="en-IN"/>
        </w:rPr>
      </w:pPr>
    </w:p>
    <w:p w14:paraId="221E8857" w14:textId="0861406F" w:rsidR="00EC617D" w:rsidRDefault="00EC617D" w:rsidP="009A554A">
      <w:pPr>
        <w:spacing w:line="360" w:lineRule="auto"/>
        <w:jc w:val="both"/>
        <w:rPr>
          <w:rFonts w:ascii="Times New Roman" w:hAnsi="Times New Roman" w:cs="Times New Roman"/>
          <w:sz w:val="24"/>
          <w:szCs w:val="24"/>
          <w:lang w:val="en-IN"/>
        </w:rPr>
      </w:pPr>
    </w:p>
    <w:p w14:paraId="15F1991A" w14:textId="77777777" w:rsidR="00EC617D" w:rsidRDefault="00EC617D" w:rsidP="009A554A">
      <w:pPr>
        <w:spacing w:line="360" w:lineRule="auto"/>
        <w:jc w:val="both"/>
        <w:rPr>
          <w:rFonts w:ascii="Times New Roman" w:hAnsi="Times New Roman" w:cs="Times New Roman"/>
          <w:sz w:val="24"/>
          <w:szCs w:val="24"/>
          <w:lang w:val="en-IN"/>
        </w:rPr>
      </w:pPr>
    </w:p>
    <w:p w14:paraId="39DD57F7" w14:textId="5453F3AC" w:rsidR="00FA09EF" w:rsidRPr="00197FF1" w:rsidRDefault="00FA09EF" w:rsidP="00197FF1">
      <w:pPr>
        <w:spacing w:after="160" w:line="259" w:lineRule="auto"/>
        <w:rPr>
          <w:rFonts w:ascii="Times New Roman" w:hAnsi="Times New Roman" w:cs="Times New Roman"/>
          <w:sz w:val="24"/>
          <w:szCs w:val="24"/>
          <w:lang w:val="en-IN"/>
        </w:rPr>
      </w:pPr>
      <w:r>
        <w:rPr>
          <w:rFonts w:ascii="Times New Roman" w:hAnsi="Times New Roman" w:cs="Times New Roman"/>
          <w:b/>
          <w:bCs/>
          <w:sz w:val="28"/>
          <w:szCs w:val="28"/>
        </w:rPr>
        <w:t>References</w:t>
      </w:r>
    </w:p>
    <w:p w14:paraId="53EC3217" w14:textId="5CE151B5" w:rsidR="007A6627" w:rsidRDefault="007A6627" w:rsidP="009A554A">
      <w:pPr>
        <w:spacing w:line="360" w:lineRule="auto"/>
        <w:jc w:val="both"/>
        <w:rPr>
          <w:rFonts w:ascii="Times New Roman" w:hAnsi="Times New Roman" w:cs="Times New Roman"/>
          <w:sz w:val="24"/>
          <w:szCs w:val="24"/>
          <w:shd w:val="clear" w:color="auto" w:fill="FFFFFF"/>
          <w:lang w:val="en-IN"/>
        </w:rPr>
      </w:pPr>
      <w:r w:rsidRPr="007A6627">
        <w:rPr>
          <w:rFonts w:ascii="Times New Roman" w:hAnsi="Times New Roman" w:cs="Times New Roman"/>
          <w:sz w:val="24"/>
          <w:szCs w:val="24"/>
          <w:shd w:val="clear" w:color="auto" w:fill="FFFFFF"/>
          <w:lang w:val="en-IN"/>
        </w:rPr>
        <w:t xml:space="preserve">Abbasi, M. A., Parveen, S., Khan, S., &amp; Kamal, M. A. (2020). Urbanization and energy consumption effects on carbon dioxide emissions: evidence from Asian-8 countries using panel data analysis. </w:t>
      </w:r>
      <w:r w:rsidRPr="007A6627">
        <w:rPr>
          <w:rFonts w:ascii="Times New Roman" w:hAnsi="Times New Roman" w:cs="Times New Roman"/>
          <w:i/>
          <w:iCs/>
          <w:sz w:val="24"/>
          <w:szCs w:val="24"/>
          <w:shd w:val="clear" w:color="auto" w:fill="FFFFFF"/>
          <w:lang w:val="en-IN"/>
        </w:rPr>
        <w:t>Environmental Science and Pollution Research</w:t>
      </w:r>
      <w:r w:rsidRPr="007A6627">
        <w:rPr>
          <w:rFonts w:ascii="Times New Roman" w:hAnsi="Times New Roman" w:cs="Times New Roman"/>
          <w:sz w:val="24"/>
          <w:szCs w:val="24"/>
          <w:shd w:val="clear" w:color="auto" w:fill="FFFFFF"/>
          <w:lang w:val="en-IN"/>
        </w:rPr>
        <w:t xml:space="preserve">, </w:t>
      </w:r>
      <w:r w:rsidRPr="007A6627">
        <w:rPr>
          <w:rFonts w:ascii="Times New Roman" w:hAnsi="Times New Roman" w:cs="Times New Roman"/>
          <w:i/>
          <w:iCs/>
          <w:sz w:val="24"/>
          <w:szCs w:val="24"/>
          <w:shd w:val="clear" w:color="auto" w:fill="FFFFFF"/>
          <w:lang w:val="en-IN"/>
        </w:rPr>
        <w:t>27</w:t>
      </w:r>
      <w:r w:rsidRPr="007A6627">
        <w:rPr>
          <w:rFonts w:ascii="Times New Roman" w:hAnsi="Times New Roman" w:cs="Times New Roman"/>
          <w:sz w:val="24"/>
          <w:szCs w:val="24"/>
          <w:shd w:val="clear" w:color="auto" w:fill="FFFFFF"/>
          <w:lang w:val="en-IN"/>
        </w:rPr>
        <w:t xml:space="preserve">(15), 18029–18043. </w:t>
      </w:r>
      <w:hyperlink r:id="rId12" w:history="1">
        <w:r w:rsidRPr="007A6627">
          <w:rPr>
            <w:rStyle w:val="Hyperlink"/>
            <w:rFonts w:ascii="Times New Roman" w:hAnsi="Times New Roman" w:cs="Times New Roman"/>
            <w:sz w:val="24"/>
            <w:szCs w:val="24"/>
            <w:shd w:val="clear" w:color="auto" w:fill="FFFFFF"/>
            <w:lang w:val="en-IN"/>
          </w:rPr>
          <w:t>https://doi.org/10.1007/S11356-020-08262-W</w:t>
        </w:r>
      </w:hyperlink>
    </w:p>
    <w:p w14:paraId="328EF8A7" w14:textId="6604C910" w:rsidR="00842DFF" w:rsidRDefault="00842DFF" w:rsidP="009A554A">
      <w:pPr>
        <w:spacing w:line="360" w:lineRule="auto"/>
        <w:jc w:val="both"/>
        <w:rPr>
          <w:rFonts w:ascii="Times New Roman" w:hAnsi="Times New Roman" w:cs="Times New Roman"/>
          <w:sz w:val="24"/>
          <w:szCs w:val="24"/>
          <w:shd w:val="clear" w:color="auto" w:fill="FFFFFF"/>
        </w:rPr>
      </w:pPr>
      <w:r w:rsidRPr="00842DFF">
        <w:rPr>
          <w:rFonts w:ascii="Times New Roman" w:hAnsi="Times New Roman" w:cs="Times New Roman"/>
          <w:sz w:val="24"/>
          <w:szCs w:val="24"/>
          <w:shd w:val="clear" w:color="auto" w:fill="FFFFFF"/>
        </w:rPr>
        <w:t xml:space="preserve">Ahmad, S., Baiocchi, G., &amp; </w:t>
      </w:r>
      <w:proofErr w:type="spellStart"/>
      <w:r w:rsidRPr="00842DFF">
        <w:rPr>
          <w:rFonts w:ascii="Times New Roman" w:hAnsi="Times New Roman" w:cs="Times New Roman"/>
          <w:sz w:val="24"/>
          <w:szCs w:val="24"/>
          <w:shd w:val="clear" w:color="auto" w:fill="FFFFFF"/>
        </w:rPr>
        <w:t>Creutzig</w:t>
      </w:r>
      <w:proofErr w:type="spellEnd"/>
      <w:r w:rsidRPr="00842DFF">
        <w:rPr>
          <w:rFonts w:ascii="Times New Roman" w:hAnsi="Times New Roman" w:cs="Times New Roman"/>
          <w:sz w:val="24"/>
          <w:szCs w:val="24"/>
          <w:shd w:val="clear" w:color="auto" w:fill="FFFFFF"/>
        </w:rPr>
        <w:t>, F. (2015). CO2 emissions from direct energy use of urban households in India. </w:t>
      </w:r>
      <w:r w:rsidRPr="00842DFF">
        <w:rPr>
          <w:rFonts w:ascii="Times New Roman" w:hAnsi="Times New Roman" w:cs="Times New Roman"/>
          <w:i/>
          <w:iCs/>
          <w:sz w:val="24"/>
          <w:szCs w:val="24"/>
          <w:shd w:val="clear" w:color="auto" w:fill="FFFFFF"/>
        </w:rPr>
        <w:t>Environmental science &amp; technology</w:t>
      </w:r>
      <w:r w:rsidRPr="00842DFF">
        <w:rPr>
          <w:rFonts w:ascii="Times New Roman" w:hAnsi="Times New Roman" w:cs="Times New Roman"/>
          <w:sz w:val="24"/>
          <w:szCs w:val="24"/>
          <w:shd w:val="clear" w:color="auto" w:fill="FFFFFF"/>
        </w:rPr>
        <w:t>, </w:t>
      </w:r>
      <w:r w:rsidRPr="00842DFF">
        <w:rPr>
          <w:rFonts w:ascii="Times New Roman" w:hAnsi="Times New Roman" w:cs="Times New Roman"/>
          <w:i/>
          <w:iCs/>
          <w:sz w:val="24"/>
          <w:szCs w:val="24"/>
          <w:shd w:val="clear" w:color="auto" w:fill="FFFFFF"/>
        </w:rPr>
        <w:t>49</w:t>
      </w:r>
      <w:r w:rsidRPr="00842DFF">
        <w:rPr>
          <w:rFonts w:ascii="Times New Roman" w:hAnsi="Times New Roman" w:cs="Times New Roman"/>
          <w:sz w:val="24"/>
          <w:szCs w:val="24"/>
          <w:shd w:val="clear" w:color="auto" w:fill="FFFFFF"/>
        </w:rPr>
        <w:t>(19), 11312-11320.</w:t>
      </w:r>
    </w:p>
    <w:p w14:paraId="682B6B8C" w14:textId="3F9F0E16" w:rsidR="00221555" w:rsidRDefault="00221555" w:rsidP="009A554A">
      <w:pPr>
        <w:spacing w:line="360" w:lineRule="auto"/>
        <w:jc w:val="both"/>
        <w:rPr>
          <w:rFonts w:ascii="Times New Roman" w:hAnsi="Times New Roman" w:cs="Times New Roman"/>
          <w:sz w:val="24"/>
          <w:szCs w:val="24"/>
          <w:shd w:val="clear" w:color="auto" w:fill="FFFFFF"/>
          <w:lang w:val="en-IN"/>
        </w:rPr>
      </w:pPr>
      <w:r w:rsidRPr="00221555">
        <w:rPr>
          <w:rFonts w:ascii="Times New Roman" w:hAnsi="Times New Roman" w:cs="Times New Roman"/>
          <w:sz w:val="24"/>
          <w:szCs w:val="24"/>
          <w:shd w:val="clear" w:color="auto" w:fill="FFFFFF"/>
          <w:lang w:val="en-IN"/>
        </w:rPr>
        <w:t xml:space="preserve">Al-Jebouri, M., Oran, A. F., &amp; Al-Assaf, G. (2020). The impact of urban concentration on economic growth: an empirical investigation for a sample of countries. </w:t>
      </w:r>
      <w:r w:rsidRPr="00221555">
        <w:rPr>
          <w:rFonts w:ascii="Times New Roman" w:hAnsi="Times New Roman" w:cs="Times New Roman"/>
          <w:i/>
          <w:iCs/>
          <w:sz w:val="24"/>
          <w:szCs w:val="24"/>
          <w:shd w:val="clear" w:color="auto" w:fill="FFFFFF"/>
          <w:lang w:val="en-IN"/>
        </w:rPr>
        <w:t>International Journal of Economics and Financial Issues</w:t>
      </w:r>
      <w:r w:rsidRPr="00221555">
        <w:rPr>
          <w:rFonts w:ascii="Times New Roman" w:hAnsi="Times New Roman" w:cs="Times New Roman"/>
          <w:sz w:val="24"/>
          <w:szCs w:val="24"/>
          <w:shd w:val="clear" w:color="auto" w:fill="FFFFFF"/>
          <w:lang w:val="en-IN"/>
        </w:rPr>
        <w:t xml:space="preserve">, </w:t>
      </w:r>
      <w:r w:rsidRPr="00221555">
        <w:rPr>
          <w:rFonts w:ascii="Times New Roman" w:hAnsi="Times New Roman" w:cs="Times New Roman"/>
          <w:i/>
          <w:iCs/>
          <w:sz w:val="24"/>
          <w:szCs w:val="24"/>
          <w:shd w:val="clear" w:color="auto" w:fill="FFFFFF"/>
          <w:lang w:val="en-IN"/>
        </w:rPr>
        <w:t>10</w:t>
      </w:r>
      <w:r w:rsidRPr="00221555">
        <w:rPr>
          <w:rFonts w:ascii="Times New Roman" w:hAnsi="Times New Roman" w:cs="Times New Roman"/>
          <w:sz w:val="24"/>
          <w:szCs w:val="24"/>
          <w:shd w:val="clear" w:color="auto" w:fill="FFFFFF"/>
          <w:lang w:val="en-IN"/>
        </w:rPr>
        <w:t xml:space="preserve">(4), 116–124. </w:t>
      </w:r>
      <w:hyperlink r:id="rId13" w:history="1">
        <w:r w:rsidRPr="00221555">
          <w:rPr>
            <w:rStyle w:val="Hyperlink"/>
            <w:rFonts w:ascii="Times New Roman" w:hAnsi="Times New Roman" w:cs="Times New Roman"/>
            <w:sz w:val="24"/>
            <w:szCs w:val="24"/>
            <w:shd w:val="clear" w:color="auto" w:fill="FFFFFF"/>
            <w:lang w:val="en-IN"/>
          </w:rPr>
          <w:t>https://doi.org/10.32479/IJEFI.10012</w:t>
        </w:r>
      </w:hyperlink>
    </w:p>
    <w:p w14:paraId="197CBFF7" w14:textId="7378463C" w:rsidR="009A554A" w:rsidRPr="00C875C2" w:rsidRDefault="0088537C" w:rsidP="009A554A">
      <w:pPr>
        <w:spacing w:line="360" w:lineRule="auto"/>
        <w:jc w:val="both"/>
        <w:rPr>
          <w:rFonts w:ascii="Times New Roman" w:hAnsi="Times New Roman" w:cs="Times New Roman"/>
          <w:sz w:val="24"/>
          <w:szCs w:val="24"/>
          <w:shd w:val="clear" w:color="auto" w:fill="FFFFFF"/>
        </w:rPr>
      </w:pPr>
      <w:r w:rsidRPr="00C875C2">
        <w:rPr>
          <w:rFonts w:ascii="Times New Roman" w:hAnsi="Times New Roman" w:cs="Times New Roman"/>
          <w:sz w:val="24"/>
          <w:szCs w:val="24"/>
          <w:shd w:val="clear" w:color="auto" w:fill="FFFFFF"/>
        </w:rPr>
        <w:t>Awais, M., Akram, S., &amp; Safdar, H. (2024). Exploring the Relationship between CO2 Emission, Economic Growth, and Energy Consumption at Aggregate Level: A Panel Data Analysis. </w:t>
      </w:r>
      <w:r w:rsidRPr="00C875C2">
        <w:rPr>
          <w:rFonts w:ascii="Times New Roman" w:hAnsi="Times New Roman" w:cs="Times New Roman"/>
          <w:i/>
          <w:iCs/>
          <w:sz w:val="24"/>
          <w:szCs w:val="24"/>
          <w:bdr w:val="single" w:sz="2" w:space="0" w:color="E4E6E8" w:frame="1"/>
          <w:shd w:val="clear" w:color="auto" w:fill="FFFFFF"/>
        </w:rPr>
        <w:t>Journal of Economic Impact</w:t>
      </w:r>
      <w:r w:rsidRPr="00C875C2">
        <w:rPr>
          <w:rFonts w:ascii="Times New Roman" w:hAnsi="Times New Roman" w:cs="Times New Roman"/>
          <w:sz w:val="24"/>
          <w:szCs w:val="24"/>
          <w:shd w:val="clear" w:color="auto" w:fill="FFFFFF"/>
        </w:rPr>
        <w:t>, </w:t>
      </w:r>
      <w:r w:rsidRPr="00C875C2">
        <w:rPr>
          <w:rFonts w:ascii="Times New Roman" w:hAnsi="Times New Roman" w:cs="Times New Roman"/>
          <w:i/>
          <w:iCs/>
          <w:sz w:val="24"/>
          <w:szCs w:val="24"/>
          <w:bdr w:val="single" w:sz="2" w:space="0" w:color="E4E6E8" w:frame="1"/>
          <w:shd w:val="clear" w:color="auto" w:fill="FFFFFF"/>
        </w:rPr>
        <w:t>6</w:t>
      </w:r>
      <w:r w:rsidRPr="00C875C2">
        <w:rPr>
          <w:rFonts w:ascii="Times New Roman" w:hAnsi="Times New Roman" w:cs="Times New Roman"/>
          <w:sz w:val="24"/>
          <w:szCs w:val="24"/>
          <w:shd w:val="clear" w:color="auto" w:fill="FFFFFF"/>
        </w:rPr>
        <w:t xml:space="preserve">(3), 218–225. </w:t>
      </w:r>
      <w:hyperlink r:id="rId14" w:history="1">
        <w:r w:rsidRPr="00C875C2">
          <w:rPr>
            <w:rStyle w:val="Hyperlink"/>
            <w:rFonts w:ascii="Times New Roman" w:hAnsi="Times New Roman" w:cs="Times New Roman"/>
            <w:sz w:val="24"/>
            <w:szCs w:val="24"/>
            <w:shd w:val="clear" w:color="auto" w:fill="FFFFFF"/>
          </w:rPr>
          <w:t>https://doi.org/10.52223/econimpact.2024.6305</w:t>
        </w:r>
      </w:hyperlink>
    </w:p>
    <w:p w14:paraId="7616A7DD" w14:textId="0456B315" w:rsidR="0088537C" w:rsidRDefault="0088537C" w:rsidP="009A554A">
      <w:pPr>
        <w:spacing w:line="360" w:lineRule="auto"/>
        <w:jc w:val="both"/>
        <w:rPr>
          <w:rFonts w:ascii="Times New Roman" w:hAnsi="Times New Roman" w:cs="Times New Roman"/>
          <w:sz w:val="24"/>
          <w:szCs w:val="24"/>
        </w:rPr>
      </w:pPr>
      <w:r w:rsidRPr="0088537C">
        <w:rPr>
          <w:rFonts w:ascii="Times New Roman" w:hAnsi="Times New Roman" w:cs="Times New Roman"/>
          <w:sz w:val="24"/>
          <w:szCs w:val="24"/>
        </w:rPr>
        <w:t xml:space="preserve">Akorede, Y. F., &amp; Rafia, A. (2020). The relationship between urbanization, co2 emissions, economic growth and energy consumption in </w:t>
      </w:r>
      <w:proofErr w:type="spellStart"/>
      <w:r w:rsidRPr="0088537C">
        <w:rPr>
          <w:rFonts w:ascii="Times New Roman" w:hAnsi="Times New Roman" w:cs="Times New Roman"/>
          <w:sz w:val="24"/>
          <w:szCs w:val="24"/>
        </w:rPr>
        <w:t>nigeria</w:t>
      </w:r>
      <w:proofErr w:type="spellEnd"/>
      <w:r w:rsidRPr="0088537C">
        <w:rPr>
          <w:rFonts w:ascii="Times New Roman" w:hAnsi="Times New Roman" w:cs="Times New Roman"/>
          <w:sz w:val="24"/>
          <w:szCs w:val="24"/>
        </w:rPr>
        <w:t>. </w:t>
      </w:r>
      <w:r w:rsidRPr="0088537C">
        <w:rPr>
          <w:rFonts w:ascii="Times New Roman" w:hAnsi="Times New Roman" w:cs="Times New Roman"/>
          <w:i/>
          <w:iCs/>
          <w:sz w:val="24"/>
          <w:szCs w:val="24"/>
        </w:rPr>
        <w:t>International Journal of Energy Economics and Policy</w:t>
      </w:r>
      <w:r w:rsidRPr="0088537C">
        <w:rPr>
          <w:rFonts w:ascii="Times New Roman" w:hAnsi="Times New Roman" w:cs="Times New Roman"/>
          <w:sz w:val="24"/>
          <w:szCs w:val="24"/>
        </w:rPr>
        <w:t>, </w:t>
      </w:r>
      <w:r w:rsidRPr="0088537C">
        <w:rPr>
          <w:rFonts w:ascii="Times New Roman" w:hAnsi="Times New Roman" w:cs="Times New Roman"/>
          <w:i/>
          <w:iCs/>
          <w:sz w:val="24"/>
          <w:szCs w:val="24"/>
        </w:rPr>
        <w:t>10</w:t>
      </w:r>
      <w:r w:rsidRPr="0088537C">
        <w:rPr>
          <w:rFonts w:ascii="Times New Roman" w:hAnsi="Times New Roman" w:cs="Times New Roman"/>
          <w:sz w:val="24"/>
          <w:szCs w:val="24"/>
        </w:rPr>
        <w:t xml:space="preserve">(6), 491–501. </w:t>
      </w:r>
      <w:hyperlink r:id="rId15" w:history="1">
        <w:r w:rsidRPr="00BE253F">
          <w:rPr>
            <w:rStyle w:val="Hyperlink"/>
            <w:rFonts w:ascii="Times New Roman" w:hAnsi="Times New Roman" w:cs="Times New Roman"/>
            <w:sz w:val="24"/>
            <w:szCs w:val="24"/>
          </w:rPr>
          <w:t>https://doi.org/10.32479/IJEEP.9355</w:t>
        </w:r>
      </w:hyperlink>
    </w:p>
    <w:p w14:paraId="37D537E9" w14:textId="22702E8C" w:rsidR="0088537C" w:rsidRDefault="0088537C" w:rsidP="009A554A">
      <w:pPr>
        <w:spacing w:line="360" w:lineRule="auto"/>
        <w:jc w:val="both"/>
      </w:pPr>
      <w:r w:rsidRPr="0088537C">
        <w:rPr>
          <w:rFonts w:ascii="Times New Roman" w:hAnsi="Times New Roman" w:cs="Times New Roman"/>
          <w:sz w:val="24"/>
          <w:szCs w:val="24"/>
        </w:rPr>
        <w:t xml:space="preserve">Afridi, M. A., </w:t>
      </w:r>
      <w:proofErr w:type="spellStart"/>
      <w:r w:rsidRPr="0088537C">
        <w:rPr>
          <w:rFonts w:ascii="Times New Roman" w:hAnsi="Times New Roman" w:cs="Times New Roman"/>
          <w:sz w:val="24"/>
          <w:szCs w:val="24"/>
        </w:rPr>
        <w:t>Kehelwalatenna</w:t>
      </w:r>
      <w:proofErr w:type="spellEnd"/>
      <w:r w:rsidRPr="0088537C">
        <w:rPr>
          <w:rFonts w:ascii="Times New Roman" w:hAnsi="Times New Roman" w:cs="Times New Roman"/>
          <w:sz w:val="24"/>
          <w:szCs w:val="24"/>
        </w:rPr>
        <w:t>, S., Naseem, I., &amp; Tahir, M. (2019). Per capita income, trade openness, urbanization, energy consumption, and CO2 emissions: an empirical study on the SAARC Region. </w:t>
      </w:r>
      <w:r w:rsidRPr="0088537C">
        <w:rPr>
          <w:rFonts w:ascii="Times New Roman" w:hAnsi="Times New Roman" w:cs="Times New Roman"/>
          <w:i/>
          <w:iCs/>
          <w:sz w:val="24"/>
          <w:szCs w:val="24"/>
        </w:rPr>
        <w:t>Environmental Science and Pollution Research</w:t>
      </w:r>
      <w:r w:rsidRPr="0088537C">
        <w:rPr>
          <w:rFonts w:ascii="Times New Roman" w:hAnsi="Times New Roman" w:cs="Times New Roman"/>
          <w:sz w:val="24"/>
          <w:szCs w:val="24"/>
        </w:rPr>
        <w:t>, </w:t>
      </w:r>
      <w:r w:rsidRPr="0088537C">
        <w:rPr>
          <w:rFonts w:ascii="Times New Roman" w:hAnsi="Times New Roman" w:cs="Times New Roman"/>
          <w:i/>
          <w:iCs/>
          <w:sz w:val="24"/>
          <w:szCs w:val="24"/>
        </w:rPr>
        <w:t>26</w:t>
      </w:r>
      <w:r w:rsidRPr="0088537C">
        <w:rPr>
          <w:rFonts w:ascii="Times New Roman" w:hAnsi="Times New Roman" w:cs="Times New Roman"/>
          <w:sz w:val="24"/>
          <w:szCs w:val="24"/>
        </w:rPr>
        <w:t xml:space="preserve">(29), 29978–29990. </w:t>
      </w:r>
      <w:hyperlink r:id="rId16" w:history="1">
        <w:r w:rsidRPr="00BE253F">
          <w:rPr>
            <w:rStyle w:val="Hyperlink"/>
            <w:rFonts w:ascii="Times New Roman" w:hAnsi="Times New Roman" w:cs="Times New Roman"/>
            <w:sz w:val="24"/>
            <w:szCs w:val="24"/>
          </w:rPr>
          <w:t>https://doi.org/10.1007/S11356-019-06154-2</w:t>
        </w:r>
      </w:hyperlink>
    </w:p>
    <w:p w14:paraId="499F0727" w14:textId="32F15654" w:rsidR="00221555" w:rsidRDefault="00221555" w:rsidP="009A554A">
      <w:pPr>
        <w:spacing w:line="360" w:lineRule="auto"/>
        <w:jc w:val="both"/>
      </w:pPr>
      <w:proofErr w:type="spellStart"/>
      <w:r w:rsidRPr="00221555">
        <w:rPr>
          <w:rFonts w:ascii="Times New Roman" w:hAnsi="Times New Roman" w:cs="Times New Roman"/>
          <w:sz w:val="24"/>
          <w:szCs w:val="24"/>
          <w:lang w:val="en-IN"/>
        </w:rPr>
        <w:t>Basole</w:t>
      </w:r>
      <w:proofErr w:type="spellEnd"/>
      <w:r w:rsidRPr="00221555">
        <w:rPr>
          <w:rFonts w:ascii="Times New Roman" w:hAnsi="Times New Roman" w:cs="Times New Roman"/>
          <w:sz w:val="24"/>
          <w:szCs w:val="24"/>
          <w:lang w:val="en-IN"/>
        </w:rPr>
        <w:t xml:space="preserve">, A., &amp; Bhattacharya, R. (2017). </w:t>
      </w:r>
      <w:r w:rsidRPr="00221555">
        <w:rPr>
          <w:rFonts w:ascii="Times New Roman" w:hAnsi="Times New Roman" w:cs="Times New Roman"/>
          <w:i/>
          <w:iCs/>
          <w:sz w:val="24"/>
          <w:szCs w:val="24"/>
          <w:lang w:val="en-IN"/>
        </w:rPr>
        <w:t>Editorial introduction: urban management in developing economics: challenges for public policy</w:t>
      </w:r>
      <w:r w:rsidRPr="00221555">
        <w:rPr>
          <w:rFonts w:ascii="Times New Roman" w:hAnsi="Times New Roman" w:cs="Times New Roman"/>
          <w:sz w:val="24"/>
          <w:szCs w:val="24"/>
          <w:lang w:val="en-IN"/>
        </w:rPr>
        <w:t xml:space="preserve">. </w:t>
      </w:r>
      <w:r w:rsidRPr="00221555">
        <w:rPr>
          <w:rFonts w:ascii="Times New Roman" w:hAnsi="Times New Roman" w:cs="Times New Roman"/>
          <w:i/>
          <w:iCs/>
          <w:sz w:val="24"/>
          <w:szCs w:val="24"/>
          <w:lang w:val="en-IN"/>
        </w:rPr>
        <w:t>44</w:t>
      </w:r>
      <w:r w:rsidRPr="00221555">
        <w:rPr>
          <w:rFonts w:ascii="Times New Roman" w:hAnsi="Times New Roman" w:cs="Times New Roman"/>
          <w:sz w:val="24"/>
          <w:szCs w:val="24"/>
          <w:lang w:val="en-IN"/>
        </w:rPr>
        <w:t xml:space="preserve">(2), 85–89. </w:t>
      </w:r>
      <w:hyperlink r:id="rId17" w:history="1">
        <w:r w:rsidRPr="00221555">
          <w:rPr>
            <w:rStyle w:val="Hyperlink"/>
            <w:rFonts w:ascii="Times New Roman" w:hAnsi="Times New Roman" w:cs="Times New Roman"/>
            <w:sz w:val="24"/>
            <w:szCs w:val="24"/>
            <w:lang w:val="en-IN"/>
          </w:rPr>
          <w:t>https://doi.org/10.1007/S40622-017-0158-4</w:t>
        </w:r>
      </w:hyperlink>
    </w:p>
    <w:p w14:paraId="00F9D865" w14:textId="5A46BB01" w:rsidR="005279BF" w:rsidRDefault="005279BF" w:rsidP="009A554A">
      <w:pPr>
        <w:spacing w:line="360" w:lineRule="auto"/>
        <w:jc w:val="both"/>
        <w:rPr>
          <w:rFonts w:ascii="Times New Roman" w:hAnsi="Times New Roman" w:cs="Times New Roman"/>
          <w:sz w:val="24"/>
          <w:szCs w:val="24"/>
          <w:lang w:val="en-IN"/>
        </w:rPr>
      </w:pPr>
      <w:r w:rsidRPr="005279BF">
        <w:rPr>
          <w:rFonts w:ascii="Times New Roman" w:hAnsi="Times New Roman" w:cs="Times New Roman"/>
          <w:sz w:val="24"/>
          <w:szCs w:val="24"/>
          <w:lang w:val="en-IN"/>
        </w:rPr>
        <w:lastRenderedPageBreak/>
        <w:t xml:space="preserve">Dutta, U. P., &amp; Hazarika, N. (2023). Urbanization and carbon emissions: Panel evidence from 68 low-income and lower-middle-income countries. </w:t>
      </w:r>
      <w:r w:rsidRPr="005279BF">
        <w:rPr>
          <w:rFonts w:ascii="Times New Roman" w:hAnsi="Times New Roman" w:cs="Times New Roman"/>
          <w:i/>
          <w:iCs/>
          <w:sz w:val="24"/>
          <w:szCs w:val="24"/>
          <w:lang w:val="en-IN"/>
        </w:rPr>
        <w:t>Journal of Urban Affairs</w:t>
      </w:r>
      <w:r w:rsidRPr="005279BF">
        <w:rPr>
          <w:rFonts w:ascii="Times New Roman" w:hAnsi="Times New Roman" w:cs="Times New Roman"/>
          <w:sz w:val="24"/>
          <w:szCs w:val="24"/>
          <w:lang w:val="en-IN"/>
        </w:rPr>
        <w:t xml:space="preserve">, 1–20. </w:t>
      </w:r>
      <w:hyperlink r:id="rId18" w:history="1">
        <w:r w:rsidRPr="005279BF">
          <w:rPr>
            <w:rStyle w:val="Hyperlink"/>
            <w:rFonts w:ascii="Times New Roman" w:hAnsi="Times New Roman" w:cs="Times New Roman"/>
            <w:sz w:val="24"/>
            <w:szCs w:val="24"/>
            <w:lang w:val="en-IN"/>
          </w:rPr>
          <w:t>https://doi.org/10.1080/07352166.2023.2174871</w:t>
        </w:r>
      </w:hyperlink>
    </w:p>
    <w:p w14:paraId="61DD2E5C" w14:textId="243982F7" w:rsidR="009A554A" w:rsidRDefault="006623DE" w:rsidP="009A554A">
      <w:pPr>
        <w:spacing w:line="360" w:lineRule="auto"/>
        <w:jc w:val="both"/>
      </w:pPr>
      <w:r w:rsidRPr="006623DE">
        <w:rPr>
          <w:rFonts w:ascii="Times New Roman" w:hAnsi="Times New Roman" w:cs="Times New Roman"/>
          <w:sz w:val="24"/>
          <w:szCs w:val="24"/>
        </w:rPr>
        <w:t xml:space="preserve">Dogan, E., &amp; </w:t>
      </w:r>
      <w:proofErr w:type="spellStart"/>
      <w:r w:rsidRPr="006623DE">
        <w:rPr>
          <w:rFonts w:ascii="Times New Roman" w:hAnsi="Times New Roman" w:cs="Times New Roman"/>
          <w:sz w:val="24"/>
          <w:szCs w:val="24"/>
        </w:rPr>
        <w:t>Türkekul</w:t>
      </w:r>
      <w:proofErr w:type="spellEnd"/>
      <w:r w:rsidRPr="006623DE">
        <w:rPr>
          <w:rFonts w:ascii="Times New Roman" w:hAnsi="Times New Roman" w:cs="Times New Roman"/>
          <w:sz w:val="24"/>
          <w:szCs w:val="24"/>
        </w:rPr>
        <w:t>, B. (2016). CO2 emissions, real output, energy consumption, trade, urbanization and financial development: testing the EKC hypothesis for the USA. </w:t>
      </w:r>
      <w:r w:rsidRPr="006623DE">
        <w:rPr>
          <w:rFonts w:ascii="Times New Roman" w:hAnsi="Times New Roman" w:cs="Times New Roman"/>
          <w:i/>
          <w:iCs/>
          <w:sz w:val="24"/>
          <w:szCs w:val="24"/>
        </w:rPr>
        <w:t>Environmental Science and Pollution Research</w:t>
      </w:r>
      <w:r w:rsidRPr="006623DE">
        <w:rPr>
          <w:rFonts w:ascii="Times New Roman" w:hAnsi="Times New Roman" w:cs="Times New Roman"/>
          <w:sz w:val="24"/>
          <w:szCs w:val="24"/>
        </w:rPr>
        <w:t>, </w:t>
      </w:r>
      <w:r w:rsidRPr="006623DE">
        <w:rPr>
          <w:rFonts w:ascii="Times New Roman" w:hAnsi="Times New Roman" w:cs="Times New Roman"/>
          <w:i/>
          <w:iCs/>
          <w:sz w:val="24"/>
          <w:szCs w:val="24"/>
        </w:rPr>
        <w:t>23</w:t>
      </w:r>
      <w:r w:rsidRPr="006623DE">
        <w:rPr>
          <w:rFonts w:ascii="Times New Roman" w:hAnsi="Times New Roman" w:cs="Times New Roman"/>
          <w:sz w:val="24"/>
          <w:szCs w:val="24"/>
        </w:rPr>
        <w:t xml:space="preserve">(2), 1203–1213. </w:t>
      </w:r>
      <w:hyperlink r:id="rId19" w:history="1">
        <w:r w:rsidR="00C875C2" w:rsidRPr="00BE253F">
          <w:rPr>
            <w:rStyle w:val="Hyperlink"/>
            <w:rFonts w:ascii="Times New Roman" w:hAnsi="Times New Roman" w:cs="Times New Roman"/>
            <w:sz w:val="24"/>
            <w:szCs w:val="24"/>
          </w:rPr>
          <w:t>https://doi.org/10.1007/S11356-015-5323-8</w:t>
        </w:r>
      </w:hyperlink>
    </w:p>
    <w:p w14:paraId="136B9528" w14:textId="250F36C0" w:rsidR="00DA1D87" w:rsidRDefault="00DA1D87" w:rsidP="009A554A">
      <w:pPr>
        <w:spacing w:line="360" w:lineRule="auto"/>
        <w:jc w:val="both"/>
      </w:pPr>
      <w:r w:rsidRPr="00DA1D87">
        <w:rPr>
          <w:rFonts w:ascii="Times New Roman" w:hAnsi="Times New Roman" w:cs="Times New Roman"/>
          <w:sz w:val="24"/>
          <w:szCs w:val="24"/>
          <w:lang w:val="en-IN"/>
        </w:rPr>
        <w:t xml:space="preserve">Floater, G., Rode, P., Robert, A., Kennedy, C., Hoornweg, D., </w:t>
      </w:r>
      <w:proofErr w:type="spellStart"/>
      <w:r w:rsidRPr="00DA1D87">
        <w:rPr>
          <w:rFonts w:ascii="Times New Roman" w:hAnsi="Times New Roman" w:cs="Times New Roman"/>
          <w:sz w:val="24"/>
          <w:szCs w:val="24"/>
          <w:lang w:val="en-IN"/>
        </w:rPr>
        <w:t>Slavcheva</w:t>
      </w:r>
      <w:proofErr w:type="spellEnd"/>
      <w:r w:rsidRPr="00DA1D87">
        <w:rPr>
          <w:rFonts w:ascii="Times New Roman" w:hAnsi="Times New Roman" w:cs="Times New Roman"/>
          <w:sz w:val="24"/>
          <w:szCs w:val="24"/>
          <w:lang w:val="en-IN"/>
        </w:rPr>
        <w:t xml:space="preserve">, R., Godfrey, N., Friedel, B., </w:t>
      </w:r>
      <w:proofErr w:type="spellStart"/>
      <w:r w:rsidRPr="00DA1D87">
        <w:rPr>
          <w:rFonts w:ascii="Times New Roman" w:hAnsi="Times New Roman" w:cs="Times New Roman"/>
          <w:sz w:val="24"/>
          <w:szCs w:val="24"/>
          <w:lang w:val="en-IN"/>
        </w:rPr>
        <w:t>Heeckt</w:t>
      </w:r>
      <w:proofErr w:type="spellEnd"/>
      <w:r w:rsidRPr="00DA1D87">
        <w:rPr>
          <w:rFonts w:ascii="Times New Roman" w:hAnsi="Times New Roman" w:cs="Times New Roman"/>
          <w:sz w:val="24"/>
          <w:szCs w:val="24"/>
          <w:lang w:val="en-IN"/>
        </w:rPr>
        <w:t xml:space="preserve">, C., Thomopoulos, N., &amp; Gomes, A. (2014). Cities and the new climate economy: the transformative role of global urban growth. </w:t>
      </w:r>
      <w:r w:rsidRPr="00DA1D87">
        <w:rPr>
          <w:rFonts w:ascii="Times New Roman" w:hAnsi="Times New Roman" w:cs="Times New Roman"/>
          <w:i/>
          <w:iCs/>
          <w:sz w:val="24"/>
          <w:szCs w:val="24"/>
          <w:lang w:val="en-IN"/>
        </w:rPr>
        <w:t>Research Papers in Economics</w:t>
      </w:r>
      <w:r w:rsidRPr="00DA1D87">
        <w:rPr>
          <w:rFonts w:ascii="Times New Roman" w:hAnsi="Times New Roman" w:cs="Times New Roman"/>
          <w:sz w:val="24"/>
          <w:szCs w:val="24"/>
          <w:lang w:val="en-IN"/>
        </w:rPr>
        <w:t xml:space="preserve">. </w:t>
      </w:r>
      <w:hyperlink r:id="rId20" w:history="1">
        <w:r w:rsidRPr="00DA1D87">
          <w:rPr>
            <w:rStyle w:val="Hyperlink"/>
            <w:rFonts w:ascii="Times New Roman" w:hAnsi="Times New Roman" w:cs="Times New Roman"/>
            <w:sz w:val="24"/>
            <w:szCs w:val="24"/>
            <w:lang w:val="en-IN"/>
          </w:rPr>
          <w:t>http://eprints.lse.ac.uk/60775/</w:t>
        </w:r>
      </w:hyperlink>
    </w:p>
    <w:p w14:paraId="40EAECED" w14:textId="359B5BFB" w:rsidR="007602A8" w:rsidRDefault="007602A8" w:rsidP="00C875C2">
      <w:pPr>
        <w:spacing w:line="360" w:lineRule="auto"/>
        <w:jc w:val="both"/>
      </w:pPr>
      <w:r w:rsidRPr="007602A8">
        <w:rPr>
          <w:rFonts w:ascii="Times New Roman" w:hAnsi="Times New Roman" w:cs="Times New Roman"/>
          <w:sz w:val="24"/>
          <w:szCs w:val="24"/>
          <w:lang w:val="en-IN"/>
        </w:rPr>
        <w:t xml:space="preserve">Florist, A. (2022). </w:t>
      </w:r>
      <w:r w:rsidRPr="007602A8">
        <w:rPr>
          <w:rFonts w:ascii="Times New Roman" w:hAnsi="Times New Roman" w:cs="Times New Roman"/>
          <w:i/>
          <w:iCs/>
          <w:sz w:val="24"/>
          <w:szCs w:val="24"/>
          <w:lang w:val="en-IN"/>
        </w:rPr>
        <w:t>Mapping Global Population Changes</w:t>
      </w:r>
      <w:r w:rsidRPr="007602A8">
        <w:rPr>
          <w:rFonts w:ascii="Times New Roman" w:hAnsi="Times New Roman" w:cs="Times New Roman"/>
          <w:sz w:val="24"/>
          <w:szCs w:val="24"/>
          <w:lang w:val="en-IN"/>
        </w:rPr>
        <w:t xml:space="preserve"> (pp. 87–94). </w:t>
      </w:r>
      <w:hyperlink r:id="rId21" w:history="1">
        <w:r w:rsidRPr="007602A8">
          <w:rPr>
            <w:rStyle w:val="Hyperlink"/>
            <w:rFonts w:ascii="Times New Roman" w:hAnsi="Times New Roman" w:cs="Times New Roman"/>
            <w:sz w:val="24"/>
            <w:szCs w:val="24"/>
            <w:lang w:val="en-IN"/>
          </w:rPr>
          <w:t>https://doi.org/10.1007/978-981-16-6691-9_5</w:t>
        </w:r>
      </w:hyperlink>
    </w:p>
    <w:p w14:paraId="5CA42F2A" w14:textId="640DDFB8" w:rsidR="007A6627" w:rsidRDefault="007A6627" w:rsidP="00C875C2">
      <w:pPr>
        <w:spacing w:line="360" w:lineRule="auto"/>
        <w:jc w:val="both"/>
        <w:rPr>
          <w:rFonts w:ascii="Times New Roman" w:hAnsi="Times New Roman" w:cs="Times New Roman"/>
          <w:sz w:val="24"/>
          <w:szCs w:val="24"/>
          <w:lang w:val="en-IN"/>
        </w:rPr>
      </w:pPr>
      <w:r w:rsidRPr="007A6627">
        <w:rPr>
          <w:rFonts w:ascii="Times New Roman" w:hAnsi="Times New Roman" w:cs="Times New Roman"/>
          <w:sz w:val="24"/>
          <w:szCs w:val="24"/>
          <w:lang w:val="en-IN"/>
        </w:rPr>
        <w:t xml:space="preserve">Franco, S., Mandla, V. R., &amp; Rao, K. R. M. (2017). Urbanization, energy consumption and emissions in the Indian context A review. </w:t>
      </w:r>
      <w:r w:rsidRPr="007A6627">
        <w:rPr>
          <w:rFonts w:ascii="Times New Roman" w:hAnsi="Times New Roman" w:cs="Times New Roman"/>
          <w:i/>
          <w:iCs/>
          <w:sz w:val="24"/>
          <w:szCs w:val="24"/>
          <w:lang w:val="en-IN"/>
        </w:rPr>
        <w:t>Renewable &amp; Sustainable Energy Reviews</w:t>
      </w:r>
      <w:r w:rsidRPr="007A6627">
        <w:rPr>
          <w:rFonts w:ascii="Times New Roman" w:hAnsi="Times New Roman" w:cs="Times New Roman"/>
          <w:sz w:val="24"/>
          <w:szCs w:val="24"/>
          <w:lang w:val="en-IN"/>
        </w:rPr>
        <w:t xml:space="preserve">, </w:t>
      </w:r>
      <w:r w:rsidRPr="007A6627">
        <w:rPr>
          <w:rFonts w:ascii="Times New Roman" w:hAnsi="Times New Roman" w:cs="Times New Roman"/>
          <w:i/>
          <w:iCs/>
          <w:sz w:val="24"/>
          <w:szCs w:val="24"/>
          <w:lang w:val="en-IN"/>
        </w:rPr>
        <w:t>71</w:t>
      </w:r>
      <w:r w:rsidRPr="007A6627">
        <w:rPr>
          <w:rFonts w:ascii="Times New Roman" w:hAnsi="Times New Roman" w:cs="Times New Roman"/>
          <w:sz w:val="24"/>
          <w:szCs w:val="24"/>
          <w:lang w:val="en-IN"/>
        </w:rPr>
        <w:t xml:space="preserve">, 898–907. </w:t>
      </w:r>
      <w:hyperlink r:id="rId22" w:history="1">
        <w:r w:rsidRPr="007A6627">
          <w:rPr>
            <w:rStyle w:val="Hyperlink"/>
            <w:rFonts w:ascii="Times New Roman" w:hAnsi="Times New Roman" w:cs="Times New Roman"/>
            <w:sz w:val="24"/>
            <w:szCs w:val="24"/>
            <w:lang w:val="en-IN"/>
          </w:rPr>
          <w:t>https://doi.org/10.1016/J.RSER.2016.12.117</w:t>
        </w:r>
      </w:hyperlink>
    </w:p>
    <w:p w14:paraId="34B5D641" w14:textId="119D5A77" w:rsidR="00991C36" w:rsidRDefault="00991C36" w:rsidP="00C875C2">
      <w:pPr>
        <w:spacing w:line="360" w:lineRule="auto"/>
        <w:jc w:val="both"/>
        <w:rPr>
          <w:rFonts w:ascii="Times New Roman" w:hAnsi="Times New Roman" w:cs="Times New Roman"/>
          <w:sz w:val="24"/>
          <w:szCs w:val="24"/>
          <w:lang w:val="en-IN"/>
        </w:rPr>
      </w:pPr>
      <w:proofErr w:type="spellStart"/>
      <w:r w:rsidRPr="00991C36">
        <w:rPr>
          <w:rFonts w:ascii="Times New Roman" w:hAnsi="Times New Roman" w:cs="Times New Roman"/>
          <w:sz w:val="24"/>
          <w:szCs w:val="24"/>
          <w:lang w:val="en-IN"/>
        </w:rPr>
        <w:t>Gierałtowska</w:t>
      </w:r>
      <w:proofErr w:type="spellEnd"/>
      <w:r w:rsidRPr="00991C36">
        <w:rPr>
          <w:rFonts w:ascii="Times New Roman" w:hAnsi="Times New Roman" w:cs="Times New Roman"/>
          <w:sz w:val="24"/>
          <w:szCs w:val="24"/>
          <w:lang w:val="en-IN"/>
        </w:rPr>
        <w:t xml:space="preserve">, U., </w:t>
      </w:r>
      <w:proofErr w:type="spellStart"/>
      <w:r w:rsidRPr="00991C36">
        <w:rPr>
          <w:rFonts w:ascii="Times New Roman" w:hAnsi="Times New Roman" w:cs="Times New Roman"/>
          <w:sz w:val="24"/>
          <w:szCs w:val="24"/>
          <w:lang w:val="en-IN"/>
        </w:rPr>
        <w:t>Asyngier</w:t>
      </w:r>
      <w:proofErr w:type="spellEnd"/>
      <w:r w:rsidRPr="00991C36">
        <w:rPr>
          <w:rFonts w:ascii="Times New Roman" w:hAnsi="Times New Roman" w:cs="Times New Roman"/>
          <w:sz w:val="24"/>
          <w:szCs w:val="24"/>
          <w:lang w:val="en-IN"/>
        </w:rPr>
        <w:t xml:space="preserve">, R., </w:t>
      </w:r>
      <w:proofErr w:type="spellStart"/>
      <w:r w:rsidRPr="00991C36">
        <w:rPr>
          <w:rFonts w:ascii="Times New Roman" w:hAnsi="Times New Roman" w:cs="Times New Roman"/>
          <w:sz w:val="24"/>
          <w:szCs w:val="24"/>
          <w:lang w:val="en-IN"/>
        </w:rPr>
        <w:t>Nakonieczny</w:t>
      </w:r>
      <w:proofErr w:type="spellEnd"/>
      <w:r w:rsidRPr="00991C36">
        <w:rPr>
          <w:rFonts w:ascii="Times New Roman" w:hAnsi="Times New Roman" w:cs="Times New Roman"/>
          <w:sz w:val="24"/>
          <w:szCs w:val="24"/>
          <w:lang w:val="en-IN"/>
        </w:rPr>
        <w:t xml:space="preserve">, J., &amp; </w:t>
      </w:r>
      <w:proofErr w:type="spellStart"/>
      <w:r w:rsidRPr="00991C36">
        <w:rPr>
          <w:rFonts w:ascii="Times New Roman" w:hAnsi="Times New Roman" w:cs="Times New Roman"/>
          <w:sz w:val="24"/>
          <w:szCs w:val="24"/>
          <w:lang w:val="en-IN"/>
        </w:rPr>
        <w:t>Salahodjaev</w:t>
      </w:r>
      <w:proofErr w:type="spellEnd"/>
      <w:r w:rsidRPr="00991C36">
        <w:rPr>
          <w:rFonts w:ascii="Times New Roman" w:hAnsi="Times New Roman" w:cs="Times New Roman"/>
          <w:sz w:val="24"/>
          <w:szCs w:val="24"/>
          <w:lang w:val="en-IN"/>
        </w:rPr>
        <w:t xml:space="preserve">, R. (2022). Renewable Energy, Urbanization, and CO2 Emissions: A Global Test. </w:t>
      </w:r>
      <w:r w:rsidRPr="00991C36">
        <w:rPr>
          <w:rFonts w:ascii="Times New Roman" w:hAnsi="Times New Roman" w:cs="Times New Roman"/>
          <w:i/>
          <w:iCs/>
          <w:sz w:val="24"/>
          <w:szCs w:val="24"/>
          <w:lang w:val="en-IN"/>
        </w:rPr>
        <w:t>Energies</w:t>
      </w:r>
      <w:r w:rsidRPr="00991C36">
        <w:rPr>
          <w:rFonts w:ascii="Times New Roman" w:hAnsi="Times New Roman" w:cs="Times New Roman"/>
          <w:sz w:val="24"/>
          <w:szCs w:val="24"/>
          <w:lang w:val="en-IN"/>
        </w:rPr>
        <w:t xml:space="preserve">, </w:t>
      </w:r>
      <w:r w:rsidRPr="00991C36">
        <w:rPr>
          <w:rFonts w:ascii="Times New Roman" w:hAnsi="Times New Roman" w:cs="Times New Roman"/>
          <w:i/>
          <w:iCs/>
          <w:sz w:val="24"/>
          <w:szCs w:val="24"/>
          <w:lang w:val="en-IN"/>
        </w:rPr>
        <w:t>15</w:t>
      </w:r>
      <w:r w:rsidRPr="00991C36">
        <w:rPr>
          <w:rFonts w:ascii="Times New Roman" w:hAnsi="Times New Roman" w:cs="Times New Roman"/>
          <w:sz w:val="24"/>
          <w:szCs w:val="24"/>
          <w:lang w:val="en-IN"/>
        </w:rPr>
        <w:t xml:space="preserve">(9), 3390. </w:t>
      </w:r>
      <w:hyperlink r:id="rId23" w:history="1">
        <w:r w:rsidRPr="00991C36">
          <w:rPr>
            <w:rStyle w:val="Hyperlink"/>
            <w:rFonts w:ascii="Times New Roman" w:hAnsi="Times New Roman" w:cs="Times New Roman"/>
            <w:sz w:val="24"/>
            <w:szCs w:val="24"/>
            <w:lang w:val="en-IN"/>
          </w:rPr>
          <w:t>https://doi.org/10.3390/en15093390</w:t>
        </w:r>
      </w:hyperlink>
    </w:p>
    <w:p w14:paraId="2DD6B001" w14:textId="4207D004" w:rsidR="007602A8" w:rsidRDefault="007602A8" w:rsidP="00C875C2">
      <w:pPr>
        <w:spacing w:line="360" w:lineRule="auto"/>
        <w:jc w:val="both"/>
      </w:pPr>
      <w:proofErr w:type="spellStart"/>
      <w:r w:rsidRPr="007602A8">
        <w:rPr>
          <w:rFonts w:ascii="Times New Roman" w:hAnsi="Times New Roman" w:cs="Times New Roman"/>
          <w:sz w:val="24"/>
          <w:szCs w:val="24"/>
          <w:lang w:val="en-IN"/>
        </w:rPr>
        <w:t>Hallegatte</w:t>
      </w:r>
      <w:proofErr w:type="spellEnd"/>
      <w:r w:rsidRPr="007602A8">
        <w:rPr>
          <w:rFonts w:ascii="Times New Roman" w:hAnsi="Times New Roman" w:cs="Times New Roman"/>
          <w:sz w:val="24"/>
          <w:szCs w:val="24"/>
          <w:lang w:val="en-IN"/>
        </w:rPr>
        <w:t xml:space="preserve">, S., &amp; Corfee-Morlot, J. (2011). Coordination -&gt; Special issue of Climatic Change 104(1) “Understanding climate change impacts, vulnerability and adaptation at city scale: an introduction.” </w:t>
      </w:r>
      <w:r w:rsidRPr="007602A8">
        <w:rPr>
          <w:rFonts w:ascii="Times New Roman" w:hAnsi="Times New Roman" w:cs="Times New Roman"/>
          <w:i/>
          <w:iCs/>
          <w:sz w:val="24"/>
          <w:szCs w:val="24"/>
          <w:lang w:val="en-IN"/>
        </w:rPr>
        <w:t>Climatic Change</w:t>
      </w:r>
      <w:r w:rsidRPr="007602A8">
        <w:rPr>
          <w:rFonts w:ascii="Times New Roman" w:hAnsi="Times New Roman" w:cs="Times New Roman"/>
          <w:sz w:val="24"/>
          <w:szCs w:val="24"/>
          <w:lang w:val="en-IN"/>
        </w:rPr>
        <w:t xml:space="preserve">, </w:t>
      </w:r>
      <w:r w:rsidRPr="007602A8">
        <w:rPr>
          <w:rFonts w:ascii="Times New Roman" w:hAnsi="Times New Roman" w:cs="Times New Roman"/>
          <w:i/>
          <w:iCs/>
          <w:sz w:val="24"/>
          <w:szCs w:val="24"/>
          <w:lang w:val="en-IN"/>
        </w:rPr>
        <w:t>104</w:t>
      </w:r>
      <w:r w:rsidRPr="007602A8">
        <w:rPr>
          <w:rFonts w:ascii="Times New Roman" w:hAnsi="Times New Roman" w:cs="Times New Roman"/>
          <w:sz w:val="24"/>
          <w:szCs w:val="24"/>
          <w:lang w:val="en-IN"/>
        </w:rPr>
        <w:t xml:space="preserve">(1), 12. </w:t>
      </w:r>
      <w:hyperlink r:id="rId24" w:history="1">
        <w:r w:rsidRPr="007602A8">
          <w:rPr>
            <w:rStyle w:val="Hyperlink"/>
            <w:rFonts w:ascii="Times New Roman" w:hAnsi="Times New Roman" w:cs="Times New Roman"/>
            <w:sz w:val="24"/>
            <w:szCs w:val="24"/>
            <w:lang w:val="en-IN"/>
          </w:rPr>
          <w:t>https://hal-enpc.archives-ouvertes.fr/hal-0071928</w:t>
        </w:r>
        <w:r w:rsidRPr="009147A6">
          <w:rPr>
            <w:rStyle w:val="Hyperlink"/>
            <w:rFonts w:ascii="Times New Roman" w:hAnsi="Times New Roman" w:cs="Times New Roman"/>
            <w:sz w:val="24"/>
            <w:szCs w:val="24"/>
            <w:lang w:val="en-IN"/>
          </w:rPr>
          <w:t>9</w:t>
        </w:r>
      </w:hyperlink>
    </w:p>
    <w:p w14:paraId="458CBCF2" w14:textId="5BB17E78" w:rsidR="009A7DAF" w:rsidRDefault="009A7DAF" w:rsidP="009D234C">
      <w:pPr>
        <w:spacing w:line="360" w:lineRule="auto"/>
        <w:jc w:val="both"/>
      </w:pPr>
      <w:proofErr w:type="spellStart"/>
      <w:r w:rsidRPr="009A7DAF">
        <w:rPr>
          <w:rFonts w:ascii="Times New Roman" w:hAnsi="Times New Roman" w:cs="Times New Roman"/>
          <w:sz w:val="24"/>
          <w:szCs w:val="24"/>
          <w:lang w:val="en-IN"/>
        </w:rPr>
        <w:t>Itoo</w:t>
      </w:r>
      <w:proofErr w:type="spellEnd"/>
      <w:r w:rsidRPr="009A7DAF">
        <w:rPr>
          <w:rFonts w:ascii="Times New Roman" w:hAnsi="Times New Roman" w:cs="Times New Roman"/>
          <w:sz w:val="24"/>
          <w:szCs w:val="24"/>
          <w:lang w:val="en-IN"/>
        </w:rPr>
        <w:t xml:space="preserve">, H. H., &amp; Ali, N. (2022). </w:t>
      </w:r>
      <w:proofErr w:type="spellStart"/>
      <w:r w:rsidRPr="009A7DAF">
        <w:rPr>
          <w:rFonts w:ascii="Times New Roman" w:hAnsi="Times New Roman" w:cs="Times New Roman"/>
          <w:sz w:val="24"/>
          <w:szCs w:val="24"/>
          <w:lang w:val="en-IN"/>
        </w:rPr>
        <w:t>Analyzing</w:t>
      </w:r>
      <w:proofErr w:type="spellEnd"/>
      <w:r w:rsidRPr="009A7DAF">
        <w:rPr>
          <w:rFonts w:ascii="Times New Roman" w:hAnsi="Times New Roman" w:cs="Times New Roman"/>
          <w:sz w:val="24"/>
          <w:szCs w:val="24"/>
          <w:lang w:val="en-IN"/>
        </w:rPr>
        <w:t xml:space="preserve"> the causal nexus between CO2 emissions and its determinants in India: </w:t>
      </w:r>
      <w:proofErr w:type="spellStart"/>
      <w:r w:rsidRPr="009A7DAF">
        <w:rPr>
          <w:rFonts w:ascii="Times New Roman" w:hAnsi="Times New Roman" w:cs="Times New Roman"/>
          <w:sz w:val="24"/>
          <w:szCs w:val="24"/>
          <w:lang w:val="en-IN"/>
        </w:rPr>
        <w:t>evidencesfrom</w:t>
      </w:r>
      <w:proofErr w:type="spellEnd"/>
      <w:r w:rsidRPr="009A7DAF">
        <w:rPr>
          <w:rFonts w:ascii="Times New Roman" w:hAnsi="Times New Roman" w:cs="Times New Roman"/>
          <w:sz w:val="24"/>
          <w:szCs w:val="24"/>
          <w:lang w:val="en-IN"/>
        </w:rPr>
        <w:t xml:space="preserve"> ARDL and EKC approach. </w:t>
      </w:r>
      <w:r w:rsidRPr="009A7DAF">
        <w:rPr>
          <w:rFonts w:ascii="Times New Roman" w:hAnsi="Times New Roman" w:cs="Times New Roman"/>
          <w:i/>
          <w:iCs/>
          <w:sz w:val="24"/>
          <w:szCs w:val="24"/>
          <w:lang w:val="en-IN"/>
        </w:rPr>
        <w:t>Management of Environmental Quality: An International Journal</w:t>
      </w:r>
      <w:r w:rsidRPr="009A7DAF">
        <w:rPr>
          <w:rFonts w:ascii="Times New Roman" w:hAnsi="Times New Roman" w:cs="Times New Roman"/>
          <w:sz w:val="24"/>
          <w:szCs w:val="24"/>
          <w:lang w:val="en-IN"/>
        </w:rPr>
        <w:t xml:space="preserve">, </w:t>
      </w:r>
      <w:r w:rsidRPr="009A7DAF">
        <w:rPr>
          <w:rFonts w:ascii="Times New Roman" w:hAnsi="Times New Roman" w:cs="Times New Roman"/>
          <w:i/>
          <w:iCs/>
          <w:sz w:val="24"/>
          <w:szCs w:val="24"/>
          <w:lang w:val="en-IN"/>
        </w:rPr>
        <w:t>34</w:t>
      </w:r>
      <w:r w:rsidRPr="009A7DAF">
        <w:rPr>
          <w:rFonts w:ascii="Times New Roman" w:hAnsi="Times New Roman" w:cs="Times New Roman"/>
          <w:sz w:val="24"/>
          <w:szCs w:val="24"/>
          <w:lang w:val="en-IN"/>
        </w:rPr>
        <w:t xml:space="preserve">(1), 192–213. </w:t>
      </w:r>
      <w:hyperlink r:id="rId25" w:history="1">
        <w:r w:rsidRPr="009A7DAF">
          <w:rPr>
            <w:rStyle w:val="Hyperlink"/>
            <w:rFonts w:ascii="Times New Roman" w:hAnsi="Times New Roman" w:cs="Times New Roman"/>
            <w:sz w:val="24"/>
            <w:szCs w:val="24"/>
            <w:lang w:val="en-IN"/>
          </w:rPr>
          <w:t>https://doi.org/10.1108/meq-01-2022-0014</w:t>
        </w:r>
      </w:hyperlink>
    </w:p>
    <w:p w14:paraId="3334C3EF" w14:textId="2215ABB0" w:rsidR="00153688" w:rsidRDefault="00153688" w:rsidP="009D234C">
      <w:pPr>
        <w:spacing w:line="360" w:lineRule="auto"/>
        <w:jc w:val="both"/>
        <w:rPr>
          <w:rFonts w:ascii="Times New Roman" w:hAnsi="Times New Roman" w:cs="Times New Roman"/>
          <w:sz w:val="24"/>
          <w:szCs w:val="24"/>
          <w:lang w:val="en-IN"/>
        </w:rPr>
      </w:pPr>
      <w:r w:rsidRPr="00153688">
        <w:rPr>
          <w:rFonts w:ascii="Times New Roman" w:hAnsi="Times New Roman" w:cs="Times New Roman"/>
          <w:sz w:val="24"/>
          <w:szCs w:val="24"/>
          <w:lang w:val="en-IN"/>
        </w:rPr>
        <w:t xml:space="preserve">Jóźwik, B., Panda, S. P., Dash, A. K., Sahu, P. K., &amp; Szwed, R. (2025). Revisiting the Nexus Between Energy Consumption, Economic Growth, and CO2 Emissions in India and China: </w:t>
      </w:r>
      <w:r w:rsidRPr="00153688">
        <w:rPr>
          <w:rFonts w:ascii="Times New Roman" w:hAnsi="Times New Roman" w:cs="Times New Roman"/>
          <w:sz w:val="24"/>
          <w:szCs w:val="24"/>
          <w:lang w:val="en-IN"/>
        </w:rPr>
        <w:lastRenderedPageBreak/>
        <w:t xml:space="preserve">Insights from the Long Short-Term Memory (LSTM) Model. </w:t>
      </w:r>
      <w:r w:rsidRPr="00153688">
        <w:rPr>
          <w:rFonts w:ascii="Times New Roman" w:hAnsi="Times New Roman" w:cs="Times New Roman"/>
          <w:i/>
          <w:iCs/>
          <w:sz w:val="24"/>
          <w:szCs w:val="24"/>
          <w:lang w:val="en-IN"/>
        </w:rPr>
        <w:t>Energies</w:t>
      </w:r>
      <w:r w:rsidRPr="00153688">
        <w:rPr>
          <w:rFonts w:ascii="Times New Roman" w:hAnsi="Times New Roman" w:cs="Times New Roman"/>
          <w:sz w:val="24"/>
          <w:szCs w:val="24"/>
          <w:lang w:val="en-IN"/>
        </w:rPr>
        <w:t xml:space="preserve">, </w:t>
      </w:r>
      <w:r w:rsidRPr="00153688">
        <w:rPr>
          <w:rFonts w:ascii="Times New Roman" w:hAnsi="Times New Roman" w:cs="Times New Roman"/>
          <w:i/>
          <w:iCs/>
          <w:sz w:val="24"/>
          <w:szCs w:val="24"/>
          <w:lang w:val="en-IN"/>
        </w:rPr>
        <w:t>18</w:t>
      </w:r>
      <w:r w:rsidRPr="00153688">
        <w:rPr>
          <w:rFonts w:ascii="Times New Roman" w:hAnsi="Times New Roman" w:cs="Times New Roman"/>
          <w:sz w:val="24"/>
          <w:szCs w:val="24"/>
          <w:lang w:val="en-IN"/>
        </w:rPr>
        <w:t xml:space="preserve">(15), 4167. </w:t>
      </w:r>
      <w:hyperlink r:id="rId26" w:history="1">
        <w:r w:rsidRPr="00153688">
          <w:rPr>
            <w:rStyle w:val="Hyperlink"/>
            <w:rFonts w:ascii="Times New Roman" w:hAnsi="Times New Roman" w:cs="Times New Roman"/>
            <w:sz w:val="24"/>
            <w:szCs w:val="24"/>
            <w:lang w:val="en-IN"/>
          </w:rPr>
          <w:t>https://doi.org/10.3390/en1815416</w:t>
        </w:r>
        <w:r w:rsidRPr="008C3D33">
          <w:rPr>
            <w:rStyle w:val="Hyperlink"/>
            <w:rFonts w:ascii="Times New Roman" w:hAnsi="Times New Roman" w:cs="Times New Roman"/>
            <w:sz w:val="24"/>
            <w:szCs w:val="24"/>
            <w:lang w:val="en-IN"/>
          </w:rPr>
          <w:t>7</w:t>
        </w:r>
      </w:hyperlink>
    </w:p>
    <w:p w14:paraId="7B82452B" w14:textId="7BFB0E16" w:rsidR="00CA2BBA" w:rsidRDefault="00CA2BBA" w:rsidP="009D234C">
      <w:pPr>
        <w:spacing w:line="360" w:lineRule="auto"/>
        <w:jc w:val="both"/>
        <w:rPr>
          <w:rFonts w:ascii="Times New Roman" w:hAnsi="Times New Roman" w:cs="Times New Roman"/>
          <w:sz w:val="24"/>
          <w:szCs w:val="24"/>
        </w:rPr>
      </w:pPr>
      <w:r w:rsidRPr="00CA2BBA">
        <w:rPr>
          <w:rFonts w:ascii="Times New Roman" w:hAnsi="Times New Roman" w:cs="Times New Roman"/>
          <w:sz w:val="24"/>
          <w:szCs w:val="24"/>
        </w:rPr>
        <w:t>Khan, I., Khan, N., Yaqub, A., &amp; Sabir, M. (2019). An empirical investigation of the determinants of CO2 emissions: evidence from Pakistan. </w:t>
      </w:r>
      <w:r w:rsidRPr="00CA2BBA">
        <w:rPr>
          <w:rFonts w:ascii="Times New Roman" w:hAnsi="Times New Roman" w:cs="Times New Roman"/>
          <w:i/>
          <w:iCs/>
          <w:sz w:val="24"/>
          <w:szCs w:val="24"/>
        </w:rPr>
        <w:t>Environmental Science and Pollution Research</w:t>
      </w:r>
      <w:r w:rsidRPr="00CA2BBA">
        <w:rPr>
          <w:rFonts w:ascii="Times New Roman" w:hAnsi="Times New Roman" w:cs="Times New Roman"/>
          <w:sz w:val="24"/>
          <w:szCs w:val="24"/>
        </w:rPr>
        <w:t>, </w:t>
      </w:r>
      <w:r w:rsidRPr="00CA2BBA">
        <w:rPr>
          <w:rFonts w:ascii="Times New Roman" w:hAnsi="Times New Roman" w:cs="Times New Roman"/>
          <w:i/>
          <w:iCs/>
          <w:sz w:val="24"/>
          <w:szCs w:val="24"/>
        </w:rPr>
        <w:t>26</w:t>
      </w:r>
      <w:r w:rsidRPr="00CA2BBA">
        <w:rPr>
          <w:rFonts w:ascii="Times New Roman" w:hAnsi="Times New Roman" w:cs="Times New Roman"/>
          <w:sz w:val="24"/>
          <w:szCs w:val="24"/>
        </w:rPr>
        <w:t>(9), 9099-9112.</w:t>
      </w:r>
      <w:r>
        <w:rPr>
          <w:rFonts w:ascii="Times New Roman" w:hAnsi="Times New Roman" w:cs="Times New Roman"/>
          <w:sz w:val="24"/>
          <w:szCs w:val="24"/>
        </w:rPr>
        <w:t xml:space="preserve"> </w:t>
      </w:r>
      <w:hyperlink r:id="rId27" w:history="1">
        <w:r w:rsidRPr="008C3D33">
          <w:rPr>
            <w:rStyle w:val="Hyperlink"/>
            <w:rFonts w:ascii="Times New Roman" w:hAnsi="Times New Roman" w:cs="Times New Roman"/>
            <w:sz w:val="24"/>
            <w:szCs w:val="24"/>
          </w:rPr>
          <w:t>https://doi.org/10.1007/s11356-019-04342-8</w:t>
        </w:r>
      </w:hyperlink>
    </w:p>
    <w:p w14:paraId="6466D8C2" w14:textId="1EFF5C82" w:rsidR="009D234C" w:rsidRDefault="00991C36" w:rsidP="009D234C">
      <w:pPr>
        <w:spacing w:line="360" w:lineRule="auto"/>
        <w:jc w:val="both"/>
      </w:pPr>
      <w:r w:rsidRPr="00991C36">
        <w:rPr>
          <w:rFonts w:ascii="Times New Roman" w:hAnsi="Times New Roman" w:cs="Times New Roman"/>
          <w:sz w:val="24"/>
          <w:szCs w:val="24"/>
          <w:lang w:val="en-IN"/>
        </w:rPr>
        <w:t xml:space="preserve">Ma, B., &amp; Ogata, S. (2024). Impact of Urbanization on Carbon Dioxide Emissions—Evidence from 136 Countries and Regions. </w:t>
      </w:r>
      <w:r w:rsidRPr="00991C36">
        <w:rPr>
          <w:rFonts w:ascii="Times New Roman" w:hAnsi="Times New Roman" w:cs="Times New Roman"/>
          <w:i/>
          <w:iCs/>
          <w:sz w:val="24"/>
          <w:szCs w:val="24"/>
          <w:lang w:val="en-IN"/>
        </w:rPr>
        <w:t>Sustainability</w:t>
      </w:r>
      <w:r w:rsidRPr="00991C36">
        <w:rPr>
          <w:rFonts w:ascii="Times New Roman" w:hAnsi="Times New Roman" w:cs="Times New Roman"/>
          <w:sz w:val="24"/>
          <w:szCs w:val="24"/>
          <w:lang w:val="en-IN"/>
        </w:rPr>
        <w:t xml:space="preserve">, </w:t>
      </w:r>
      <w:r w:rsidRPr="00991C36">
        <w:rPr>
          <w:rFonts w:ascii="Times New Roman" w:hAnsi="Times New Roman" w:cs="Times New Roman"/>
          <w:i/>
          <w:iCs/>
          <w:sz w:val="24"/>
          <w:szCs w:val="24"/>
          <w:lang w:val="en-IN"/>
        </w:rPr>
        <w:t>16</w:t>
      </w:r>
      <w:r w:rsidRPr="00991C36">
        <w:rPr>
          <w:rFonts w:ascii="Times New Roman" w:hAnsi="Times New Roman" w:cs="Times New Roman"/>
          <w:sz w:val="24"/>
          <w:szCs w:val="24"/>
          <w:lang w:val="en-IN"/>
        </w:rPr>
        <w:t xml:space="preserve">(18), 7878. </w:t>
      </w:r>
      <w:hyperlink r:id="rId28" w:history="1">
        <w:r w:rsidRPr="00991C36">
          <w:rPr>
            <w:rStyle w:val="Hyperlink"/>
            <w:rFonts w:ascii="Times New Roman" w:hAnsi="Times New Roman" w:cs="Times New Roman"/>
            <w:sz w:val="24"/>
            <w:szCs w:val="24"/>
            <w:lang w:val="en-IN"/>
          </w:rPr>
          <w:t>https://doi.org/10.3390/su16187878</w:t>
        </w:r>
      </w:hyperlink>
    </w:p>
    <w:p w14:paraId="6E2F89E6" w14:textId="3C6D70FF" w:rsidR="00A92EF4" w:rsidRDefault="00A92EF4" w:rsidP="00C875C2">
      <w:pPr>
        <w:spacing w:line="360" w:lineRule="auto"/>
        <w:jc w:val="both"/>
        <w:rPr>
          <w:rFonts w:ascii="Times New Roman" w:hAnsi="Times New Roman" w:cs="Times New Roman"/>
          <w:sz w:val="24"/>
          <w:szCs w:val="24"/>
          <w:lang w:val="en-IN"/>
        </w:rPr>
      </w:pPr>
      <w:r w:rsidRPr="00A92EF4">
        <w:rPr>
          <w:rFonts w:ascii="Times New Roman" w:hAnsi="Times New Roman" w:cs="Times New Roman"/>
          <w:sz w:val="24"/>
          <w:szCs w:val="24"/>
          <w:lang w:val="en-IN"/>
        </w:rPr>
        <w:t xml:space="preserve">Mukhopadhyay, K., &amp; Chakraborty, D. (2003). Economic reforms, energy consumption changes and CO2 emissions in India: A quantitative analysis. </w:t>
      </w:r>
      <w:r w:rsidRPr="00A92EF4">
        <w:rPr>
          <w:rFonts w:ascii="Times New Roman" w:hAnsi="Times New Roman" w:cs="Times New Roman"/>
          <w:i/>
          <w:iCs/>
          <w:sz w:val="24"/>
          <w:szCs w:val="24"/>
          <w:lang w:val="en-IN"/>
        </w:rPr>
        <w:t>Asia-Pacific Development Journal</w:t>
      </w:r>
      <w:r w:rsidRPr="00A92EF4">
        <w:rPr>
          <w:rFonts w:ascii="Times New Roman" w:hAnsi="Times New Roman" w:cs="Times New Roman"/>
          <w:sz w:val="24"/>
          <w:szCs w:val="24"/>
          <w:lang w:val="en-IN"/>
        </w:rPr>
        <w:t xml:space="preserve">, </w:t>
      </w:r>
      <w:r w:rsidRPr="00A92EF4">
        <w:rPr>
          <w:rFonts w:ascii="Times New Roman" w:hAnsi="Times New Roman" w:cs="Times New Roman"/>
          <w:i/>
          <w:iCs/>
          <w:sz w:val="24"/>
          <w:szCs w:val="24"/>
          <w:lang w:val="en-IN"/>
        </w:rPr>
        <w:t>9</w:t>
      </w:r>
      <w:r w:rsidRPr="00A92EF4">
        <w:rPr>
          <w:rFonts w:ascii="Times New Roman" w:hAnsi="Times New Roman" w:cs="Times New Roman"/>
          <w:sz w:val="24"/>
          <w:szCs w:val="24"/>
          <w:lang w:val="en-IN"/>
        </w:rPr>
        <w:t xml:space="preserve">(2), 107–129. </w:t>
      </w:r>
      <w:hyperlink r:id="rId29" w:history="1">
        <w:r w:rsidRPr="00A92EF4">
          <w:rPr>
            <w:rStyle w:val="Hyperlink"/>
            <w:rFonts w:ascii="Times New Roman" w:hAnsi="Times New Roman" w:cs="Times New Roman"/>
            <w:sz w:val="24"/>
            <w:szCs w:val="24"/>
            <w:lang w:val="en-IN"/>
          </w:rPr>
          <w:t>https://doi.org/10.18356/0B0E8CFC-EN</w:t>
        </w:r>
      </w:hyperlink>
    </w:p>
    <w:p w14:paraId="07F794B9" w14:textId="55DBD963" w:rsidR="009D234C" w:rsidRPr="00A92EF4" w:rsidRDefault="009D234C" w:rsidP="00C875C2">
      <w:pPr>
        <w:spacing w:line="360" w:lineRule="auto"/>
        <w:jc w:val="both"/>
        <w:rPr>
          <w:rFonts w:ascii="Times New Roman" w:hAnsi="Times New Roman" w:cs="Times New Roman"/>
          <w:sz w:val="24"/>
          <w:szCs w:val="24"/>
          <w:lang w:val="en-IN"/>
        </w:rPr>
      </w:pPr>
      <w:proofErr w:type="spellStart"/>
      <w:r w:rsidRPr="009D234C">
        <w:rPr>
          <w:rFonts w:ascii="Times New Roman" w:hAnsi="Times New Roman" w:cs="Times New Roman"/>
          <w:sz w:val="24"/>
          <w:szCs w:val="24"/>
          <w:lang w:val="en-IN"/>
        </w:rPr>
        <w:t>Myszczyszyn</w:t>
      </w:r>
      <w:proofErr w:type="spellEnd"/>
      <w:r w:rsidRPr="009D234C">
        <w:rPr>
          <w:rFonts w:ascii="Times New Roman" w:hAnsi="Times New Roman" w:cs="Times New Roman"/>
          <w:sz w:val="24"/>
          <w:szCs w:val="24"/>
          <w:lang w:val="en-IN"/>
        </w:rPr>
        <w:t xml:space="preserve">, J., &amp; </w:t>
      </w:r>
      <w:proofErr w:type="spellStart"/>
      <w:r w:rsidRPr="009D234C">
        <w:rPr>
          <w:rFonts w:ascii="Times New Roman" w:hAnsi="Times New Roman" w:cs="Times New Roman"/>
          <w:sz w:val="24"/>
          <w:szCs w:val="24"/>
          <w:lang w:val="en-IN"/>
        </w:rPr>
        <w:t>Supron</w:t>
      </w:r>
      <w:proofErr w:type="spellEnd"/>
      <w:r w:rsidRPr="009D234C">
        <w:rPr>
          <w:rFonts w:ascii="Times New Roman" w:hAnsi="Times New Roman" w:cs="Times New Roman"/>
          <w:sz w:val="24"/>
          <w:szCs w:val="24"/>
          <w:lang w:val="en-IN"/>
        </w:rPr>
        <w:t xml:space="preserve">, B. (2022). Relationship among Economic Growth, Energy Consumption, CO2 Emission, and Urbanization: An Econometric Perspective Analysis. </w:t>
      </w:r>
      <w:r w:rsidRPr="009D234C">
        <w:rPr>
          <w:rFonts w:ascii="Times New Roman" w:hAnsi="Times New Roman" w:cs="Times New Roman"/>
          <w:i/>
          <w:iCs/>
          <w:sz w:val="24"/>
          <w:szCs w:val="24"/>
          <w:lang w:val="en-IN"/>
        </w:rPr>
        <w:t>Energies</w:t>
      </w:r>
      <w:r w:rsidRPr="009D234C">
        <w:rPr>
          <w:rFonts w:ascii="Times New Roman" w:hAnsi="Times New Roman" w:cs="Times New Roman"/>
          <w:sz w:val="24"/>
          <w:szCs w:val="24"/>
          <w:lang w:val="en-IN"/>
        </w:rPr>
        <w:t xml:space="preserve">, </w:t>
      </w:r>
      <w:r w:rsidRPr="009D234C">
        <w:rPr>
          <w:rFonts w:ascii="Times New Roman" w:hAnsi="Times New Roman" w:cs="Times New Roman"/>
          <w:i/>
          <w:iCs/>
          <w:sz w:val="24"/>
          <w:szCs w:val="24"/>
          <w:lang w:val="en-IN"/>
        </w:rPr>
        <w:t>15</w:t>
      </w:r>
      <w:r w:rsidRPr="009D234C">
        <w:rPr>
          <w:rFonts w:ascii="Times New Roman" w:hAnsi="Times New Roman" w:cs="Times New Roman"/>
          <w:sz w:val="24"/>
          <w:szCs w:val="24"/>
          <w:lang w:val="en-IN"/>
        </w:rPr>
        <w:t xml:space="preserve">(24), 9647. </w:t>
      </w:r>
      <w:hyperlink r:id="rId30" w:history="1">
        <w:r w:rsidRPr="009D234C">
          <w:rPr>
            <w:rStyle w:val="Hyperlink"/>
            <w:rFonts w:ascii="Times New Roman" w:hAnsi="Times New Roman" w:cs="Times New Roman"/>
            <w:sz w:val="24"/>
            <w:szCs w:val="24"/>
            <w:lang w:val="en-IN"/>
          </w:rPr>
          <w:t>https://doi.org/10.3390/en15249647</w:t>
        </w:r>
      </w:hyperlink>
    </w:p>
    <w:p w14:paraId="41E2BA70" w14:textId="553DED81" w:rsidR="00153688" w:rsidRDefault="00153688" w:rsidP="00C875C2">
      <w:pPr>
        <w:spacing w:line="360" w:lineRule="auto"/>
        <w:jc w:val="both"/>
        <w:rPr>
          <w:rFonts w:ascii="Times New Roman" w:hAnsi="Times New Roman" w:cs="Times New Roman"/>
          <w:sz w:val="24"/>
          <w:szCs w:val="24"/>
          <w:lang w:val="en-IN"/>
        </w:rPr>
      </w:pPr>
      <w:r w:rsidRPr="00153688">
        <w:rPr>
          <w:rFonts w:ascii="Times New Roman" w:hAnsi="Times New Roman" w:cs="Times New Roman"/>
          <w:sz w:val="24"/>
          <w:szCs w:val="24"/>
          <w:lang w:val="en-IN"/>
        </w:rPr>
        <w:t xml:space="preserve">Philip, A., &amp; Kuriakose, N. E. (2025). Trends and Drivers of Greenhouse Gas Emissions in India: A Decadal Analysis (2010-2020). </w:t>
      </w:r>
      <w:r w:rsidRPr="00153688">
        <w:rPr>
          <w:rFonts w:ascii="Times New Roman" w:hAnsi="Times New Roman" w:cs="Times New Roman"/>
          <w:i/>
          <w:iCs/>
          <w:sz w:val="24"/>
          <w:szCs w:val="24"/>
          <w:lang w:val="en-IN"/>
        </w:rPr>
        <w:t>Current World Environment</w:t>
      </w:r>
      <w:r w:rsidRPr="00153688">
        <w:rPr>
          <w:rFonts w:ascii="Times New Roman" w:hAnsi="Times New Roman" w:cs="Times New Roman"/>
          <w:sz w:val="24"/>
          <w:szCs w:val="24"/>
          <w:lang w:val="en-IN"/>
        </w:rPr>
        <w:t xml:space="preserve">, </w:t>
      </w:r>
      <w:r w:rsidRPr="00153688">
        <w:rPr>
          <w:rFonts w:ascii="Times New Roman" w:hAnsi="Times New Roman" w:cs="Times New Roman"/>
          <w:i/>
          <w:iCs/>
          <w:sz w:val="24"/>
          <w:szCs w:val="24"/>
          <w:lang w:val="en-IN"/>
        </w:rPr>
        <w:t>19</w:t>
      </w:r>
      <w:r w:rsidRPr="00153688">
        <w:rPr>
          <w:rFonts w:ascii="Times New Roman" w:hAnsi="Times New Roman" w:cs="Times New Roman"/>
          <w:sz w:val="24"/>
          <w:szCs w:val="24"/>
          <w:lang w:val="en-IN"/>
        </w:rPr>
        <w:t xml:space="preserve">(3), 1355–1364. </w:t>
      </w:r>
      <w:hyperlink r:id="rId31" w:history="1">
        <w:r w:rsidRPr="00153688">
          <w:rPr>
            <w:rStyle w:val="Hyperlink"/>
            <w:rFonts w:ascii="Times New Roman" w:hAnsi="Times New Roman" w:cs="Times New Roman"/>
            <w:sz w:val="24"/>
            <w:szCs w:val="24"/>
            <w:lang w:val="en-IN"/>
          </w:rPr>
          <w:t>https://doi.org/10.12944/cwe.19.3.26</w:t>
        </w:r>
      </w:hyperlink>
    </w:p>
    <w:p w14:paraId="748FFE37" w14:textId="66E20570" w:rsidR="006D0F24" w:rsidRDefault="006D0F24" w:rsidP="00C875C2">
      <w:pPr>
        <w:spacing w:line="360" w:lineRule="auto"/>
        <w:jc w:val="both"/>
        <w:rPr>
          <w:rFonts w:ascii="Times New Roman" w:hAnsi="Times New Roman" w:cs="Times New Roman"/>
          <w:sz w:val="24"/>
          <w:szCs w:val="24"/>
          <w:lang w:val="en-IN"/>
        </w:rPr>
      </w:pPr>
      <w:r w:rsidRPr="006D0F24">
        <w:rPr>
          <w:rFonts w:ascii="Times New Roman" w:hAnsi="Times New Roman" w:cs="Times New Roman"/>
          <w:sz w:val="24"/>
          <w:szCs w:val="24"/>
        </w:rPr>
        <w:t xml:space="preserve">Seto, K. C., </w:t>
      </w:r>
      <w:proofErr w:type="spellStart"/>
      <w:r w:rsidRPr="006D0F24">
        <w:rPr>
          <w:rFonts w:ascii="Times New Roman" w:hAnsi="Times New Roman" w:cs="Times New Roman"/>
          <w:sz w:val="24"/>
          <w:szCs w:val="24"/>
        </w:rPr>
        <w:t>Güneralp</w:t>
      </w:r>
      <w:proofErr w:type="spellEnd"/>
      <w:r w:rsidRPr="006D0F24">
        <w:rPr>
          <w:rFonts w:ascii="Times New Roman" w:hAnsi="Times New Roman" w:cs="Times New Roman"/>
          <w:sz w:val="24"/>
          <w:szCs w:val="24"/>
        </w:rPr>
        <w:t xml:space="preserve">, B., &amp; Hutyra, L. R. (2012). Global forecasts of urban expansion to 2030 and direct impacts on biodiversity and carbon pools. </w:t>
      </w:r>
      <w:r w:rsidRPr="006D0F24">
        <w:rPr>
          <w:rFonts w:ascii="Times New Roman" w:hAnsi="Times New Roman" w:cs="Times New Roman"/>
          <w:i/>
          <w:iCs/>
          <w:sz w:val="24"/>
          <w:szCs w:val="24"/>
        </w:rPr>
        <w:t>Proceedings of the National Academy of Sciences of the United States of America, 109</w:t>
      </w:r>
      <w:r w:rsidRPr="006D0F24">
        <w:rPr>
          <w:rFonts w:ascii="Times New Roman" w:hAnsi="Times New Roman" w:cs="Times New Roman"/>
          <w:sz w:val="24"/>
          <w:szCs w:val="24"/>
        </w:rPr>
        <w:t xml:space="preserve">(40), 16083–16088. </w:t>
      </w:r>
      <w:hyperlink r:id="rId32" w:tgtFrame="_new" w:history="1">
        <w:r w:rsidRPr="006D0F24">
          <w:rPr>
            <w:rStyle w:val="Hyperlink"/>
            <w:rFonts w:ascii="Times New Roman" w:hAnsi="Times New Roman" w:cs="Times New Roman"/>
            <w:sz w:val="24"/>
            <w:szCs w:val="24"/>
          </w:rPr>
          <w:t>https://doi.org/10.1073/pnas.1211658109</w:t>
        </w:r>
      </w:hyperlink>
    </w:p>
    <w:p w14:paraId="4BB32E4A" w14:textId="28D45364" w:rsidR="00C875C2" w:rsidRDefault="00C875C2" w:rsidP="00C875C2">
      <w:pPr>
        <w:spacing w:line="360" w:lineRule="auto"/>
        <w:jc w:val="both"/>
        <w:rPr>
          <w:rFonts w:ascii="Times New Roman" w:hAnsi="Times New Roman" w:cs="Times New Roman"/>
          <w:sz w:val="24"/>
          <w:szCs w:val="24"/>
          <w:lang w:val="en-IN"/>
        </w:rPr>
      </w:pPr>
      <w:r w:rsidRPr="00C875C2">
        <w:rPr>
          <w:rFonts w:ascii="Times New Roman" w:hAnsi="Times New Roman" w:cs="Times New Roman"/>
          <w:sz w:val="24"/>
          <w:szCs w:val="24"/>
          <w:lang w:val="en-IN"/>
        </w:rPr>
        <w:t xml:space="preserve">Shabani, E., Hayati, B., </w:t>
      </w:r>
      <w:proofErr w:type="spellStart"/>
      <w:r w:rsidRPr="00C875C2">
        <w:rPr>
          <w:rFonts w:ascii="Times New Roman" w:hAnsi="Times New Roman" w:cs="Times New Roman"/>
          <w:sz w:val="24"/>
          <w:szCs w:val="24"/>
          <w:lang w:val="en-IN"/>
        </w:rPr>
        <w:t>Pishbahar</w:t>
      </w:r>
      <w:proofErr w:type="spellEnd"/>
      <w:r w:rsidRPr="00C875C2">
        <w:rPr>
          <w:rFonts w:ascii="Times New Roman" w:hAnsi="Times New Roman" w:cs="Times New Roman"/>
          <w:sz w:val="24"/>
          <w:szCs w:val="24"/>
          <w:lang w:val="en-IN"/>
        </w:rPr>
        <w:t xml:space="preserve">, E., Ghorbani, M. A., &amp; </w:t>
      </w:r>
      <w:proofErr w:type="spellStart"/>
      <w:r w:rsidRPr="00C875C2">
        <w:rPr>
          <w:rFonts w:ascii="Times New Roman" w:hAnsi="Times New Roman" w:cs="Times New Roman"/>
          <w:sz w:val="24"/>
          <w:szCs w:val="24"/>
          <w:lang w:val="en-IN"/>
        </w:rPr>
        <w:t>Ghahremanzadeh</w:t>
      </w:r>
      <w:proofErr w:type="spellEnd"/>
      <w:r w:rsidRPr="00C875C2">
        <w:rPr>
          <w:rFonts w:ascii="Times New Roman" w:hAnsi="Times New Roman" w:cs="Times New Roman"/>
          <w:sz w:val="24"/>
          <w:szCs w:val="24"/>
          <w:lang w:val="en-IN"/>
        </w:rPr>
        <w:t xml:space="preserve">, M. (2021). The relationship between CO2 emission, economic growth, energy consumption, and urbanization in the ECO member countries. </w:t>
      </w:r>
      <w:r w:rsidRPr="00C875C2">
        <w:rPr>
          <w:rFonts w:ascii="Times New Roman" w:hAnsi="Times New Roman" w:cs="Times New Roman"/>
          <w:i/>
          <w:iCs/>
          <w:sz w:val="24"/>
          <w:szCs w:val="24"/>
          <w:lang w:val="en-IN"/>
        </w:rPr>
        <w:t>International Journal of Environmental Science and Technology</w:t>
      </w:r>
      <w:r w:rsidRPr="00C875C2">
        <w:rPr>
          <w:rFonts w:ascii="Times New Roman" w:hAnsi="Times New Roman" w:cs="Times New Roman"/>
          <w:sz w:val="24"/>
          <w:szCs w:val="24"/>
          <w:lang w:val="en-IN"/>
        </w:rPr>
        <w:t xml:space="preserve">, 1–16. </w:t>
      </w:r>
      <w:hyperlink r:id="rId33" w:history="1">
        <w:r w:rsidRPr="00C875C2">
          <w:rPr>
            <w:rStyle w:val="Hyperlink"/>
            <w:rFonts w:ascii="Times New Roman" w:hAnsi="Times New Roman" w:cs="Times New Roman"/>
            <w:sz w:val="24"/>
            <w:szCs w:val="24"/>
            <w:lang w:val="en-IN"/>
          </w:rPr>
          <w:t>https://doi.org/10.1007/S13762-021-03319-W</w:t>
        </w:r>
      </w:hyperlink>
    </w:p>
    <w:p w14:paraId="20B632BF" w14:textId="0C047F4A" w:rsidR="00C875C2" w:rsidRDefault="00C875C2" w:rsidP="009A554A">
      <w:pPr>
        <w:spacing w:line="360" w:lineRule="auto"/>
        <w:jc w:val="both"/>
        <w:rPr>
          <w:rFonts w:ascii="Times New Roman" w:hAnsi="Times New Roman" w:cs="Times New Roman"/>
          <w:sz w:val="24"/>
          <w:szCs w:val="24"/>
        </w:rPr>
      </w:pPr>
      <w:r w:rsidRPr="00C875C2">
        <w:rPr>
          <w:rFonts w:ascii="Times New Roman" w:hAnsi="Times New Roman" w:cs="Times New Roman"/>
          <w:sz w:val="24"/>
          <w:szCs w:val="24"/>
        </w:rPr>
        <w:t>Farhani, S., &amp; Ozturk, I. (2015). Causal relationship between CO 2 emissions, real GDP, energy consumption, financial development, trade openness, and urbanization in Tunisia. </w:t>
      </w:r>
      <w:r w:rsidRPr="00C875C2">
        <w:rPr>
          <w:rFonts w:ascii="Times New Roman" w:hAnsi="Times New Roman" w:cs="Times New Roman"/>
          <w:i/>
          <w:iCs/>
          <w:sz w:val="24"/>
          <w:szCs w:val="24"/>
        </w:rPr>
        <w:t>Environmental Science and Pollution Research</w:t>
      </w:r>
      <w:r w:rsidRPr="00C875C2">
        <w:rPr>
          <w:rFonts w:ascii="Times New Roman" w:hAnsi="Times New Roman" w:cs="Times New Roman"/>
          <w:sz w:val="24"/>
          <w:szCs w:val="24"/>
        </w:rPr>
        <w:t>, </w:t>
      </w:r>
      <w:r w:rsidRPr="00C875C2">
        <w:rPr>
          <w:rFonts w:ascii="Times New Roman" w:hAnsi="Times New Roman" w:cs="Times New Roman"/>
          <w:i/>
          <w:iCs/>
          <w:sz w:val="24"/>
          <w:szCs w:val="24"/>
        </w:rPr>
        <w:t>22</w:t>
      </w:r>
      <w:r w:rsidRPr="00C875C2">
        <w:rPr>
          <w:rFonts w:ascii="Times New Roman" w:hAnsi="Times New Roman" w:cs="Times New Roman"/>
          <w:sz w:val="24"/>
          <w:szCs w:val="24"/>
        </w:rPr>
        <w:t>, 15663-15676.</w:t>
      </w:r>
    </w:p>
    <w:p w14:paraId="63542D75" w14:textId="0F1D0AD3" w:rsidR="00C875C2" w:rsidRDefault="00C875C2" w:rsidP="00C875C2">
      <w:pPr>
        <w:spacing w:line="360" w:lineRule="auto"/>
        <w:jc w:val="both"/>
        <w:rPr>
          <w:rFonts w:ascii="Times New Roman" w:hAnsi="Times New Roman" w:cs="Times New Roman"/>
          <w:sz w:val="24"/>
          <w:szCs w:val="24"/>
          <w:lang w:val="en-IN"/>
        </w:rPr>
      </w:pPr>
      <w:r w:rsidRPr="00C875C2">
        <w:rPr>
          <w:rFonts w:ascii="Times New Roman" w:hAnsi="Times New Roman" w:cs="Times New Roman"/>
          <w:sz w:val="24"/>
          <w:szCs w:val="24"/>
          <w:lang w:val="en-IN"/>
        </w:rPr>
        <w:lastRenderedPageBreak/>
        <w:t xml:space="preserve">Jan, N. (2020). </w:t>
      </w:r>
      <w:r w:rsidRPr="00C875C2">
        <w:rPr>
          <w:rFonts w:ascii="Times New Roman" w:hAnsi="Times New Roman" w:cs="Times New Roman"/>
          <w:i/>
          <w:iCs/>
          <w:sz w:val="24"/>
          <w:szCs w:val="24"/>
          <w:lang w:val="en-IN"/>
        </w:rPr>
        <w:t>The Linkage between Trade Openness, Energy Consumption, GDP, Urban Population and Carbon Dioxide Emission: Evidence from BRI countries</w:t>
      </w:r>
      <w:r w:rsidRPr="00C875C2">
        <w:rPr>
          <w:rFonts w:ascii="Times New Roman" w:hAnsi="Times New Roman" w:cs="Times New Roman"/>
          <w:sz w:val="24"/>
          <w:szCs w:val="24"/>
          <w:lang w:val="en-IN"/>
        </w:rPr>
        <w:t xml:space="preserve">. </w:t>
      </w:r>
      <w:r w:rsidRPr="00C875C2">
        <w:rPr>
          <w:rFonts w:ascii="Times New Roman" w:hAnsi="Times New Roman" w:cs="Times New Roman"/>
          <w:i/>
          <w:iCs/>
          <w:sz w:val="24"/>
          <w:szCs w:val="24"/>
          <w:lang w:val="en-IN"/>
        </w:rPr>
        <w:t>04</w:t>
      </w:r>
      <w:r w:rsidRPr="00C875C2">
        <w:rPr>
          <w:rFonts w:ascii="Times New Roman" w:hAnsi="Times New Roman" w:cs="Times New Roman"/>
          <w:sz w:val="24"/>
          <w:szCs w:val="24"/>
          <w:lang w:val="en-IN"/>
        </w:rPr>
        <w:t xml:space="preserve">(04), 149–161. </w:t>
      </w:r>
      <w:hyperlink r:id="rId34" w:history="1">
        <w:r w:rsidRPr="00C875C2">
          <w:rPr>
            <w:rStyle w:val="Hyperlink"/>
            <w:rFonts w:ascii="Times New Roman" w:hAnsi="Times New Roman" w:cs="Times New Roman"/>
            <w:sz w:val="24"/>
            <w:szCs w:val="24"/>
            <w:lang w:val="en-IN"/>
          </w:rPr>
          <w:t>https://doi.org/10.36348/SJEF.2020.V04I04.003</w:t>
        </w:r>
      </w:hyperlink>
    </w:p>
    <w:p w14:paraId="77388DCC" w14:textId="26BAEFF6" w:rsidR="00883F8B" w:rsidRDefault="00883F8B" w:rsidP="00C875C2">
      <w:pPr>
        <w:spacing w:line="360" w:lineRule="auto"/>
        <w:jc w:val="both"/>
        <w:rPr>
          <w:rFonts w:ascii="Times New Roman" w:hAnsi="Times New Roman" w:cs="Times New Roman"/>
          <w:sz w:val="24"/>
          <w:szCs w:val="24"/>
        </w:rPr>
      </w:pPr>
      <w:proofErr w:type="spellStart"/>
      <w:r w:rsidRPr="00883F8B">
        <w:rPr>
          <w:rFonts w:ascii="Times New Roman" w:hAnsi="Times New Roman" w:cs="Times New Roman"/>
          <w:sz w:val="24"/>
          <w:szCs w:val="24"/>
        </w:rPr>
        <w:t>Kongkuah</w:t>
      </w:r>
      <w:proofErr w:type="spellEnd"/>
      <w:r w:rsidRPr="00883F8B">
        <w:rPr>
          <w:rFonts w:ascii="Times New Roman" w:hAnsi="Times New Roman" w:cs="Times New Roman"/>
          <w:sz w:val="24"/>
          <w:szCs w:val="24"/>
        </w:rPr>
        <w:t xml:space="preserve">, M., Yao, H., &amp; </w:t>
      </w:r>
      <w:proofErr w:type="spellStart"/>
      <w:r w:rsidRPr="00883F8B">
        <w:rPr>
          <w:rFonts w:ascii="Times New Roman" w:hAnsi="Times New Roman" w:cs="Times New Roman"/>
          <w:sz w:val="24"/>
          <w:szCs w:val="24"/>
        </w:rPr>
        <w:t>Yilanci</w:t>
      </w:r>
      <w:proofErr w:type="spellEnd"/>
      <w:r w:rsidRPr="00883F8B">
        <w:rPr>
          <w:rFonts w:ascii="Times New Roman" w:hAnsi="Times New Roman" w:cs="Times New Roman"/>
          <w:sz w:val="24"/>
          <w:szCs w:val="24"/>
        </w:rPr>
        <w:t xml:space="preserve">, V. (2022). The relationship between energy consumption, economic growth, and CO 2 emissions in China: the role of </w:t>
      </w:r>
      <w:proofErr w:type="spellStart"/>
      <w:r w:rsidRPr="00883F8B">
        <w:rPr>
          <w:rFonts w:ascii="Times New Roman" w:hAnsi="Times New Roman" w:cs="Times New Roman"/>
          <w:sz w:val="24"/>
          <w:szCs w:val="24"/>
        </w:rPr>
        <w:t>urbanisation</w:t>
      </w:r>
      <w:proofErr w:type="spellEnd"/>
      <w:r w:rsidRPr="00883F8B">
        <w:rPr>
          <w:rFonts w:ascii="Times New Roman" w:hAnsi="Times New Roman" w:cs="Times New Roman"/>
          <w:sz w:val="24"/>
          <w:szCs w:val="24"/>
        </w:rPr>
        <w:t xml:space="preserve"> and international trade. </w:t>
      </w:r>
      <w:r w:rsidRPr="00883F8B">
        <w:rPr>
          <w:rFonts w:ascii="Times New Roman" w:hAnsi="Times New Roman" w:cs="Times New Roman"/>
          <w:i/>
          <w:iCs/>
          <w:sz w:val="24"/>
          <w:szCs w:val="24"/>
        </w:rPr>
        <w:t>Environment, Development and Sustainability</w:t>
      </w:r>
      <w:r w:rsidRPr="00883F8B">
        <w:rPr>
          <w:rFonts w:ascii="Times New Roman" w:hAnsi="Times New Roman" w:cs="Times New Roman"/>
          <w:sz w:val="24"/>
          <w:szCs w:val="24"/>
        </w:rPr>
        <w:t>, 1-25.</w:t>
      </w:r>
    </w:p>
    <w:p w14:paraId="64C97F9D" w14:textId="77777777" w:rsidR="00883F8B" w:rsidRDefault="00883F8B" w:rsidP="00883F8B">
      <w:pPr>
        <w:spacing w:line="360" w:lineRule="auto"/>
        <w:jc w:val="both"/>
        <w:rPr>
          <w:rFonts w:ascii="Times New Roman" w:hAnsi="Times New Roman" w:cs="Times New Roman"/>
          <w:sz w:val="24"/>
          <w:szCs w:val="24"/>
        </w:rPr>
      </w:pPr>
      <w:r w:rsidRPr="00C875C2">
        <w:rPr>
          <w:rFonts w:ascii="Times New Roman" w:hAnsi="Times New Roman" w:cs="Times New Roman"/>
          <w:sz w:val="24"/>
          <w:szCs w:val="24"/>
        </w:rPr>
        <w:t>Nadeem, A. M., Ali, T., Khan, M. T., &amp; Guo, Z. (2020). Relationship between inward FDI and environmental degradation for Pakistan: an exploration of pollution haven hypothesis through ARDL approach. </w:t>
      </w:r>
      <w:r w:rsidRPr="00C875C2">
        <w:rPr>
          <w:rFonts w:ascii="Times New Roman" w:hAnsi="Times New Roman" w:cs="Times New Roman"/>
          <w:i/>
          <w:iCs/>
          <w:sz w:val="24"/>
          <w:szCs w:val="24"/>
        </w:rPr>
        <w:t>Environmental Science and Pollution Research</w:t>
      </w:r>
      <w:r w:rsidRPr="00C875C2">
        <w:rPr>
          <w:rFonts w:ascii="Times New Roman" w:hAnsi="Times New Roman" w:cs="Times New Roman"/>
          <w:sz w:val="24"/>
          <w:szCs w:val="24"/>
        </w:rPr>
        <w:t>, </w:t>
      </w:r>
      <w:r w:rsidRPr="00C875C2">
        <w:rPr>
          <w:rFonts w:ascii="Times New Roman" w:hAnsi="Times New Roman" w:cs="Times New Roman"/>
          <w:i/>
          <w:iCs/>
          <w:sz w:val="24"/>
          <w:szCs w:val="24"/>
        </w:rPr>
        <w:t>27</w:t>
      </w:r>
      <w:r w:rsidRPr="00C875C2">
        <w:rPr>
          <w:rFonts w:ascii="Times New Roman" w:hAnsi="Times New Roman" w:cs="Times New Roman"/>
          <w:sz w:val="24"/>
          <w:szCs w:val="24"/>
        </w:rPr>
        <w:t>, 15407-15425.</w:t>
      </w:r>
    </w:p>
    <w:p w14:paraId="059C8643" w14:textId="6F2C0387" w:rsidR="00991C36" w:rsidRDefault="00991C36" w:rsidP="00883F8B">
      <w:pPr>
        <w:spacing w:line="360" w:lineRule="auto"/>
        <w:jc w:val="both"/>
        <w:rPr>
          <w:rFonts w:ascii="Times New Roman" w:hAnsi="Times New Roman" w:cs="Times New Roman"/>
          <w:sz w:val="24"/>
          <w:szCs w:val="24"/>
          <w:lang w:val="en-IN"/>
        </w:rPr>
      </w:pPr>
      <w:r w:rsidRPr="00991C36">
        <w:rPr>
          <w:rFonts w:ascii="Times New Roman" w:hAnsi="Times New Roman" w:cs="Times New Roman"/>
          <w:sz w:val="24"/>
          <w:szCs w:val="24"/>
          <w:lang w:val="en-IN"/>
        </w:rPr>
        <w:t xml:space="preserve">Ngong, C. A., Bih, D., </w:t>
      </w:r>
      <w:proofErr w:type="spellStart"/>
      <w:r w:rsidRPr="00991C36">
        <w:rPr>
          <w:rFonts w:ascii="Times New Roman" w:hAnsi="Times New Roman" w:cs="Times New Roman"/>
          <w:sz w:val="24"/>
          <w:szCs w:val="24"/>
          <w:lang w:val="en-IN"/>
        </w:rPr>
        <w:t>Onyejiaku</w:t>
      </w:r>
      <w:proofErr w:type="spellEnd"/>
      <w:r w:rsidRPr="00991C36">
        <w:rPr>
          <w:rFonts w:ascii="Times New Roman" w:hAnsi="Times New Roman" w:cs="Times New Roman"/>
          <w:sz w:val="24"/>
          <w:szCs w:val="24"/>
          <w:lang w:val="en-IN"/>
        </w:rPr>
        <w:t xml:space="preserve">, C. C., &amp; Onwumere, J. U. J. (2022). Urbanization and carbon dioxide (CO2) emission nexus in the CEMAC countries. </w:t>
      </w:r>
      <w:r w:rsidRPr="00991C36">
        <w:rPr>
          <w:rFonts w:ascii="Times New Roman" w:hAnsi="Times New Roman" w:cs="Times New Roman"/>
          <w:i/>
          <w:iCs/>
          <w:sz w:val="24"/>
          <w:szCs w:val="24"/>
          <w:lang w:val="en-IN"/>
        </w:rPr>
        <w:t>Management of Environmental Quality: An International Journal</w:t>
      </w:r>
      <w:r w:rsidRPr="00991C36">
        <w:rPr>
          <w:rFonts w:ascii="Times New Roman" w:hAnsi="Times New Roman" w:cs="Times New Roman"/>
          <w:sz w:val="24"/>
          <w:szCs w:val="24"/>
          <w:lang w:val="en-IN"/>
        </w:rPr>
        <w:t xml:space="preserve">, </w:t>
      </w:r>
      <w:r w:rsidRPr="00991C36">
        <w:rPr>
          <w:rFonts w:ascii="Times New Roman" w:hAnsi="Times New Roman" w:cs="Times New Roman"/>
          <w:i/>
          <w:iCs/>
          <w:sz w:val="24"/>
          <w:szCs w:val="24"/>
          <w:lang w:val="en-IN"/>
        </w:rPr>
        <w:t>33</w:t>
      </w:r>
      <w:r w:rsidRPr="00991C36">
        <w:rPr>
          <w:rFonts w:ascii="Times New Roman" w:hAnsi="Times New Roman" w:cs="Times New Roman"/>
          <w:sz w:val="24"/>
          <w:szCs w:val="24"/>
          <w:lang w:val="en-IN"/>
        </w:rPr>
        <w:t xml:space="preserve">(3), 657–673. </w:t>
      </w:r>
      <w:hyperlink r:id="rId35" w:history="1">
        <w:r w:rsidRPr="00991C36">
          <w:rPr>
            <w:rStyle w:val="Hyperlink"/>
            <w:rFonts w:ascii="Times New Roman" w:hAnsi="Times New Roman" w:cs="Times New Roman"/>
            <w:sz w:val="24"/>
            <w:szCs w:val="24"/>
            <w:lang w:val="en-IN"/>
          </w:rPr>
          <w:t>https://doi.org/10.1108/meq-04-2021-0070</w:t>
        </w:r>
      </w:hyperlink>
    </w:p>
    <w:p w14:paraId="40BBD490" w14:textId="0E91ACBD" w:rsidR="00883F8B" w:rsidRDefault="00883F8B" w:rsidP="00883F8B">
      <w:pPr>
        <w:spacing w:line="360" w:lineRule="auto"/>
        <w:jc w:val="both"/>
        <w:rPr>
          <w:rFonts w:ascii="Times New Roman" w:hAnsi="Times New Roman" w:cs="Times New Roman"/>
          <w:sz w:val="24"/>
          <w:szCs w:val="24"/>
          <w:lang w:val="en-IN"/>
        </w:rPr>
      </w:pPr>
      <w:r w:rsidRPr="00883F8B">
        <w:rPr>
          <w:rFonts w:ascii="Times New Roman" w:hAnsi="Times New Roman" w:cs="Times New Roman"/>
          <w:sz w:val="24"/>
          <w:szCs w:val="24"/>
          <w:lang w:val="en-IN"/>
        </w:rPr>
        <w:t xml:space="preserve">Osman, Y. (n.d.). </w:t>
      </w:r>
      <w:proofErr w:type="spellStart"/>
      <w:r w:rsidRPr="00883F8B">
        <w:rPr>
          <w:rFonts w:ascii="Times New Roman" w:hAnsi="Times New Roman" w:cs="Times New Roman"/>
          <w:sz w:val="24"/>
          <w:szCs w:val="24"/>
          <w:lang w:val="en-IN"/>
        </w:rPr>
        <w:t>Analyze</w:t>
      </w:r>
      <w:proofErr w:type="spellEnd"/>
      <w:r w:rsidRPr="00883F8B">
        <w:rPr>
          <w:rFonts w:ascii="Times New Roman" w:hAnsi="Times New Roman" w:cs="Times New Roman"/>
          <w:sz w:val="24"/>
          <w:szCs w:val="24"/>
          <w:lang w:val="en-IN"/>
        </w:rPr>
        <w:t xml:space="preserve"> the impact of energy consumption, economic development, trade liberalization, and urbanization on CO2 emissions in Saudi Arabia. </w:t>
      </w:r>
      <w:r w:rsidRPr="00883F8B">
        <w:rPr>
          <w:rFonts w:ascii="Times New Roman" w:hAnsi="Times New Roman" w:cs="Times New Roman"/>
          <w:i/>
          <w:iCs/>
          <w:sz w:val="24"/>
          <w:szCs w:val="24"/>
          <w:lang w:val="en-IN"/>
        </w:rPr>
        <w:t>Uncertain Supply Chain Management</w:t>
      </w:r>
      <w:r w:rsidRPr="00883F8B">
        <w:rPr>
          <w:rFonts w:ascii="Times New Roman" w:hAnsi="Times New Roman" w:cs="Times New Roman"/>
          <w:sz w:val="24"/>
          <w:szCs w:val="24"/>
          <w:lang w:val="en-IN"/>
        </w:rPr>
        <w:t xml:space="preserve">. </w:t>
      </w:r>
      <w:hyperlink r:id="rId36" w:history="1">
        <w:r w:rsidRPr="00883F8B">
          <w:rPr>
            <w:rStyle w:val="Hyperlink"/>
            <w:rFonts w:ascii="Times New Roman" w:hAnsi="Times New Roman" w:cs="Times New Roman"/>
            <w:sz w:val="24"/>
            <w:szCs w:val="24"/>
            <w:lang w:val="en-IN"/>
          </w:rPr>
          <w:t>https://doi.org/10.5267/j.uscm.2024.2.020</w:t>
        </w:r>
      </w:hyperlink>
    </w:p>
    <w:p w14:paraId="69A03899" w14:textId="17F3F944" w:rsidR="00883F8B" w:rsidRDefault="00883F8B" w:rsidP="00883F8B">
      <w:pPr>
        <w:spacing w:line="360" w:lineRule="auto"/>
        <w:jc w:val="both"/>
        <w:rPr>
          <w:rFonts w:ascii="Times New Roman" w:hAnsi="Times New Roman" w:cs="Times New Roman"/>
          <w:sz w:val="24"/>
          <w:szCs w:val="24"/>
        </w:rPr>
      </w:pPr>
      <w:proofErr w:type="spellStart"/>
      <w:r w:rsidRPr="00883F8B">
        <w:rPr>
          <w:rFonts w:ascii="Times New Roman" w:hAnsi="Times New Roman" w:cs="Times New Roman"/>
          <w:sz w:val="24"/>
          <w:szCs w:val="24"/>
        </w:rPr>
        <w:t>Pachiyappan</w:t>
      </w:r>
      <w:proofErr w:type="spellEnd"/>
      <w:r w:rsidRPr="00883F8B">
        <w:rPr>
          <w:rFonts w:ascii="Times New Roman" w:hAnsi="Times New Roman" w:cs="Times New Roman"/>
          <w:sz w:val="24"/>
          <w:szCs w:val="24"/>
        </w:rPr>
        <w:t xml:space="preserve">, D., Ansari, Y., Alam, M. S., </w:t>
      </w:r>
      <w:proofErr w:type="spellStart"/>
      <w:r w:rsidRPr="00883F8B">
        <w:rPr>
          <w:rFonts w:ascii="Times New Roman" w:hAnsi="Times New Roman" w:cs="Times New Roman"/>
          <w:sz w:val="24"/>
          <w:szCs w:val="24"/>
        </w:rPr>
        <w:t>Thoudam</w:t>
      </w:r>
      <w:proofErr w:type="spellEnd"/>
      <w:r w:rsidRPr="00883F8B">
        <w:rPr>
          <w:rFonts w:ascii="Times New Roman" w:hAnsi="Times New Roman" w:cs="Times New Roman"/>
          <w:sz w:val="24"/>
          <w:szCs w:val="24"/>
        </w:rPr>
        <w:t>, P., Alagirisamy, K., &amp; Manigandan, P. (2021). Short and long-run causal effects of CO2 emissions, energy use, GDP and population growth: evidence from India using the ARDL and VECM approaches. </w:t>
      </w:r>
      <w:r w:rsidRPr="00883F8B">
        <w:rPr>
          <w:rFonts w:ascii="Times New Roman" w:hAnsi="Times New Roman" w:cs="Times New Roman"/>
          <w:i/>
          <w:iCs/>
          <w:sz w:val="24"/>
          <w:szCs w:val="24"/>
        </w:rPr>
        <w:t>Energies</w:t>
      </w:r>
      <w:r w:rsidRPr="00883F8B">
        <w:rPr>
          <w:rFonts w:ascii="Times New Roman" w:hAnsi="Times New Roman" w:cs="Times New Roman"/>
          <w:sz w:val="24"/>
          <w:szCs w:val="24"/>
        </w:rPr>
        <w:t>, </w:t>
      </w:r>
      <w:r w:rsidRPr="00883F8B">
        <w:rPr>
          <w:rFonts w:ascii="Times New Roman" w:hAnsi="Times New Roman" w:cs="Times New Roman"/>
          <w:i/>
          <w:iCs/>
          <w:sz w:val="24"/>
          <w:szCs w:val="24"/>
        </w:rPr>
        <w:t>14</w:t>
      </w:r>
      <w:r w:rsidRPr="00883F8B">
        <w:rPr>
          <w:rFonts w:ascii="Times New Roman" w:hAnsi="Times New Roman" w:cs="Times New Roman"/>
          <w:sz w:val="24"/>
          <w:szCs w:val="24"/>
        </w:rPr>
        <w:t>(24), 8333.</w:t>
      </w:r>
    </w:p>
    <w:p w14:paraId="04AC6A79" w14:textId="2D67A5AA" w:rsidR="002C5291" w:rsidRDefault="002C5291" w:rsidP="00883F8B">
      <w:pPr>
        <w:spacing w:line="360" w:lineRule="auto"/>
        <w:jc w:val="both"/>
        <w:rPr>
          <w:rFonts w:ascii="Times New Roman" w:hAnsi="Times New Roman" w:cs="Times New Roman"/>
          <w:sz w:val="24"/>
          <w:szCs w:val="24"/>
          <w:lang w:val="en-IN"/>
        </w:rPr>
      </w:pPr>
      <w:r w:rsidRPr="002C5291">
        <w:rPr>
          <w:rFonts w:ascii="Times New Roman" w:hAnsi="Times New Roman" w:cs="Times New Roman"/>
          <w:sz w:val="24"/>
          <w:szCs w:val="24"/>
          <w:lang w:val="en-IN"/>
        </w:rPr>
        <w:t xml:space="preserve">Sahu, S. K., &amp; Mehta, D. (2016). Determinants of energy and co2 emission intensities: a study of manufacturing firms in </w:t>
      </w:r>
      <w:proofErr w:type="spellStart"/>
      <w:r w:rsidRPr="002C5291">
        <w:rPr>
          <w:rFonts w:ascii="Times New Roman" w:hAnsi="Times New Roman" w:cs="Times New Roman"/>
          <w:sz w:val="24"/>
          <w:szCs w:val="24"/>
          <w:lang w:val="en-IN"/>
        </w:rPr>
        <w:t>india</w:t>
      </w:r>
      <w:proofErr w:type="spellEnd"/>
      <w:r w:rsidRPr="002C5291">
        <w:rPr>
          <w:rFonts w:ascii="Times New Roman" w:hAnsi="Times New Roman" w:cs="Times New Roman"/>
          <w:sz w:val="24"/>
          <w:szCs w:val="24"/>
          <w:lang w:val="en-IN"/>
        </w:rPr>
        <w:t xml:space="preserve">. </w:t>
      </w:r>
      <w:r w:rsidRPr="002C5291">
        <w:rPr>
          <w:rFonts w:ascii="Times New Roman" w:hAnsi="Times New Roman" w:cs="Times New Roman"/>
          <w:i/>
          <w:iCs/>
          <w:sz w:val="24"/>
          <w:szCs w:val="24"/>
          <w:lang w:val="en-IN"/>
        </w:rPr>
        <w:t>The Singapore Economic Review</w:t>
      </w:r>
      <w:r w:rsidRPr="002C5291">
        <w:rPr>
          <w:rFonts w:ascii="Times New Roman" w:hAnsi="Times New Roman" w:cs="Times New Roman"/>
          <w:sz w:val="24"/>
          <w:szCs w:val="24"/>
          <w:lang w:val="en-IN"/>
        </w:rPr>
        <w:t xml:space="preserve">, </w:t>
      </w:r>
      <w:r w:rsidRPr="002C5291">
        <w:rPr>
          <w:rFonts w:ascii="Times New Roman" w:hAnsi="Times New Roman" w:cs="Times New Roman"/>
          <w:i/>
          <w:iCs/>
          <w:sz w:val="24"/>
          <w:szCs w:val="24"/>
          <w:lang w:val="en-IN"/>
        </w:rPr>
        <w:t>63</w:t>
      </w:r>
      <w:r w:rsidRPr="002C5291">
        <w:rPr>
          <w:rFonts w:ascii="Times New Roman" w:hAnsi="Times New Roman" w:cs="Times New Roman"/>
          <w:sz w:val="24"/>
          <w:szCs w:val="24"/>
          <w:lang w:val="en-IN"/>
        </w:rPr>
        <w:t xml:space="preserve">(02), 1740017. </w:t>
      </w:r>
      <w:hyperlink r:id="rId37" w:history="1">
        <w:r w:rsidRPr="002C5291">
          <w:rPr>
            <w:rStyle w:val="Hyperlink"/>
            <w:rFonts w:ascii="Times New Roman" w:hAnsi="Times New Roman" w:cs="Times New Roman"/>
            <w:sz w:val="24"/>
            <w:szCs w:val="24"/>
            <w:lang w:val="en-IN"/>
          </w:rPr>
          <w:t>https://doi.org/10.1142/S0217590817400173</w:t>
        </w:r>
      </w:hyperlink>
    </w:p>
    <w:p w14:paraId="704FD457" w14:textId="58B07604" w:rsidR="00883F8B" w:rsidRPr="002C5291" w:rsidRDefault="004A4036" w:rsidP="00883F8B">
      <w:pPr>
        <w:spacing w:line="360" w:lineRule="auto"/>
        <w:jc w:val="both"/>
        <w:rPr>
          <w:rFonts w:ascii="Times New Roman" w:hAnsi="Times New Roman" w:cs="Times New Roman"/>
          <w:sz w:val="24"/>
          <w:szCs w:val="24"/>
          <w:lang w:val="en-IN"/>
        </w:rPr>
      </w:pPr>
      <w:r w:rsidRPr="004A4036">
        <w:rPr>
          <w:rFonts w:ascii="Times New Roman" w:hAnsi="Times New Roman" w:cs="Times New Roman"/>
          <w:sz w:val="24"/>
          <w:szCs w:val="24"/>
        </w:rPr>
        <w:t xml:space="preserve">Szymczyk, K., Şahin, D., </w:t>
      </w:r>
      <w:proofErr w:type="spellStart"/>
      <w:r w:rsidRPr="004A4036">
        <w:rPr>
          <w:rFonts w:ascii="Times New Roman" w:hAnsi="Times New Roman" w:cs="Times New Roman"/>
          <w:sz w:val="24"/>
          <w:szCs w:val="24"/>
        </w:rPr>
        <w:t>Bağcı</w:t>
      </w:r>
      <w:proofErr w:type="spellEnd"/>
      <w:r w:rsidRPr="004A4036">
        <w:rPr>
          <w:rFonts w:ascii="Times New Roman" w:hAnsi="Times New Roman" w:cs="Times New Roman"/>
          <w:sz w:val="24"/>
          <w:szCs w:val="24"/>
        </w:rPr>
        <w:t xml:space="preserve">, H., &amp; </w:t>
      </w:r>
      <w:proofErr w:type="spellStart"/>
      <w:r w:rsidRPr="004A4036">
        <w:rPr>
          <w:rFonts w:ascii="Times New Roman" w:hAnsi="Times New Roman" w:cs="Times New Roman"/>
          <w:sz w:val="24"/>
          <w:szCs w:val="24"/>
        </w:rPr>
        <w:t>Kaygın</w:t>
      </w:r>
      <w:proofErr w:type="spellEnd"/>
      <w:r w:rsidRPr="004A4036">
        <w:rPr>
          <w:rFonts w:ascii="Times New Roman" w:hAnsi="Times New Roman" w:cs="Times New Roman"/>
          <w:sz w:val="24"/>
          <w:szCs w:val="24"/>
        </w:rPr>
        <w:t>, C. Y. (2021). The effect of energy usage, economic growth, and financial development on CO2 emission management: an analysis of OECD countries with a High environmental performance index. </w:t>
      </w:r>
      <w:r w:rsidRPr="004A4036">
        <w:rPr>
          <w:rFonts w:ascii="Times New Roman" w:hAnsi="Times New Roman" w:cs="Times New Roman"/>
          <w:i/>
          <w:iCs/>
          <w:sz w:val="24"/>
          <w:szCs w:val="24"/>
        </w:rPr>
        <w:t>Energies</w:t>
      </w:r>
      <w:r w:rsidRPr="004A4036">
        <w:rPr>
          <w:rFonts w:ascii="Times New Roman" w:hAnsi="Times New Roman" w:cs="Times New Roman"/>
          <w:sz w:val="24"/>
          <w:szCs w:val="24"/>
        </w:rPr>
        <w:t>, </w:t>
      </w:r>
      <w:r w:rsidRPr="004A4036">
        <w:rPr>
          <w:rFonts w:ascii="Times New Roman" w:hAnsi="Times New Roman" w:cs="Times New Roman"/>
          <w:i/>
          <w:iCs/>
          <w:sz w:val="24"/>
          <w:szCs w:val="24"/>
        </w:rPr>
        <w:t>14</w:t>
      </w:r>
      <w:r w:rsidRPr="004A4036">
        <w:rPr>
          <w:rFonts w:ascii="Times New Roman" w:hAnsi="Times New Roman" w:cs="Times New Roman"/>
          <w:sz w:val="24"/>
          <w:szCs w:val="24"/>
        </w:rPr>
        <w:t>(15), 4671.</w:t>
      </w:r>
    </w:p>
    <w:p w14:paraId="04F7A1AE" w14:textId="3CD130AA" w:rsidR="004A4036" w:rsidRDefault="004A4036" w:rsidP="00883F8B">
      <w:pPr>
        <w:spacing w:line="360" w:lineRule="auto"/>
        <w:jc w:val="both"/>
        <w:rPr>
          <w:rFonts w:ascii="Times New Roman" w:hAnsi="Times New Roman" w:cs="Times New Roman"/>
          <w:sz w:val="24"/>
          <w:szCs w:val="24"/>
        </w:rPr>
      </w:pPr>
      <w:r w:rsidRPr="004A4036">
        <w:rPr>
          <w:rFonts w:ascii="Times New Roman" w:hAnsi="Times New Roman" w:cs="Times New Roman"/>
          <w:sz w:val="24"/>
          <w:szCs w:val="24"/>
        </w:rPr>
        <w:t xml:space="preserve">Shabani, E., Hayati, B., </w:t>
      </w:r>
      <w:proofErr w:type="spellStart"/>
      <w:r w:rsidRPr="004A4036">
        <w:rPr>
          <w:rFonts w:ascii="Times New Roman" w:hAnsi="Times New Roman" w:cs="Times New Roman"/>
          <w:sz w:val="24"/>
          <w:szCs w:val="24"/>
        </w:rPr>
        <w:t>Pishbahar</w:t>
      </w:r>
      <w:proofErr w:type="spellEnd"/>
      <w:r w:rsidRPr="004A4036">
        <w:rPr>
          <w:rFonts w:ascii="Times New Roman" w:hAnsi="Times New Roman" w:cs="Times New Roman"/>
          <w:sz w:val="24"/>
          <w:szCs w:val="24"/>
        </w:rPr>
        <w:t xml:space="preserve">, E., Ghorbani, M. A., &amp; </w:t>
      </w:r>
      <w:proofErr w:type="spellStart"/>
      <w:r w:rsidRPr="004A4036">
        <w:rPr>
          <w:rFonts w:ascii="Times New Roman" w:hAnsi="Times New Roman" w:cs="Times New Roman"/>
          <w:sz w:val="24"/>
          <w:szCs w:val="24"/>
        </w:rPr>
        <w:t>Ghahremanzadeh</w:t>
      </w:r>
      <w:proofErr w:type="spellEnd"/>
      <w:r w:rsidRPr="004A4036">
        <w:rPr>
          <w:rFonts w:ascii="Times New Roman" w:hAnsi="Times New Roman" w:cs="Times New Roman"/>
          <w:sz w:val="24"/>
          <w:szCs w:val="24"/>
        </w:rPr>
        <w:t>, M. (2022). The relationship between CO2 emission, economic growth, energy consumption, and urbanization in the ECO member countries. </w:t>
      </w:r>
      <w:r w:rsidRPr="004A4036">
        <w:rPr>
          <w:rFonts w:ascii="Times New Roman" w:hAnsi="Times New Roman" w:cs="Times New Roman"/>
          <w:i/>
          <w:iCs/>
          <w:sz w:val="24"/>
          <w:szCs w:val="24"/>
        </w:rPr>
        <w:t>International Journal of Environmental Science and Technology</w:t>
      </w:r>
      <w:r w:rsidRPr="004A4036">
        <w:rPr>
          <w:rFonts w:ascii="Times New Roman" w:hAnsi="Times New Roman" w:cs="Times New Roman"/>
          <w:sz w:val="24"/>
          <w:szCs w:val="24"/>
        </w:rPr>
        <w:t>, </w:t>
      </w:r>
      <w:r w:rsidRPr="004A4036">
        <w:rPr>
          <w:rFonts w:ascii="Times New Roman" w:hAnsi="Times New Roman" w:cs="Times New Roman"/>
          <w:i/>
          <w:iCs/>
          <w:sz w:val="24"/>
          <w:szCs w:val="24"/>
        </w:rPr>
        <w:t>19</w:t>
      </w:r>
      <w:r w:rsidRPr="004A4036">
        <w:rPr>
          <w:rFonts w:ascii="Times New Roman" w:hAnsi="Times New Roman" w:cs="Times New Roman"/>
          <w:sz w:val="24"/>
          <w:szCs w:val="24"/>
        </w:rPr>
        <w:t>(3), 1861-1876.</w:t>
      </w:r>
    </w:p>
    <w:p w14:paraId="7085AC60" w14:textId="2F6AEB78" w:rsidR="004A4036" w:rsidRDefault="004A4036" w:rsidP="00883F8B">
      <w:pPr>
        <w:spacing w:line="360" w:lineRule="auto"/>
        <w:jc w:val="both"/>
      </w:pPr>
      <w:r w:rsidRPr="004A4036">
        <w:rPr>
          <w:rFonts w:ascii="Times New Roman" w:hAnsi="Times New Roman" w:cs="Times New Roman"/>
          <w:sz w:val="24"/>
          <w:szCs w:val="24"/>
        </w:rPr>
        <w:lastRenderedPageBreak/>
        <w:t>Siddique, H. M. A., Majeed, M. T., &amp; Ahmad, H. K. (2020). The Impact of Urbanization and Energy Consumption on CO2 Emissions in South Asia. </w:t>
      </w:r>
      <w:r w:rsidRPr="004A4036">
        <w:rPr>
          <w:rFonts w:ascii="Times New Roman" w:hAnsi="Times New Roman" w:cs="Times New Roman"/>
          <w:i/>
          <w:iCs/>
          <w:sz w:val="24"/>
          <w:szCs w:val="24"/>
        </w:rPr>
        <w:t>South Asian Studies</w:t>
      </w:r>
      <w:r w:rsidRPr="004A4036">
        <w:rPr>
          <w:rFonts w:ascii="Times New Roman" w:hAnsi="Times New Roman" w:cs="Times New Roman"/>
          <w:sz w:val="24"/>
          <w:szCs w:val="24"/>
        </w:rPr>
        <w:t>, </w:t>
      </w:r>
      <w:r w:rsidRPr="004A4036">
        <w:rPr>
          <w:rFonts w:ascii="Times New Roman" w:hAnsi="Times New Roman" w:cs="Times New Roman"/>
          <w:i/>
          <w:iCs/>
          <w:sz w:val="24"/>
          <w:szCs w:val="24"/>
        </w:rPr>
        <w:t>31</w:t>
      </w:r>
      <w:r w:rsidRPr="004A4036">
        <w:rPr>
          <w:rFonts w:ascii="Times New Roman" w:hAnsi="Times New Roman" w:cs="Times New Roman"/>
          <w:sz w:val="24"/>
          <w:szCs w:val="24"/>
        </w:rPr>
        <w:t xml:space="preserve">(2). </w:t>
      </w:r>
      <w:hyperlink r:id="rId38" w:history="1">
        <w:r w:rsidRPr="00BE253F">
          <w:rPr>
            <w:rStyle w:val="Hyperlink"/>
            <w:rFonts w:ascii="Times New Roman" w:hAnsi="Times New Roman" w:cs="Times New Roman"/>
            <w:sz w:val="24"/>
            <w:szCs w:val="24"/>
          </w:rPr>
          <w:t>http://journals.pu.edu.pk/journals/index.php/IJSAS/article/view/3083/1286</w:t>
        </w:r>
      </w:hyperlink>
    </w:p>
    <w:p w14:paraId="06429533" w14:textId="7793C9C5" w:rsidR="007602A8" w:rsidRDefault="007602A8" w:rsidP="00883F8B">
      <w:pPr>
        <w:spacing w:line="360" w:lineRule="auto"/>
        <w:jc w:val="both"/>
        <w:rPr>
          <w:rFonts w:ascii="Times New Roman" w:hAnsi="Times New Roman" w:cs="Times New Roman"/>
          <w:sz w:val="24"/>
          <w:szCs w:val="24"/>
          <w:lang w:val="en-IN"/>
        </w:rPr>
      </w:pPr>
      <w:r w:rsidRPr="007602A8">
        <w:rPr>
          <w:rFonts w:ascii="Times New Roman" w:hAnsi="Times New Roman" w:cs="Times New Roman"/>
          <w:sz w:val="24"/>
          <w:szCs w:val="24"/>
          <w:lang w:val="en-IN"/>
        </w:rPr>
        <w:t xml:space="preserve">Wang, S. J., &amp; Moriarty, P. (2018). </w:t>
      </w:r>
      <w:r w:rsidRPr="007602A8">
        <w:rPr>
          <w:rFonts w:ascii="Times New Roman" w:hAnsi="Times New Roman" w:cs="Times New Roman"/>
          <w:i/>
          <w:iCs/>
          <w:sz w:val="24"/>
          <w:szCs w:val="24"/>
          <w:lang w:val="en-IN"/>
        </w:rPr>
        <w:t>The Urgent Need for Advancing Urban Sustainability</w:t>
      </w:r>
      <w:r w:rsidRPr="007602A8">
        <w:rPr>
          <w:rFonts w:ascii="Times New Roman" w:hAnsi="Times New Roman" w:cs="Times New Roman"/>
          <w:sz w:val="24"/>
          <w:szCs w:val="24"/>
          <w:lang w:val="en-IN"/>
        </w:rPr>
        <w:t xml:space="preserve"> (pp. 1–21). Springer, Cham. </w:t>
      </w:r>
      <w:hyperlink r:id="rId39" w:history="1">
        <w:r w:rsidRPr="007602A8">
          <w:rPr>
            <w:rStyle w:val="Hyperlink"/>
            <w:rFonts w:ascii="Times New Roman" w:hAnsi="Times New Roman" w:cs="Times New Roman"/>
            <w:sz w:val="24"/>
            <w:szCs w:val="24"/>
            <w:lang w:val="en-IN"/>
          </w:rPr>
          <w:t>https://doi.org/10.1007/978-3-319-73610-5_1</w:t>
        </w:r>
      </w:hyperlink>
    </w:p>
    <w:p w14:paraId="61522D92" w14:textId="263B3611" w:rsidR="005279BF" w:rsidRDefault="005279BF" w:rsidP="00883F8B">
      <w:pPr>
        <w:spacing w:line="360" w:lineRule="auto"/>
        <w:jc w:val="both"/>
        <w:rPr>
          <w:rFonts w:ascii="Times New Roman" w:hAnsi="Times New Roman" w:cs="Times New Roman"/>
          <w:sz w:val="24"/>
          <w:szCs w:val="24"/>
          <w:lang w:val="en-IN"/>
        </w:rPr>
      </w:pPr>
      <w:r w:rsidRPr="005279BF">
        <w:rPr>
          <w:rFonts w:ascii="Times New Roman" w:hAnsi="Times New Roman" w:cs="Times New Roman"/>
          <w:sz w:val="24"/>
          <w:szCs w:val="24"/>
          <w:lang w:val="en-IN"/>
        </w:rPr>
        <w:t xml:space="preserve">Xu, X., Zeng, L., Li, S., Liu, Y., &amp; Zhang, T. (2024). Dynamic nonlinear CO2 emission effects of urbanization routes in the eight most populous countries. </w:t>
      </w:r>
      <w:r w:rsidRPr="005279BF">
        <w:rPr>
          <w:rFonts w:ascii="Times New Roman" w:hAnsi="Times New Roman" w:cs="Times New Roman"/>
          <w:i/>
          <w:iCs/>
          <w:sz w:val="24"/>
          <w:szCs w:val="24"/>
          <w:lang w:val="en-IN"/>
        </w:rPr>
        <w:t>PLOS ONE</w:t>
      </w:r>
      <w:r w:rsidRPr="005279BF">
        <w:rPr>
          <w:rFonts w:ascii="Times New Roman" w:hAnsi="Times New Roman" w:cs="Times New Roman"/>
          <w:sz w:val="24"/>
          <w:szCs w:val="24"/>
          <w:lang w:val="en-IN"/>
        </w:rPr>
        <w:t xml:space="preserve">, </w:t>
      </w:r>
      <w:r w:rsidRPr="005279BF">
        <w:rPr>
          <w:rFonts w:ascii="Times New Roman" w:hAnsi="Times New Roman" w:cs="Times New Roman"/>
          <w:i/>
          <w:iCs/>
          <w:sz w:val="24"/>
          <w:szCs w:val="24"/>
          <w:lang w:val="en-IN"/>
        </w:rPr>
        <w:t>19</w:t>
      </w:r>
      <w:r w:rsidRPr="005279BF">
        <w:rPr>
          <w:rFonts w:ascii="Times New Roman" w:hAnsi="Times New Roman" w:cs="Times New Roman"/>
          <w:sz w:val="24"/>
          <w:szCs w:val="24"/>
          <w:lang w:val="en-IN"/>
        </w:rPr>
        <w:t xml:space="preserve">. </w:t>
      </w:r>
      <w:hyperlink r:id="rId40" w:history="1">
        <w:r w:rsidRPr="005279BF">
          <w:rPr>
            <w:rStyle w:val="Hyperlink"/>
            <w:rFonts w:ascii="Times New Roman" w:hAnsi="Times New Roman" w:cs="Times New Roman"/>
            <w:sz w:val="24"/>
            <w:szCs w:val="24"/>
            <w:lang w:val="en-IN"/>
          </w:rPr>
          <w:t>https://doi.org/10.1371/journal.pone.0296997</w:t>
        </w:r>
      </w:hyperlink>
    </w:p>
    <w:p w14:paraId="15899115" w14:textId="549F81C7" w:rsidR="00221555" w:rsidRDefault="00221555" w:rsidP="00883F8B">
      <w:pPr>
        <w:spacing w:line="360" w:lineRule="auto"/>
        <w:jc w:val="both"/>
      </w:pPr>
      <w:r w:rsidRPr="00221555">
        <w:rPr>
          <w:rFonts w:ascii="Times New Roman" w:hAnsi="Times New Roman" w:cs="Times New Roman"/>
          <w:sz w:val="24"/>
          <w:szCs w:val="24"/>
          <w:lang w:val="en-IN"/>
        </w:rPr>
        <w:t xml:space="preserve">Xu, H. (2022). SDG-11: Sustainable Cities and Communities. </w:t>
      </w:r>
      <w:r w:rsidRPr="00221555">
        <w:rPr>
          <w:rFonts w:ascii="Times New Roman" w:hAnsi="Times New Roman" w:cs="Times New Roman"/>
          <w:i/>
          <w:iCs/>
          <w:sz w:val="24"/>
          <w:szCs w:val="24"/>
          <w:lang w:val="en-IN"/>
        </w:rPr>
        <w:t>Sustainable Development Goals Series</w:t>
      </w:r>
      <w:r w:rsidRPr="00221555">
        <w:rPr>
          <w:rFonts w:ascii="Times New Roman" w:hAnsi="Times New Roman" w:cs="Times New Roman"/>
          <w:sz w:val="24"/>
          <w:szCs w:val="24"/>
          <w:lang w:val="en-IN"/>
        </w:rPr>
        <w:t xml:space="preserve">, 385–408. </w:t>
      </w:r>
      <w:hyperlink r:id="rId41" w:history="1">
        <w:r w:rsidRPr="00221555">
          <w:rPr>
            <w:rStyle w:val="Hyperlink"/>
            <w:rFonts w:ascii="Times New Roman" w:hAnsi="Times New Roman" w:cs="Times New Roman"/>
            <w:sz w:val="24"/>
            <w:szCs w:val="24"/>
            <w:lang w:val="en-IN"/>
          </w:rPr>
          <w:t>https://doi.org/10.1007/978-3-031-07127-0_13</w:t>
        </w:r>
      </w:hyperlink>
    </w:p>
    <w:p w14:paraId="4EEED726" w14:textId="2A90BD50" w:rsidR="00014249" w:rsidRDefault="00014249" w:rsidP="00883F8B">
      <w:pPr>
        <w:spacing w:line="360" w:lineRule="auto"/>
        <w:jc w:val="both"/>
        <w:rPr>
          <w:rFonts w:ascii="Times New Roman" w:hAnsi="Times New Roman" w:cs="Times New Roman"/>
          <w:sz w:val="24"/>
          <w:szCs w:val="24"/>
          <w:lang w:val="en-IN"/>
        </w:rPr>
      </w:pPr>
      <w:r w:rsidRPr="00014249">
        <w:rPr>
          <w:rFonts w:ascii="Times New Roman" w:hAnsi="Times New Roman" w:cs="Times New Roman"/>
          <w:sz w:val="24"/>
          <w:szCs w:val="24"/>
          <w:lang w:val="en-IN"/>
        </w:rPr>
        <w:t xml:space="preserve">Zhai, J., &amp; Kong, F. (2024). The Impact of Multi-Dimensional Urbanization on CO2 Emissions: Empirical Evidence from Jiangsu, China, at the County Level. </w:t>
      </w:r>
      <w:r w:rsidRPr="00014249">
        <w:rPr>
          <w:rFonts w:ascii="Times New Roman" w:hAnsi="Times New Roman" w:cs="Times New Roman"/>
          <w:i/>
          <w:iCs/>
          <w:sz w:val="24"/>
          <w:szCs w:val="24"/>
          <w:lang w:val="en-IN"/>
        </w:rPr>
        <w:t>Sustainability</w:t>
      </w:r>
      <w:r w:rsidRPr="00014249">
        <w:rPr>
          <w:rFonts w:ascii="Times New Roman" w:hAnsi="Times New Roman" w:cs="Times New Roman"/>
          <w:sz w:val="24"/>
          <w:szCs w:val="24"/>
          <w:lang w:val="en-IN"/>
        </w:rPr>
        <w:t xml:space="preserve">. </w:t>
      </w:r>
      <w:hyperlink r:id="rId42" w:history="1">
        <w:r w:rsidRPr="00014249">
          <w:rPr>
            <w:rStyle w:val="Hyperlink"/>
            <w:rFonts w:ascii="Times New Roman" w:hAnsi="Times New Roman" w:cs="Times New Roman"/>
            <w:sz w:val="24"/>
            <w:szCs w:val="24"/>
            <w:lang w:val="en-IN"/>
          </w:rPr>
          <w:t>https://doi.org/10.3390/su16073005</w:t>
        </w:r>
      </w:hyperlink>
    </w:p>
    <w:p w14:paraId="3DA9F9B7" w14:textId="77777777" w:rsidR="00014249" w:rsidRDefault="00014249" w:rsidP="00883F8B">
      <w:pPr>
        <w:spacing w:line="360" w:lineRule="auto"/>
        <w:jc w:val="both"/>
        <w:rPr>
          <w:rFonts w:ascii="Times New Roman" w:hAnsi="Times New Roman" w:cs="Times New Roman"/>
          <w:sz w:val="24"/>
          <w:szCs w:val="24"/>
          <w:lang w:val="en-IN"/>
        </w:rPr>
      </w:pPr>
    </w:p>
    <w:bookmarkEnd w:id="4"/>
    <w:p w14:paraId="442722F8" w14:textId="77777777" w:rsidR="00221555" w:rsidRPr="00221555" w:rsidRDefault="00221555" w:rsidP="00883F8B">
      <w:pPr>
        <w:spacing w:line="360" w:lineRule="auto"/>
        <w:jc w:val="both"/>
        <w:rPr>
          <w:rFonts w:ascii="Times New Roman" w:hAnsi="Times New Roman" w:cs="Times New Roman"/>
          <w:sz w:val="24"/>
          <w:szCs w:val="24"/>
          <w:lang w:val="en-IN"/>
        </w:rPr>
      </w:pPr>
    </w:p>
    <w:p w14:paraId="3B2B2D52" w14:textId="77777777" w:rsidR="004A4036" w:rsidRDefault="004A4036" w:rsidP="00883F8B">
      <w:pPr>
        <w:spacing w:line="360" w:lineRule="auto"/>
        <w:jc w:val="both"/>
        <w:rPr>
          <w:rFonts w:ascii="Times New Roman" w:hAnsi="Times New Roman" w:cs="Times New Roman"/>
          <w:sz w:val="24"/>
          <w:szCs w:val="24"/>
        </w:rPr>
      </w:pPr>
    </w:p>
    <w:p w14:paraId="217E446F" w14:textId="77777777" w:rsidR="004A4036" w:rsidRDefault="004A4036" w:rsidP="00883F8B">
      <w:pPr>
        <w:spacing w:line="360" w:lineRule="auto"/>
        <w:jc w:val="both"/>
        <w:rPr>
          <w:rFonts w:ascii="Times New Roman" w:hAnsi="Times New Roman" w:cs="Times New Roman"/>
          <w:sz w:val="24"/>
          <w:szCs w:val="24"/>
          <w:lang w:val="en-IN"/>
        </w:rPr>
      </w:pPr>
    </w:p>
    <w:p w14:paraId="49EA7D8D" w14:textId="77777777" w:rsidR="00883F8B" w:rsidRPr="00883F8B" w:rsidRDefault="00883F8B" w:rsidP="00883F8B">
      <w:pPr>
        <w:spacing w:line="360" w:lineRule="auto"/>
        <w:jc w:val="both"/>
        <w:rPr>
          <w:rFonts w:ascii="Times New Roman" w:hAnsi="Times New Roman" w:cs="Times New Roman"/>
          <w:sz w:val="24"/>
          <w:szCs w:val="24"/>
          <w:lang w:val="en-IN"/>
        </w:rPr>
      </w:pPr>
    </w:p>
    <w:p w14:paraId="6A95CFD6" w14:textId="77777777" w:rsidR="00883F8B" w:rsidRDefault="00883F8B" w:rsidP="00883F8B">
      <w:pPr>
        <w:spacing w:line="360" w:lineRule="auto"/>
        <w:jc w:val="both"/>
        <w:rPr>
          <w:rFonts w:ascii="Times New Roman" w:hAnsi="Times New Roman" w:cs="Times New Roman"/>
          <w:sz w:val="24"/>
          <w:szCs w:val="24"/>
        </w:rPr>
      </w:pPr>
    </w:p>
    <w:p w14:paraId="051A80BD" w14:textId="77777777" w:rsidR="00883F8B" w:rsidRDefault="00883F8B" w:rsidP="00C875C2">
      <w:pPr>
        <w:spacing w:line="360" w:lineRule="auto"/>
        <w:jc w:val="both"/>
        <w:rPr>
          <w:rFonts w:ascii="Times New Roman" w:hAnsi="Times New Roman" w:cs="Times New Roman"/>
          <w:sz w:val="24"/>
          <w:szCs w:val="24"/>
        </w:rPr>
      </w:pPr>
    </w:p>
    <w:p w14:paraId="12430E2A" w14:textId="77777777" w:rsidR="00883F8B" w:rsidRPr="00883F8B" w:rsidRDefault="00883F8B" w:rsidP="00C875C2">
      <w:pPr>
        <w:spacing w:line="360" w:lineRule="auto"/>
        <w:jc w:val="both"/>
        <w:rPr>
          <w:rFonts w:ascii="Times New Roman" w:hAnsi="Times New Roman" w:cs="Times New Roman"/>
          <w:sz w:val="24"/>
          <w:szCs w:val="24"/>
        </w:rPr>
      </w:pPr>
    </w:p>
    <w:p w14:paraId="46A16608" w14:textId="77777777" w:rsidR="00C875C2" w:rsidRPr="00C875C2" w:rsidRDefault="00C875C2" w:rsidP="00C875C2">
      <w:pPr>
        <w:spacing w:line="360" w:lineRule="auto"/>
        <w:jc w:val="both"/>
        <w:rPr>
          <w:rFonts w:ascii="Times New Roman" w:hAnsi="Times New Roman" w:cs="Times New Roman"/>
          <w:sz w:val="24"/>
          <w:szCs w:val="24"/>
          <w:lang w:val="en-IN"/>
        </w:rPr>
      </w:pPr>
    </w:p>
    <w:p w14:paraId="6F041EC3" w14:textId="77777777" w:rsidR="00C875C2" w:rsidRDefault="00C875C2" w:rsidP="009A554A">
      <w:pPr>
        <w:spacing w:line="360" w:lineRule="auto"/>
        <w:jc w:val="both"/>
        <w:rPr>
          <w:rFonts w:ascii="Times New Roman" w:hAnsi="Times New Roman" w:cs="Times New Roman"/>
          <w:sz w:val="24"/>
          <w:szCs w:val="24"/>
        </w:rPr>
      </w:pPr>
    </w:p>
    <w:p w14:paraId="050B8F52" w14:textId="77777777" w:rsidR="00C875C2" w:rsidRDefault="00C875C2" w:rsidP="009A554A">
      <w:pPr>
        <w:spacing w:line="360" w:lineRule="auto"/>
        <w:jc w:val="both"/>
        <w:rPr>
          <w:rFonts w:ascii="Times New Roman" w:hAnsi="Times New Roman" w:cs="Times New Roman"/>
          <w:sz w:val="24"/>
          <w:szCs w:val="24"/>
        </w:rPr>
      </w:pPr>
    </w:p>
    <w:p w14:paraId="0C284A62" w14:textId="77777777" w:rsidR="006623DE" w:rsidRPr="009A554A" w:rsidRDefault="006623DE" w:rsidP="009A554A">
      <w:pPr>
        <w:spacing w:line="360" w:lineRule="auto"/>
        <w:jc w:val="both"/>
        <w:rPr>
          <w:rFonts w:ascii="Times New Roman" w:hAnsi="Times New Roman" w:cs="Times New Roman"/>
          <w:sz w:val="24"/>
          <w:szCs w:val="24"/>
        </w:rPr>
      </w:pPr>
    </w:p>
    <w:p w14:paraId="7D487222" w14:textId="77777777" w:rsidR="009A554A" w:rsidRPr="009A554A" w:rsidRDefault="009A554A" w:rsidP="009A554A">
      <w:pPr>
        <w:spacing w:line="360" w:lineRule="auto"/>
        <w:jc w:val="both"/>
        <w:rPr>
          <w:rFonts w:ascii="Times New Roman" w:hAnsi="Times New Roman" w:cs="Times New Roman"/>
          <w:sz w:val="24"/>
          <w:szCs w:val="24"/>
        </w:rPr>
      </w:pPr>
    </w:p>
    <w:p w14:paraId="5F4F8613" w14:textId="77777777" w:rsidR="009A554A" w:rsidRPr="009A554A" w:rsidRDefault="009A554A" w:rsidP="009A554A">
      <w:pPr>
        <w:spacing w:line="360" w:lineRule="auto"/>
        <w:jc w:val="both"/>
        <w:rPr>
          <w:rFonts w:ascii="Times New Roman" w:hAnsi="Times New Roman" w:cs="Times New Roman"/>
          <w:sz w:val="24"/>
          <w:szCs w:val="24"/>
        </w:rPr>
      </w:pPr>
    </w:p>
    <w:p w14:paraId="68B7CBF7" w14:textId="08D76D55" w:rsidR="009A554A" w:rsidRPr="009A554A" w:rsidRDefault="009A554A" w:rsidP="00C07B6C">
      <w:pPr>
        <w:spacing w:line="360" w:lineRule="auto"/>
        <w:jc w:val="both"/>
        <w:rPr>
          <w:rFonts w:ascii="Times New Roman" w:hAnsi="Times New Roman" w:cs="Times New Roman"/>
          <w:sz w:val="24"/>
          <w:szCs w:val="24"/>
        </w:rPr>
      </w:pPr>
    </w:p>
    <w:sectPr w:rsidR="009A554A" w:rsidRPr="009A554A">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E5358" w14:textId="77777777" w:rsidR="00AF464A" w:rsidRDefault="00AF464A" w:rsidP="002E4339">
      <w:pPr>
        <w:spacing w:after="0" w:line="240" w:lineRule="auto"/>
      </w:pPr>
      <w:r>
        <w:separator/>
      </w:r>
    </w:p>
  </w:endnote>
  <w:endnote w:type="continuationSeparator" w:id="0">
    <w:p w14:paraId="2E1927C7" w14:textId="77777777" w:rsidR="00AF464A" w:rsidRDefault="00AF464A" w:rsidP="002E4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0ACE" w14:textId="77777777" w:rsidR="002E4339" w:rsidRDefault="002E4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20BE" w14:textId="77777777" w:rsidR="002E4339" w:rsidRDefault="002E43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D5C2" w14:textId="77777777" w:rsidR="002E4339" w:rsidRDefault="002E4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C20C" w14:textId="77777777" w:rsidR="00AF464A" w:rsidRDefault="00AF464A" w:rsidP="002E4339">
      <w:pPr>
        <w:spacing w:after="0" w:line="240" w:lineRule="auto"/>
      </w:pPr>
      <w:r>
        <w:separator/>
      </w:r>
    </w:p>
  </w:footnote>
  <w:footnote w:type="continuationSeparator" w:id="0">
    <w:p w14:paraId="0133AB6A" w14:textId="77777777" w:rsidR="00AF464A" w:rsidRDefault="00AF464A" w:rsidP="002E4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095A" w14:textId="04B789AD" w:rsidR="002E4339" w:rsidRDefault="002E4339">
    <w:pPr>
      <w:pStyle w:val="Header"/>
    </w:pPr>
    <w:r>
      <w:rPr>
        <w:noProof/>
      </w:rPr>
      <w:pict w14:anchorId="2F770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55735"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FE6E" w14:textId="7FC28CDA" w:rsidR="002E4339" w:rsidRDefault="002E4339">
    <w:pPr>
      <w:pStyle w:val="Header"/>
    </w:pPr>
    <w:r>
      <w:rPr>
        <w:noProof/>
      </w:rPr>
      <w:pict w14:anchorId="4AE2F4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55736"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61B8" w14:textId="5F0D7659" w:rsidR="002E4339" w:rsidRDefault="002E4339">
    <w:pPr>
      <w:pStyle w:val="Header"/>
    </w:pPr>
    <w:r>
      <w:rPr>
        <w:noProof/>
      </w:rPr>
      <w:pict w14:anchorId="7CC9A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55734"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D15DC"/>
    <w:multiLevelType w:val="multilevel"/>
    <w:tmpl w:val="8054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787457"/>
    <w:multiLevelType w:val="multilevel"/>
    <w:tmpl w:val="05E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1C3576"/>
    <w:multiLevelType w:val="multilevel"/>
    <w:tmpl w:val="4AD8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613107"/>
    <w:multiLevelType w:val="multilevel"/>
    <w:tmpl w:val="4C08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717C06"/>
    <w:multiLevelType w:val="multilevel"/>
    <w:tmpl w:val="9BE0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704C46"/>
    <w:multiLevelType w:val="multilevel"/>
    <w:tmpl w:val="B70C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4546749">
    <w:abstractNumId w:val="4"/>
  </w:num>
  <w:num w:numId="2" w16cid:durableId="815533784">
    <w:abstractNumId w:val="3"/>
  </w:num>
  <w:num w:numId="3" w16cid:durableId="733282511">
    <w:abstractNumId w:val="1"/>
  </w:num>
  <w:num w:numId="4" w16cid:durableId="1724792992">
    <w:abstractNumId w:val="5"/>
  </w:num>
  <w:num w:numId="5" w16cid:durableId="2088069624">
    <w:abstractNumId w:val="0"/>
  </w:num>
  <w:num w:numId="6" w16cid:durableId="1075398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C5A"/>
    <w:rsid w:val="00014249"/>
    <w:rsid w:val="00063C7F"/>
    <w:rsid w:val="00065574"/>
    <w:rsid w:val="0007485D"/>
    <w:rsid w:val="000D3C86"/>
    <w:rsid w:val="000E51E4"/>
    <w:rsid w:val="001026EF"/>
    <w:rsid w:val="00116A45"/>
    <w:rsid w:val="00120BBC"/>
    <w:rsid w:val="00141ECC"/>
    <w:rsid w:val="00153688"/>
    <w:rsid w:val="001667E7"/>
    <w:rsid w:val="00191833"/>
    <w:rsid w:val="00197728"/>
    <w:rsid w:val="00197FF1"/>
    <w:rsid w:val="00221555"/>
    <w:rsid w:val="0023255C"/>
    <w:rsid w:val="00252063"/>
    <w:rsid w:val="00254CC3"/>
    <w:rsid w:val="00273053"/>
    <w:rsid w:val="002B0886"/>
    <w:rsid w:val="002B2D42"/>
    <w:rsid w:val="002C0301"/>
    <w:rsid w:val="002C5291"/>
    <w:rsid w:val="002E4339"/>
    <w:rsid w:val="002F1DD1"/>
    <w:rsid w:val="003061BC"/>
    <w:rsid w:val="00371B6B"/>
    <w:rsid w:val="003776FA"/>
    <w:rsid w:val="003903EA"/>
    <w:rsid w:val="003A4D00"/>
    <w:rsid w:val="003B51F5"/>
    <w:rsid w:val="003B68DC"/>
    <w:rsid w:val="0040307C"/>
    <w:rsid w:val="00437E74"/>
    <w:rsid w:val="004407EB"/>
    <w:rsid w:val="00461B96"/>
    <w:rsid w:val="004663E0"/>
    <w:rsid w:val="0047767A"/>
    <w:rsid w:val="004820E4"/>
    <w:rsid w:val="004A4036"/>
    <w:rsid w:val="004D3132"/>
    <w:rsid w:val="004E23B1"/>
    <w:rsid w:val="004F1885"/>
    <w:rsid w:val="004F283F"/>
    <w:rsid w:val="00515495"/>
    <w:rsid w:val="005202F1"/>
    <w:rsid w:val="00524D29"/>
    <w:rsid w:val="005279BF"/>
    <w:rsid w:val="00527AB3"/>
    <w:rsid w:val="00551D02"/>
    <w:rsid w:val="0056103E"/>
    <w:rsid w:val="00573610"/>
    <w:rsid w:val="0059541C"/>
    <w:rsid w:val="005C290C"/>
    <w:rsid w:val="00604F4A"/>
    <w:rsid w:val="00620CBC"/>
    <w:rsid w:val="00623647"/>
    <w:rsid w:val="006623DE"/>
    <w:rsid w:val="00682089"/>
    <w:rsid w:val="006B1541"/>
    <w:rsid w:val="006B5FD5"/>
    <w:rsid w:val="006C13F4"/>
    <w:rsid w:val="006D0F24"/>
    <w:rsid w:val="006E07E9"/>
    <w:rsid w:val="006E647F"/>
    <w:rsid w:val="00705D73"/>
    <w:rsid w:val="00710E7A"/>
    <w:rsid w:val="00715695"/>
    <w:rsid w:val="0073007C"/>
    <w:rsid w:val="007404BA"/>
    <w:rsid w:val="00745625"/>
    <w:rsid w:val="0074696D"/>
    <w:rsid w:val="007506EB"/>
    <w:rsid w:val="007602A8"/>
    <w:rsid w:val="00762A5A"/>
    <w:rsid w:val="00765FE9"/>
    <w:rsid w:val="00772196"/>
    <w:rsid w:val="00797EB2"/>
    <w:rsid w:val="007A3686"/>
    <w:rsid w:val="007A6627"/>
    <w:rsid w:val="007C6C64"/>
    <w:rsid w:val="007C6D0C"/>
    <w:rsid w:val="007D176D"/>
    <w:rsid w:val="007D6E60"/>
    <w:rsid w:val="007E5543"/>
    <w:rsid w:val="00805F07"/>
    <w:rsid w:val="00807294"/>
    <w:rsid w:val="008123CD"/>
    <w:rsid w:val="008171E7"/>
    <w:rsid w:val="008237CE"/>
    <w:rsid w:val="00834C8C"/>
    <w:rsid w:val="00842DFF"/>
    <w:rsid w:val="00876EF6"/>
    <w:rsid w:val="00883F8B"/>
    <w:rsid w:val="0088537C"/>
    <w:rsid w:val="008946F9"/>
    <w:rsid w:val="008964D3"/>
    <w:rsid w:val="008C07A5"/>
    <w:rsid w:val="008D666C"/>
    <w:rsid w:val="008F7930"/>
    <w:rsid w:val="00911D29"/>
    <w:rsid w:val="00926B0D"/>
    <w:rsid w:val="00952A79"/>
    <w:rsid w:val="00991C36"/>
    <w:rsid w:val="009A554A"/>
    <w:rsid w:val="009A7DAF"/>
    <w:rsid w:val="009B7428"/>
    <w:rsid w:val="009C2A4F"/>
    <w:rsid w:val="009C5C23"/>
    <w:rsid w:val="009D234C"/>
    <w:rsid w:val="009E09DD"/>
    <w:rsid w:val="009E1905"/>
    <w:rsid w:val="009E309C"/>
    <w:rsid w:val="00A0264A"/>
    <w:rsid w:val="00A30A8E"/>
    <w:rsid w:val="00A419D1"/>
    <w:rsid w:val="00A757DC"/>
    <w:rsid w:val="00A85269"/>
    <w:rsid w:val="00A92EF4"/>
    <w:rsid w:val="00AA45F7"/>
    <w:rsid w:val="00AA6B1C"/>
    <w:rsid w:val="00AB38AA"/>
    <w:rsid w:val="00AC15E6"/>
    <w:rsid w:val="00AE2DA6"/>
    <w:rsid w:val="00AF464A"/>
    <w:rsid w:val="00AF7758"/>
    <w:rsid w:val="00B16287"/>
    <w:rsid w:val="00BA3C70"/>
    <w:rsid w:val="00C07B6C"/>
    <w:rsid w:val="00C1758C"/>
    <w:rsid w:val="00C207B6"/>
    <w:rsid w:val="00C45A59"/>
    <w:rsid w:val="00C74E3F"/>
    <w:rsid w:val="00C83331"/>
    <w:rsid w:val="00C84861"/>
    <w:rsid w:val="00C875C2"/>
    <w:rsid w:val="00C95A5D"/>
    <w:rsid w:val="00CA0FAE"/>
    <w:rsid w:val="00CA1601"/>
    <w:rsid w:val="00CA2BBA"/>
    <w:rsid w:val="00CE514D"/>
    <w:rsid w:val="00D239B5"/>
    <w:rsid w:val="00D430B6"/>
    <w:rsid w:val="00D46BFA"/>
    <w:rsid w:val="00D53EAF"/>
    <w:rsid w:val="00DA1D87"/>
    <w:rsid w:val="00DB09B2"/>
    <w:rsid w:val="00DF0AEA"/>
    <w:rsid w:val="00DF5535"/>
    <w:rsid w:val="00E04EC8"/>
    <w:rsid w:val="00E243F0"/>
    <w:rsid w:val="00E37F03"/>
    <w:rsid w:val="00E47E74"/>
    <w:rsid w:val="00E81A5C"/>
    <w:rsid w:val="00EC617D"/>
    <w:rsid w:val="00EE37D3"/>
    <w:rsid w:val="00EF1867"/>
    <w:rsid w:val="00EF696B"/>
    <w:rsid w:val="00F054B9"/>
    <w:rsid w:val="00F33CB2"/>
    <w:rsid w:val="00F37B6E"/>
    <w:rsid w:val="00F415DF"/>
    <w:rsid w:val="00F53C5A"/>
    <w:rsid w:val="00F83938"/>
    <w:rsid w:val="00F84660"/>
    <w:rsid w:val="00FA09EF"/>
    <w:rsid w:val="00FA718C"/>
    <w:rsid w:val="00FE631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C878C"/>
  <w15:chartTrackingRefBased/>
  <w15:docId w15:val="{A6EF1D40-3396-4A1B-BD92-59E2D4B1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3E0"/>
    <w:pPr>
      <w:spacing w:after="200" w:line="276" w:lineRule="auto"/>
    </w:pPr>
    <w:rPr>
      <w:kern w:val="0"/>
      <w:lang w:val="en-US"/>
      <w14:ligatures w14:val="none"/>
    </w:rPr>
  </w:style>
  <w:style w:type="paragraph" w:styleId="Heading1">
    <w:name w:val="heading 1"/>
    <w:basedOn w:val="Normal"/>
    <w:next w:val="Normal"/>
    <w:link w:val="Heading1Char"/>
    <w:uiPriority w:val="9"/>
    <w:qFormat/>
    <w:rsid w:val="00F53C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3C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3C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3C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3C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3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C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3C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3C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3C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3C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3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C5A"/>
    <w:rPr>
      <w:rFonts w:eastAsiaTheme="majorEastAsia" w:cstheme="majorBidi"/>
      <w:color w:val="272727" w:themeColor="text1" w:themeTint="D8"/>
    </w:rPr>
  </w:style>
  <w:style w:type="paragraph" w:styleId="Title">
    <w:name w:val="Title"/>
    <w:basedOn w:val="Normal"/>
    <w:next w:val="Normal"/>
    <w:link w:val="TitleChar"/>
    <w:uiPriority w:val="10"/>
    <w:qFormat/>
    <w:rsid w:val="00F53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C5A"/>
    <w:pPr>
      <w:spacing w:before="160"/>
      <w:jc w:val="center"/>
    </w:pPr>
    <w:rPr>
      <w:i/>
      <w:iCs/>
      <w:color w:val="404040" w:themeColor="text1" w:themeTint="BF"/>
    </w:rPr>
  </w:style>
  <w:style w:type="character" w:customStyle="1" w:styleId="QuoteChar">
    <w:name w:val="Quote Char"/>
    <w:basedOn w:val="DefaultParagraphFont"/>
    <w:link w:val="Quote"/>
    <w:uiPriority w:val="29"/>
    <w:rsid w:val="00F53C5A"/>
    <w:rPr>
      <w:i/>
      <w:iCs/>
      <w:color w:val="404040" w:themeColor="text1" w:themeTint="BF"/>
    </w:rPr>
  </w:style>
  <w:style w:type="paragraph" w:styleId="ListParagraph">
    <w:name w:val="List Paragraph"/>
    <w:basedOn w:val="Normal"/>
    <w:uiPriority w:val="34"/>
    <w:qFormat/>
    <w:rsid w:val="00F53C5A"/>
    <w:pPr>
      <w:ind w:left="720"/>
      <w:contextualSpacing/>
    </w:pPr>
  </w:style>
  <w:style w:type="character" w:styleId="IntenseEmphasis">
    <w:name w:val="Intense Emphasis"/>
    <w:basedOn w:val="DefaultParagraphFont"/>
    <w:uiPriority w:val="21"/>
    <w:qFormat/>
    <w:rsid w:val="00F53C5A"/>
    <w:rPr>
      <w:i/>
      <w:iCs/>
      <w:color w:val="2F5496" w:themeColor="accent1" w:themeShade="BF"/>
    </w:rPr>
  </w:style>
  <w:style w:type="paragraph" w:styleId="IntenseQuote">
    <w:name w:val="Intense Quote"/>
    <w:basedOn w:val="Normal"/>
    <w:next w:val="Normal"/>
    <w:link w:val="IntenseQuoteChar"/>
    <w:uiPriority w:val="30"/>
    <w:qFormat/>
    <w:rsid w:val="00F53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3C5A"/>
    <w:rPr>
      <w:i/>
      <w:iCs/>
      <w:color w:val="2F5496" w:themeColor="accent1" w:themeShade="BF"/>
    </w:rPr>
  </w:style>
  <w:style w:type="character" w:styleId="IntenseReference">
    <w:name w:val="Intense Reference"/>
    <w:basedOn w:val="DefaultParagraphFont"/>
    <w:uiPriority w:val="32"/>
    <w:qFormat/>
    <w:rsid w:val="00F53C5A"/>
    <w:rPr>
      <w:b/>
      <w:bCs/>
      <w:smallCaps/>
      <w:color w:val="2F5496" w:themeColor="accent1" w:themeShade="BF"/>
      <w:spacing w:val="5"/>
    </w:rPr>
  </w:style>
  <w:style w:type="paragraph" w:styleId="TOCHeading">
    <w:name w:val="TOC Heading"/>
    <w:basedOn w:val="Heading1"/>
    <w:next w:val="Normal"/>
    <w:uiPriority w:val="39"/>
    <w:semiHidden/>
    <w:unhideWhenUsed/>
    <w:qFormat/>
    <w:rsid w:val="00F53C5A"/>
    <w:pPr>
      <w:spacing w:before="480" w:after="0"/>
      <w:outlineLvl w:val="9"/>
    </w:pPr>
    <w:rPr>
      <w:b/>
      <w:bCs/>
      <w:sz w:val="28"/>
      <w:szCs w:val="28"/>
    </w:rPr>
  </w:style>
  <w:style w:type="character" w:styleId="PlaceholderText">
    <w:name w:val="Placeholder Text"/>
    <w:basedOn w:val="DefaultParagraphFont"/>
    <w:uiPriority w:val="99"/>
    <w:semiHidden/>
    <w:rsid w:val="00C45A59"/>
    <w:rPr>
      <w:color w:val="666666"/>
    </w:rPr>
  </w:style>
  <w:style w:type="table" w:styleId="TableGridLight">
    <w:name w:val="Grid Table Light"/>
    <w:basedOn w:val="TableNormal"/>
    <w:uiPriority w:val="40"/>
    <w:rsid w:val="002730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273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3053"/>
    <w:rPr>
      <w:b/>
      <w:bCs/>
    </w:rPr>
  </w:style>
  <w:style w:type="character" w:styleId="Hyperlink">
    <w:name w:val="Hyperlink"/>
    <w:basedOn w:val="DefaultParagraphFont"/>
    <w:uiPriority w:val="99"/>
    <w:unhideWhenUsed/>
    <w:rsid w:val="0088537C"/>
    <w:rPr>
      <w:color w:val="0563C1" w:themeColor="hyperlink"/>
      <w:u w:val="single"/>
    </w:rPr>
  </w:style>
  <w:style w:type="character" w:customStyle="1" w:styleId="UnresolvedMention1">
    <w:name w:val="Unresolved Mention1"/>
    <w:basedOn w:val="DefaultParagraphFont"/>
    <w:uiPriority w:val="99"/>
    <w:semiHidden/>
    <w:unhideWhenUsed/>
    <w:rsid w:val="0088537C"/>
    <w:rPr>
      <w:color w:val="605E5C"/>
      <w:shd w:val="clear" w:color="auto" w:fill="E1DFDD"/>
    </w:rPr>
  </w:style>
  <w:style w:type="character" w:styleId="FollowedHyperlink">
    <w:name w:val="FollowedHyperlink"/>
    <w:basedOn w:val="DefaultParagraphFont"/>
    <w:uiPriority w:val="99"/>
    <w:semiHidden/>
    <w:unhideWhenUsed/>
    <w:rsid w:val="007602A8"/>
    <w:rPr>
      <w:color w:val="954F72" w:themeColor="followedHyperlink"/>
      <w:u w:val="single"/>
    </w:rPr>
  </w:style>
  <w:style w:type="character" w:styleId="UnresolvedMention">
    <w:name w:val="Unresolved Mention"/>
    <w:basedOn w:val="DefaultParagraphFont"/>
    <w:uiPriority w:val="99"/>
    <w:semiHidden/>
    <w:unhideWhenUsed/>
    <w:rsid w:val="00197FF1"/>
    <w:rPr>
      <w:color w:val="605E5C"/>
      <w:shd w:val="clear" w:color="auto" w:fill="E1DFDD"/>
    </w:rPr>
  </w:style>
  <w:style w:type="paragraph" w:styleId="Header">
    <w:name w:val="header"/>
    <w:basedOn w:val="Normal"/>
    <w:link w:val="HeaderChar"/>
    <w:uiPriority w:val="99"/>
    <w:unhideWhenUsed/>
    <w:rsid w:val="002E4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339"/>
    <w:rPr>
      <w:kern w:val="0"/>
      <w:lang w:val="en-US"/>
      <w14:ligatures w14:val="none"/>
    </w:rPr>
  </w:style>
  <w:style w:type="paragraph" w:styleId="Footer">
    <w:name w:val="footer"/>
    <w:basedOn w:val="Normal"/>
    <w:link w:val="FooterChar"/>
    <w:uiPriority w:val="99"/>
    <w:unhideWhenUsed/>
    <w:rsid w:val="002E4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339"/>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6587">
      <w:bodyDiv w:val="1"/>
      <w:marLeft w:val="0"/>
      <w:marRight w:val="0"/>
      <w:marTop w:val="0"/>
      <w:marBottom w:val="0"/>
      <w:divBdr>
        <w:top w:val="none" w:sz="0" w:space="0" w:color="auto"/>
        <w:left w:val="none" w:sz="0" w:space="0" w:color="auto"/>
        <w:bottom w:val="none" w:sz="0" w:space="0" w:color="auto"/>
        <w:right w:val="none" w:sz="0" w:space="0" w:color="auto"/>
      </w:divBdr>
    </w:div>
    <w:div w:id="142427691">
      <w:bodyDiv w:val="1"/>
      <w:marLeft w:val="0"/>
      <w:marRight w:val="0"/>
      <w:marTop w:val="0"/>
      <w:marBottom w:val="0"/>
      <w:divBdr>
        <w:top w:val="none" w:sz="0" w:space="0" w:color="auto"/>
        <w:left w:val="none" w:sz="0" w:space="0" w:color="auto"/>
        <w:bottom w:val="none" w:sz="0" w:space="0" w:color="auto"/>
        <w:right w:val="none" w:sz="0" w:space="0" w:color="auto"/>
      </w:divBdr>
    </w:div>
    <w:div w:id="251933889">
      <w:bodyDiv w:val="1"/>
      <w:marLeft w:val="0"/>
      <w:marRight w:val="0"/>
      <w:marTop w:val="0"/>
      <w:marBottom w:val="0"/>
      <w:divBdr>
        <w:top w:val="none" w:sz="0" w:space="0" w:color="auto"/>
        <w:left w:val="none" w:sz="0" w:space="0" w:color="auto"/>
        <w:bottom w:val="none" w:sz="0" w:space="0" w:color="auto"/>
        <w:right w:val="none" w:sz="0" w:space="0" w:color="auto"/>
      </w:divBdr>
    </w:div>
    <w:div w:id="329409589">
      <w:bodyDiv w:val="1"/>
      <w:marLeft w:val="0"/>
      <w:marRight w:val="0"/>
      <w:marTop w:val="0"/>
      <w:marBottom w:val="0"/>
      <w:divBdr>
        <w:top w:val="none" w:sz="0" w:space="0" w:color="auto"/>
        <w:left w:val="none" w:sz="0" w:space="0" w:color="auto"/>
        <w:bottom w:val="none" w:sz="0" w:space="0" w:color="auto"/>
        <w:right w:val="none" w:sz="0" w:space="0" w:color="auto"/>
      </w:divBdr>
    </w:div>
    <w:div w:id="424884563">
      <w:bodyDiv w:val="1"/>
      <w:marLeft w:val="0"/>
      <w:marRight w:val="0"/>
      <w:marTop w:val="0"/>
      <w:marBottom w:val="0"/>
      <w:divBdr>
        <w:top w:val="none" w:sz="0" w:space="0" w:color="auto"/>
        <w:left w:val="none" w:sz="0" w:space="0" w:color="auto"/>
        <w:bottom w:val="none" w:sz="0" w:space="0" w:color="auto"/>
        <w:right w:val="none" w:sz="0" w:space="0" w:color="auto"/>
      </w:divBdr>
    </w:div>
    <w:div w:id="474418352">
      <w:bodyDiv w:val="1"/>
      <w:marLeft w:val="0"/>
      <w:marRight w:val="0"/>
      <w:marTop w:val="0"/>
      <w:marBottom w:val="0"/>
      <w:divBdr>
        <w:top w:val="none" w:sz="0" w:space="0" w:color="auto"/>
        <w:left w:val="none" w:sz="0" w:space="0" w:color="auto"/>
        <w:bottom w:val="none" w:sz="0" w:space="0" w:color="auto"/>
        <w:right w:val="none" w:sz="0" w:space="0" w:color="auto"/>
      </w:divBdr>
    </w:div>
    <w:div w:id="508253093">
      <w:bodyDiv w:val="1"/>
      <w:marLeft w:val="0"/>
      <w:marRight w:val="0"/>
      <w:marTop w:val="0"/>
      <w:marBottom w:val="0"/>
      <w:divBdr>
        <w:top w:val="none" w:sz="0" w:space="0" w:color="auto"/>
        <w:left w:val="none" w:sz="0" w:space="0" w:color="auto"/>
        <w:bottom w:val="none" w:sz="0" w:space="0" w:color="auto"/>
        <w:right w:val="none" w:sz="0" w:space="0" w:color="auto"/>
      </w:divBdr>
    </w:div>
    <w:div w:id="530605301">
      <w:bodyDiv w:val="1"/>
      <w:marLeft w:val="0"/>
      <w:marRight w:val="0"/>
      <w:marTop w:val="0"/>
      <w:marBottom w:val="0"/>
      <w:divBdr>
        <w:top w:val="none" w:sz="0" w:space="0" w:color="auto"/>
        <w:left w:val="none" w:sz="0" w:space="0" w:color="auto"/>
        <w:bottom w:val="none" w:sz="0" w:space="0" w:color="auto"/>
        <w:right w:val="none" w:sz="0" w:space="0" w:color="auto"/>
      </w:divBdr>
      <w:divsChild>
        <w:div w:id="1734039265">
          <w:marLeft w:val="0"/>
          <w:marRight w:val="0"/>
          <w:marTop w:val="0"/>
          <w:marBottom w:val="0"/>
          <w:divBdr>
            <w:top w:val="none" w:sz="0" w:space="0" w:color="auto"/>
            <w:left w:val="none" w:sz="0" w:space="0" w:color="auto"/>
            <w:bottom w:val="none" w:sz="0" w:space="0" w:color="auto"/>
            <w:right w:val="none" w:sz="0" w:space="0" w:color="auto"/>
          </w:divBdr>
        </w:div>
      </w:divsChild>
    </w:div>
    <w:div w:id="569116419">
      <w:bodyDiv w:val="1"/>
      <w:marLeft w:val="0"/>
      <w:marRight w:val="0"/>
      <w:marTop w:val="0"/>
      <w:marBottom w:val="0"/>
      <w:divBdr>
        <w:top w:val="none" w:sz="0" w:space="0" w:color="auto"/>
        <w:left w:val="none" w:sz="0" w:space="0" w:color="auto"/>
        <w:bottom w:val="none" w:sz="0" w:space="0" w:color="auto"/>
        <w:right w:val="none" w:sz="0" w:space="0" w:color="auto"/>
      </w:divBdr>
    </w:div>
    <w:div w:id="603152218">
      <w:bodyDiv w:val="1"/>
      <w:marLeft w:val="0"/>
      <w:marRight w:val="0"/>
      <w:marTop w:val="0"/>
      <w:marBottom w:val="0"/>
      <w:divBdr>
        <w:top w:val="none" w:sz="0" w:space="0" w:color="auto"/>
        <w:left w:val="none" w:sz="0" w:space="0" w:color="auto"/>
        <w:bottom w:val="none" w:sz="0" w:space="0" w:color="auto"/>
        <w:right w:val="none" w:sz="0" w:space="0" w:color="auto"/>
      </w:divBdr>
    </w:div>
    <w:div w:id="673842628">
      <w:bodyDiv w:val="1"/>
      <w:marLeft w:val="0"/>
      <w:marRight w:val="0"/>
      <w:marTop w:val="0"/>
      <w:marBottom w:val="0"/>
      <w:divBdr>
        <w:top w:val="none" w:sz="0" w:space="0" w:color="auto"/>
        <w:left w:val="none" w:sz="0" w:space="0" w:color="auto"/>
        <w:bottom w:val="none" w:sz="0" w:space="0" w:color="auto"/>
        <w:right w:val="none" w:sz="0" w:space="0" w:color="auto"/>
      </w:divBdr>
      <w:divsChild>
        <w:div w:id="2137483909">
          <w:marLeft w:val="0"/>
          <w:marRight w:val="0"/>
          <w:marTop w:val="0"/>
          <w:marBottom w:val="0"/>
          <w:divBdr>
            <w:top w:val="none" w:sz="0" w:space="0" w:color="auto"/>
            <w:left w:val="none" w:sz="0" w:space="0" w:color="auto"/>
            <w:bottom w:val="none" w:sz="0" w:space="0" w:color="auto"/>
            <w:right w:val="none" w:sz="0" w:space="0" w:color="auto"/>
          </w:divBdr>
        </w:div>
      </w:divsChild>
    </w:div>
    <w:div w:id="699204807">
      <w:bodyDiv w:val="1"/>
      <w:marLeft w:val="0"/>
      <w:marRight w:val="0"/>
      <w:marTop w:val="0"/>
      <w:marBottom w:val="0"/>
      <w:divBdr>
        <w:top w:val="none" w:sz="0" w:space="0" w:color="auto"/>
        <w:left w:val="none" w:sz="0" w:space="0" w:color="auto"/>
        <w:bottom w:val="none" w:sz="0" w:space="0" w:color="auto"/>
        <w:right w:val="none" w:sz="0" w:space="0" w:color="auto"/>
      </w:divBdr>
    </w:div>
    <w:div w:id="708645589">
      <w:bodyDiv w:val="1"/>
      <w:marLeft w:val="0"/>
      <w:marRight w:val="0"/>
      <w:marTop w:val="0"/>
      <w:marBottom w:val="0"/>
      <w:divBdr>
        <w:top w:val="none" w:sz="0" w:space="0" w:color="auto"/>
        <w:left w:val="none" w:sz="0" w:space="0" w:color="auto"/>
        <w:bottom w:val="none" w:sz="0" w:space="0" w:color="auto"/>
        <w:right w:val="none" w:sz="0" w:space="0" w:color="auto"/>
      </w:divBdr>
    </w:div>
    <w:div w:id="783227635">
      <w:bodyDiv w:val="1"/>
      <w:marLeft w:val="0"/>
      <w:marRight w:val="0"/>
      <w:marTop w:val="0"/>
      <w:marBottom w:val="0"/>
      <w:divBdr>
        <w:top w:val="none" w:sz="0" w:space="0" w:color="auto"/>
        <w:left w:val="none" w:sz="0" w:space="0" w:color="auto"/>
        <w:bottom w:val="none" w:sz="0" w:space="0" w:color="auto"/>
        <w:right w:val="none" w:sz="0" w:space="0" w:color="auto"/>
      </w:divBdr>
    </w:div>
    <w:div w:id="800150489">
      <w:bodyDiv w:val="1"/>
      <w:marLeft w:val="0"/>
      <w:marRight w:val="0"/>
      <w:marTop w:val="0"/>
      <w:marBottom w:val="0"/>
      <w:divBdr>
        <w:top w:val="none" w:sz="0" w:space="0" w:color="auto"/>
        <w:left w:val="none" w:sz="0" w:space="0" w:color="auto"/>
        <w:bottom w:val="none" w:sz="0" w:space="0" w:color="auto"/>
        <w:right w:val="none" w:sz="0" w:space="0" w:color="auto"/>
      </w:divBdr>
    </w:div>
    <w:div w:id="890966503">
      <w:bodyDiv w:val="1"/>
      <w:marLeft w:val="0"/>
      <w:marRight w:val="0"/>
      <w:marTop w:val="0"/>
      <w:marBottom w:val="0"/>
      <w:divBdr>
        <w:top w:val="none" w:sz="0" w:space="0" w:color="auto"/>
        <w:left w:val="none" w:sz="0" w:space="0" w:color="auto"/>
        <w:bottom w:val="none" w:sz="0" w:space="0" w:color="auto"/>
        <w:right w:val="none" w:sz="0" w:space="0" w:color="auto"/>
      </w:divBdr>
    </w:div>
    <w:div w:id="897320663">
      <w:bodyDiv w:val="1"/>
      <w:marLeft w:val="0"/>
      <w:marRight w:val="0"/>
      <w:marTop w:val="0"/>
      <w:marBottom w:val="0"/>
      <w:divBdr>
        <w:top w:val="none" w:sz="0" w:space="0" w:color="auto"/>
        <w:left w:val="none" w:sz="0" w:space="0" w:color="auto"/>
        <w:bottom w:val="none" w:sz="0" w:space="0" w:color="auto"/>
        <w:right w:val="none" w:sz="0" w:space="0" w:color="auto"/>
      </w:divBdr>
    </w:div>
    <w:div w:id="903223950">
      <w:bodyDiv w:val="1"/>
      <w:marLeft w:val="0"/>
      <w:marRight w:val="0"/>
      <w:marTop w:val="0"/>
      <w:marBottom w:val="0"/>
      <w:divBdr>
        <w:top w:val="none" w:sz="0" w:space="0" w:color="auto"/>
        <w:left w:val="none" w:sz="0" w:space="0" w:color="auto"/>
        <w:bottom w:val="none" w:sz="0" w:space="0" w:color="auto"/>
        <w:right w:val="none" w:sz="0" w:space="0" w:color="auto"/>
      </w:divBdr>
      <w:divsChild>
        <w:div w:id="1552036832">
          <w:marLeft w:val="0"/>
          <w:marRight w:val="0"/>
          <w:marTop w:val="0"/>
          <w:marBottom w:val="0"/>
          <w:divBdr>
            <w:top w:val="none" w:sz="0" w:space="0" w:color="auto"/>
            <w:left w:val="none" w:sz="0" w:space="0" w:color="auto"/>
            <w:bottom w:val="none" w:sz="0" w:space="0" w:color="auto"/>
            <w:right w:val="none" w:sz="0" w:space="0" w:color="auto"/>
          </w:divBdr>
        </w:div>
      </w:divsChild>
    </w:div>
    <w:div w:id="1061712443">
      <w:bodyDiv w:val="1"/>
      <w:marLeft w:val="0"/>
      <w:marRight w:val="0"/>
      <w:marTop w:val="0"/>
      <w:marBottom w:val="0"/>
      <w:divBdr>
        <w:top w:val="none" w:sz="0" w:space="0" w:color="auto"/>
        <w:left w:val="none" w:sz="0" w:space="0" w:color="auto"/>
        <w:bottom w:val="none" w:sz="0" w:space="0" w:color="auto"/>
        <w:right w:val="none" w:sz="0" w:space="0" w:color="auto"/>
      </w:divBdr>
      <w:divsChild>
        <w:div w:id="60102199">
          <w:marLeft w:val="0"/>
          <w:marRight w:val="0"/>
          <w:marTop w:val="0"/>
          <w:marBottom w:val="0"/>
          <w:divBdr>
            <w:top w:val="none" w:sz="0" w:space="0" w:color="auto"/>
            <w:left w:val="none" w:sz="0" w:space="0" w:color="auto"/>
            <w:bottom w:val="none" w:sz="0" w:space="0" w:color="auto"/>
            <w:right w:val="none" w:sz="0" w:space="0" w:color="auto"/>
          </w:divBdr>
          <w:divsChild>
            <w:div w:id="594166538">
              <w:marLeft w:val="0"/>
              <w:marRight w:val="0"/>
              <w:marTop w:val="0"/>
              <w:marBottom w:val="0"/>
              <w:divBdr>
                <w:top w:val="none" w:sz="0" w:space="0" w:color="auto"/>
                <w:left w:val="none" w:sz="0" w:space="0" w:color="auto"/>
                <w:bottom w:val="none" w:sz="0" w:space="0" w:color="auto"/>
                <w:right w:val="none" w:sz="0" w:space="0" w:color="auto"/>
              </w:divBdr>
              <w:divsChild>
                <w:div w:id="1600141267">
                  <w:marLeft w:val="0"/>
                  <w:marRight w:val="0"/>
                  <w:marTop w:val="0"/>
                  <w:marBottom w:val="0"/>
                  <w:divBdr>
                    <w:top w:val="none" w:sz="0" w:space="0" w:color="auto"/>
                    <w:left w:val="none" w:sz="0" w:space="0" w:color="auto"/>
                    <w:bottom w:val="none" w:sz="0" w:space="0" w:color="auto"/>
                    <w:right w:val="none" w:sz="0" w:space="0" w:color="auto"/>
                  </w:divBdr>
                  <w:divsChild>
                    <w:div w:id="1748114323">
                      <w:marLeft w:val="0"/>
                      <w:marRight w:val="0"/>
                      <w:marTop w:val="0"/>
                      <w:marBottom w:val="0"/>
                      <w:divBdr>
                        <w:top w:val="none" w:sz="0" w:space="0" w:color="auto"/>
                        <w:left w:val="none" w:sz="0" w:space="0" w:color="auto"/>
                        <w:bottom w:val="none" w:sz="0" w:space="0" w:color="auto"/>
                        <w:right w:val="none" w:sz="0" w:space="0" w:color="auto"/>
                      </w:divBdr>
                      <w:divsChild>
                        <w:div w:id="9023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143940">
          <w:marLeft w:val="0"/>
          <w:marRight w:val="0"/>
          <w:marTop w:val="0"/>
          <w:marBottom w:val="0"/>
          <w:divBdr>
            <w:top w:val="none" w:sz="0" w:space="0" w:color="auto"/>
            <w:left w:val="none" w:sz="0" w:space="0" w:color="auto"/>
            <w:bottom w:val="none" w:sz="0" w:space="0" w:color="auto"/>
            <w:right w:val="none" w:sz="0" w:space="0" w:color="auto"/>
          </w:divBdr>
          <w:divsChild>
            <w:div w:id="1736467906">
              <w:marLeft w:val="0"/>
              <w:marRight w:val="0"/>
              <w:marTop w:val="0"/>
              <w:marBottom w:val="0"/>
              <w:divBdr>
                <w:top w:val="none" w:sz="0" w:space="0" w:color="auto"/>
                <w:left w:val="none" w:sz="0" w:space="0" w:color="auto"/>
                <w:bottom w:val="none" w:sz="0" w:space="0" w:color="auto"/>
                <w:right w:val="none" w:sz="0" w:space="0" w:color="auto"/>
              </w:divBdr>
              <w:divsChild>
                <w:div w:id="1043677875">
                  <w:marLeft w:val="0"/>
                  <w:marRight w:val="0"/>
                  <w:marTop w:val="0"/>
                  <w:marBottom w:val="0"/>
                  <w:divBdr>
                    <w:top w:val="none" w:sz="0" w:space="0" w:color="auto"/>
                    <w:left w:val="none" w:sz="0" w:space="0" w:color="auto"/>
                    <w:bottom w:val="none" w:sz="0" w:space="0" w:color="auto"/>
                    <w:right w:val="none" w:sz="0" w:space="0" w:color="auto"/>
                  </w:divBdr>
                  <w:divsChild>
                    <w:div w:id="4534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10426">
      <w:bodyDiv w:val="1"/>
      <w:marLeft w:val="0"/>
      <w:marRight w:val="0"/>
      <w:marTop w:val="0"/>
      <w:marBottom w:val="0"/>
      <w:divBdr>
        <w:top w:val="none" w:sz="0" w:space="0" w:color="auto"/>
        <w:left w:val="none" w:sz="0" w:space="0" w:color="auto"/>
        <w:bottom w:val="none" w:sz="0" w:space="0" w:color="auto"/>
        <w:right w:val="none" w:sz="0" w:space="0" w:color="auto"/>
      </w:divBdr>
    </w:div>
    <w:div w:id="1244872908">
      <w:bodyDiv w:val="1"/>
      <w:marLeft w:val="0"/>
      <w:marRight w:val="0"/>
      <w:marTop w:val="0"/>
      <w:marBottom w:val="0"/>
      <w:divBdr>
        <w:top w:val="none" w:sz="0" w:space="0" w:color="auto"/>
        <w:left w:val="none" w:sz="0" w:space="0" w:color="auto"/>
        <w:bottom w:val="none" w:sz="0" w:space="0" w:color="auto"/>
        <w:right w:val="none" w:sz="0" w:space="0" w:color="auto"/>
      </w:divBdr>
      <w:divsChild>
        <w:div w:id="666250945">
          <w:marLeft w:val="0"/>
          <w:marRight w:val="0"/>
          <w:marTop w:val="0"/>
          <w:marBottom w:val="0"/>
          <w:divBdr>
            <w:top w:val="none" w:sz="0" w:space="0" w:color="auto"/>
            <w:left w:val="none" w:sz="0" w:space="0" w:color="auto"/>
            <w:bottom w:val="none" w:sz="0" w:space="0" w:color="auto"/>
            <w:right w:val="none" w:sz="0" w:space="0" w:color="auto"/>
          </w:divBdr>
        </w:div>
      </w:divsChild>
    </w:div>
    <w:div w:id="1365640146">
      <w:bodyDiv w:val="1"/>
      <w:marLeft w:val="0"/>
      <w:marRight w:val="0"/>
      <w:marTop w:val="0"/>
      <w:marBottom w:val="0"/>
      <w:divBdr>
        <w:top w:val="none" w:sz="0" w:space="0" w:color="auto"/>
        <w:left w:val="none" w:sz="0" w:space="0" w:color="auto"/>
        <w:bottom w:val="none" w:sz="0" w:space="0" w:color="auto"/>
        <w:right w:val="none" w:sz="0" w:space="0" w:color="auto"/>
      </w:divBdr>
      <w:divsChild>
        <w:div w:id="1444810331">
          <w:marLeft w:val="0"/>
          <w:marRight w:val="0"/>
          <w:marTop w:val="0"/>
          <w:marBottom w:val="0"/>
          <w:divBdr>
            <w:top w:val="none" w:sz="0" w:space="0" w:color="auto"/>
            <w:left w:val="none" w:sz="0" w:space="0" w:color="auto"/>
            <w:bottom w:val="none" w:sz="0" w:space="0" w:color="auto"/>
            <w:right w:val="none" w:sz="0" w:space="0" w:color="auto"/>
          </w:divBdr>
        </w:div>
      </w:divsChild>
    </w:div>
    <w:div w:id="1379821868">
      <w:bodyDiv w:val="1"/>
      <w:marLeft w:val="0"/>
      <w:marRight w:val="0"/>
      <w:marTop w:val="0"/>
      <w:marBottom w:val="0"/>
      <w:divBdr>
        <w:top w:val="none" w:sz="0" w:space="0" w:color="auto"/>
        <w:left w:val="none" w:sz="0" w:space="0" w:color="auto"/>
        <w:bottom w:val="none" w:sz="0" w:space="0" w:color="auto"/>
        <w:right w:val="none" w:sz="0" w:space="0" w:color="auto"/>
      </w:divBdr>
      <w:divsChild>
        <w:div w:id="1732389980">
          <w:marLeft w:val="0"/>
          <w:marRight w:val="0"/>
          <w:marTop w:val="0"/>
          <w:marBottom w:val="0"/>
          <w:divBdr>
            <w:top w:val="none" w:sz="0" w:space="0" w:color="auto"/>
            <w:left w:val="none" w:sz="0" w:space="0" w:color="auto"/>
            <w:bottom w:val="none" w:sz="0" w:space="0" w:color="auto"/>
            <w:right w:val="none" w:sz="0" w:space="0" w:color="auto"/>
          </w:divBdr>
        </w:div>
      </w:divsChild>
    </w:div>
    <w:div w:id="1572156519">
      <w:bodyDiv w:val="1"/>
      <w:marLeft w:val="0"/>
      <w:marRight w:val="0"/>
      <w:marTop w:val="0"/>
      <w:marBottom w:val="0"/>
      <w:divBdr>
        <w:top w:val="none" w:sz="0" w:space="0" w:color="auto"/>
        <w:left w:val="none" w:sz="0" w:space="0" w:color="auto"/>
        <w:bottom w:val="none" w:sz="0" w:space="0" w:color="auto"/>
        <w:right w:val="none" w:sz="0" w:space="0" w:color="auto"/>
      </w:divBdr>
    </w:div>
    <w:div w:id="1582905060">
      <w:bodyDiv w:val="1"/>
      <w:marLeft w:val="0"/>
      <w:marRight w:val="0"/>
      <w:marTop w:val="0"/>
      <w:marBottom w:val="0"/>
      <w:divBdr>
        <w:top w:val="none" w:sz="0" w:space="0" w:color="auto"/>
        <w:left w:val="none" w:sz="0" w:space="0" w:color="auto"/>
        <w:bottom w:val="none" w:sz="0" w:space="0" w:color="auto"/>
        <w:right w:val="none" w:sz="0" w:space="0" w:color="auto"/>
      </w:divBdr>
      <w:divsChild>
        <w:div w:id="649166551">
          <w:marLeft w:val="0"/>
          <w:marRight w:val="0"/>
          <w:marTop w:val="0"/>
          <w:marBottom w:val="0"/>
          <w:divBdr>
            <w:top w:val="none" w:sz="0" w:space="0" w:color="auto"/>
            <w:left w:val="none" w:sz="0" w:space="0" w:color="auto"/>
            <w:bottom w:val="none" w:sz="0" w:space="0" w:color="auto"/>
            <w:right w:val="none" w:sz="0" w:space="0" w:color="auto"/>
          </w:divBdr>
          <w:divsChild>
            <w:div w:id="647394043">
              <w:marLeft w:val="0"/>
              <w:marRight w:val="0"/>
              <w:marTop w:val="0"/>
              <w:marBottom w:val="0"/>
              <w:divBdr>
                <w:top w:val="none" w:sz="0" w:space="0" w:color="auto"/>
                <w:left w:val="none" w:sz="0" w:space="0" w:color="auto"/>
                <w:bottom w:val="none" w:sz="0" w:space="0" w:color="auto"/>
                <w:right w:val="none" w:sz="0" w:space="0" w:color="auto"/>
              </w:divBdr>
              <w:divsChild>
                <w:div w:id="2047362481">
                  <w:marLeft w:val="0"/>
                  <w:marRight w:val="0"/>
                  <w:marTop w:val="0"/>
                  <w:marBottom w:val="0"/>
                  <w:divBdr>
                    <w:top w:val="none" w:sz="0" w:space="0" w:color="auto"/>
                    <w:left w:val="none" w:sz="0" w:space="0" w:color="auto"/>
                    <w:bottom w:val="none" w:sz="0" w:space="0" w:color="auto"/>
                    <w:right w:val="none" w:sz="0" w:space="0" w:color="auto"/>
                  </w:divBdr>
                  <w:divsChild>
                    <w:div w:id="4753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3527">
          <w:marLeft w:val="0"/>
          <w:marRight w:val="0"/>
          <w:marTop w:val="0"/>
          <w:marBottom w:val="0"/>
          <w:divBdr>
            <w:top w:val="none" w:sz="0" w:space="0" w:color="auto"/>
            <w:left w:val="none" w:sz="0" w:space="0" w:color="auto"/>
            <w:bottom w:val="none" w:sz="0" w:space="0" w:color="auto"/>
            <w:right w:val="none" w:sz="0" w:space="0" w:color="auto"/>
          </w:divBdr>
          <w:divsChild>
            <w:div w:id="777718613">
              <w:marLeft w:val="0"/>
              <w:marRight w:val="0"/>
              <w:marTop w:val="0"/>
              <w:marBottom w:val="0"/>
              <w:divBdr>
                <w:top w:val="none" w:sz="0" w:space="0" w:color="auto"/>
                <w:left w:val="none" w:sz="0" w:space="0" w:color="auto"/>
                <w:bottom w:val="none" w:sz="0" w:space="0" w:color="auto"/>
                <w:right w:val="none" w:sz="0" w:space="0" w:color="auto"/>
              </w:divBdr>
              <w:divsChild>
                <w:div w:id="2095013092">
                  <w:marLeft w:val="0"/>
                  <w:marRight w:val="0"/>
                  <w:marTop w:val="0"/>
                  <w:marBottom w:val="0"/>
                  <w:divBdr>
                    <w:top w:val="none" w:sz="0" w:space="0" w:color="auto"/>
                    <w:left w:val="none" w:sz="0" w:space="0" w:color="auto"/>
                    <w:bottom w:val="none" w:sz="0" w:space="0" w:color="auto"/>
                    <w:right w:val="none" w:sz="0" w:space="0" w:color="auto"/>
                  </w:divBdr>
                  <w:divsChild>
                    <w:div w:id="980958255">
                      <w:marLeft w:val="0"/>
                      <w:marRight w:val="0"/>
                      <w:marTop w:val="0"/>
                      <w:marBottom w:val="0"/>
                      <w:divBdr>
                        <w:top w:val="none" w:sz="0" w:space="0" w:color="auto"/>
                        <w:left w:val="none" w:sz="0" w:space="0" w:color="auto"/>
                        <w:bottom w:val="none" w:sz="0" w:space="0" w:color="auto"/>
                        <w:right w:val="none" w:sz="0" w:space="0" w:color="auto"/>
                      </w:divBdr>
                      <w:divsChild>
                        <w:div w:id="9404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019415">
      <w:bodyDiv w:val="1"/>
      <w:marLeft w:val="0"/>
      <w:marRight w:val="0"/>
      <w:marTop w:val="0"/>
      <w:marBottom w:val="0"/>
      <w:divBdr>
        <w:top w:val="none" w:sz="0" w:space="0" w:color="auto"/>
        <w:left w:val="none" w:sz="0" w:space="0" w:color="auto"/>
        <w:bottom w:val="none" w:sz="0" w:space="0" w:color="auto"/>
        <w:right w:val="none" w:sz="0" w:space="0" w:color="auto"/>
      </w:divBdr>
      <w:divsChild>
        <w:div w:id="695237269">
          <w:marLeft w:val="0"/>
          <w:marRight w:val="0"/>
          <w:marTop w:val="0"/>
          <w:marBottom w:val="0"/>
          <w:divBdr>
            <w:top w:val="none" w:sz="0" w:space="0" w:color="auto"/>
            <w:left w:val="none" w:sz="0" w:space="0" w:color="auto"/>
            <w:bottom w:val="none" w:sz="0" w:space="0" w:color="auto"/>
            <w:right w:val="none" w:sz="0" w:space="0" w:color="auto"/>
          </w:divBdr>
          <w:divsChild>
            <w:div w:id="563954063">
              <w:marLeft w:val="0"/>
              <w:marRight w:val="0"/>
              <w:marTop w:val="0"/>
              <w:marBottom w:val="0"/>
              <w:divBdr>
                <w:top w:val="none" w:sz="0" w:space="0" w:color="auto"/>
                <w:left w:val="none" w:sz="0" w:space="0" w:color="auto"/>
                <w:bottom w:val="none" w:sz="0" w:space="0" w:color="auto"/>
                <w:right w:val="none" w:sz="0" w:space="0" w:color="auto"/>
              </w:divBdr>
              <w:divsChild>
                <w:div w:id="1333022950">
                  <w:marLeft w:val="0"/>
                  <w:marRight w:val="0"/>
                  <w:marTop w:val="0"/>
                  <w:marBottom w:val="0"/>
                  <w:divBdr>
                    <w:top w:val="none" w:sz="0" w:space="0" w:color="auto"/>
                    <w:left w:val="none" w:sz="0" w:space="0" w:color="auto"/>
                    <w:bottom w:val="none" w:sz="0" w:space="0" w:color="auto"/>
                    <w:right w:val="none" w:sz="0" w:space="0" w:color="auto"/>
                  </w:divBdr>
                  <w:divsChild>
                    <w:div w:id="1142623428">
                      <w:marLeft w:val="0"/>
                      <w:marRight w:val="0"/>
                      <w:marTop w:val="0"/>
                      <w:marBottom w:val="0"/>
                      <w:divBdr>
                        <w:top w:val="none" w:sz="0" w:space="0" w:color="auto"/>
                        <w:left w:val="none" w:sz="0" w:space="0" w:color="auto"/>
                        <w:bottom w:val="none" w:sz="0" w:space="0" w:color="auto"/>
                        <w:right w:val="none" w:sz="0" w:space="0" w:color="auto"/>
                      </w:divBdr>
                      <w:divsChild>
                        <w:div w:id="7412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3444">
          <w:marLeft w:val="0"/>
          <w:marRight w:val="0"/>
          <w:marTop w:val="0"/>
          <w:marBottom w:val="0"/>
          <w:divBdr>
            <w:top w:val="none" w:sz="0" w:space="0" w:color="auto"/>
            <w:left w:val="none" w:sz="0" w:space="0" w:color="auto"/>
            <w:bottom w:val="none" w:sz="0" w:space="0" w:color="auto"/>
            <w:right w:val="none" w:sz="0" w:space="0" w:color="auto"/>
          </w:divBdr>
          <w:divsChild>
            <w:div w:id="466046353">
              <w:marLeft w:val="0"/>
              <w:marRight w:val="0"/>
              <w:marTop w:val="0"/>
              <w:marBottom w:val="0"/>
              <w:divBdr>
                <w:top w:val="none" w:sz="0" w:space="0" w:color="auto"/>
                <w:left w:val="none" w:sz="0" w:space="0" w:color="auto"/>
                <w:bottom w:val="none" w:sz="0" w:space="0" w:color="auto"/>
                <w:right w:val="none" w:sz="0" w:space="0" w:color="auto"/>
              </w:divBdr>
              <w:divsChild>
                <w:div w:id="597057540">
                  <w:marLeft w:val="0"/>
                  <w:marRight w:val="0"/>
                  <w:marTop w:val="0"/>
                  <w:marBottom w:val="0"/>
                  <w:divBdr>
                    <w:top w:val="none" w:sz="0" w:space="0" w:color="auto"/>
                    <w:left w:val="none" w:sz="0" w:space="0" w:color="auto"/>
                    <w:bottom w:val="none" w:sz="0" w:space="0" w:color="auto"/>
                    <w:right w:val="none" w:sz="0" w:space="0" w:color="auto"/>
                  </w:divBdr>
                  <w:divsChild>
                    <w:div w:id="14802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819006">
      <w:bodyDiv w:val="1"/>
      <w:marLeft w:val="0"/>
      <w:marRight w:val="0"/>
      <w:marTop w:val="0"/>
      <w:marBottom w:val="0"/>
      <w:divBdr>
        <w:top w:val="none" w:sz="0" w:space="0" w:color="auto"/>
        <w:left w:val="none" w:sz="0" w:space="0" w:color="auto"/>
        <w:bottom w:val="none" w:sz="0" w:space="0" w:color="auto"/>
        <w:right w:val="none" w:sz="0" w:space="0" w:color="auto"/>
      </w:divBdr>
    </w:div>
    <w:div w:id="1924757874">
      <w:bodyDiv w:val="1"/>
      <w:marLeft w:val="0"/>
      <w:marRight w:val="0"/>
      <w:marTop w:val="0"/>
      <w:marBottom w:val="0"/>
      <w:divBdr>
        <w:top w:val="none" w:sz="0" w:space="0" w:color="auto"/>
        <w:left w:val="none" w:sz="0" w:space="0" w:color="auto"/>
        <w:bottom w:val="none" w:sz="0" w:space="0" w:color="auto"/>
        <w:right w:val="none" w:sz="0" w:space="0" w:color="auto"/>
      </w:divBdr>
      <w:divsChild>
        <w:div w:id="585311744">
          <w:marLeft w:val="0"/>
          <w:marRight w:val="0"/>
          <w:marTop w:val="0"/>
          <w:marBottom w:val="0"/>
          <w:divBdr>
            <w:top w:val="none" w:sz="0" w:space="0" w:color="auto"/>
            <w:left w:val="none" w:sz="0" w:space="0" w:color="auto"/>
            <w:bottom w:val="none" w:sz="0" w:space="0" w:color="auto"/>
            <w:right w:val="none" w:sz="0" w:space="0" w:color="auto"/>
          </w:divBdr>
        </w:div>
      </w:divsChild>
    </w:div>
    <w:div w:id="1958174396">
      <w:bodyDiv w:val="1"/>
      <w:marLeft w:val="0"/>
      <w:marRight w:val="0"/>
      <w:marTop w:val="0"/>
      <w:marBottom w:val="0"/>
      <w:divBdr>
        <w:top w:val="none" w:sz="0" w:space="0" w:color="auto"/>
        <w:left w:val="none" w:sz="0" w:space="0" w:color="auto"/>
        <w:bottom w:val="none" w:sz="0" w:space="0" w:color="auto"/>
        <w:right w:val="none" w:sz="0" w:space="0" w:color="auto"/>
      </w:divBdr>
      <w:divsChild>
        <w:div w:id="203055873">
          <w:marLeft w:val="0"/>
          <w:marRight w:val="0"/>
          <w:marTop w:val="0"/>
          <w:marBottom w:val="0"/>
          <w:divBdr>
            <w:top w:val="none" w:sz="0" w:space="0" w:color="auto"/>
            <w:left w:val="none" w:sz="0" w:space="0" w:color="auto"/>
            <w:bottom w:val="none" w:sz="0" w:space="0" w:color="auto"/>
            <w:right w:val="none" w:sz="0" w:space="0" w:color="auto"/>
          </w:divBdr>
          <w:divsChild>
            <w:div w:id="1442145721">
              <w:marLeft w:val="0"/>
              <w:marRight w:val="0"/>
              <w:marTop w:val="0"/>
              <w:marBottom w:val="0"/>
              <w:divBdr>
                <w:top w:val="none" w:sz="0" w:space="0" w:color="auto"/>
                <w:left w:val="none" w:sz="0" w:space="0" w:color="auto"/>
                <w:bottom w:val="none" w:sz="0" w:space="0" w:color="auto"/>
                <w:right w:val="none" w:sz="0" w:space="0" w:color="auto"/>
              </w:divBdr>
              <w:divsChild>
                <w:div w:id="421802100">
                  <w:marLeft w:val="0"/>
                  <w:marRight w:val="0"/>
                  <w:marTop w:val="0"/>
                  <w:marBottom w:val="0"/>
                  <w:divBdr>
                    <w:top w:val="none" w:sz="0" w:space="0" w:color="auto"/>
                    <w:left w:val="none" w:sz="0" w:space="0" w:color="auto"/>
                    <w:bottom w:val="none" w:sz="0" w:space="0" w:color="auto"/>
                    <w:right w:val="none" w:sz="0" w:space="0" w:color="auto"/>
                  </w:divBdr>
                  <w:divsChild>
                    <w:div w:id="118274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537059">
          <w:marLeft w:val="0"/>
          <w:marRight w:val="0"/>
          <w:marTop w:val="0"/>
          <w:marBottom w:val="0"/>
          <w:divBdr>
            <w:top w:val="none" w:sz="0" w:space="0" w:color="auto"/>
            <w:left w:val="none" w:sz="0" w:space="0" w:color="auto"/>
            <w:bottom w:val="none" w:sz="0" w:space="0" w:color="auto"/>
            <w:right w:val="none" w:sz="0" w:space="0" w:color="auto"/>
          </w:divBdr>
          <w:divsChild>
            <w:div w:id="1516070924">
              <w:marLeft w:val="0"/>
              <w:marRight w:val="0"/>
              <w:marTop w:val="0"/>
              <w:marBottom w:val="0"/>
              <w:divBdr>
                <w:top w:val="none" w:sz="0" w:space="0" w:color="auto"/>
                <w:left w:val="none" w:sz="0" w:space="0" w:color="auto"/>
                <w:bottom w:val="none" w:sz="0" w:space="0" w:color="auto"/>
                <w:right w:val="none" w:sz="0" w:space="0" w:color="auto"/>
              </w:divBdr>
              <w:divsChild>
                <w:div w:id="1179154553">
                  <w:marLeft w:val="0"/>
                  <w:marRight w:val="0"/>
                  <w:marTop w:val="0"/>
                  <w:marBottom w:val="0"/>
                  <w:divBdr>
                    <w:top w:val="none" w:sz="0" w:space="0" w:color="auto"/>
                    <w:left w:val="none" w:sz="0" w:space="0" w:color="auto"/>
                    <w:bottom w:val="none" w:sz="0" w:space="0" w:color="auto"/>
                    <w:right w:val="none" w:sz="0" w:space="0" w:color="auto"/>
                  </w:divBdr>
                  <w:divsChild>
                    <w:div w:id="1661690151">
                      <w:marLeft w:val="0"/>
                      <w:marRight w:val="0"/>
                      <w:marTop w:val="0"/>
                      <w:marBottom w:val="0"/>
                      <w:divBdr>
                        <w:top w:val="none" w:sz="0" w:space="0" w:color="auto"/>
                        <w:left w:val="none" w:sz="0" w:space="0" w:color="auto"/>
                        <w:bottom w:val="none" w:sz="0" w:space="0" w:color="auto"/>
                        <w:right w:val="none" w:sz="0" w:space="0" w:color="auto"/>
                      </w:divBdr>
                      <w:divsChild>
                        <w:div w:id="14298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362735">
      <w:bodyDiv w:val="1"/>
      <w:marLeft w:val="0"/>
      <w:marRight w:val="0"/>
      <w:marTop w:val="0"/>
      <w:marBottom w:val="0"/>
      <w:divBdr>
        <w:top w:val="none" w:sz="0" w:space="0" w:color="auto"/>
        <w:left w:val="none" w:sz="0" w:space="0" w:color="auto"/>
        <w:bottom w:val="none" w:sz="0" w:space="0" w:color="auto"/>
        <w:right w:val="none" w:sz="0" w:space="0" w:color="auto"/>
      </w:divBdr>
    </w:div>
    <w:div w:id="2134325318">
      <w:bodyDiv w:val="1"/>
      <w:marLeft w:val="0"/>
      <w:marRight w:val="0"/>
      <w:marTop w:val="0"/>
      <w:marBottom w:val="0"/>
      <w:divBdr>
        <w:top w:val="none" w:sz="0" w:space="0" w:color="auto"/>
        <w:left w:val="none" w:sz="0" w:space="0" w:color="auto"/>
        <w:bottom w:val="none" w:sz="0" w:space="0" w:color="auto"/>
        <w:right w:val="none" w:sz="0" w:space="0" w:color="auto"/>
      </w:divBdr>
    </w:div>
    <w:div w:id="2146193848">
      <w:bodyDiv w:val="1"/>
      <w:marLeft w:val="0"/>
      <w:marRight w:val="0"/>
      <w:marTop w:val="0"/>
      <w:marBottom w:val="0"/>
      <w:divBdr>
        <w:top w:val="none" w:sz="0" w:space="0" w:color="auto"/>
        <w:left w:val="none" w:sz="0" w:space="0" w:color="auto"/>
        <w:bottom w:val="none" w:sz="0" w:space="0" w:color="auto"/>
        <w:right w:val="none" w:sz="0" w:space="0" w:color="auto"/>
      </w:divBdr>
      <w:divsChild>
        <w:div w:id="374161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2479/IJEFI.10012" TargetMode="External"/><Relationship Id="rId18" Type="http://schemas.openxmlformats.org/officeDocument/2006/relationships/hyperlink" Target="https://doi.org/10.1080/07352166.2023.2174871" TargetMode="External"/><Relationship Id="rId26" Type="http://schemas.openxmlformats.org/officeDocument/2006/relationships/hyperlink" Target="https://doi.org/10.3390/en18154167" TargetMode="External"/><Relationship Id="rId39" Type="http://schemas.openxmlformats.org/officeDocument/2006/relationships/hyperlink" Target="https://doi.org/10.1007/978-3-319-73610-5_1" TargetMode="External"/><Relationship Id="rId21" Type="http://schemas.openxmlformats.org/officeDocument/2006/relationships/hyperlink" Target="https://doi.org/10.1007/978-981-16-6691-9_5" TargetMode="External"/><Relationship Id="rId34" Type="http://schemas.openxmlformats.org/officeDocument/2006/relationships/hyperlink" Target="https://doi.org/10.36348/SJEF.2020.V04I04.003" TargetMode="External"/><Relationship Id="rId42" Type="http://schemas.openxmlformats.org/officeDocument/2006/relationships/hyperlink" Target="https://doi.org/10.3390/su16073005"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doi.org/10.1007/S11356-019-06154-2" TargetMode="External"/><Relationship Id="rId29" Type="http://schemas.openxmlformats.org/officeDocument/2006/relationships/hyperlink" Target="https://doi.org/10.18356/0B0E8CFC-EN" TargetMode="External"/><Relationship Id="rId11" Type="http://schemas.openxmlformats.org/officeDocument/2006/relationships/oleObject" Target="embeddings/oleObject2.bin"/><Relationship Id="rId24" Type="http://schemas.openxmlformats.org/officeDocument/2006/relationships/hyperlink" Target="https://hal-enpc.archives-ouvertes.fr/hal-00719289" TargetMode="External"/><Relationship Id="rId32" Type="http://schemas.openxmlformats.org/officeDocument/2006/relationships/hyperlink" Target="https://doi.org/10.1073/pnas.1211658109" TargetMode="External"/><Relationship Id="rId37" Type="http://schemas.openxmlformats.org/officeDocument/2006/relationships/hyperlink" Target="https://doi.org/10.1142/S0217590817400173" TargetMode="External"/><Relationship Id="rId40" Type="http://schemas.openxmlformats.org/officeDocument/2006/relationships/hyperlink" Target="https://doi.org/10.1371/journal.pone.0296997"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32479/IJEEP.9355" TargetMode="External"/><Relationship Id="rId23" Type="http://schemas.openxmlformats.org/officeDocument/2006/relationships/hyperlink" Target="https://doi.org/10.3390/en15093390" TargetMode="External"/><Relationship Id="rId28" Type="http://schemas.openxmlformats.org/officeDocument/2006/relationships/hyperlink" Target="https://doi.org/10.3390/su16187878" TargetMode="External"/><Relationship Id="rId36" Type="http://schemas.openxmlformats.org/officeDocument/2006/relationships/hyperlink" Target="https://doi.org/10.5267/j.uscm.2024.2.020" TargetMode="External"/><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doi.org/10.1007/S11356-015-5323-8" TargetMode="External"/><Relationship Id="rId31" Type="http://schemas.openxmlformats.org/officeDocument/2006/relationships/hyperlink" Target="https://doi.org/10.12944/cwe.19.3.26"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doi.org/10.52223/econimpact.2024.6305" TargetMode="External"/><Relationship Id="rId22" Type="http://schemas.openxmlformats.org/officeDocument/2006/relationships/hyperlink" Target="https://doi.org/10.1016/J.RSER.2016.12.117" TargetMode="External"/><Relationship Id="rId27" Type="http://schemas.openxmlformats.org/officeDocument/2006/relationships/hyperlink" Target="https://doi.org/10.1007/s11356-019-04342-8" TargetMode="External"/><Relationship Id="rId30" Type="http://schemas.openxmlformats.org/officeDocument/2006/relationships/hyperlink" Target="https://doi.org/10.3390/en15249647" TargetMode="External"/><Relationship Id="rId35" Type="http://schemas.openxmlformats.org/officeDocument/2006/relationships/hyperlink" Target="https://doi.org/10.1108/meq-04-2021-0070"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hyperlink" Target="https://doi.org/10.1007/S11356-020-08262-W" TargetMode="External"/><Relationship Id="rId17" Type="http://schemas.openxmlformats.org/officeDocument/2006/relationships/hyperlink" Target="https://doi.org/10.1007/S40622-017-0158-4" TargetMode="External"/><Relationship Id="rId25" Type="http://schemas.openxmlformats.org/officeDocument/2006/relationships/hyperlink" Target="https://doi.org/10.1108/meq-01-2022-0014" TargetMode="External"/><Relationship Id="rId33" Type="http://schemas.openxmlformats.org/officeDocument/2006/relationships/hyperlink" Target="https://doi.org/10.1007/S13762-021-03319-W" TargetMode="External"/><Relationship Id="rId38" Type="http://schemas.openxmlformats.org/officeDocument/2006/relationships/hyperlink" Target="http://journals.pu.edu.pk/journals/index.php/IJSAS/article/view/3083/1286" TargetMode="External"/><Relationship Id="rId46" Type="http://schemas.openxmlformats.org/officeDocument/2006/relationships/footer" Target="footer2.xml"/><Relationship Id="rId20" Type="http://schemas.openxmlformats.org/officeDocument/2006/relationships/hyperlink" Target="http://eprints.lse.ac.uk/60775/" TargetMode="External"/><Relationship Id="rId41" Type="http://schemas.openxmlformats.org/officeDocument/2006/relationships/hyperlink" Target="https://doi.org/10.1007/978-3-031-07127-0_13"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21</Pages>
  <Words>6318</Words>
  <Characters>36015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Moizz</dc:creator>
  <cp:keywords/>
  <dc:description/>
  <cp:lastModifiedBy>SDI 1180</cp:lastModifiedBy>
  <cp:revision>20</cp:revision>
  <cp:lastPrinted>2025-04-21T04:37:00Z</cp:lastPrinted>
  <dcterms:created xsi:type="dcterms:W3CDTF">2026-03-09T02:34:00Z</dcterms:created>
  <dcterms:modified xsi:type="dcterms:W3CDTF">2026-06-20T12:10:00Z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d036b7d5-daef-402b-93fb-fb8e7c1ab25c</vt:lpwstr>
  </property>
</Properties>
</file>