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53FD7" w14:textId="77777777" w:rsidR="00EC6E73" w:rsidRDefault="00981893">
      <w:pPr>
        <w:spacing w:after="320"/>
        <w:jc w:val="center"/>
        <w:rPr>
          <w:b/>
          <w:bCs/>
          <w:sz w:val="32"/>
          <w:szCs w:val="32"/>
        </w:rPr>
      </w:pPr>
      <w:r>
        <w:rPr>
          <w:b/>
          <w:bCs/>
          <w:sz w:val="32"/>
          <w:szCs w:val="32"/>
        </w:rPr>
        <w:t>Empowering Women in Fisheries: A Critical Review of Roles, Structural Constraints and Pathways to Equitable Change</w:t>
      </w:r>
    </w:p>
    <w:p w14:paraId="79292FA3" w14:textId="77777777" w:rsidR="00874A7D" w:rsidRDefault="00874A7D">
      <w:pPr>
        <w:spacing w:after="320"/>
        <w:jc w:val="center"/>
      </w:pPr>
    </w:p>
    <w:p w14:paraId="3C1F1072" w14:textId="77777777" w:rsidR="00EC6E73" w:rsidRDefault="00981893">
      <w:pPr>
        <w:pStyle w:val="Heading1"/>
        <w:spacing w:before="320" w:after="160"/>
      </w:pPr>
      <w:r>
        <w:rPr>
          <w:b/>
          <w:bCs/>
          <w:color w:val="000000"/>
          <w:sz w:val="26"/>
          <w:szCs w:val="26"/>
        </w:rPr>
        <w:t>Abstract</w:t>
      </w:r>
    </w:p>
    <w:p w14:paraId="0EC6AA20" w14:textId="77777777" w:rsidR="00EC6E73" w:rsidRDefault="00981893">
      <w:pPr>
        <w:spacing w:after="120" w:line="360" w:lineRule="auto"/>
        <w:jc w:val="both"/>
      </w:pPr>
      <w:r>
        <w:t xml:space="preserve">Women constitute a substantial share of the global workforce in capture fisheries and aquaculture, yet their contributions remain unevenly recorded, weakly protected and rarely decisive in sectoral decision-making. Two decades of scholarship have moved the field from advocacy for recognition towards quantified estimates of participation, structural analysis of constraint and evaluation of interventions intended to expand women's agency. The evidence produced along that trajectory is uneven in design, geographically concentrated and conceptually fragmented, and the resulting picture of what empowerment means in fisheries, and of what actually shifts it, remains contested. This critical narrative review examines the peer-reviewed and authoritative institutional literature published between 2010 and mid-2026 on women's roles in fisheries and aquaculture, the structural conditions that constrain them, and the interventions and governance reforms proposed to address those conditions. Literature was identified through </w:t>
      </w:r>
      <w:proofErr w:type="spellStart"/>
      <w:r>
        <w:t>Crossref</w:t>
      </w:r>
      <w:proofErr w:type="spellEnd"/>
      <w:r>
        <w:t xml:space="preserve"> Metadata Search, Europe PMC, Semantic Scholar, the Directory of Open Access Journals and targeted institutional repositories, supplemented by backward and forward citation searching, with every retained source verified against its Digital Object Identifier or official landing page. Four findings emerge. Global participation estimates have improved but rest on modelling assumptions and administrative categories that continue to under-record gleaning, post-harvest labour and unpaid household work. Structural constraints operate primarily through control over assets, income and decision-making rather than through exclusion from participation as such. Policy commitments to gender equality are widespread but are systematically narrowed during translation into sectoral instruments and organisational practice. Intervention evidence is dominated by small, short-term, single-site studies with few counterfactuals, so claims about effectiveness remain weakly supported. Confidence is strongest for descriptive characterisation of gendered divisions of labour and weakest for causal claims about intervention impact. Priorities include harmonised gender-disaggregated data systems, longitudinal and comparative intervention evaluation, and explicit attention to relational and intersectional dimensions of empowerment.</w:t>
      </w:r>
    </w:p>
    <w:p w14:paraId="2B024DFC" w14:textId="77777777" w:rsidR="003F3D62" w:rsidRDefault="003F3D62">
      <w:pPr>
        <w:pStyle w:val="Heading1"/>
        <w:spacing w:before="320" w:after="160"/>
        <w:rPr>
          <w:b/>
          <w:bCs/>
          <w:color w:val="000000"/>
          <w:sz w:val="26"/>
          <w:szCs w:val="26"/>
        </w:rPr>
      </w:pPr>
    </w:p>
    <w:p w14:paraId="767956C1" w14:textId="30AE5512" w:rsidR="00EC6E73" w:rsidRDefault="00981893">
      <w:pPr>
        <w:pStyle w:val="Heading1"/>
        <w:spacing w:before="320" w:after="160"/>
      </w:pPr>
      <w:r>
        <w:rPr>
          <w:b/>
          <w:bCs/>
          <w:color w:val="000000"/>
          <w:sz w:val="26"/>
          <w:szCs w:val="26"/>
        </w:rPr>
        <w:lastRenderedPageBreak/>
        <w:t>Keywords</w:t>
      </w:r>
    </w:p>
    <w:p w14:paraId="28020EBE" w14:textId="77777777" w:rsidR="00EC6E73" w:rsidRDefault="00981893">
      <w:pPr>
        <w:spacing w:after="120" w:line="360" w:lineRule="auto"/>
        <w:jc w:val="both"/>
      </w:pPr>
      <w:r>
        <w:t>Small-scale fisheries; gender equity; aquatic food systems; value chains; agency; fisheries governance; gender-disaggregated data; aquaculture</w:t>
      </w:r>
    </w:p>
    <w:p w14:paraId="71FC66C3" w14:textId="77777777" w:rsidR="00EC6E73" w:rsidRDefault="00981893">
      <w:pPr>
        <w:pStyle w:val="Heading1"/>
        <w:spacing w:before="320" w:after="160"/>
      </w:pPr>
      <w:r>
        <w:rPr>
          <w:b/>
          <w:bCs/>
          <w:color w:val="000000"/>
          <w:sz w:val="26"/>
          <w:szCs w:val="26"/>
        </w:rPr>
        <w:t>1. Introduction</w:t>
      </w:r>
    </w:p>
    <w:p w14:paraId="7AFF3B93" w14:textId="77777777" w:rsidR="00EC6E73" w:rsidRDefault="00981893">
      <w:pPr>
        <w:spacing w:after="120" w:line="360" w:lineRule="auto"/>
        <w:jc w:val="both"/>
      </w:pPr>
      <w:r>
        <w:t>Fisheries and aquaculture sustain livelihoods on a scale that global statistics have only recently begun to capture with confidence. A multidimensional assessment of small-scale fisheries estimates that this subsector supplies at least 40 per cent of global capture fisheries production, equivalent to 37.3 million tonnes, and provides 2.3 billion people with about a fifth of their dietary intake across six micronutrients essential to human health; the same assessment estimates that the livelihood of one person in every twelve depends at least partly on small-scale fishing, and that nearly half of those people are women (Basurto et al., 2025). Earlier accounting exercises reached broadly compatible conclusions from different methodological starting points, establishing that employment in capture fisheries is dominated in headcount terms by small-scale operations and by activities located away from the fishing vessel (Teh &amp; Sumaila, 2013). These aggregate figures matter for gender analysis because they place women's work at the centre rather than the periphery of the sector, and because they make the persistent thinness of gender-disaggregated evidence a problem of sectoral accounting rather than a specialist concern.</w:t>
      </w:r>
    </w:p>
    <w:p w14:paraId="2C9D769B" w14:textId="77777777" w:rsidR="00EC6E73" w:rsidRDefault="00981893">
      <w:pPr>
        <w:spacing w:after="120" w:line="360" w:lineRule="auto"/>
        <w:jc w:val="both"/>
      </w:pPr>
      <w:r>
        <w:t>The intellectual foundations of the field were laid by work that reframed fisheries employment as a chain of gendered occupations rather than a single occupation. The characterisation of gleaning, fishing, trading and processing as interdependent and differently gendered nodes established that any assessment confined to capture activity would necessarily misrepresent who works in fisheries and on what terms (</w:t>
      </w:r>
      <w:proofErr w:type="spellStart"/>
      <w:r>
        <w:t>Weeratunge</w:t>
      </w:r>
      <w:proofErr w:type="spellEnd"/>
      <w:r>
        <w:t xml:space="preserve"> et al., 2010). A synthesis of 106 case studies of small-scale fisheries subsequently demonstrated that women's fishing is widespread, ecologically distinctive and systematically under-sampled, and that the methods conventionally used to survey fisheries reproduce the very invisibility they are used to document (Kleiber et al., 2015). Quantitative estimation followed. A global modelling exercise placed the number of women participating in small-scale marine fishing at approximately 2.1 million, about 11 per cent of participants in small-scale fishing activities, landing roughly 2.9 million tonnes annually with a landed value near USD 5.6 billion and a wider economic impact near USD 14.8 billion per year (Harper et al., 2020). Institutional syntheses have converged on similar orders of magnitude while emphasising that women's presence is concentrated in post-harvest </w:t>
      </w:r>
      <w:r>
        <w:lastRenderedPageBreak/>
        <w:t>nodes that national statistical systems record poorly or not at all (FAO, Duke University, &amp; WorldFish, 2023; FAO, 2024).</w:t>
      </w:r>
    </w:p>
    <w:p w14:paraId="2FDBEA0F" w14:textId="77777777" w:rsidR="00EC6E73" w:rsidRDefault="00981893">
      <w:pPr>
        <w:spacing w:after="120" w:line="360" w:lineRule="auto"/>
        <w:jc w:val="both"/>
      </w:pPr>
      <w:r>
        <w:t>Alongside this quantitative turn, a parallel literature has examined why recognition has not translated into influence. Analysis of 76 policy instruments across the Pacific Islands region found that fisheries instruments frequently narrow the concept of gender to a focus on women, and that commitments framed in transformative language are progressively diluted as they move from international declaration to sectoral implementation (Lawless et al., 2021). Evaluation of practitioner approaches in Fiji, Solomon Islands and Vanuatu found that 76.2 per cent of the gender-inclusive approaches in use were designed only to reach women, with very few designed to benefit, empower or transform (</w:t>
      </w:r>
      <w:proofErr w:type="spellStart"/>
      <w:r>
        <w:t>Mangubhai</w:t>
      </w:r>
      <w:proofErr w:type="spellEnd"/>
      <w:r>
        <w:t xml:space="preserve"> &amp; Lawless, 2021). These findings indicate that the constraint on progress is not primarily the absence of commitment, and they have unsettled the assumption, implicit in much earlier work, that improved visibility would in itself generate improved outcomes.</w:t>
      </w:r>
    </w:p>
    <w:p w14:paraId="22AEFB72" w14:textId="77777777" w:rsidR="00EC6E73" w:rsidRDefault="00981893">
      <w:pPr>
        <w:spacing w:after="120" w:line="360" w:lineRule="auto"/>
        <w:jc w:val="both"/>
      </w:pPr>
      <w:r>
        <w:t>The field has also broadened conceptually. Attention has moved from counting participants towards examining agency, relational power and the social norms through which access to resources is negotiated (</w:t>
      </w:r>
      <w:proofErr w:type="spellStart"/>
      <w:r>
        <w:t>Frangoudes</w:t>
      </w:r>
      <w:proofErr w:type="spellEnd"/>
      <w:r>
        <w:t xml:space="preserve"> et al., 2019; Lawless et al., 2019). Value-theoretic work has proposed frameworks for accounting for the value that women's processing and trading labour creates along the chain, arguing that conventional value-chain analysis systematically undercounts contributions embedded in situated knowledge and unpaid work (Pedroza-Gutiérrez &amp; Hapke, 2022). Definitional work on what counts as a small-scale fishery has shown that scientific categories themselves shape whose activity is rendered visible (Smith &amp; Basurto, 2019). A dedicated strand of scholarship has consolidated around expanding the analytical horizons for women across both fisheries and aquaculture rather than treating the two sub-sectors separately (Gopal et al., 2020). Recent commentary has argued that gender analysis in aquatic food systems now requires a research agenda oriented towards structural and institutional change rather than towards further documentation of disparity (Hapke, 2025; Williams et al., 2025).</w:t>
      </w:r>
    </w:p>
    <w:p w14:paraId="2DF10E85" w14:textId="77777777" w:rsidR="00EC6E73" w:rsidRDefault="00981893">
      <w:pPr>
        <w:spacing w:after="120" w:line="360" w:lineRule="auto"/>
        <w:jc w:val="both"/>
      </w:pPr>
      <w:r>
        <w:t xml:space="preserve">Several review-type contributions have appeared. A scoping review of 202 articles applied a gendered agrifood systems framework and concluded that disparities in agency, resource control, social norms and governance jointly depress women's capacity to engage in and benefit from aquatic food systems (Adam et al., 2024). A priority-setting exercise arising from the Fourth World Small-Scale Fisheries Congress identified six research topics and six methodological considerations for advancing gender equity in the subsector (Rice et al., 2024). </w:t>
      </w:r>
      <w:r>
        <w:lastRenderedPageBreak/>
        <w:t>A regional synthesis applied the Harvard Analytical Framework to evidence from Kenya, Uganda and Tanzania and concluded that inequalities are most pronounced in asset ownership, decision-making authority and benefit distribution rather than in participation as such (Ouko et al., 2026). A national analysis of Brazil documented nearly 900,000 women in the small-scale fisheries workforce, approximately half of the sector, alongside persistent underrepresentation in policy and in fishery-dependent research (</w:t>
      </w:r>
      <w:proofErr w:type="spellStart"/>
      <w:r>
        <w:t>Cavole</w:t>
      </w:r>
      <w:proofErr w:type="spellEnd"/>
      <w:r>
        <w:t xml:space="preserve"> et al., 2025).</w:t>
      </w:r>
    </w:p>
    <w:p w14:paraId="13C6D072" w14:textId="77777777" w:rsidR="00EC6E73" w:rsidRDefault="00981893">
      <w:pPr>
        <w:spacing w:after="120" w:line="360" w:lineRule="auto"/>
        <w:jc w:val="both"/>
      </w:pPr>
      <w:r>
        <w:t>These contributions are valuable but leave an identifiable space unoccupied. The scoping review of aquatic food systems mapped the distribution of themes across the literature without appraising the methodological adequacy of the underlying designs, and did not evaluate whether the interventions described actually shifted the outcomes claimed for them. The congress-derived agenda articulates priorities without assessing the strength of the existing evidence that would justify ranking one priority above another. The regional and national syntheses are confined to specific geographies and do not adjudicate between competing conceptualisations of empowerment. Work on gender-inclusive data systems has set out the institutional architecture required to close data gaps but does not evaluate the substantive claims that current data support (Harper et al., 2026). What is missing is a synthesis that treats the conceptual, descriptive, structural, governance and intervention literatures as a single argument, asks what each can and cannot support, and states explicitly where confidence is high, where it is provisional and where the evidence does not permit a conclusion.</w:t>
      </w:r>
    </w:p>
    <w:p w14:paraId="4D376DDF" w14:textId="77777777" w:rsidR="00EC6E73" w:rsidRDefault="00981893">
      <w:pPr>
        <w:spacing w:after="120" w:line="360" w:lineRule="auto"/>
        <w:jc w:val="both"/>
      </w:pPr>
      <w:r>
        <w:t>That omission carries practical consequences. Development programming, sectoral policy and blue economy investment increasingly invoke women's empowerment as an objective, and increasingly claim empirical warrant for particular instruments. Where the warrant is weak, resources are committed on the basis of plausibility rather than demonstrated effect, and interventions that shift measured indicators without altering underlying relations may be mistaken for transformative change. A critical appraisal that distinguishes well-supported from tentative conclusions is therefore a precondition for responsible programming as much as for scholarly progress.</w:t>
      </w:r>
    </w:p>
    <w:p w14:paraId="627ED049" w14:textId="77777777" w:rsidR="00EC6E73" w:rsidRDefault="00981893">
      <w:pPr>
        <w:pStyle w:val="Heading2"/>
        <w:spacing w:before="320" w:after="160"/>
      </w:pPr>
      <w:r>
        <w:rPr>
          <w:b/>
          <w:bCs/>
          <w:color w:val="000000"/>
          <w:sz w:val="24"/>
          <w:szCs w:val="24"/>
        </w:rPr>
        <w:t>1.1 Scope, Research Gap and Objectives</w:t>
      </w:r>
    </w:p>
    <w:p w14:paraId="36097D47" w14:textId="77777777" w:rsidR="00EC6E73" w:rsidRDefault="00981893">
      <w:pPr>
        <w:spacing w:after="120" w:line="360" w:lineRule="auto"/>
        <w:jc w:val="both"/>
      </w:pPr>
      <w:r>
        <w:t xml:space="preserve">This review covers women's participation, constraints and empowerment in marine and inland capture fisheries and in aquaculture, spanning harvesting, gleaning, processing, trading, aquaculture production and sector governance. Attention is directed towards low- and middle-income settings, where the majority of the empirical literature is located, while high-income </w:t>
      </w:r>
      <w:r>
        <w:lastRenderedPageBreak/>
        <w:t xml:space="preserve">evidence is retained where it bears on questions of governance design, policy translation and professional representation. The review addresses the period from 2010 to mid-2026, a span chosen because the </w:t>
      </w:r>
      <w:proofErr w:type="spellStart"/>
      <w:r>
        <w:t>reconceptualisation</w:t>
      </w:r>
      <w:proofErr w:type="spellEnd"/>
      <w:r>
        <w:t xml:space="preserve"> of fisheries employment as a gendered chain of occupations at the start of the period established the analytical frame within which subsequent work has operated.</w:t>
      </w:r>
    </w:p>
    <w:p w14:paraId="2517D0D4" w14:textId="77777777" w:rsidR="00EC6E73" w:rsidRDefault="00981893">
      <w:pPr>
        <w:spacing w:after="120" w:line="360" w:lineRule="auto"/>
        <w:jc w:val="both"/>
      </w:pPr>
      <w:r>
        <w:t>The specific gap addressed is the absence of an integrated critical appraisal that links four bodies of work usually treated separately: the conceptual literature on what empowerment means in this sector; the descriptive and quantitative literature on women's roles; the structural literature on assets, norms, institutions and violence; and the evaluative literature on interventions and governance reform. Existing reviews map themes, set agendas or synthesise regional evidence, but none appraises the methodological adequacy of the designs generating these findings or states the confidence that current evidence can bear.</w:t>
      </w:r>
    </w:p>
    <w:p w14:paraId="1DB32C29" w14:textId="77777777" w:rsidR="00EC6E73" w:rsidRDefault="00981893">
      <w:pPr>
        <w:spacing w:after="120" w:line="360" w:lineRule="auto"/>
        <w:jc w:val="both"/>
      </w:pPr>
      <w:r>
        <w:t xml:space="preserve">Five objectives follow. The first is to compare the competing conceptualisations of empowerment in use and to establish what each </w:t>
      </w:r>
      <w:proofErr w:type="gramStart"/>
      <w:r>
        <w:t>renders</w:t>
      </w:r>
      <w:proofErr w:type="gramEnd"/>
      <w:r>
        <w:t xml:space="preserve"> visible and what it obscures. The second is to appraise the descriptive and quantitative evidence on women's roles across value-chain nodes and to identify the sources of systematic measurement error. The third is to synthesise the evidence on structural constraint and to assess which constraints are supported by robust evidence and which by inference. The fourth is to evaluate the evidence on governance reform and on interventions, distinguishing demonstrated effects from plausible mechanisms. The fifth is to derive prioritised research directions justified by the specific weaknesses identified rather than by general appeals for further study.</w:t>
      </w:r>
    </w:p>
    <w:p w14:paraId="7DB1DDE2" w14:textId="77777777" w:rsidR="00EC6E73" w:rsidRDefault="00981893">
      <w:pPr>
        <w:spacing w:after="120" w:line="360" w:lineRule="auto"/>
        <w:jc w:val="both"/>
      </w:pPr>
      <w:r>
        <w:t>Three exclusions are applied. Recreational and sport fisheries are not covered, since their gender dynamics arise from different social and economic structures. Gender questions in the seafood processing industries of high-income economies dominated by migrant labour regimes are addressed only where they bear directly on small-scale producer outcomes. Representation of women in fisheries science and management professions is treated only as it relates to sectoral governance outcomes, not as a self-contained question of academic labour markets.</w:t>
      </w:r>
    </w:p>
    <w:p w14:paraId="2B9A21C3" w14:textId="77777777" w:rsidR="00EC6E73" w:rsidRDefault="00981893">
      <w:pPr>
        <w:spacing w:after="120" w:line="360" w:lineRule="auto"/>
        <w:jc w:val="both"/>
      </w:pPr>
      <w:r>
        <w:t>The intended contribution is an evidence-calibrated account that practitioners and researchers can use to distinguish conclusions that are secure from those that are provisional, and to identify where additional evidence would materially change what is known rather than merely add to what has been described.</w:t>
      </w:r>
    </w:p>
    <w:p w14:paraId="530DF6A7" w14:textId="77777777" w:rsidR="00EC6E73" w:rsidRDefault="00981893">
      <w:pPr>
        <w:pStyle w:val="Heading1"/>
        <w:spacing w:before="320" w:after="160"/>
      </w:pPr>
      <w:r>
        <w:rPr>
          <w:b/>
          <w:bCs/>
          <w:color w:val="000000"/>
          <w:sz w:val="26"/>
          <w:szCs w:val="26"/>
        </w:rPr>
        <w:t>2. Methods for Literature Selection</w:t>
      </w:r>
    </w:p>
    <w:p w14:paraId="59BC4314" w14:textId="77777777" w:rsidR="00EC6E73" w:rsidRDefault="00981893">
      <w:pPr>
        <w:pStyle w:val="Heading2"/>
        <w:spacing w:before="320" w:after="160"/>
      </w:pPr>
      <w:r>
        <w:rPr>
          <w:b/>
          <w:bCs/>
          <w:color w:val="000000"/>
          <w:sz w:val="24"/>
          <w:szCs w:val="24"/>
        </w:rPr>
        <w:lastRenderedPageBreak/>
        <w:t>2.1 Review Design and Rationale</w:t>
      </w:r>
    </w:p>
    <w:p w14:paraId="26662B03" w14:textId="77777777" w:rsidR="00EC6E73" w:rsidRDefault="00981893">
      <w:pPr>
        <w:spacing w:after="120" w:line="360" w:lineRule="auto"/>
        <w:jc w:val="both"/>
      </w:pPr>
      <w:r>
        <w:t>A critical narrative review was selected because the review question is conceptual and integrative rather than effect-estimating. The literature spans marine ecology, human geography, development economics, rural sociology, political science and public health, and employs designs ranging from ethnography and participatory appraisal to household survey, index construction and global modelling. Outcome constructs are heterogeneous and frequently incommensurable, since agency, income, decision-making authority and representation are neither measured on common scales nor conceptualised consistently across disciplines. Under these conditions a meta-analysis would be inappropriate, and a systematic review structured around a single answerable effect question would exclude the conceptual and qualitative work that carries much of the field's explanatory content.</w:t>
      </w:r>
    </w:p>
    <w:p w14:paraId="388CD646" w14:textId="77777777" w:rsidR="00EC6E73" w:rsidRDefault="00981893">
      <w:pPr>
        <w:spacing w:after="120" w:line="360" w:lineRule="auto"/>
        <w:jc w:val="both"/>
      </w:pPr>
      <w:r>
        <w:t>Narrative synthesis is not a licence for selective reporting. The review was conducted with explicit search documentation, stated eligibility criteria and structured critical appraisal, consistent with arguments that the value of a review rests on the transparency and defensibility of its reasoning rather than on adherence to a single procedural template (Greenhalgh et al., 2018). The quality criteria articulated in the Scale for the Assessment of Narrative Review Articles were used to structure the manuscript, specifically the requirements to justify the review's importance, state the search procedure, reference the evidence for substantive statements, present evidence appropriate to the claims made and use scientific reasoning to reach conclusions (</w:t>
      </w:r>
      <w:proofErr w:type="spellStart"/>
      <w:r>
        <w:t>Baethge</w:t>
      </w:r>
      <w:proofErr w:type="spellEnd"/>
      <w:r>
        <w:t xml:space="preserve"> et al., 2019). No summary quality score is reported, since the instrument is designed for the appraisal of completed reviews rather than for self-assessment.</w:t>
      </w:r>
    </w:p>
    <w:p w14:paraId="0E052083" w14:textId="77777777" w:rsidR="00EC6E73" w:rsidRDefault="00981893">
      <w:pPr>
        <w:pStyle w:val="Heading2"/>
        <w:spacing w:before="320" w:after="160"/>
      </w:pPr>
      <w:r>
        <w:rPr>
          <w:b/>
          <w:bCs/>
          <w:color w:val="000000"/>
          <w:sz w:val="24"/>
          <w:szCs w:val="24"/>
        </w:rPr>
        <w:t>2.2 Information Sources</w:t>
      </w:r>
    </w:p>
    <w:p w14:paraId="75BCF656" w14:textId="77777777" w:rsidR="00EC6E73" w:rsidRDefault="00981893">
      <w:pPr>
        <w:spacing w:after="120" w:line="360" w:lineRule="auto"/>
        <w:jc w:val="both"/>
      </w:pPr>
      <w:r>
        <w:t xml:space="preserve">Bibliographic searching was conducted in </w:t>
      </w:r>
      <w:proofErr w:type="spellStart"/>
      <w:r>
        <w:t>Crossref</w:t>
      </w:r>
      <w:proofErr w:type="spellEnd"/>
      <w:r>
        <w:t xml:space="preserve"> Metadata Search, Europe PMC, Semantic Scholar and the Directory of Open Access Journals. Institutional literature was located through the open repository of the Food and Agriculture Organization of the United Nations. General web search engines were used to identify candidate records and institutional documents, with all bibliographic details subsequently confirmed against </w:t>
      </w:r>
      <w:proofErr w:type="spellStart"/>
      <w:r>
        <w:t>Crossref</w:t>
      </w:r>
      <w:proofErr w:type="spellEnd"/>
      <w:r>
        <w:t xml:space="preserve"> records and publisher or repository landing pages.</w:t>
      </w:r>
    </w:p>
    <w:p w14:paraId="6D433CA6" w14:textId="77777777" w:rsidR="00EC6E73" w:rsidRDefault="00981893">
      <w:pPr>
        <w:spacing w:after="120" w:line="360" w:lineRule="auto"/>
        <w:jc w:val="both"/>
      </w:pPr>
      <w:r>
        <w:t>Searching was supplemented by backward citation searching of recent reviews and syntheses, by forward citation tracing of foundational contributions, and by related-article searching within the platforms listed above. Records were also checked for corrections and expressions of concern, and one identified correction notice was noted and the affected source excluded.</w:t>
      </w:r>
    </w:p>
    <w:p w14:paraId="477A8C70" w14:textId="77777777" w:rsidR="00EC6E73" w:rsidRDefault="00981893">
      <w:pPr>
        <w:spacing w:after="120" w:line="360" w:lineRule="auto"/>
        <w:jc w:val="both"/>
      </w:pPr>
      <w:r>
        <w:lastRenderedPageBreak/>
        <w:t>Subscription-only resources, including Web of Science Core Collection, Scopus, Aquatic Sciences and Fisheries Abstracts and CAB Abstracts, were not accessible during the preparation of this review, and no search of those resources is claimed. The consequences of this restriction are addressed in the Limitations.</w:t>
      </w:r>
    </w:p>
    <w:p w14:paraId="436A8053" w14:textId="77777777" w:rsidR="00EC6E73" w:rsidRDefault="00981893">
      <w:pPr>
        <w:pStyle w:val="Heading2"/>
        <w:spacing w:before="320" w:after="160"/>
      </w:pPr>
      <w:r>
        <w:rPr>
          <w:b/>
          <w:bCs/>
          <w:color w:val="000000"/>
          <w:sz w:val="24"/>
          <w:szCs w:val="24"/>
        </w:rPr>
        <w:t>2.3 Search Strategy and Search Period</w:t>
      </w:r>
    </w:p>
    <w:p w14:paraId="67C9CF9C" w14:textId="77777777" w:rsidR="00EC6E73" w:rsidRDefault="00981893">
      <w:pPr>
        <w:spacing w:after="120" w:line="360" w:lineRule="auto"/>
        <w:jc w:val="both"/>
      </w:pPr>
      <w:r>
        <w:t>Search concepts were constructed from four elements. The population element combined terms for women, gender, fisherwomen and female fishers. The sector element combined small-scale fisheries, artisanal fisheries, capture fisheries, aquaculture, aquatic food systems and fish value chains. The mechanism element combined empowerment, agency, decision-making, gender norms, access to resources, tenure, credit, intersectionality, gender-based violence and gender-transformative approaches. The outcome and context element combined governance, co-management, policy, blue economy, climate adaptation, food security, livelihoods and value-chain upgrading.</w:t>
      </w:r>
    </w:p>
    <w:p w14:paraId="442E7D3F" w14:textId="77777777" w:rsidR="00EC6E73" w:rsidRDefault="00981893">
      <w:pPr>
        <w:spacing w:after="120" w:line="360" w:lineRule="auto"/>
        <w:jc w:val="both"/>
      </w:pPr>
      <w:r>
        <w:t>Representative search strings included the following. For general participation and empowerment: (women OR gender OR fisherwomen) AND ("small-scale fisheries" OR "artisanal fisheries" OR aquaculture) AND (empowerment OR agency OR "decision-making"). For value chains and post-harvest work: (women OR gender) AND ("value chain" OR "post-harvest" OR processing OR trading) AND (fish OR fisheries OR aquaculture). For governance: (gender OR women) AND (fisheries) AND (governance OR co-management OR policy OR participation). For structural constraint: (gender OR women) AND fisheries AND (norms OR tenure OR credit OR "gender-based violence" OR intersectionality). For measurement: (women OR gender) AND (empowerment) AND (index OR measurement OR "WEAI" OR "WEFI") AND (fisheries OR aquaculture). Platform-specific syntax was adapted where field-tagged querying was supported.</w:t>
      </w:r>
    </w:p>
    <w:p w14:paraId="4687B11A" w14:textId="77777777" w:rsidR="00EC6E73" w:rsidRDefault="00981893">
      <w:pPr>
        <w:spacing w:after="120" w:line="360" w:lineRule="auto"/>
        <w:jc w:val="both"/>
      </w:pPr>
      <w:r>
        <w:t>The search period extended from 1 January 2010 to 10 June 2026, the final search date. Sources published before 2010 were considered only where conceptually or historically necessary, and none was ultimately retained.</w:t>
      </w:r>
    </w:p>
    <w:p w14:paraId="5EA21CC4" w14:textId="77777777" w:rsidR="00EC6E73" w:rsidRDefault="00981893">
      <w:pPr>
        <w:pStyle w:val="Heading2"/>
        <w:spacing w:before="320" w:after="160"/>
      </w:pPr>
      <w:r>
        <w:rPr>
          <w:b/>
          <w:bCs/>
          <w:color w:val="000000"/>
          <w:sz w:val="24"/>
          <w:szCs w:val="24"/>
        </w:rPr>
        <w:t>2.4 Eligibility Criteria</w:t>
      </w:r>
    </w:p>
    <w:p w14:paraId="0C3681BE" w14:textId="77777777" w:rsidR="00EC6E73" w:rsidRDefault="00981893">
      <w:pPr>
        <w:spacing w:after="120" w:line="360" w:lineRule="auto"/>
        <w:jc w:val="both"/>
      </w:pPr>
      <w:r>
        <w:t xml:space="preserve">Peer-reviewed journal articles reporting primary empirical research, systematic or scoping reviews, meta-analyses and substantive conceptual or methodological contributions were eligible, as were reports of recognised intergovernmental bodies where they supplied </w:t>
      </w:r>
      <w:r>
        <w:lastRenderedPageBreak/>
        <w:t>authoritative sectoral statistics or normative frameworks. Eligible studies addressed women's participation, roles, constraints, empowerment or representation in capture fisheries or aquaculture, or examined gender in the governance of those sectors.</w:t>
      </w:r>
    </w:p>
    <w:p w14:paraId="221C1723" w14:textId="77777777" w:rsidR="00EC6E73" w:rsidRDefault="00981893">
      <w:pPr>
        <w:spacing w:after="120" w:line="360" w:lineRule="auto"/>
        <w:jc w:val="both"/>
      </w:pPr>
      <w:r>
        <w:t>Studies were required to report an identifiable design, setting and evidentiary basis. Publications were excluded where the subject matter concerned gender in agriculture or natural resource management without a fisheries or aquaculture component, where the sole focus was recreational fishing, where the work was a conference abstract, editorial without substantive analysis, promotional material or non-scholarly commentary, or where bibliographic details could not be confirmed. Preprints were excluded, since peer-reviewed evidence was available on every theme addressed. Publications in languages other than English were not assessed, and this restriction is acknowledged in the Limitations. Geographical coverage was unrestricted, but the evidential weight assigned to any finding was adjusted for the representativeness of its setting.</w:t>
      </w:r>
    </w:p>
    <w:p w14:paraId="2AB06DA3" w14:textId="77777777" w:rsidR="00EC6E73" w:rsidRDefault="00981893">
      <w:pPr>
        <w:pStyle w:val="Heading2"/>
        <w:spacing w:before="320" w:after="160"/>
      </w:pPr>
      <w:r>
        <w:rPr>
          <w:b/>
          <w:bCs/>
          <w:color w:val="000000"/>
          <w:sz w:val="24"/>
          <w:szCs w:val="24"/>
        </w:rPr>
        <w:t>2.5 Screening, Duplicate Handling and Study Selection</w:t>
      </w:r>
    </w:p>
    <w:p w14:paraId="4D6ACA79" w14:textId="77777777" w:rsidR="00EC6E73" w:rsidRDefault="00981893">
      <w:pPr>
        <w:spacing w:after="120" w:line="360" w:lineRule="auto"/>
        <w:jc w:val="both"/>
      </w:pPr>
      <w:r>
        <w:t>Titles and abstracts retrieved from each platform were screened against the eligibility criteria, and records passing that screen were examined at the level of the full record, including abstract, stated methods and, where accessible, full text. Duplicates arising from overlapping platform coverage were identified by matching Digital Object Identifiers and, where an identifier was absent, by matching title, first author and year. Where platforms disagreed on metadata, the record on the publisher or repository landing page was treated as authoritative, and version-of-record publication years were used in preference to online-first years.</w:t>
      </w:r>
    </w:p>
    <w:p w14:paraId="14E67002" w14:textId="77777777" w:rsidR="00EC6E73" w:rsidRDefault="00981893">
      <w:pPr>
        <w:spacing w:after="120" w:line="360" w:lineRule="auto"/>
        <w:jc w:val="both"/>
      </w:pPr>
      <w:r>
        <w:t>Records that could not be verified against an authoritative bibliographic source were not retained, and records for which only a title was available were excluded. No formal screening counts are reported, because the selection process was iterative and purposive rather than systematic, and reporting counts would imply a procedural completeness that this design does not claim. Selection prioritised conceptual importance, methodological contribution, quality and scale of evidence, independent confirmation, and influence on policy or practice, and deliberately retained studies reporting negative, null or contrary findings.</w:t>
      </w:r>
    </w:p>
    <w:p w14:paraId="6763AD5A" w14:textId="77777777" w:rsidR="00EC6E73" w:rsidRDefault="00981893">
      <w:pPr>
        <w:pStyle w:val="Heading2"/>
        <w:spacing w:before="320" w:after="160"/>
      </w:pPr>
      <w:r>
        <w:rPr>
          <w:b/>
          <w:bCs/>
          <w:color w:val="000000"/>
          <w:sz w:val="24"/>
          <w:szCs w:val="24"/>
        </w:rPr>
        <w:t>2.6 Critical Appraisal and Evidence Synthesis</w:t>
      </w:r>
    </w:p>
    <w:p w14:paraId="75FE5179" w14:textId="77777777" w:rsidR="00EC6E73" w:rsidRDefault="00981893">
      <w:pPr>
        <w:spacing w:after="120" w:line="360" w:lineRule="auto"/>
        <w:jc w:val="both"/>
      </w:pPr>
      <w:r>
        <w:t xml:space="preserve">Each retained study was appraised against criteria appropriate to its design. Quantitative studies were assessed for sampling frame and representativeness, sample size, measurement validity, </w:t>
      </w:r>
      <w:r>
        <w:lastRenderedPageBreak/>
        <w:t>treatment of confounding, presence of a comparison group and analytical transparency. Modelling studies were assessed for the plausibility and stated uncertainty of their assumptions and for the quality of the input data. Qualitative studies were assessed for transparency of sampling and analysis, contextual depth and the correspondence between data presented and interpretation offered. Review-type studies were assessed for search transparency, appraisal procedure and the correspondence between their conclusions and the evidence they synthesised. No formal risk-of-bias instrument was applied, since no recognised tool covers the range of designs represented and the reporting in many included studies would not support one.</w:t>
      </w:r>
    </w:p>
    <w:p w14:paraId="388891DC" w14:textId="77777777" w:rsidR="00EC6E73" w:rsidRDefault="00981893">
      <w:pPr>
        <w:spacing w:after="120" w:line="360" w:lineRule="auto"/>
        <w:jc w:val="both"/>
      </w:pPr>
      <w:r>
        <w:t>Themes were developed inductively from the appraised evidence and organised around the conceptual, descriptive, structural, governance and evaluative problems that recur across the field rather than around geography or discipline. Where studies disagreed, the disagreement was examined for its likely source, distinguishing differences arising from setting, from measurement construct, from design and from analytical framing. Confidence in each principal conclusion was assessed by considering the consistency of findings across independent studies, the strength of the designs generating them and the extent to which alternative explanations had been excluded. Convergent findings from heterogeneous designs in independent settings were treated as more secure than repeated findings from similar designs in similar settings.</w:t>
      </w:r>
    </w:p>
    <w:p w14:paraId="6A5064FC" w14:textId="77777777" w:rsidR="00EC6E73" w:rsidRDefault="00981893">
      <w:pPr>
        <w:pStyle w:val="Heading1"/>
        <w:spacing w:before="320" w:after="160"/>
      </w:pPr>
      <w:r>
        <w:rPr>
          <w:b/>
          <w:bCs/>
          <w:color w:val="000000"/>
          <w:sz w:val="26"/>
          <w:szCs w:val="26"/>
        </w:rPr>
        <w:t>3. Competing Conceptualisations of Empowerment and Their Analytical Consequences</w:t>
      </w:r>
    </w:p>
    <w:p w14:paraId="293EFD00" w14:textId="77777777" w:rsidR="00EC6E73" w:rsidRDefault="00981893">
      <w:pPr>
        <w:spacing w:after="120" w:line="360" w:lineRule="auto"/>
        <w:jc w:val="both"/>
      </w:pPr>
      <w:r>
        <w:t>The term empowerment carries different meanings across the fisheries literature, and those differences have material consequences for what is measured, what is claimed and what counts as success. Three broad conceptualisations can be distinguished, and their coexistence explains a substantial part of the apparent disagreement in the field.</w:t>
      </w:r>
    </w:p>
    <w:p w14:paraId="707CC097" w14:textId="77777777" w:rsidR="00EC6E73" w:rsidRDefault="00981893">
      <w:pPr>
        <w:spacing w:after="120" w:line="360" w:lineRule="auto"/>
        <w:jc w:val="both"/>
      </w:pPr>
      <w:r>
        <w:t xml:space="preserve">The first treats empowerment as presence and recognition. On this view, the central problem is that women's work is not counted, and the remedy is to count it. This framing generated the field's most influential early contributions and remains the basis of most global estimation (Kleiber et al., 2015; Harper et al., 2020; </w:t>
      </w:r>
      <w:proofErr w:type="spellStart"/>
      <w:r>
        <w:t>Weeratunge</w:t>
      </w:r>
      <w:proofErr w:type="spellEnd"/>
      <w:r>
        <w:t xml:space="preserve"> et al., 2010). Its analytical strength is that it converts a diffuse claim about invisibility into a testable proposition about statistical coverage, and it has produced the quantitative warrant that policy processes require. Its limitation is that presence and power are not equivalent. Documenting that women constitute half of a national small-scale fisheries workforce, as in Brazil, establishes a fact about </w:t>
      </w:r>
      <w:r>
        <w:lastRenderedPageBreak/>
        <w:t>participation while leaving open whether those women earn comparably, control the proceeds of their labour or influence the rules governing access (</w:t>
      </w:r>
      <w:proofErr w:type="spellStart"/>
      <w:r>
        <w:t>Cavole</w:t>
      </w:r>
      <w:proofErr w:type="spellEnd"/>
      <w:r>
        <w:t xml:space="preserve"> et al., 2025).</w:t>
      </w:r>
    </w:p>
    <w:p w14:paraId="7CF547A7" w14:textId="77777777" w:rsidR="00EC6E73" w:rsidRDefault="00981893">
      <w:pPr>
        <w:spacing w:after="120" w:line="360" w:lineRule="auto"/>
        <w:jc w:val="both"/>
      </w:pPr>
      <w:r>
        <w:t>The second treats empowerment as agency within relations. On this view, the relevant object is the capacity to make and act upon consequential choices, which is constituted through social relations rather than held as an individual attribute. Work in Solomon Islands coastal communities demonstrated that gender norms and relations shape the expression of agency in ways not captured by participation counts, and that women may be present in an activity while lacking the standing to determine its terms (Lawless et al., 2019). Relational accounts of gender equality policy have argued more generally that assets, agency and legitimacy interact, and that interventions targeting assets alone tend not to alter the legitimacy accorded to women's claims (Rao, 2017). The analytical strength of this framing is that it explains why participation gains can coexist with unchanged outcomes. Its limitation is measurement difficulty, since relational constructs resist standardisation and are frequently operationalised through indicators that revert to individual attributes.</w:t>
      </w:r>
    </w:p>
    <w:p w14:paraId="68CAD9F6" w14:textId="77777777" w:rsidR="00EC6E73" w:rsidRDefault="00981893">
      <w:pPr>
        <w:spacing w:after="120" w:line="360" w:lineRule="auto"/>
        <w:jc w:val="both"/>
      </w:pPr>
      <w:r>
        <w:t>The third treats empowerment as a justice claim within governance. Work on Blue Justice has positioned gender inequity in small-scale fisheries as a distributional and procedural injustice requiring institutional remedy rather than as a development gap requiring capacity building (Gustavsson et al., 2021). Related arguments have held that ocean governance itself is constructed in ways that presume a male subject, and that sustainability outcomes are compromised by that construction (</w:t>
      </w:r>
      <w:proofErr w:type="spellStart"/>
      <w:r>
        <w:t>Gissi</w:t>
      </w:r>
      <w:proofErr w:type="spellEnd"/>
      <w:r>
        <w:t xml:space="preserve"> et al., 2018). The strength of this framing is that it locates responsibility with institutions rather than with women's individual capabilities. Its limitation is that justice claims do not by themselves specify which institutional changes would produce which outcomes, and the framing has generated more normative argument than empirical evaluation.</w:t>
      </w:r>
    </w:p>
    <w:p w14:paraId="49189BCB" w14:textId="77777777" w:rsidR="00EC6E73" w:rsidRDefault="00981893">
      <w:pPr>
        <w:spacing w:after="120" w:line="360" w:lineRule="auto"/>
        <w:jc w:val="both"/>
      </w:pPr>
      <w:r>
        <w:t xml:space="preserve">These framings are not merely academic. The choice among them determines which rationale is invoked for action, and the rationale in turn shapes programme design. Analysis of Pacific policy instruments found that fisheries instruments and gender and development instruments differed systematically in how they represented gender, why they pursued it and what strategies they specified, with the fisheries instruments tending to reduce gender to women and to justify attention on instrumental grounds such as improved resource management outcomes (Lawless et al., 2021). Instrumental rationales are effective at securing sectoral attention but they make women's claims contingent on demonstrated sectoral benefit, so that where the benefit is not demonstrated the claim weakens. Analysis of climate policy and practice has identified an </w:t>
      </w:r>
      <w:r>
        <w:lastRenderedPageBreak/>
        <w:t>analogous pattern, in which assumptions about women's inherent environmental virtue or inherent vulnerability substitute for evidence and generate interventions poorly matched to the situations they address (Lau et al., 2021). The critique of the vulnerability discourse in the wider environmental literature made the same point earlier and remains apposite (Arora-Jonsson, 2011).</w:t>
      </w:r>
    </w:p>
    <w:p w14:paraId="501D8406" w14:textId="77777777" w:rsidR="00EC6E73" w:rsidRDefault="00981893">
      <w:pPr>
        <w:spacing w:after="120" w:line="360" w:lineRule="auto"/>
        <w:jc w:val="both"/>
      </w:pPr>
      <w:r>
        <w:t>A fourth position has emerged more recently, treating empowerment as a property of food systems rather than of individuals or sectors. A scoping review applying a gendered agrifood systems framework to 202 articles located gender disparities across agency, resource access and control, social norms, and policy and governance, and connected these to dietary outcomes and adaptive capacity (Adam et al., 2024). Related argument has proposed that gender analysis in aquatic food systems should be reoriented from documenting disparity towards identifying the structural levers of transformational change (Hapke, 2025). This framing has the merit of connecting fisheries-specific findings to a wider body of agrifood systems evidence, but it is at present more a research programme than a validated model, and the causal pathways it posits between norms, agency and dietary outcomes have not been tested with designs capable of supporting causal inference.</w:t>
      </w:r>
    </w:p>
    <w:p w14:paraId="175ECCBF" w14:textId="77777777" w:rsidR="00EC6E73" w:rsidRDefault="00981893">
      <w:pPr>
        <w:spacing w:after="120" w:line="360" w:lineRule="auto"/>
        <w:jc w:val="both"/>
      </w:pPr>
      <w:r>
        <w:t>Measurement has followed conceptualisation. The project-level Women's Empowerment in Agriculture Index provided a standardised instrument for measuring agency across domains of decision-making, resource control, leadership and time use, and established the methodological template subsequently adapted for aquatic sectors (Malapit et al., 2019). Review of a decade of empowerment measurement in agriculture has documented both the value of standardisation and its costs, including the risk that indices reward improvement on measured indicators without capturing the relational shifts that the underlying concept was intended to describe (Quisumbing et al., 2023). Sector-specific adaptation followed, and the resulting instruments are examined in Section 7. The point of relevance here is that indices operationalise the second framing while being frequently interpreted as though they measured the third, so that a rise in an index score is reported as evidence of institutional change when it records changes in individually reported decision-making adequacy.</w:t>
      </w:r>
    </w:p>
    <w:p w14:paraId="2AE18AD0" w14:textId="77777777" w:rsidR="00EC6E73" w:rsidRDefault="00981893">
      <w:pPr>
        <w:spacing w:after="120" w:line="360" w:lineRule="auto"/>
        <w:jc w:val="both"/>
      </w:pPr>
      <w:r>
        <w:t xml:space="preserve">The practical consequence is that apparent contradictions in the literature often reflect differences in construct rather than in findings. A study reporting expanded participation and a study reporting unchanged influence in the same setting may both be accurate. Interpretation of the field therefore requires explicit attention to which construct is being measured (Table 1). No single framing is adequate on its own: recognition without agency is inert, agency without </w:t>
      </w:r>
      <w:r>
        <w:lastRenderedPageBreak/>
        <w:t>institutional remedy is fragile, and justice claims without measurement cannot be evaluated. The most defensible position is that the framings are complementary and that studies should state which they employ, a practice that remains uncommon.</w:t>
      </w:r>
    </w:p>
    <w:p w14:paraId="299715B8" w14:textId="77777777" w:rsidR="00EC6E73" w:rsidRDefault="00981893">
      <w:pPr>
        <w:spacing w:after="120" w:line="360" w:lineRule="auto"/>
        <w:jc w:val="both"/>
      </w:pPr>
      <w:r>
        <w:t>Table 1 contrasts the four conceptualisations discussed above, setting out the core proposition of each, what it makes analytically visible and the limitation that follows. The comparison shows that the framings differ not in their assessment of the facts but in what they treat as the object of change, which is why studies working within different framings can report divergent conclusions from compatible data.</w:t>
      </w:r>
    </w:p>
    <w:p w14:paraId="24290A9D" w14:textId="77777777" w:rsidR="00EC6E73" w:rsidRDefault="00981893">
      <w:pPr>
        <w:spacing w:before="200" w:after="100"/>
      </w:pPr>
      <w:r>
        <w:rPr>
          <w:b/>
          <w:bCs/>
          <w:sz w:val="20"/>
          <w:szCs w:val="20"/>
        </w:rPr>
        <w:t>Table 1. Competing conceptualisations of women's empowerment in fisheries and aquaculture, with analytical strengths and limitations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1"/>
        <w:gridCol w:w="2141"/>
        <w:gridCol w:w="1913"/>
        <w:gridCol w:w="1867"/>
        <w:gridCol w:w="1368"/>
      </w:tblGrid>
      <w:tr w:rsidR="00EC6E73" w14:paraId="6A450426" w14:textId="77777777">
        <w:trPr>
          <w:tblHeader/>
        </w:trPr>
        <w:tc>
          <w:tcPr>
            <w:tcW w:w="173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5588E98C" w14:textId="77777777" w:rsidR="00EC6E73" w:rsidRDefault="00981893">
            <w:r>
              <w:rPr>
                <w:b/>
                <w:bCs/>
                <w:sz w:val="18"/>
                <w:szCs w:val="18"/>
              </w:rPr>
              <w:t>Conceptualisation</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07488C3" w14:textId="77777777" w:rsidR="00EC6E73" w:rsidRDefault="00981893">
            <w:r>
              <w:rPr>
                <w:b/>
                <w:bCs/>
                <w:sz w:val="18"/>
                <w:szCs w:val="18"/>
              </w:rPr>
              <w:t>Core proposition</w:t>
            </w:r>
          </w:p>
        </w:tc>
        <w:tc>
          <w:tcPr>
            <w:tcW w:w="1913"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1AF5FB5" w14:textId="77777777" w:rsidR="00EC6E73" w:rsidRDefault="00981893">
            <w:r>
              <w:rPr>
                <w:b/>
                <w:bCs/>
                <w:sz w:val="18"/>
                <w:szCs w:val="18"/>
              </w:rPr>
              <w:t>Analytical strength</w:t>
            </w:r>
          </w:p>
        </w:tc>
        <w:tc>
          <w:tcPr>
            <w:tcW w:w="186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FF76572" w14:textId="77777777" w:rsidR="00EC6E73" w:rsidRDefault="00981893">
            <w:r>
              <w:rPr>
                <w:b/>
                <w:bCs/>
                <w:sz w:val="18"/>
                <w:szCs w:val="18"/>
              </w:rPr>
              <w:t>Principal limitation</w:t>
            </w:r>
          </w:p>
        </w:tc>
        <w:tc>
          <w:tcPr>
            <w:tcW w:w="1368"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0FB785B" w14:textId="77777777" w:rsidR="00EC6E73" w:rsidRDefault="00981893">
            <w:r>
              <w:rPr>
                <w:b/>
                <w:bCs/>
                <w:sz w:val="18"/>
                <w:szCs w:val="18"/>
              </w:rPr>
              <w:t>Supporting references</w:t>
            </w:r>
          </w:p>
        </w:tc>
      </w:tr>
      <w:tr w:rsidR="00EC6E73" w14:paraId="66563C46"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4BD1A21" w14:textId="77777777" w:rsidR="00EC6E73" w:rsidRDefault="00981893">
            <w:r>
              <w:rPr>
                <w:sz w:val="18"/>
                <w:szCs w:val="18"/>
              </w:rPr>
              <w:t>Recognition and presence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5A050F0" w14:textId="77777777" w:rsidR="00EC6E73" w:rsidRDefault="00981893">
            <w:r>
              <w:rPr>
                <w:sz w:val="18"/>
                <w:szCs w:val="18"/>
              </w:rPr>
              <w:t>Women's work is extensive but uncounted; the remedy is enumeration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24DBEDC" w14:textId="77777777" w:rsidR="00EC6E73" w:rsidRDefault="00981893">
            <w:r>
              <w:rPr>
                <w:sz w:val="18"/>
                <w:szCs w:val="18"/>
              </w:rPr>
              <w:t>Converts a diffuse claim into a testable proposition about statistical coverage; generates the quantitative warrant policy requires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B9FD630" w14:textId="77777777" w:rsidR="00EC6E73" w:rsidRDefault="00981893">
            <w:r>
              <w:rPr>
                <w:sz w:val="18"/>
                <w:szCs w:val="18"/>
              </w:rPr>
              <w:t>Presence and power are not equivalent; high participation shares are compatible with low earnings and no influence</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DE8C839" w14:textId="77777777" w:rsidR="00EC6E73" w:rsidRDefault="00981893">
            <w:proofErr w:type="spellStart"/>
            <w:r>
              <w:rPr>
                <w:sz w:val="18"/>
                <w:szCs w:val="18"/>
              </w:rPr>
              <w:t>Cavole</w:t>
            </w:r>
            <w:proofErr w:type="spellEnd"/>
            <w:r>
              <w:rPr>
                <w:sz w:val="18"/>
                <w:szCs w:val="18"/>
              </w:rPr>
              <w:t xml:space="preserve"> et al. (2025); Harper et al. (2020); Kleiber et al. (2015); </w:t>
            </w:r>
            <w:proofErr w:type="spellStart"/>
            <w:r>
              <w:rPr>
                <w:sz w:val="18"/>
                <w:szCs w:val="18"/>
              </w:rPr>
              <w:t>Weeratunge</w:t>
            </w:r>
            <w:proofErr w:type="spellEnd"/>
            <w:r>
              <w:rPr>
                <w:sz w:val="18"/>
                <w:szCs w:val="18"/>
              </w:rPr>
              <w:t xml:space="preserve"> et al. (2010)</w:t>
            </w:r>
          </w:p>
        </w:tc>
      </w:tr>
      <w:tr w:rsidR="00EC6E73" w14:paraId="6BCA244E"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5533627" w14:textId="77777777" w:rsidR="00EC6E73" w:rsidRDefault="00981893">
            <w:r>
              <w:rPr>
                <w:sz w:val="18"/>
                <w:szCs w:val="18"/>
              </w:rPr>
              <w:t>Agency within relations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4513F26" w14:textId="77777777" w:rsidR="00EC6E73" w:rsidRDefault="00981893">
            <w:r>
              <w:rPr>
                <w:sz w:val="18"/>
                <w:szCs w:val="18"/>
              </w:rPr>
              <w:t>Empowerment is the capacity to make and act on consequential choices, constituted through social relations</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BF06B80" w14:textId="77777777" w:rsidR="00EC6E73" w:rsidRDefault="00981893">
            <w:r>
              <w:rPr>
                <w:sz w:val="18"/>
                <w:szCs w:val="18"/>
              </w:rPr>
              <w:t>Explains why participation gains coexist with unchanged outcomes; connects assets, agency and legitimacy</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158C70C" w14:textId="77777777" w:rsidR="00EC6E73" w:rsidRDefault="00981893">
            <w:r>
              <w:rPr>
                <w:sz w:val="18"/>
                <w:szCs w:val="18"/>
              </w:rPr>
              <w:t>Relational constructs resist standardisation and are often operationalised as individual attributes</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5D8DE05" w14:textId="77777777" w:rsidR="00EC6E73" w:rsidRDefault="00981893">
            <w:r>
              <w:rPr>
                <w:sz w:val="18"/>
                <w:szCs w:val="18"/>
              </w:rPr>
              <w:t>Lawless et al. (2019); Rao (2017)</w:t>
            </w:r>
          </w:p>
        </w:tc>
      </w:tr>
      <w:tr w:rsidR="00EC6E73" w14:paraId="029E9EA6"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4DFB0E8" w14:textId="77777777" w:rsidR="00EC6E73" w:rsidRDefault="00981893">
            <w:r>
              <w:rPr>
                <w:sz w:val="18"/>
                <w:szCs w:val="18"/>
              </w:rPr>
              <w:t>Justice within governance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49295C3" w14:textId="77777777" w:rsidR="00EC6E73" w:rsidRDefault="00981893">
            <w:r>
              <w:rPr>
                <w:sz w:val="18"/>
                <w:szCs w:val="18"/>
              </w:rPr>
              <w:t>Gender inequity is a distributional and procedural injustice requiring institutional remedy</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6883FBF" w14:textId="77777777" w:rsidR="00EC6E73" w:rsidRDefault="00981893">
            <w:r>
              <w:rPr>
                <w:sz w:val="18"/>
                <w:szCs w:val="18"/>
              </w:rPr>
              <w:t>Locates responsibility with institutions rather than with women's capabilities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4023711" w14:textId="77777777" w:rsidR="00EC6E73" w:rsidRDefault="00981893">
            <w:r>
              <w:rPr>
                <w:sz w:val="18"/>
                <w:szCs w:val="18"/>
              </w:rPr>
              <w:t>Specifies obligations without identifying which institutional reforms deliver which outcomes</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4072EE3" w14:textId="77777777" w:rsidR="00EC6E73" w:rsidRDefault="00981893">
            <w:proofErr w:type="spellStart"/>
            <w:r>
              <w:rPr>
                <w:sz w:val="18"/>
                <w:szCs w:val="18"/>
              </w:rPr>
              <w:t>Gissi</w:t>
            </w:r>
            <w:proofErr w:type="spellEnd"/>
            <w:r>
              <w:rPr>
                <w:sz w:val="18"/>
                <w:szCs w:val="18"/>
              </w:rPr>
              <w:t xml:space="preserve"> et al. (2018); Gustavsson et al. (2021)</w:t>
            </w:r>
          </w:p>
        </w:tc>
      </w:tr>
      <w:tr w:rsidR="00EC6E73" w14:paraId="4808A76D"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A38F42A" w14:textId="77777777" w:rsidR="00EC6E73" w:rsidRDefault="00981893">
            <w:r>
              <w:rPr>
                <w:sz w:val="18"/>
                <w:szCs w:val="18"/>
              </w:rPr>
              <w:t>Property of food systems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5FBA908" w14:textId="77777777" w:rsidR="00EC6E73" w:rsidRDefault="00981893">
            <w:r>
              <w:rPr>
                <w:sz w:val="18"/>
                <w:szCs w:val="18"/>
              </w:rPr>
              <w:t>Gender outcomes arise from interacting agency, resource access, norms and governance across the food system</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90641B" w14:textId="77777777" w:rsidR="00EC6E73" w:rsidRDefault="00981893">
            <w:r>
              <w:rPr>
                <w:sz w:val="18"/>
                <w:szCs w:val="18"/>
              </w:rPr>
              <w:t>Connects fisheries findings to wider agrifood systems evidence; links to dietary and adaptive-capacity outcomes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85D5599" w14:textId="77777777" w:rsidR="00EC6E73" w:rsidRDefault="00981893">
            <w:r>
              <w:rPr>
                <w:sz w:val="18"/>
                <w:szCs w:val="18"/>
              </w:rPr>
              <w:t>Currently a research programme rather than a validated model; posited causal pathways untested</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FA996BE" w14:textId="77777777" w:rsidR="00EC6E73" w:rsidRDefault="00981893">
            <w:r>
              <w:rPr>
                <w:sz w:val="18"/>
                <w:szCs w:val="18"/>
              </w:rPr>
              <w:t>Adam et al. (2024); Hapke (2025)</w:t>
            </w:r>
          </w:p>
        </w:tc>
      </w:tr>
      <w:tr w:rsidR="00EC6E73" w14:paraId="1D60E87D" w14:textId="77777777">
        <w:tc>
          <w:tcPr>
            <w:tcW w:w="173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F0BE77A" w14:textId="77777777" w:rsidR="00EC6E73" w:rsidRDefault="00981893">
            <w:r>
              <w:rPr>
                <w:sz w:val="18"/>
                <w:szCs w:val="18"/>
              </w:rPr>
              <w:t>Index-based operationalisation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6BBF5DB" w14:textId="77777777" w:rsidR="00EC6E73" w:rsidRDefault="00981893">
            <w:r>
              <w:rPr>
                <w:sz w:val="18"/>
                <w:szCs w:val="18"/>
              </w:rPr>
              <w:t>Empowerment can be measured as adequacy across defined domains of decision-making and control</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3D3B7CA" w14:textId="77777777" w:rsidR="00EC6E73" w:rsidRDefault="00981893">
            <w:r>
              <w:rPr>
                <w:sz w:val="18"/>
                <w:szCs w:val="18"/>
              </w:rPr>
              <w:t>Enables comparison across settings and diagnostic attribution of disempowerment to domains</w:t>
            </w:r>
          </w:p>
        </w:tc>
        <w:tc>
          <w:tcPr>
            <w:tcW w:w="186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C3E8311" w14:textId="77777777" w:rsidR="00EC6E73" w:rsidRDefault="00981893">
            <w:r>
              <w:rPr>
                <w:sz w:val="18"/>
                <w:szCs w:val="18"/>
              </w:rPr>
              <w:t>Records individually reported adequacy; index gains may not reflect relational or institutional change</w:t>
            </w:r>
          </w:p>
        </w:tc>
        <w:tc>
          <w:tcPr>
            <w:tcW w:w="136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371657" w14:textId="77777777" w:rsidR="00EC6E73" w:rsidRDefault="00981893">
            <w:r>
              <w:rPr>
                <w:sz w:val="18"/>
                <w:szCs w:val="18"/>
              </w:rPr>
              <w:t>Malapit et al. (2019); Quisumbing et al. (2023)</w:t>
            </w:r>
          </w:p>
        </w:tc>
      </w:tr>
    </w:tbl>
    <w:p w14:paraId="29C3D7EE" w14:textId="77777777" w:rsidR="00EC6E73" w:rsidRDefault="00981893">
      <w:pPr>
        <w:spacing w:before="100" w:after="260"/>
      </w:pPr>
      <w:r>
        <w:rPr>
          <w:i/>
          <w:iCs/>
          <w:sz w:val="18"/>
          <w:szCs w:val="18"/>
        </w:rPr>
        <w:t>Note. The conceptualisations are presented as analytically distinct positions rather than as mutually exclusive alternatives; individual studies frequently combine elements of more than one. The table characterises positions evident across the reviewed literature and is not an exhaustive taxonomy.</w:t>
      </w:r>
    </w:p>
    <w:p w14:paraId="593F9B1A" w14:textId="77777777" w:rsidR="00EC6E73" w:rsidRDefault="00981893">
      <w:pPr>
        <w:pStyle w:val="Heading1"/>
        <w:spacing w:before="320" w:after="160"/>
      </w:pPr>
      <w:r>
        <w:rPr>
          <w:b/>
          <w:bCs/>
          <w:color w:val="000000"/>
          <w:sz w:val="26"/>
          <w:szCs w:val="26"/>
        </w:rPr>
        <w:t>4. Women's Roles Across the Value Chain and the Limits of the Descriptive Evidence</w:t>
      </w:r>
    </w:p>
    <w:p w14:paraId="782E25E2" w14:textId="77777777" w:rsidR="00EC6E73" w:rsidRDefault="00981893">
      <w:pPr>
        <w:spacing w:after="120" w:line="360" w:lineRule="auto"/>
        <w:jc w:val="both"/>
      </w:pPr>
      <w:r>
        <w:t xml:space="preserve">Descriptive characterisation of women's roles is the best-developed part of the field, and its principal conclusions are secure. Women participate across every node of fisheries and </w:t>
      </w:r>
      <w:r>
        <w:lastRenderedPageBreak/>
        <w:t>aquaculture value chains, their participation is patterned rather than random, and the patterns differ systematically between harvesting and post-harvest activity. The evidence supporting these conclusions is extensive, geographically diverse and generated by heterogeneous designs, which is the strongest available warrant in a field without experimental data.</w:t>
      </w:r>
    </w:p>
    <w:p w14:paraId="1D704F75" w14:textId="77777777" w:rsidR="00EC6E73" w:rsidRDefault="00981893">
      <w:pPr>
        <w:spacing w:after="120" w:line="360" w:lineRule="auto"/>
        <w:jc w:val="both"/>
      </w:pPr>
      <w:r>
        <w:t>In harvesting, women's activity concentrates in nearshore, intertidal and gleaning fisheries, which are typically excluded from vessel-based survey frames. Survey work with indigenous Fijian women documented fishing across habitats from inland rivers to open ocean, targeting more than 100 fish species in addition to invertebrates and seaweed, with catch directed primarily to subsistence and about half of participants selling part of their catch (Thomas et al., 2021). That finding both confirmed the expectation that women fish closer to villages and contradicted the assumption that their activity is confined to gleaning, which illustrates the risk of extrapolating from stylised descriptions. Time-series work on tropical invertebrate fisheries in Zanzibar demonstrated that excluding women's collection from stock assessment produces a materially incomplete picture of extraction (</w:t>
      </w:r>
      <w:proofErr w:type="spellStart"/>
      <w:r>
        <w:t>Fröcklin</w:t>
      </w:r>
      <w:proofErr w:type="spellEnd"/>
      <w:r>
        <w:t xml:space="preserve"> et al., 2014). Global synthesis reached a compatible conclusion, estimating that women account for approximately 11 per cent of participants in small-scale fishing activities and land roughly 2.9 million tonnes annually, while explicitly noting that the estimate rests on regional extrapolation from uneven national data (Harper et al., 2020).</w:t>
      </w:r>
    </w:p>
    <w:p w14:paraId="78A4F4D2" w14:textId="77777777" w:rsidR="00EC6E73" w:rsidRDefault="00981893">
      <w:pPr>
        <w:spacing w:after="120" w:line="360" w:lineRule="auto"/>
        <w:jc w:val="both"/>
      </w:pPr>
      <w:r>
        <w:t xml:space="preserve">In post-harvest activity the picture differs. Women predominate in processing and small-scale trading in many settings, and their position in these nodes is characterised by low capital requirements, low margins and high exposure to supply variability. Detailed work on the mama </w:t>
      </w:r>
      <w:proofErr w:type="spellStart"/>
      <w:r>
        <w:t>karanga</w:t>
      </w:r>
      <w:proofErr w:type="spellEnd"/>
      <w:r>
        <w:t xml:space="preserve"> fish buyers and processors of the Kenyan coast established that bargaining power and access to fish are determined principally by financial capital, catch levels and social capital, including relations with fishers and with each other, and that limited education, capital and livelihood alternatives leave these traders vulnerable to fishery change (Matsue et al., 2014). Work on Zanzibari fish traders reached compatible conclusions and argued that traders should be treated as key actors in adaptive management rather than as downstream recipients (</w:t>
      </w:r>
      <w:proofErr w:type="spellStart"/>
      <w:r>
        <w:t>Fröcklin</w:t>
      </w:r>
      <w:proofErr w:type="spellEnd"/>
      <w:r>
        <w:t xml:space="preserve"> et al., 2013). Ethnographic work on shrimp traders in Mazatlán documented an analogous position in a middle-income Latin American setting, with women's trading labour central to the chain yet formally unrecognised (Cruz-Torres, 2012). Analysis of dried fish value chains combined social wellbeing and intersectional framings to show that gender relations in these chains cannot be read from occupational position alone (</w:t>
      </w:r>
      <w:proofErr w:type="spellStart"/>
      <w:r>
        <w:t>Galappaththi</w:t>
      </w:r>
      <w:proofErr w:type="spellEnd"/>
      <w:r>
        <w:t xml:space="preserve"> et al., 2021). Indian evidence has documented substantial women's contribution to livelihoods and local economies </w:t>
      </w:r>
      <w:r>
        <w:lastRenderedPageBreak/>
        <w:t>through post-harvest work while noting the absence of comparable national accounting (Swathi Lekshmi et al., 2022).</w:t>
      </w:r>
    </w:p>
    <w:p w14:paraId="6B511AC4" w14:textId="77777777" w:rsidR="00EC6E73" w:rsidRDefault="00981893">
      <w:pPr>
        <w:spacing w:after="120" w:line="360" w:lineRule="auto"/>
        <w:jc w:val="both"/>
      </w:pPr>
      <w:r>
        <w:t>In aquaculture, women's roles vary more widely with production system and social context than in capture fisheries. Review of gender action plans across Asian aquaculture found that women's contribution frequently exceeds the conventional gender division of labour, with women leading in production in settings where aquaculture can be combined with home-based responsibilities and in some cases owning vertically integrated enterprises, while skewed perceptions of women's roles restrict access to training in new technologies and to policy processes (Bosma et al., 2019). Analysis of the Kenyan aquaculture value chain identified economically feasible entry points for greater participation by women, indicating that exclusion is not fully explained by technical or economic constraint (Ndanga et al., 2013). Survey work in Bangladesh involving 1,653 households found high involvement of women in household decisions, typically jointly with husbands, alongside substantial deficits in access to financial services, participation in aquaculture activities and control over productive capital and remuneration for aquaculture labour (Njogu et al., 2024). Earlier work on the transition from rice farming to commercial aquaculture in Bangladesh had documented that commercialisation alters gendered labour allocation and food security in ways not anticipated by production-focused programming (Gurung et al., 2016).</w:t>
      </w:r>
    </w:p>
    <w:p w14:paraId="217CC26C" w14:textId="77777777" w:rsidR="00EC6E73" w:rsidRDefault="00981893">
      <w:pPr>
        <w:spacing w:after="120" w:line="360" w:lineRule="auto"/>
        <w:jc w:val="both"/>
      </w:pPr>
      <w:r>
        <w:t xml:space="preserve">Seaweed cultivation constitutes a distinct case with an unusually clear gender signature. Cultivation of the red algae </w:t>
      </w:r>
      <w:proofErr w:type="spellStart"/>
      <w:r>
        <w:rPr>
          <w:i/>
          <w:iCs/>
        </w:rPr>
        <w:t>Kappaphycus</w:t>
      </w:r>
      <w:proofErr w:type="spellEnd"/>
      <w:r>
        <w:rPr>
          <w:i/>
          <w:iCs/>
        </w:rPr>
        <w:t xml:space="preserve"> </w:t>
      </w:r>
      <w:proofErr w:type="spellStart"/>
      <w:r>
        <w:rPr>
          <w:i/>
          <w:iCs/>
        </w:rPr>
        <w:t>alvarezii</w:t>
      </w:r>
      <w:proofErr w:type="spellEnd"/>
      <w:r>
        <w:t xml:space="preserve"> and </w:t>
      </w:r>
      <w:r>
        <w:rPr>
          <w:i/>
          <w:iCs/>
        </w:rPr>
        <w:t xml:space="preserve">Eucheuma </w:t>
      </w:r>
      <w:proofErr w:type="spellStart"/>
      <w:r>
        <w:rPr>
          <w:i/>
          <w:iCs/>
        </w:rPr>
        <w:t>denticulatum</w:t>
      </w:r>
      <w:proofErr w:type="spellEnd"/>
      <w:r>
        <w:t xml:space="preserve"> in Zanzibar has been dominated by women, and the sector has been treated as a model of women's economic participation in coastal East Africa (</w:t>
      </w:r>
      <w:proofErr w:type="spellStart"/>
      <w:r>
        <w:t>Ndawala</w:t>
      </w:r>
      <w:proofErr w:type="spellEnd"/>
      <w:r>
        <w:t xml:space="preserve"> et al., 2022). The evidence on outcomes is less favourable than the participation figures imply. Quantitative assessment across three marine protected area regions in Zanzibar found that seaweed farming and tourism did not yield significantly higher monetary returns than long-standing fisheries livelihoods, that seaweed farming showed income stability alongside high poverty incidence concentrated in women-headed households, and that women largely exited seaweed farming over the six-year study period while men remained in fisheries (Pike et al., 2024). Value-chain analysis of seaweed farming in the Zamboanga Peninsula found that although men are more visible across nodes, women contribute substantially to production, post-harvest handling and marketing, frequently without direct payment because farming is organised as a family venture, and that the gains accruing to poor men and women farmers are small relative to those captured by other chain </w:t>
      </w:r>
      <w:r>
        <w:lastRenderedPageBreak/>
        <w:t>actors (Ramirez et al., 2020). Participation in a growing sector is therefore compatible with persistent poverty and with eventual exit.</w:t>
      </w:r>
    </w:p>
    <w:p w14:paraId="4A3B6E65" w14:textId="77777777" w:rsidR="00EC6E73" w:rsidRDefault="00981893">
      <w:pPr>
        <w:spacing w:after="120" w:line="360" w:lineRule="auto"/>
        <w:jc w:val="both"/>
      </w:pPr>
      <w:r>
        <w:t>Two further findings deserve emphasis because they qualify generalisations drawn from the better-documented regions. Work in Mogadishu found women's role in small-scale fisheries to be limited, attributing this to cultural norms, restricted access to resources and educational attainment rather than to absence of interest or capability (Mohamed et al., 2026). Ethnographic work in Bangladesh documented normative constructions that positioned fishing as categorically male, with consequences for women's self-description as much as for their activity (Deb et al., 2015). The variation across settings is substantial enough that global participation shares should be treated as summary statistics over heterogeneous distributions rather than as descriptions of a typical fishery.</w:t>
      </w:r>
    </w:p>
    <w:p w14:paraId="6506E544" w14:textId="77777777" w:rsidR="00EC6E73" w:rsidRDefault="00981893">
      <w:pPr>
        <w:spacing w:after="120" w:line="360" w:lineRule="auto"/>
        <w:jc w:val="both"/>
      </w:pPr>
      <w:r>
        <w:t>The descriptive literature's principal weakness is measurement. Several distinct mechanisms generate systematic undercounting, and they compound. Survey frames built around vessels and landing sites miss shore-based and intertidal activity. Occupational categories that require a single primary occupation misclassify women whose fishing is one component of a diversified portfolio. Household surveys addressed to a household head record men's activity and omit women's. Definitions of what constitutes a fishery shape which activity is enumerated, and analysis of how small-scale fisheries have been defined in the scientific literature demonstrates that these definitional choices are neither neutral nor stable (Smith &amp; Basurto, 2019). Recall periods designed for seasonal commercial activity fit poorly with near-daily subsistence collection. The methodological synthesis of 106 case studies identified several of these mechanisms and argued that they are properties of standard fisheries research methods rather than incidental failures (Kleiber et al., 2015).</w:t>
      </w:r>
    </w:p>
    <w:p w14:paraId="549653F8" w14:textId="77777777" w:rsidR="00EC6E73" w:rsidRDefault="00981893">
      <w:pPr>
        <w:spacing w:after="120" w:line="360" w:lineRule="auto"/>
        <w:jc w:val="both"/>
      </w:pPr>
      <w:r>
        <w:t>The consequence is that the direction of measurement error is predictable even where its magnitude is not. Published participation estimates should therefore be treated as lower bounds. This has been recognised in recent institutional work, which frames sectoral gender data gaps as structural rather than incidental and identifies the multiple data streams, many originating outside fisheries agencies, that would be required to close them (Harper et al., 2026). Demonstration that mobile applications can increase the recorded visibility of women's work contributions in Mexican small-scale fisheries provides a concrete instance of how instrument design alters what is counted (Ahmed et al., 2025). Typological work classifying small-scale fisheries into production archetypes offers a further route to more appropriate enumeration by matching survey design to fishery structure (</w:t>
      </w:r>
      <w:proofErr w:type="spellStart"/>
      <w:r>
        <w:t>Aguión</w:t>
      </w:r>
      <w:proofErr w:type="spellEnd"/>
      <w:r>
        <w:t xml:space="preserve"> et al., 2025).</w:t>
      </w:r>
    </w:p>
    <w:p w14:paraId="26202B02" w14:textId="77777777" w:rsidR="00EC6E73" w:rsidRDefault="00981893">
      <w:pPr>
        <w:spacing w:after="120" w:line="360" w:lineRule="auto"/>
        <w:jc w:val="both"/>
      </w:pPr>
      <w:r>
        <w:lastRenderedPageBreak/>
        <w:t>An important caution applies to the quantitative estimates that now anchor advocacy. The global figure of approximately 2.1 million women in small-scale marine fishing derives from a model built on national participation ratios extrapolated across regions, and its authors report substantial uncertainty intervals (Harper et al., 2020). The related institutional estimate that nearly half of those whose livelihoods depend at least partly on small-scale fishing are women rests on a broader definition encompassing subsistence and post-harvest engagement (Basurto et al., 2025; FAO, Duke University, &amp; WorldFish, 2023). These figures are not in conflict, but they are not interchangeable, and their conflation in secondary literature has produced apparent inconsistencies that are artefacts of definition. Earlier national-level work reached percentage estimates in a comparable range using different methods, which provides limited independent corroboration without resolving the underlying data problem (Harper et al., 2013; Harper et al., 2017).</w:t>
      </w:r>
    </w:p>
    <w:p w14:paraId="3B1EC45E" w14:textId="77777777" w:rsidR="00EC6E73" w:rsidRDefault="00981893">
      <w:pPr>
        <w:spacing w:after="120" w:line="360" w:lineRule="auto"/>
        <w:jc w:val="both"/>
      </w:pPr>
      <w:r>
        <w:t>Evidence across value-chain nodes is compiled in Table 2. The pattern it makes visible is that the strongest designs are concentrated in a small number of settings, notably Zanzibar, Bangladesh, Fiji and the Kenyan coast, and that most other regions are represented by single studies. Confidence in the general proposition that women's participation is extensive and systematically undercounted is high. Confidence in any specific participation share for any specific region other than those repeatedly studied is low.</w:t>
      </w:r>
    </w:p>
    <w:p w14:paraId="26601F6B" w14:textId="77777777" w:rsidR="00EC6E73" w:rsidRDefault="00981893">
      <w:pPr>
        <w:spacing w:after="120" w:line="360" w:lineRule="auto"/>
        <w:jc w:val="both"/>
      </w:pPr>
      <w:r>
        <w:t>Table 2 assembles representative evidence on women's roles by value-chain node, recording for each entry the setting and design, the principal finding and the caveat that constrains its generalisation. Read as a whole, the table exposes the concentration of the strongest designs in a small number of settings and shows that confidence in the general proposition of extensive and undercounted participation rests on convergence across designs rather than on the robustness of any single estimate.</w:t>
      </w:r>
    </w:p>
    <w:p w14:paraId="50A21A78" w14:textId="77777777" w:rsidR="00EC6E73" w:rsidRDefault="00981893">
      <w:pPr>
        <w:spacing w:before="200" w:after="100"/>
      </w:pPr>
      <w:r>
        <w:rPr>
          <w:b/>
          <w:bCs/>
          <w:sz w:val="20"/>
          <w:szCs w:val="20"/>
        </w:rPr>
        <w:t>Table 2. Representative evidence on women's roles across fisheries and aquaculture value-chain nodes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0"/>
        <w:gridCol w:w="2141"/>
        <w:gridCol w:w="2232"/>
        <w:gridCol w:w="1913"/>
        <w:gridCol w:w="1504"/>
      </w:tblGrid>
      <w:tr w:rsidR="00EC6E73" w14:paraId="3D44BA18" w14:textId="77777777">
        <w:trPr>
          <w:tblHeader/>
        </w:trPr>
        <w:tc>
          <w:tcPr>
            <w:tcW w:w="1230"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5DE5C2F" w14:textId="77777777" w:rsidR="00EC6E73" w:rsidRDefault="00981893">
            <w:r>
              <w:rPr>
                <w:b/>
                <w:bCs/>
                <w:sz w:val="18"/>
                <w:szCs w:val="18"/>
              </w:rPr>
              <w:t>Value-chain node</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6E837B2C" w14:textId="77777777" w:rsidR="00EC6E73" w:rsidRDefault="00981893">
            <w:r>
              <w:rPr>
                <w:b/>
                <w:bCs/>
                <w:sz w:val="18"/>
                <w:szCs w:val="18"/>
              </w:rPr>
              <w:t>Setting and design</w:t>
            </w:r>
          </w:p>
        </w:tc>
        <w:tc>
          <w:tcPr>
            <w:tcW w:w="2232"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451929D1" w14:textId="77777777" w:rsidR="00EC6E73" w:rsidRDefault="00981893">
            <w:r>
              <w:rPr>
                <w:b/>
                <w:bCs/>
                <w:sz w:val="18"/>
                <w:szCs w:val="18"/>
              </w:rPr>
              <w:t>Principal finding</w:t>
            </w:r>
          </w:p>
        </w:tc>
        <w:tc>
          <w:tcPr>
            <w:tcW w:w="1913"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16600E1" w14:textId="77777777" w:rsidR="00EC6E73" w:rsidRDefault="00981893">
            <w:r>
              <w:rPr>
                <w:b/>
                <w:bCs/>
                <w:sz w:val="18"/>
                <w:szCs w:val="18"/>
              </w:rPr>
              <w:t>Evidential caveat</w:t>
            </w:r>
          </w:p>
        </w:tc>
        <w:tc>
          <w:tcPr>
            <w:tcW w:w="15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13C9C4A" w14:textId="77777777" w:rsidR="00EC6E73" w:rsidRDefault="00981893">
            <w:r>
              <w:rPr>
                <w:b/>
                <w:bCs/>
                <w:sz w:val="18"/>
                <w:szCs w:val="18"/>
              </w:rPr>
              <w:t>Supporting references</w:t>
            </w:r>
          </w:p>
        </w:tc>
      </w:tr>
      <w:tr w:rsidR="00EC6E73" w14:paraId="6D6F6F86"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0A40443"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F443423" w14:textId="77777777" w:rsidR="00EC6E73" w:rsidRDefault="00981893">
            <w:r>
              <w:rPr>
                <w:sz w:val="18"/>
                <w:szCs w:val="18"/>
              </w:rPr>
              <w:t xml:space="preserve">Fiji; household and focus group surveys with </w:t>
            </w:r>
            <w:proofErr w:type="spellStart"/>
            <w:r>
              <w:rPr>
                <w:sz w:val="18"/>
                <w:szCs w:val="18"/>
              </w:rPr>
              <w:t>iTaukei</w:t>
            </w:r>
            <w:proofErr w:type="spellEnd"/>
            <w:r>
              <w:rPr>
                <w:sz w:val="18"/>
                <w:szCs w:val="18"/>
              </w:rPr>
              <w:t xml:space="preserve"> women</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6910C96" w14:textId="77777777" w:rsidR="00EC6E73" w:rsidRDefault="00981893">
            <w:r>
              <w:rPr>
                <w:sz w:val="18"/>
                <w:szCs w:val="18"/>
              </w:rPr>
              <w:t>Women fished from inland rivers to open ocean and caught over 100 fish species in addition to invertebrates and seaweed, primarily for subsistence, with about half selling part of the catch</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9CC9A8" w14:textId="77777777" w:rsidR="00EC6E73" w:rsidRDefault="00981893">
            <w:r>
              <w:rPr>
                <w:sz w:val="18"/>
                <w:szCs w:val="18"/>
              </w:rPr>
              <w:t>Single-country study; self-reported activity and species identification not independently verified</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AF112EA" w14:textId="77777777" w:rsidR="00EC6E73" w:rsidRDefault="00981893">
            <w:r>
              <w:rPr>
                <w:sz w:val="18"/>
                <w:szCs w:val="18"/>
              </w:rPr>
              <w:t>Thomas et al. (2021)</w:t>
            </w:r>
          </w:p>
        </w:tc>
      </w:tr>
      <w:tr w:rsidR="00EC6E73" w14:paraId="6F424DD6"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71663AF"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0FB2217" w14:textId="77777777" w:rsidR="00EC6E73" w:rsidRDefault="00981893">
            <w:r>
              <w:rPr>
                <w:sz w:val="18"/>
                <w:szCs w:val="18"/>
              </w:rPr>
              <w:t>Global; model built on national participation ratios extrapolated regionally</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D57AD51" w14:textId="77777777" w:rsidR="00EC6E73" w:rsidRDefault="00981893">
            <w:r>
              <w:rPr>
                <w:sz w:val="18"/>
                <w:szCs w:val="18"/>
              </w:rPr>
              <w:t xml:space="preserve">Approximately 2.1 million women, about 11% of small-scale fishing participants, landing </w:t>
            </w:r>
            <w:r>
              <w:rPr>
                <w:sz w:val="18"/>
                <w:szCs w:val="18"/>
              </w:rPr>
              <w:lastRenderedPageBreak/>
              <w:t>roughly 2.9 million tonnes annually</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7A0B18D" w14:textId="77777777" w:rsidR="00EC6E73" w:rsidRDefault="00981893">
            <w:r>
              <w:rPr>
                <w:sz w:val="18"/>
                <w:szCs w:val="18"/>
              </w:rPr>
              <w:lastRenderedPageBreak/>
              <w:t>Modelled estimate with substantial stated uncertainty; input data uneven across regions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AC83FBE" w14:textId="77777777" w:rsidR="00EC6E73" w:rsidRDefault="00981893">
            <w:r>
              <w:rPr>
                <w:sz w:val="18"/>
                <w:szCs w:val="18"/>
              </w:rPr>
              <w:t>Harper et al. (2020)</w:t>
            </w:r>
          </w:p>
        </w:tc>
      </w:tr>
      <w:tr w:rsidR="00EC6E73" w14:paraId="7262FA4F"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DB107A5" w14:textId="77777777" w:rsidR="00EC6E73" w:rsidRDefault="00981893">
            <w:r>
              <w:rPr>
                <w:sz w:val="18"/>
                <w:szCs w:val="18"/>
              </w:rPr>
              <w:t>Harvesting and gleaning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B7F3D59" w14:textId="77777777" w:rsidR="00EC6E73" w:rsidRDefault="00981893">
            <w:r>
              <w:rPr>
                <w:sz w:val="18"/>
                <w:szCs w:val="18"/>
              </w:rPr>
              <w:t>Zanzibar; time-series assessment of tropical invertebrate fisheries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B617B91" w14:textId="77777777" w:rsidR="00EC6E73" w:rsidRDefault="00981893">
            <w:r>
              <w:rPr>
                <w:sz w:val="18"/>
                <w:szCs w:val="18"/>
              </w:rPr>
              <w:t>Omission of women's collection from stock assessment yields a materially incomplete picture of extraction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CE2372" w14:textId="77777777" w:rsidR="00EC6E73" w:rsidRDefault="00981893">
            <w:r>
              <w:rPr>
                <w:sz w:val="18"/>
                <w:szCs w:val="18"/>
              </w:rPr>
              <w:t>Site-specific; conclusions concern assessment completeness rather than population status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032A7FA" w14:textId="77777777" w:rsidR="00EC6E73" w:rsidRDefault="00981893">
            <w:proofErr w:type="spellStart"/>
            <w:r>
              <w:rPr>
                <w:sz w:val="18"/>
                <w:szCs w:val="18"/>
              </w:rPr>
              <w:t>Fröcklin</w:t>
            </w:r>
            <w:proofErr w:type="spellEnd"/>
            <w:r>
              <w:rPr>
                <w:sz w:val="18"/>
                <w:szCs w:val="18"/>
              </w:rPr>
              <w:t xml:space="preserve"> et al. (2014)</w:t>
            </w:r>
          </w:p>
        </w:tc>
      </w:tr>
      <w:tr w:rsidR="00EC6E73" w14:paraId="074E68F9"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A299665"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87B7789" w14:textId="77777777" w:rsidR="00EC6E73" w:rsidRDefault="00981893">
            <w:r>
              <w:rPr>
                <w:sz w:val="18"/>
                <w:szCs w:val="18"/>
              </w:rPr>
              <w:t xml:space="preserve">Kenyan coast; livelihoods-framework study of mama </w:t>
            </w:r>
            <w:proofErr w:type="spellStart"/>
            <w:r>
              <w:rPr>
                <w:sz w:val="18"/>
                <w:szCs w:val="18"/>
              </w:rPr>
              <w:t>karanga</w:t>
            </w:r>
            <w:proofErr w:type="spellEnd"/>
            <w:r>
              <w:rPr>
                <w:sz w:val="18"/>
                <w:szCs w:val="18"/>
              </w:rPr>
              <w:t xml:space="preserve"> buyers and processors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3A58A41" w14:textId="77777777" w:rsidR="00EC6E73" w:rsidRDefault="00981893">
            <w:r>
              <w:rPr>
                <w:sz w:val="18"/>
                <w:szCs w:val="18"/>
              </w:rPr>
              <w:t>Bargaining power and access to fish determined principally by financial capital, catch levels and social capital</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0B59E08" w14:textId="77777777" w:rsidR="00EC6E73" w:rsidRDefault="00981893">
            <w:r>
              <w:rPr>
                <w:sz w:val="18"/>
                <w:szCs w:val="18"/>
              </w:rPr>
              <w:t>Qualitative and descriptive; no measurement of income or margin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27C5825" w14:textId="77777777" w:rsidR="00EC6E73" w:rsidRDefault="00981893">
            <w:r>
              <w:rPr>
                <w:sz w:val="18"/>
                <w:szCs w:val="18"/>
              </w:rPr>
              <w:t>Matsue et al. (2014)</w:t>
            </w:r>
          </w:p>
        </w:tc>
      </w:tr>
      <w:tr w:rsidR="00EC6E73" w14:paraId="2A6FB90F"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61DDC1E"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924590" w14:textId="77777777" w:rsidR="00EC6E73" w:rsidRDefault="00981893">
            <w:r>
              <w:rPr>
                <w:sz w:val="18"/>
                <w:szCs w:val="18"/>
              </w:rPr>
              <w:t>South Asia; dried fish chains analysed through social wellbeing and intersectionality</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08376E8" w14:textId="77777777" w:rsidR="00EC6E73" w:rsidRDefault="00981893">
            <w:r>
              <w:rPr>
                <w:sz w:val="18"/>
                <w:szCs w:val="18"/>
              </w:rPr>
              <w:t>Gender relations in dried fish chains cannot be inferred from occupational position alone</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E759B11" w14:textId="77777777" w:rsidR="00EC6E73" w:rsidRDefault="00981893">
            <w:r>
              <w:rPr>
                <w:sz w:val="18"/>
                <w:szCs w:val="18"/>
              </w:rPr>
              <w:t>Conceptual synthesis with limited primary quantification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0CAAD85" w14:textId="77777777" w:rsidR="00EC6E73" w:rsidRDefault="00981893">
            <w:proofErr w:type="spellStart"/>
            <w:r>
              <w:rPr>
                <w:sz w:val="18"/>
                <w:szCs w:val="18"/>
              </w:rPr>
              <w:t>Galappaththi</w:t>
            </w:r>
            <w:proofErr w:type="spellEnd"/>
            <w:r>
              <w:rPr>
                <w:sz w:val="18"/>
                <w:szCs w:val="18"/>
              </w:rPr>
              <w:t xml:space="preserve"> et al. (2021)</w:t>
            </w:r>
          </w:p>
        </w:tc>
      </w:tr>
      <w:tr w:rsidR="00EC6E73" w14:paraId="0F261CCD"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B1B441A" w14:textId="77777777" w:rsidR="00EC6E73" w:rsidRDefault="00981893">
            <w:r>
              <w:rPr>
                <w:sz w:val="18"/>
                <w:szCs w:val="18"/>
              </w:rPr>
              <w:t>Processing and trading</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0105026" w14:textId="77777777" w:rsidR="00EC6E73" w:rsidRDefault="00981893">
            <w:r>
              <w:rPr>
                <w:sz w:val="18"/>
                <w:szCs w:val="18"/>
              </w:rPr>
              <w:t>Mexico; ethnography of shrimp traders in Mazatlán</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CDF65D9" w14:textId="77777777" w:rsidR="00EC6E73" w:rsidRDefault="00981893">
            <w:r>
              <w:rPr>
                <w:sz w:val="18"/>
                <w:szCs w:val="18"/>
              </w:rPr>
              <w:t>Women's trading labour is central to the chain yet formally unrecognised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152F778" w14:textId="77777777" w:rsidR="00EC6E73" w:rsidRDefault="00981893">
            <w:r>
              <w:rPr>
                <w:sz w:val="18"/>
                <w:szCs w:val="18"/>
              </w:rPr>
              <w:t>Single-site ethnography; findings not designed for generalisation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6ECA296" w14:textId="77777777" w:rsidR="00EC6E73" w:rsidRDefault="00981893">
            <w:r>
              <w:rPr>
                <w:sz w:val="18"/>
                <w:szCs w:val="18"/>
              </w:rPr>
              <w:t>Cruz-Torres (2012)</w:t>
            </w:r>
          </w:p>
        </w:tc>
      </w:tr>
      <w:tr w:rsidR="00EC6E73" w14:paraId="7963FA66"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42BA2D0" w14:textId="77777777" w:rsidR="00EC6E73" w:rsidRDefault="00981893">
            <w:r>
              <w:rPr>
                <w:sz w:val="18"/>
                <w:szCs w:val="18"/>
              </w:rPr>
              <w:t>Aquaculture production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911E432" w14:textId="77777777" w:rsidR="00EC6E73" w:rsidRDefault="00981893">
            <w:r>
              <w:rPr>
                <w:sz w:val="18"/>
                <w:szCs w:val="18"/>
              </w:rPr>
              <w:t xml:space="preserve">Bangladesh; survey of 1,653 households in Rangpur and </w:t>
            </w:r>
            <w:proofErr w:type="spellStart"/>
            <w:r>
              <w:rPr>
                <w:sz w:val="18"/>
                <w:szCs w:val="18"/>
              </w:rPr>
              <w:t>Rajshahi</w:t>
            </w:r>
            <w:proofErr w:type="spellEnd"/>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E6C3BD1" w14:textId="77777777" w:rsidR="00EC6E73" w:rsidRDefault="00981893">
            <w:r>
              <w:rPr>
                <w:sz w:val="18"/>
                <w:szCs w:val="18"/>
              </w:rPr>
              <w:t>High involvement in household decisions, usually joint, alongside deficits in finance access and in control over productive capital and remuneration</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93F78C0" w14:textId="77777777" w:rsidR="00EC6E73" w:rsidRDefault="00981893">
            <w:r>
              <w:rPr>
                <w:sz w:val="18"/>
                <w:szCs w:val="18"/>
              </w:rPr>
              <w:t>Cross-sectional; self-reported decision-making without external validation</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3081D97" w14:textId="77777777" w:rsidR="00EC6E73" w:rsidRDefault="00981893">
            <w:r>
              <w:rPr>
                <w:sz w:val="18"/>
                <w:szCs w:val="18"/>
              </w:rPr>
              <w:t>Njogu et al. (2024)</w:t>
            </w:r>
          </w:p>
        </w:tc>
      </w:tr>
      <w:tr w:rsidR="00EC6E73" w14:paraId="7C46A036"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B8A2560" w14:textId="77777777" w:rsidR="00EC6E73" w:rsidRDefault="00981893">
            <w:r>
              <w:rPr>
                <w:sz w:val="18"/>
                <w:szCs w:val="18"/>
              </w:rPr>
              <w:t>Aquaculture production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DC89357" w14:textId="77777777" w:rsidR="00EC6E73" w:rsidRDefault="00981893">
            <w:r>
              <w:rPr>
                <w:sz w:val="18"/>
                <w:szCs w:val="18"/>
              </w:rPr>
              <w:t>Asia; review of sectoral gender action plans and workshop evidence</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C944AD" w14:textId="77777777" w:rsidR="00EC6E73" w:rsidRDefault="00981893">
            <w:r>
              <w:rPr>
                <w:sz w:val="18"/>
                <w:szCs w:val="18"/>
              </w:rPr>
              <w:t>Women's contribution frequently exceeds the conventional gender division of labour; access to training and policy processes remains restricted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E5C730C" w14:textId="77777777" w:rsidR="00EC6E73" w:rsidRDefault="00981893">
            <w:r>
              <w:rPr>
                <w:sz w:val="18"/>
                <w:szCs w:val="18"/>
              </w:rPr>
              <w:t>Review of plans and expert input rather than measured outcomes</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BB650CD" w14:textId="77777777" w:rsidR="00EC6E73" w:rsidRDefault="00981893">
            <w:r>
              <w:rPr>
                <w:sz w:val="18"/>
                <w:szCs w:val="18"/>
              </w:rPr>
              <w:t>Bosma et al. (2019)</w:t>
            </w:r>
          </w:p>
        </w:tc>
      </w:tr>
      <w:tr w:rsidR="00EC6E73" w14:paraId="5D268C78"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C7D2C5B" w14:textId="77777777" w:rsidR="00EC6E73" w:rsidRDefault="00981893">
            <w:r>
              <w:rPr>
                <w:sz w:val="18"/>
                <w:szCs w:val="18"/>
              </w:rPr>
              <w:t>Seaweed cultivation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91B78E6" w14:textId="77777777" w:rsidR="00EC6E73" w:rsidRDefault="00981893">
            <w:r>
              <w:rPr>
                <w:sz w:val="18"/>
                <w:szCs w:val="18"/>
              </w:rPr>
              <w:t>Zanzibar; quantitative assessment across three marine protected area regions over six years</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DF9E13B" w14:textId="77777777" w:rsidR="00EC6E73" w:rsidRDefault="00981893">
            <w:r>
              <w:rPr>
                <w:sz w:val="18"/>
                <w:szCs w:val="18"/>
              </w:rPr>
              <w:t>Seaweed farming showed income stability with high poverty incidence in women-headed households; women largely exited during the study period</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6424776" w14:textId="77777777" w:rsidR="00EC6E73" w:rsidRDefault="00981893">
            <w:r>
              <w:rPr>
                <w:sz w:val="18"/>
                <w:szCs w:val="18"/>
              </w:rPr>
              <w:t>Monetary outcomes only; attribution to marine protected area status not isolated</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BC4819" w14:textId="77777777" w:rsidR="00EC6E73" w:rsidRDefault="00981893">
            <w:r>
              <w:rPr>
                <w:sz w:val="18"/>
                <w:szCs w:val="18"/>
              </w:rPr>
              <w:t>Pike et al. (2024)</w:t>
            </w:r>
          </w:p>
        </w:tc>
      </w:tr>
      <w:tr w:rsidR="00EC6E73" w14:paraId="7F3D130A" w14:textId="77777777">
        <w:tc>
          <w:tcPr>
            <w:tcW w:w="123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E7C9F0" w14:textId="77777777" w:rsidR="00EC6E73" w:rsidRDefault="00981893">
            <w:r>
              <w:rPr>
                <w:sz w:val="18"/>
                <w:szCs w:val="18"/>
              </w:rPr>
              <w:t>Seaweed cultivation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93AB6B6" w14:textId="77777777" w:rsidR="00EC6E73" w:rsidRDefault="00981893">
            <w:r>
              <w:rPr>
                <w:sz w:val="18"/>
                <w:szCs w:val="18"/>
              </w:rPr>
              <w:t>Philippines; value-chain analysis in Zamboanga Peninsula</w:t>
            </w:r>
          </w:p>
        </w:tc>
        <w:tc>
          <w:tcPr>
            <w:tcW w:w="223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C801245" w14:textId="77777777" w:rsidR="00EC6E73" w:rsidRDefault="00981893">
            <w:r>
              <w:rPr>
                <w:sz w:val="18"/>
                <w:szCs w:val="18"/>
              </w:rPr>
              <w:t>Women contribute to production, post-harvest and marketing, often unpaid within family ventures; gains to poor farmers minimal relative to other chain actors</w:t>
            </w:r>
          </w:p>
        </w:tc>
        <w:tc>
          <w:tcPr>
            <w:tcW w:w="1913"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49DD12" w14:textId="77777777" w:rsidR="00EC6E73" w:rsidRDefault="00981893">
            <w:r>
              <w:rPr>
                <w:sz w:val="18"/>
                <w:szCs w:val="18"/>
              </w:rPr>
              <w:t>Rapid appraisal design; no household income measurement</w:t>
            </w:r>
          </w:p>
        </w:tc>
        <w:tc>
          <w:tcPr>
            <w:tcW w:w="15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B2ED0F" w14:textId="77777777" w:rsidR="00EC6E73" w:rsidRDefault="00981893">
            <w:r>
              <w:rPr>
                <w:sz w:val="18"/>
                <w:szCs w:val="18"/>
              </w:rPr>
              <w:t>Ramirez et al. (2020)</w:t>
            </w:r>
          </w:p>
        </w:tc>
      </w:tr>
    </w:tbl>
    <w:p w14:paraId="6510687B" w14:textId="77777777" w:rsidR="00EC6E73" w:rsidRDefault="00981893">
      <w:pPr>
        <w:spacing w:before="100" w:after="260"/>
      </w:pPr>
      <w:r>
        <w:rPr>
          <w:i/>
          <w:iCs/>
          <w:sz w:val="18"/>
          <w:szCs w:val="18"/>
        </w:rPr>
        <w:t>Note. The table presents illustrative rather than exhaustive evidence, selected to span value-chain nodes, regions and study designs. Percentages and tonnages are reported as stated in the cited sources, including their reported uncertainty where given.</w:t>
      </w:r>
    </w:p>
    <w:p w14:paraId="41852EA5" w14:textId="77777777" w:rsidR="00EC6E73" w:rsidRDefault="00981893">
      <w:pPr>
        <w:pStyle w:val="Heading1"/>
        <w:spacing w:before="320" w:after="160"/>
      </w:pPr>
      <w:r>
        <w:rPr>
          <w:b/>
          <w:bCs/>
          <w:color w:val="000000"/>
          <w:sz w:val="26"/>
          <w:szCs w:val="26"/>
        </w:rPr>
        <w:t>5. Structural Constraints on Women's Agency in Fisheries and Aquaculture</w:t>
      </w:r>
    </w:p>
    <w:p w14:paraId="2D5B425D" w14:textId="77777777" w:rsidR="00EC6E73" w:rsidRDefault="00981893">
      <w:pPr>
        <w:spacing w:after="120" w:line="360" w:lineRule="auto"/>
        <w:jc w:val="both"/>
      </w:pPr>
      <w:r>
        <w:t>If participation is extensive but influence is limited, the analytical burden falls on the mechanisms that separate the two. Four domains recur across the literature, and they differ markedly in the strength of the evidence supporting them.</w:t>
      </w:r>
    </w:p>
    <w:p w14:paraId="210DBC22" w14:textId="77777777" w:rsidR="00EC6E73" w:rsidRDefault="00981893">
      <w:pPr>
        <w:spacing w:after="120" w:line="360" w:lineRule="auto"/>
        <w:jc w:val="both"/>
      </w:pPr>
      <w:r>
        <w:lastRenderedPageBreak/>
        <w:t xml:space="preserve">Control over assets, income and financial services is the domain with the most consistent quantitative support. Index-based measurement in northwestern Bangladesh found that only 33 per cent of women and 48 per cent of men in a sample of 217 aquaculture households achieved empowerment, that nearly 40 per cent of dual-adult households did not attain gender parity, and that women's disempowerment was driven principally by lack of autonomy in the use of income, restricted ability to visit important locations, and inadequate access to and decision-making over financial services (Adam et al., 2025). Larger survey work across Rangpur and </w:t>
      </w:r>
      <w:proofErr w:type="spellStart"/>
      <w:r>
        <w:t>Rajshahi</w:t>
      </w:r>
      <w:proofErr w:type="spellEnd"/>
      <w:r>
        <w:t xml:space="preserve"> districts identified the same pattern, with high involvement in household decisions coexisting with substantial deficits in access to finance and in control over productive capital and remuneration (Njogu et al., 2024). Regional synthesis for East Africa reached a convergent conclusion, locating the sharpest inequalities in asset ownership, decision-making authority and benefit distribution rather than in participation (Ouko et al., 2026). Qualitative work on Kenyan fish traders identified financial capital as the primary determinant of bargaining power and access to fish (Matsue et al., 2014). Assessment of gender equity in Lake Malawi's small-scale fisheries found that men dominate fishing resources while women's resources are tied to household management, and that all value-chain nodes are open to men while women concentrate in lower-value processing and trading (Torell et al., 2021). The convergence of index-based, survey-based and qualitative designs across South Asia and East Africa on a common conclusion makes this the most secure structural finding in the field.</w:t>
      </w:r>
    </w:p>
    <w:p w14:paraId="26F72FBB" w14:textId="77777777" w:rsidR="00EC6E73" w:rsidRDefault="00981893">
      <w:pPr>
        <w:spacing w:after="120" w:line="360" w:lineRule="auto"/>
        <w:jc w:val="both"/>
      </w:pPr>
      <w:r>
        <w:t xml:space="preserve">Gender norms, masculinities and mobility constitute the second domain. Norms operate not only as external prohibition but as constitutive of what participants regard as appropriate, which is why documenting behaviour alone underestimates their force. Work in Solomon Islands established that norms and relations shape the expression of agency in coastal livelihoods and that interventions addressing material constraint without addressing normative constraint achieve limited change (Lawless et al., 2019). Qualitative work in three Mexican regions characterised four distinct expressions of masculinity and traced their differing effects on women's participation, showing that opposition to women's involvement is neither uniform nor fixed and that the composition of masculinities within a fishing community is a determinant of the scope for change (Salguero-Velázquez et al., 2022). This finding is analytically important because it displaces the assumption that norms are a single community-level attribute. Household-level evidence from Ghana examined how what women do, what they believe and what they contribute financially interact in couples' decision-making, indicating that financial contribution alone does not determine decision-making weight (Adjei &amp; Chan, 2023). </w:t>
      </w:r>
      <w:r>
        <w:lastRenderedPageBreak/>
        <w:t>Ethnographic work in Bangladesh documented normative constructions positioning fishing as categorically male (Deb et al., 2015), and the Mogadishu study attributed limited participation principally to cultural norms alongside resource access and education (Mohamed et al., 2026). Relational theory in the wider gender and development literature provides the framework within which these findings cohere, connecting assets, agency and legitimacy as interdependent rather than substitutable (Rao, 2017).</w:t>
      </w:r>
    </w:p>
    <w:p w14:paraId="73EEE86E" w14:textId="77777777" w:rsidR="00EC6E73" w:rsidRDefault="00981893">
      <w:pPr>
        <w:spacing w:after="120" w:line="360" w:lineRule="auto"/>
        <w:jc w:val="both"/>
      </w:pPr>
      <w:r>
        <w:t>Evidence in this domain is predominantly qualitative and site-specific, and the mechanisms it identifies are plausible and internally coherent rather than demonstrated across settings. Norm change is inferred from cross-sectional accounts rather than observed longitudinally, and the counterfactual of what would have occurred without normative constraint is generally unavailable. Confidence that norms matter is high; confidence in the specific pathways by which particular norms produce particular outcomes is moderate at best.</w:t>
      </w:r>
    </w:p>
    <w:p w14:paraId="2F57B973" w14:textId="77777777" w:rsidR="00EC6E73" w:rsidRDefault="00981893">
      <w:pPr>
        <w:spacing w:after="120" w:line="360" w:lineRule="auto"/>
        <w:jc w:val="both"/>
      </w:pPr>
      <w:r>
        <w:t xml:space="preserve">Technology and its distributional consequences form a third domain, and here the evidence has produced a genuine and instructive disagreement. The dominant expectation has been that technological change in fisheries excludes women and deepens their economic marginalisation. Detailed work on the expansion of ring seine technology in </w:t>
      </w:r>
      <w:proofErr w:type="spellStart"/>
      <w:r>
        <w:t>Cuddalore</w:t>
      </w:r>
      <w:proofErr w:type="spellEnd"/>
      <w:r>
        <w:t xml:space="preserve">, Tamil Nadu, contradicted that expectation, finding that women fish auctioneers both sustained and financed the expansion of the technology, that auctioneering profitability transformed some of these women into primary household providers responsible for intergenerational wellbeing, and that women were not homogeneous in their capacity to access these opportunities (Rao &amp; </w:t>
      </w:r>
      <w:proofErr w:type="spellStart"/>
      <w:r>
        <w:t>Djohari</w:t>
      </w:r>
      <w:proofErr w:type="spellEnd"/>
      <w:r>
        <w:t>, 2024). The finding does not overturn the general proposition that technological change is frequently gendered against women, but it establishes that the relationship is contingent on the position women occupy in the chain and on their differentiated capacity to negotiate entry. Evidence from a seaweed innovation in Zanzibar points in a compatible direction, showing that a technology introduced specifically to benefit women farmers produced ambiguous empowerment outcomes (</w:t>
      </w:r>
      <w:proofErr w:type="spellStart"/>
      <w:r>
        <w:t>Brugere</w:t>
      </w:r>
      <w:proofErr w:type="spellEnd"/>
      <w:r>
        <w:t xml:space="preserve"> et al., 2020). The reasonable conclusion is that technological change redistributes rather than uniformly excludes, and that the direction of redistribution depends on pre-existing positions within the chain.</w:t>
      </w:r>
    </w:p>
    <w:p w14:paraId="5372436C" w14:textId="77777777" w:rsidR="00EC6E73" w:rsidRDefault="00981893">
      <w:pPr>
        <w:spacing w:after="120" w:line="360" w:lineRule="auto"/>
        <w:jc w:val="both"/>
      </w:pPr>
      <w:r>
        <w:t>Violence and occupational risk constitute the fourth domain and the one most recently brought into the sectoral literature. A global review of capture fisheries identified five types of gender-based violence, namely physical, sexual, psychological, economic and cultural, and argued that these are pervasive and can be reinforced by fisheries policies, practices and institutions rather than merely occurring alongside them (</w:t>
      </w:r>
      <w:proofErr w:type="spellStart"/>
      <w:r>
        <w:t>Mangubhai</w:t>
      </w:r>
      <w:proofErr w:type="spellEnd"/>
      <w:r>
        <w:t xml:space="preserve"> et al., 2023). Empirical work on </w:t>
      </w:r>
      <w:r>
        <w:lastRenderedPageBreak/>
        <w:t>transactional fish-for-sex relationships in Kenya examined how declining fish access shapes these arrangements, situating them within resource scarcity and market structure rather than treating them as isolated behavioural phenomena (Fiorella et al., 2015). This literature is at an early stage. The review is a synthesis rather than a prevalence study, and no reliable estimates of the incidence of gender-based violence in fisheries exist. The proposition that institutional arrangements can reinforce violence is well argued and consistent with evidence from other sectors, but it has not been tested with designs capable of isolating institutional effects.</w:t>
      </w:r>
    </w:p>
    <w:p w14:paraId="61916D7C" w14:textId="77777777" w:rsidR="00EC6E73" w:rsidRDefault="00981893">
      <w:pPr>
        <w:spacing w:after="120" w:line="360" w:lineRule="auto"/>
        <w:jc w:val="both"/>
      </w:pPr>
      <w:r>
        <w:t>Intersectionality cuts across all four domains and materially complicates each. Work across fifteen rural Pacific communities using 205 surveys, 54 interviews and ethnographic methods demonstrated that the impacts of the seafood trade are distributed unevenly not only between men and women but within each group according to nationality, marital status and other identity markers, and that treating fishing communities as homogeneous produces policy predictions that fail (Ferguson, 2021). Analysis of dried fish value chains reached a compatible conclusion using social wellbeing framing (</w:t>
      </w:r>
      <w:proofErr w:type="spellStart"/>
      <w:r>
        <w:t>Galappaththi</w:t>
      </w:r>
      <w:proofErr w:type="spellEnd"/>
      <w:r>
        <w:t xml:space="preserve"> et al., 2021). Work on social identities in marine, aquatic and fisheries science professions extends the argument to the institutions that produce fisheries knowledge, indicating that the categories through which the sector is analysed are themselves shaped by who is present to construct them (King, 2023). The practical implication is that programme targeting based on the single category of gender will produce heterogeneous and partly perverse effects, and that where evaluations report average outcomes across women they may conceal offsetting gains and losses. Recent agenda-setting work has accordingly identified intersectional analysis as a methodological priority rather than an optional refinement (Rice et al., 2024).</w:t>
      </w:r>
    </w:p>
    <w:p w14:paraId="2322136D" w14:textId="77777777" w:rsidR="00EC6E73" w:rsidRDefault="00981893">
      <w:pPr>
        <w:spacing w:after="120" w:line="360" w:lineRule="auto"/>
        <w:jc w:val="both"/>
      </w:pPr>
      <w:r>
        <w:t xml:space="preserve">These domains, their mechanisms and the confidence each </w:t>
      </w:r>
      <w:proofErr w:type="gramStart"/>
      <w:r>
        <w:t>warrants</w:t>
      </w:r>
      <w:proofErr w:type="gramEnd"/>
      <w:r>
        <w:t xml:space="preserve"> are compiled in Table 3. Reading across the table, the pattern is that the domains best supported by quantitative evidence are those most amenable to standardised measurement, which is not the same as their being the most consequential. Asset and income control is measured well because indices were built to measure it; normative and institutional constraint may be equally or more consequential while remaining harder to demonstrate. Ranking constraints by the strength of available evidence would therefore be a methodological error, and no such ranking is offered here.</w:t>
      </w:r>
    </w:p>
    <w:p w14:paraId="6D500D38" w14:textId="77777777" w:rsidR="00EC6E73" w:rsidRDefault="00981893">
      <w:pPr>
        <w:spacing w:after="120" w:line="360" w:lineRule="auto"/>
        <w:jc w:val="both"/>
      </w:pPr>
      <w:r>
        <w:t xml:space="preserve">Table 3 sets out the four constraint domains alongside their proposed mechanisms, the designs generating the supporting evidence and an explicit confidence statement. The table makes visible a pattern that should temper interpretation: the domains supported by the strongest </w:t>
      </w:r>
      <w:r>
        <w:lastRenderedPageBreak/>
        <w:t>quantitative evidence are those most amenable to standardised measurement, which is not a reason to treat them as the most consequential.</w:t>
      </w:r>
    </w:p>
    <w:p w14:paraId="33180844" w14:textId="77777777" w:rsidR="00EC6E73" w:rsidRDefault="00981893">
      <w:pPr>
        <w:spacing w:before="200" w:after="100"/>
      </w:pPr>
      <w:r>
        <w:rPr>
          <w:b/>
          <w:bCs/>
          <w:sz w:val="20"/>
          <w:szCs w:val="20"/>
        </w:rPr>
        <w:t>Table 3. Domains of structural constraint, evidential basis and assessed confidence</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095"/>
        <w:gridCol w:w="2186"/>
        <w:gridCol w:w="1457"/>
        <w:gridCol w:w="1825"/>
      </w:tblGrid>
      <w:tr w:rsidR="00EC6E73" w14:paraId="684CC1F5"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3C01FA56" w14:textId="77777777" w:rsidR="00EC6E73" w:rsidRDefault="00981893">
            <w:r>
              <w:rPr>
                <w:b/>
                <w:bCs/>
                <w:sz w:val="18"/>
                <w:szCs w:val="18"/>
              </w:rPr>
              <w:t>Constraint domain</w:t>
            </w:r>
          </w:p>
        </w:tc>
        <w:tc>
          <w:tcPr>
            <w:tcW w:w="2095"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32ED82B8" w14:textId="77777777" w:rsidR="00EC6E73" w:rsidRDefault="00981893">
            <w:r>
              <w:rPr>
                <w:b/>
                <w:bCs/>
                <w:sz w:val="18"/>
                <w:szCs w:val="18"/>
              </w:rPr>
              <w:t>Proposed mechanism</w:t>
            </w:r>
          </w:p>
        </w:tc>
        <w:tc>
          <w:tcPr>
            <w:tcW w:w="2186"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5CBC9FA3" w14:textId="77777777" w:rsidR="00EC6E73" w:rsidRDefault="00981893">
            <w:r>
              <w:rPr>
                <w:b/>
                <w:bCs/>
                <w:sz w:val="18"/>
                <w:szCs w:val="18"/>
              </w:rPr>
              <w:t>Evidence base and design</w:t>
            </w:r>
          </w:p>
        </w:tc>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4B452567" w14:textId="77777777" w:rsidR="00EC6E73" w:rsidRDefault="00981893">
            <w:r>
              <w:rPr>
                <w:b/>
                <w:bCs/>
                <w:sz w:val="18"/>
                <w:szCs w:val="18"/>
              </w:rPr>
              <w:t>Assessed confidence</w:t>
            </w:r>
          </w:p>
        </w:tc>
        <w:tc>
          <w:tcPr>
            <w:tcW w:w="1825"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36B8BD8E" w14:textId="77777777" w:rsidR="00EC6E73" w:rsidRDefault="00981893">
            <w:r>
              <w:rPr>
                <w:b/>
                <w:bCs/>
                <w:sz w:val="18"/>
                <w:szCs w:val="18"/>
              </w:rPr>
              <w:t>Supporting references</w:t>
            </w:r>
          </w:p>
        </w:tc>
      </w:tr>
      <w:tr w:rsidR="00EC6E73" w14:paraId="72438B82"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3B9B7E2" w14:textId="77777777" w:rsidR="00EC6E73" w:rsidRDefault="00981893">
            <w:r>
              <w:rPr>
                <w:sz w:val="18"/>
                <w:szCs w:val="18"/>
              </w:rPr>
              <w:t>Control over assets, income and finance</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6D037CF" w14:textId="77777777" w:rsidR="00EC6E73" w:rsidRDefault="00981893">
            <w:r>
              <w:rPr>
                <w:sz w:val="18"/>
                <w:szCs w:val="18"/>
              </w:rPr>
              <w:t>Participation without control over proceeds or productive capital leaves decision-making authority unchanged</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F9F0D1" w14:textId="77777777" w:rsidR="00EC6E73" w:rsidRDefault="00981893">
            <w:r>
              <w:rPr>
                <w:sz w:val="18"/>
                <w:szCs w:val="18"/>
              </w:rPr>
              <w:t>Index-based measurement, household surveys and qualitative fieldwork in South Asia and East Africa; convergent across designs</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B985BFC" w14:textId="77777777" w:rsidR="00EC6E73" w:rsidRDefault="00981893">
            <w:r>
              <w:rPr>
                <w:sz w:val="18"/>
                <w:szCs w:val="18"/>
              </w:rPr>
              <w:t>High: independent designs in independent settings converge</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F0DDF7D" w14:textId="77777777" w:rsidR="00EC6E73" w:rsidRDefault="00981893">
            <w:r>
              <w:rPr>
                <w:sz w:val="18"/>
                <w:szCs w:val="18"/>
              </w:rPr>
              <w:t>Adam et al. (2025); Matsue et al. (2014); Njogu et al. (2024); Ouko et al. (2026); Torell et al. (2021)</w:t>
            </w:r>
          </w:p>
        </w:tc>
      </w:tr>
      <w:tr w:rsidR="00EC6E73" w14:paraId="1D994C3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4BF6E9" w14:textId="77777777" w:rsidR="00EC6E73" w:rsidRDefault="00981893">
            <w:r>
              <w:rPr>
                <w:sz w:val="18"/>
                <w:szCs w:val="18"/>
              </w:rPr>
              <w:t>Gender norms, masculinities and mobility</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14C05B7" w14:textId="77777777" w:rsidR="00EC6E73" w:rsidRDefault="00981893">
            <w:r>
              <w:rPr>
                <w:sz w:val="18"/>
                <w:szCs w:val="18"/>
              </w:rPr>
              <w:t>Norms constitute what participants regard as appropriate, restricting the terms of participation rather than participation itself</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C83F262" w14:textId="77777777" w:rsidR="00EC6E73" w:rsidRDefault="00981893">
            <w:r>
              <w:rPr>
                <w:sz w:val="18"/>
                <w:szCs w:val="18"/>
              </w:rPr>
              <w:t>Predominantly qualitative and site-specific; cross-sectional inference of norm effects</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CF65638" w14:textId="77777777" w:rsidR="00EC6E73" w:rsidRDefault="00981893">
            <w:r>
              <w:rPr>
                <w:sz w:val="18"/>
                <w:szCs w:val="18"/>
              </w:rPr>
              <w:t>Moderate: consistent direction, pathways inferred rather than demonstrated</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1567A28" w14:textId="77777777" w:rsidR="00EC6E73" w:rsidRDefault="00981893">
            <w:r>
              <w:rPr>
                <w:sz w:val="18"/>
                <w:szCs w:val="18"/>
              </w:rPr>
              <w:t>Adjei &amp; Chan (2023); Deb et al. (2015); Lawless et al. (2019); Mohamed et al. (2026); Rao (2017); Salguero-Velázquez et al. (2022)</w:t>
            </w:r>
          </w:p>
        </w:tc>
      </w:tr>
      <w:tr w:rsidR="00EC6E73" w14:paraId="5299E43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D0E95CE" w14:textId="77777777" w:rsidR="00EC6E73" w:rsidRDefault="00981893">
            <w:r>
              <w:rPr>
                <w:sz w:val="18"/>
                <w:szCs w:val="18"/>
              </w:rPr>
              <w:t>Technological change and chain position</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395CAEA" w14:textId="77777777" w:rsidR="00EC6E73" w:rsidRDefault="00981893">
            <w:r>
              <w:rPr>
                <w:sz w:val="18"/>
                <w:szCs w:val="18"/>
              </w:rPr>
              <w:t>Technology redistributes chain positions; effects depend on pre-existing position and differentiated capacity to negotiate entry</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4964CFF" w14:textId="77777777" w:rsidR="00EC6E73" w:rsidRDefault="00981893">
            <w:r>
              <w:rPr>
                <w:sz w:val="18"/>
                <w:szCs w:val="18"/>
              </w:rPr>
              <w:t>Qualitative case studies with contradictory findings; no comparative or longitudinal design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514B240" w14:textId="77777777" w:rsidR="00EC6E73" w:rsidRDefault="00981893">
            <w:r>
              <w:rPr>
                <w:sz w:val="18"/>
                <w:szCs w:val="18"/>
              </w:rPr>
              <w:t xml:space="preserve">Moderate: the contingency is </w:t>
            </w:r>
            <w:proofErr w:type="gramStart"/>
            <w:r>
              <w:rPr>
                <w:sz w:val="18"/>
                <w:szCs w:val="18"/>
              </w:rPr>
              <w:t>established,</w:t>
            </w:r>
            <w:proofErr w:type="gramEnd"/>
            <w:r>
              <w:rPr>
                <w:sz w:val="18"/>
                <w:szCs w:val="18"/>
              </w:rPr>
              <w:t xml:space="preserve"> its determinants are not</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606EC0A" w14:textId="77777777" w:rsidR="00EC6E73" w:rsidRDefault="00981893">
            <w:proofErr w:type="spellStart"/>
            <w:r>
              <w:rPr>
                <w:sz w:val="18"/>
                <w:szCs w:val="18"/>
              </w:rPr>
              <w:t>Brugere</w:t>
            </w:r>
            <w:proofErr w:type="spellEnd"/>
            <w:r>
              <w:rPr>
                <w:sz w:val="18"/>
                <w:szCs w:val="18"/>
              </w:rPr>
              <w:t xml:space="preserve"> et al. (2020); Rao &amp; </w:t>
            </w:r>
            <w:proofErr w:type="spellStart"/>
            <w:r>
              <w:rPr>
                <w:sz w:val="18"/>
                <w:szCs w:val="18"/>
              </w:rPr>
              <w:t>Djohari</w:t>
            </w:r>
            <w:proofErr w:type="spellEnd"/>
            <w:r>
              <w:rPr>
                <w:sz w:val="18"/>
                <w:szCs w:val="18"/>
              </w:rPr>
              <w:t xml:space="preserve"> (2024)</w:t>
            </w:r>
          </w:p>
        </w:tc>
      </w:tr>
      <w:tr w:rsidR="00EC6E73" w14:paraId="21ED4B96"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4D60998" w14:textId="77777777" w:rsidR="00EC6E73" w:rsidRDefault="00981893">
            <w:r>
              <w:rPr>
                <w:sz w:val="18"/>
                <w:szCs w:val="18"/>
              </w:rPr>
              <w:t>Gender-based violence and occupational risk</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23AFBB6" w14:textId="77777777" w:rsidR="00EC6E73" w:rsidRDefault="00981893">
            <w:r>
              <w:rPr>
                <w:sz w:val="18"/>
                <w:szCs w:val="18"/>
              </w:rPr>
              <w:t>Physical, sexual, psychological, economic and cultural violence occurs and can be reinforced by sectoral policies and institutions</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BD759BF" w14:textId="77777777" w:rsidR="00EC6E73" w:rsidRDefault="00981893">
            <w:r>
              <w:rPr>
                <w:sz w:val="18"/>
                <w:szCs w:val="18"/>
              </w:rPr>
              <w:t>Global synthesis of capture fisheries literature plus targeted empirical work; no prevalence estimation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F9ACC0D" w14:textId="77777777" w:rsidR="00EC6E73" w:rsidRDefault="00981893">
            <w:r>
              <w:rPr>
                <w:sz w:val="18"/>
                <w:szCs w:val="18"/>
              </w:rPr>
              <w:t>Low to moderate: occurrence established, extent and institutional effects unmeasured</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092FC7F" w14:textId="77777777" w:rsidR="00EC6E73" w:rsidRDefault="00981893">
            <w:r>
              <w:rPr>
                <w:sz w:val="18"/>
                <w:szCs w:val="18"/>
              </w:rPr>
              <w:t xml:space="preserve">Fiorella et al. (2015); </w:t>
            </w:r>
            <w:proofErr w:type="spellStart"/>
            <w:r>
              <w:rPr>
                <w:sz w:val="18"/>
                <w:szCs w:val="18"/>
              </w:rPr>
              <w:t>Mangubhai</w:t>
            </w:r>
            <w:proofErr w:type="spellEnd"/>
            <w:r>
              <w:rPr>
                <w:sz w:val="18"/>
                <w:szCs w:val="18"/>
              </w:rPr>
              <w:t xml:space="preserve"> et al. (2023)</w:t>
            </w:r>
          </w:p>
        </w:tc>
      </w:tr>
      <w:tr w:rsidR="00EC6E73" w14:paraId="30E9009D"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7797CDB" w14:textId="77777777" w:rsidR="00EC6E73" w:rsidRDefault="00981893">
            <w:r>
              <w:rPr>
                <w:sz w:val="18"/>
                <w:szCs w:val="18"/>
              </w:rPr>
              <w:t>Intersecting identities</w:t>
            </w:r>
          </w:p>
        </w:tc>
        <w:tc>
          <w:tcPr>
            <w:tcW w:w="209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AB7A7D9" w14:textId="77777777" w:rsidR="00EC6E73" w:rsidRDefault="00981893">
            <w:r>
              <w:rPr>
                <w:sz w:val="18"/>
                <w:szCs w:val="18"/>
              </w:rPr>
              <w:t>Nationality, marital status and other identity markers distribute impacts unevenly within as well as between gender groups</w:t>
            </w:r>
          </w:p>
        </w:tc>
        <w:tc>
          <w:tcPr>
            <w:tcW w:w="2186"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AF208F" w14:textId="77777777" w:rsidR="00EC6E73" w:rsidRDefault="00981893">
            <w:r>
              <w:rPr>
                <w:sz w:val="18"/>
                <w:szCs w:val="18"/>
              </w:rPr>
              <w:t>Mixed-methods community studies and conceptual synthesis; limited quantification</w:t>
            </w:r>
          </w:p>
        </w:tc>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38105C2" w14:textId="77777777" w:rsidR="00EC6E73" w:rsidRDefault="00981893">
            <w:r>
              <w:rPr>
                <w:sz w:val="18"/>
                <w:szCs w:val="18"/>
              </w:rPr>
              <w:t>Moderate: heterogeneity demonstrated, its magnitude across settings unknown</w:t>
            </w:r>
          </w:p>
        </w:tc>
        <w:tc>
          <w:tcPr>
            <w:tcW w:w="1825"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7C6CE66" w14:textId="77777777" w:rsidR="00EC6E73" w:rsidRDefault="00981893">
            <w:r>
              <w:rPr>
                <w:sz w:val="18"/>
                <w:szCs w:val="18"/>
              </w:rPr>
              <w:t xml:space="preserve">Ferguson (2021); </w:t>
            </w:r>
            <w:proofErr w:type="spellStart"/>
            <w:r>
              <w:rPr>
                <w:sz w:val="18"/>
                <w:szCs w:val="18"/>
              </w:rPr>
              <w:t>Galappaththi</w:t>
            </w:r>
            <w:proofErr w:type="spellEnd"/>
            <w:r>
              <w:rPr>
                <w:sz w:val="18"/>
                <w:szCs w:val="18"/>
              </w:rPr>
              <w:t xml:space="preserve"> et al. (2021); King (2023); Rice et al. (2024)</w:t>
            </w:r>
          </w:p>
        </w:tc>
      </w:tr>
    </w:tbl>
    <w:p w14:paraId="75C94D8A" w14:textId="77777777" w:rsidR="00EC6E73" w:rsidRDefault="00981893">
      <w:pPr>
        <w:spacing w:before="100" w:after="260"/>
      </w:pPr>
      <w:r>
        <w:rPr>
          <w:i/>
          <w:iCs/>
          <w:sz w:val="18"/>
          <w:szCs w:val="18"/>
        </w:rPr>
        <w:t>Note. Confidence statements reflect the consistency of findings across independent studies, the strength of the generating designs and the extent to which alternative explanations have been excluded. They are the reviewers' judgements and are not derived from a formal risk-of-bias instrument.</w:t>
      </w:r>
    </w:p>
    <w:p w14:paraId="46B0A46A" w14:textId="77777777" w:rsidR="00EC6E73" w:rsidRDefault="00981893">
      <w:pPr>
        <w:pStyle w:val="Heading1"/>
        <w:spacing w:before="320" w:after="160"/>
      </w:pPr>
      <w:r>
        <w:rPr>
          <w:b/>
          <w:bCs/>
          <w:color w:val="000000"/>
          <w:sz w:val="26"/>
          <w:szCs w:val="26"/>
        </w:rPr>
        <w:t>6. Governance, Policy Translation and the Dilution of Gender Commitments</w:t>
      </w:r>
    </w:p>
    <w:p w14:paraId="01A044F6" w14:textId="77777777" w:rsidR="00EC6E73" w:rsidRDefault="00981893">
      <w:pPr>
        <w:spacing w:after="120" w:line="360" w:lineRule="auto"/>
        <w:jc w:val="both"/>
      </w:pPr>
      <w:r>
        <w:t>Formal commitment to gender equality in fisheries governance is now close to universal at the level of international instruments and national strategy. The evidence indicates that this commitment attenuates progressively as it moves towards implementation, and that the attenuation is systematic rather than incidental.</w:t>
      </w:r>
    </w:p>
    <w:p w14:paraId="7C824BA8" w14:textId="77777777" w:rsidR="00EC6E73" w:rsidRDefault="00981893">
      <w:pPr>
        <w:spacing w:after="120" w:line="360" w:lineRule="auto"/>
        <w:jc w:val="both"/>
      </w:pPr>
      <w:r>
        <w:t xml:space="preserve">The most direct evidence comes from analysis of 76 policy instruments identified through interviews with 26 governance actors in small-scale fisheries and nine in gender and development across the Pacific Islands region. That analysis found that fisheries policy instruments frequently narrowed the concept of gender to a focus on women, and that the representations, rationales and strategies embedded in fisheries instruments differed </w:t>
      </w:r>
      <w:r>
        <w:lastRenderedPageBreak/>
        <w:t>systematically from those in gender and development instruments (Lawless et al., 2021). Complementary evidence from practitioner interviews in Fiji, Solomon Islands and Vanuatu found that gender-inclusive approaches were applied through community projects, national research and policy, and internal organisational operations, but that when evaluated against gender best practice 76.2 per cent were designed only to reach women, with very few designed to benefit, empower or transform (</w:t>
      </w:r>
      <w:proofErr w:type="spellStart"/>
      <w:r>
        <w:t>Mangubhai</w:t>
      </w:r>
      <w:proofErr w:type="spellEnd"/>
      <w:r>
        <w:t xml:space="preserve"> &amp; Lawless, 2021). These two studies share a research group and a region, which limits the independence of their corroboration, but their conclusions are consistent with findings from other settings.</w:t>
      </w:r>
    </w:p>
    <w:p w14:paraId="2D9D7860" w14:textId="77777777" w:rsidR="00EC6E73" w:rsidRDefault="00981893">
      <w:pPr>
        <w:spacing w:after="120" w:line="360" w:lineRule="auto"/>
        <w:jc w:val="both"/>
      </w:pPr>
      <w:r>
        <w:t>Analysis of Brazil's sector documented persistent underrepresentation of fisherwomen in policy, in fishery-dependent research and in social science, culminating in legal and economic imbalances that are most pronounced in regions where fisherwomen form the majority of the workforce (</w:t>
      </w:r>
      <w:proofErr w:type="spellStart"/>
      <w:r>
        <w:t>Cavole</w:t>
      </w:r>
      <w:proofErr w:type="spellEnd"/>
      <w:r>
        <w:t xml:space="preserve"> et al., 2025). The geographical inversion is analytically important: the settings with the highest proportional participation by women are not those with the strongest representation in decision-making, which contradicts any expectation that representation follows automatically from numerical presence.</w:t>
      </w:r>
    </w:p>
    <w:p w14:paraId="0D1FC223" w14:textId="77777777" w:rsidR="00EC6E73" w:rsidRDefault="00981893">
      <w:pPr>
        <w:spacing w:after="120" w:line="360" w:lineRule="auto"/>
        <w:jc w:val="both"/>
      </w:pPr>
      <w:r>
        <w:t xml:space="preserve">Evidence on participation in resource governance points in a similar direction while introducing an important qualification. A study in Fiji surveying 655 key informants across 146 villages, with </w:t>
      </w:r>
      <w:proofErr w:type="spellStart"/>
      <w:r>
        <w:t>talanoa</w:t>
      </w:r>
      <w:proofErr w:type="spellEnd"/>
      <w:r>
        <w:t xml:space="preserve"> sessions and 54 semi-structured interviews in four villages, found that women's participation in fisheries management was associated with ecological and social benefits and with increased support for management, that women were more knowledgeable than men about the ocean, and that there was broad community support for their participation, yet actual participation remained very low (Ferguson Irlanda et al., 2025). The coexistence of demonstrated benefit, superior relevant knowledge and stated support with negligible participation is among the clearest indications available that the binding constraint lies in institutional procedure rather than in attitude or capability. Earlier work reached compatible conclusions in different settings, documenting the case for gender equity in the governance of Okavango Delta fisheries in Botswana (Ngwenya et al., 2012) and examining women's participation in the management of a Brazilian marine protected area (Di </w:t>
      </w:r>
      <w:proofErr w:type="spellStart"/>
      <w:r>
        <w:t>Ciommo</w:t>
      </w:r>
      <w:proofErr w:type="spellEnd"/>
      <w:r>
        <w:t xml:space="preserve"> &amp; </w:t>
      </w:r>
      <w:proofErr w:type="spellStart"/>
      <w:r>
        <w:t>Schiavetti</w:t>
      </w:r>
      <w:proofErr w:type="spellEnd"/>
      <w:r>
        <w:t>, 2012).</w:t>
      </w:r>
    </w:p>
    <w:p w14:paraId="1667623A" w14:textId="77777777" w:rsidR="00EC6E73" w:rsidRDefault="00981893">
      <w:pPr>
        <w:spacing w:after="120" w:line="360" w:lineRule="auto"/>
        <w:jc w:val="both"/>
      </w:pPr>
      <w:r>
        <w:t xml:space="preserve">Co-management, the governance form most widely advocated for small-scale fisheries, does not resolve the problem and may under some conditions aggravate it. A scoping review identifying 30 empirical studies of equity outcomes in co-management found mixed impacts, with improvement the most prevalent outcome but with reductions and no change also </w:t>
      </w:r>
      <w:r>
        <w:lastRenderedPageBreak/>
        <w:t>common; delegated and cooperative co-management types were more often associated with improved equity, consultative arrangements more often with reduction or no change, and inclusive participation, strong social capital and secure property rights were the conditions most often associated with improved outcomes (Gammage et al., 2025). The review also noted that most included studies assessed equity without an explicit equity lens, which limits the interpretability of the aggregate finding. For gender specifically this means that co-management should be treated as a governance form whose distributional consequences depend on design, and not as an intervention with an expected positive gender effect.</w:t>
      </w:r>
    </w:p>
    <w:p w14:paraId="173016AD" w14:textId="77777777" w:rsidR="00EC6E73" w:rsidRDefault="00981893">
      <w:pPr>
        <w:spacing w:after="120" w:line="360" w:lineRule="auto"/>
        <w:jc w:val="both"/>
      </w:pPr>
      <w:r>
        <w:t xml:space="preserve">European evidence provides a partial counterpoint from a very different institutional setting. Assessment of Fisheries Local Action Groups, the public-private partnerships delivering community-led local development in European fisheries areas, found that these bodies actively supported women in diversification activities while their impact on deeper structural change remained constrained, and drew attention to the persistence of unpaid work such as net mending and fish cleaning performed largely by women (Freeman &amp; </w:t>
      </w:r>
      <w:proofErr w:type="spellStart"/>
      <w:r>
        <w:t>Svels</w:t>
      </w:r>
      <w:proofErr w:type="spellEnd"/>
      <w:r>
        <w:t>, 2022). Analysis of Greek small-scale fisheries examined the relationship between gender and socio-economic performance and found the relationship to be more complex than simple exclusion narratives suggest (</w:t>
      </w:r>
      <w:proofErr w:type="spellStart"/>
      <w:r>
        <w:t>Liontakis</w:t>
      </w:r>
      <w:proofErr w:type="spellEnd"/>
      <w:r>
        <w:t xml:space="preserve"> et al., 2020). These findings indicate that formal institutional inclusion mechanisms produce modest, real and bounded effects, which is a more defensible characterisation than either dismissal or enthusiasm.</w:t>
      </w:r>
    </w:p>
    <w:p w14:paraId="2AE2A8E4" w14:textId="77777777" w:rsidR="00EC6E73" w:rsidRDefault="00981893">
      <w:pPr>
        <w:spacing w:after="120" w:line="360" w:lineRule="auto"/>
        <w:jc w:val="both"/>
      </w:pPr>
      <w:r>
        <w:t>Two structural features of the sector's knowledge and organisational base compound the governance problem. Documented and persistent gender bias in marine science and conservation constrains the composition of the expert community advising fisheries policy (</w:t>
      </w:r>
      <w:proofErr w:type="spellStart"/>
      <w:r>
        <w:t>Giakoumi</w:t>
      </w:r>
      <w:proofErr w:type="spellEnd"/>
      <w:r>
        <w:t xml:space="preserve"> et al., 2021), and the argument that ocean governance is constructed around an implicitly male subject identifies a deeper conceptual source of the same problem (</w:t>
      </w:r>
      <w:proofErr w:type="spellStart"/>
      <w:r>
        <w:t>Gissi</w:t>
      </w:r>
      <w:proofErr w:type="spellEnd"/>
      <w:r>
        <w:t xml:space="preserve"> et al., 2018). Work on social identities within fisheries science professions extends the analysis to intersecting identities and to the experiences of women of colour (King, 2023). Analysis of the history of organised gender scholarship in the sector documents both the length of the effort and the limited institutional traction achieved (Williams et al., 2025).</w:t>
      </w:r>
    </w:p>
    <w:p w14:paraId="5475F597" w14:textId="77777777" w:rsidR="00EC6E73" w:rsidRDefault="00981893">
      <w:pPr>
        <w:spacing w:after="120" w:line="360" w:lineRule="auto"/>
        <w:jc w:val="both"/>
      </w:pPr>
      <w:r>
        <w:t>One line of work addresses what might be done. Analysis of strategic partnerships between fisheries organisations and development organisations argues that fisheries agencies typically lack the internal capability to deliver gender objectives and that partnership with organisations possessing that capability is a more realistic route than internal capacity building alone (</w:t>
      </w:r>
      <w:proofErr w:type="spellStart"/>
      <w:r>
        <w:t>Mangubhai</w:t>
      </w:r>
      <w:proofErr w:type="spellEnd"/>
      <w:r>
        <w:t xml:space="preserve"> et al., 2022). The argument is well reasoned and grounded in practitioner </w:t>
      </w:r>
      <w:r>
        <w:lastRenderedPageBreak/>
        <w:t>experience, but it is not accompanied by outcome evaluation, so it should be read as a considered proposition rather than as a demonstrated strategy. The same caution applies to normative arguments derived from the Blue Justice framing, which specify what institutions owe without specifying which reforms deliver it (Gustavsson et al., 2021). Argument for inclusive management through gender consideration made the case comprehensively for why and how gender should be integrated, and the intervening years have added evidence of the difficulty rather than of the remedy (de la Torre-Castro, 2019). Analysis of climate policy shows the same substitution of assumption for evidence operating in an adjacent policy domain (Lau et al., 2021).</w:t>
      </w:r>
    </w:p>
    <w:p w14:paraId="4C5B75A0" w14:textId="77777777" w:rsidR="00EC6E73" w:rsidRDefault="00981893">
      <w:pPr>
        <w:pStyle w:val="Heading1"/>
        <w:spacing w:before="320" w:after="160"/>
      </w:pPr>
      <w:r>
        <w:rPr>
          <w:b/>
          <w:bCs/>
          <w:color w:val="000000"/>
          <w:sz w:val="26"/>
          <w:szCs w:val="26"/>
        </w:rPr>
        <w:t>7. Interventions, Measurement and the Weakness of the Effectiveness Evidence</w:t>
      </w:r>
    </w:p>
    <w:p w14:paraId="6BBC57CF" w14:textId="77777777" w:rsidR="00EC6E73" w:rsidRDefault="00981893">
      <w:pPr>
        <w:spacing w:after="120" w:line="360" w:lineRule="auto"/>
        <w:jc w:val="both"/>
      </w:pPr>
      <w:r>
        <w:t>The question that programming most needs answered is which interventions produce durable gains in women's control over resources and decisions. This is the question the literature answers least well, and the gap between the confidence of programme claims and the strength of the underlying evidence is the most serious problem in the field.</w:t>
      </w:r>
    </w:p>
    <w:p w14:paraId="3381947D" w14:textId="77777777" w:rsidR="00EC6E73" w:rsidRDefault="00981893">
      <w:pPr>
        <w:spacing w:after="120" w:line="360" w:lineRule="auto"/>
        <w:jc w:val="both"/>
      </w:pPr>
      <w:r>
        <w:t>The most rigorous available evidence comes from outside fisheries. A mixed-methods systematic review with meta-analysis assessed value-chain interventions intended to improve women's economic empowerment in low- and middle-income countries, searching Scopus, Web of Science Core Collection and other sources, and examined both effectiveness and the contextual barriers and facilitators shaping it (Malhotra et al., 2024). Its relevance to fisheries is direct, since the mechanisms of value-chain upgrading are broadly common across agricultural and aquatic chains, and its finding that women are generally confined to the least-valued chain segments with the lowest returns corresponds closely to the fisheries evidence reviewed in Section 4. Its limitation for present purposes is that fisheries and aquaculture interventions are a small component of the included evidence, so the transferability of pooled estimates to aquatic chains is uncertain.</w:t>
      </w:r>
    </w:p>
    <w:p w14:paraId="0D2A55A8" w14:textId="77777777" w:rsidR="00EC6E73" w:rsidRDefault="00981893">
      <w:pPr>
        <w:spacing w:after="120" w:line="360" w:lineRule="auto"/>
        <w:jc w:val="both"/>
      </w:pPr>
      <w:r>
        <w:t xml:space="preserve">Within fisheries and </w:t>
      </w:r>
      <w:proofErr w:type="gramStart"/>
      <w:r>
        <w:t>aquaculture</w:t>
      </w:r>
      <w:proofErr w:type="gramEnd"/>
      <w:r>
        <w:t xml:space="preserve"> the evaluative evidence is thin. Introduction of tubular net technology to women seaweed farmers in Zanzibar was designed explicitly as an empowerment intervention, and reflection on the experience concluded that innovation does not straightforwardly empower and that outcomes depended on conditions the intervention did not address (</w:t>
      </w:r>
      <w:proofErr w:type="spellStart"/>
      <w:r>
        <w:t>Brugere</w:t>
      </w:r>
      <w:proofErr w:type="spellEnd"/>
      <w:r>
        <w:t xml:space="preserve"> et al., 2020). Analysis of gender-inclusive value chains in seaweed farming in the Philippines identified technical assistance as a potential strategy for enhancing the participation and gains of poor men and women farmers while documenting that current gains </w:t>
      </w:r>
      <w:r>
        <w:lastRenderedPageBreak/>
        <w:t>to those groups are minimal relative to other chain actors (Ramirez et al., 2020). Analysis of the Kenyan aquaculture value chain identified economically feasible options for increased participation by women without evaluating implementation (Ndanga et al., 2013). Analysis of two pilot interventions supporting women's entrepreneurship in Bangladeshi aquaculture, using a multi-level perspective, found that existing strategic frameworks fail to capture the agentic actions women take before programmes arrive and do not adequately address the surrounding regime of policy, public action and gender norms (Choudhury et al., 2025). This last finding matters methodologically as well as substantively, since it implies that evaluations attributing observed change to programme activity may be crediting programmes with change that women had already initiated.</w:t>
      </w:r>
    </w:p>
    <w:p w14:paraId="2C24C422" w14:textId="77777777" w:rsidR="00EC6E73" w:rsidRDefault="00981893">
      <w:pPr>
        <w:spacing w:after="120" w:line="360" w:lineRule="auto"/>
        <w:jc w:val="both"/>
      </w:pPr>
      <w:r>
        <w:t>Longitudinal evidence is scarce, and where it exists the results are sobering. The six-year assessment across Zanzibar's marine protected area regions found that the two livelihood initiatives most promoted for coastal women, seaweed farming and tourism, did not deliver significantly higher monetary returns than long-standing fisheries livelihoods, that seaweed farming combined income stability with high poverty incidence concentrated among women-headed households, and that women largely exited seaweed farming during the study period (Pike et al., 2024). A study designed to detect only participation at a single time point would have recorded this initiative as a success. Cross-sectional evidence from coastal Bangladesh examining the relationship between economic well-being and women's empowerment in fishing communities documents an association without establishing its direction (Palash et al., 2024), and the plausible reverse pathway, in which more empowered women achieve better economic outcomes, cannot be excluded by that design.</w:t>
      </w:r>
    </w:p>
    <w:p w14:paraId="19850560" w14:textId="77777777" w:rsidR="00EC6E73" w:rsidRDefault="00981893">
      <w:pPr>
        <w:spacing w:after="120" w:line="360" w:lineRule="auto"/>
        <w:jc w:val="both"/>
      </w:pPr>
      <w:r>
        <w:t xml:space="preserve">Institutional interventions have been assessed more descriptively. Review of gender action plans in Asian aquaculture found that not all reviewed countries had sectoral plans and that all encountered constraints in achieving their equal-access goals, with skewed perceptions of women's roles limiting access to training on new technologies and exclusion from policy processes persisting (Bosma et al., 2019). Assessment of gender equity work in Lake Malawi's fisheries used gendered resource mapping to identify the belief systems and norms shaping access and control (Torell et al., 2021). Assessment of European Fisheries Local Action Groups found active support for diversification alongside constrained structural impact (Freeman &amp; </w:t>
      </w:r>
      <w:proofErr w:type="spellStart"/>
      <w:r>
        <w:t>Svels</w:t>
      </w:r>
      <w:proofErr w:type="spellEnd"/>
      <w:r>
        <w:t>, 2022). These studies describe intervention landscapes rather than measuring intervention effects.</w:t>
      </w:r>
    </w:p>
    <w:p w14:paraId="1F2BF01F" w14:textId="77777777" w:rsidR="00EC6E73" w:rsidRDefault="00981893">
      <w:pPr>
        <w:spacing w:after="120" w:line="360" w:lineRule="auto"/>
        <w:jc w:val="both"/>
      </w:pPr>
      <w:r>
        <w:lastRenderedPageBreak/>
        <w:t>Measurement instruments have advanced faster than the evaluations that would use them. The project-level Women's Empowerment in Agriculture Index provided the methodological template (Malapit et al., 2019), and its aquatic adaptation, the project-level Women's Empowerment in Fisheries and Aquaculture Index, has now been applied in Bangladesh, yielding the domain-level attribution of disempowerment to income autonomy, mobility and financial services described in Section 5 (Adam et al., 2025; Njogu et al., 2024). These applications demonstrate feasibility and produce interpretable diagnostic profiles. Their present limitation is that they have been used cross-sectionally, so they characterise states rather than changes, and a diagnostic instrument used without a baseline and a comparison group cannot support attribution. Review of a decade of empowerment measurement in agriculture identifies this pattern as general rather than specific to fisheries and cautions that index improvement may not correspond to the relational shifts the underlying concept describes (Quisumbing et al., 2023).</w:t>
      </w:r>
    </w:p>
    <w:p w14:paraId="73A78A3C" w14:textId="77777777" w:rsidR="00EC6E73" w:rsidRDefault="00981893">
      <w:pPr>
        <w:spacing w:after="120" w:line="360" w:lineRule="auto"/>
        <w:jc w:val="both"/>
      </w:pPr>
      <w:r>
        <w:t>Data infrastructure is itself an intervention, and one where the evidence is more encouraging. Demonstration that mobile applications increased the recorded visibility of women's work contributions in Mexican small-scale fisheries shows that a change in enumeration instrument alters what the sector knows about itself (Ahmed et al., 2025). Institutional analysis of gender-inclusive data systems sets out the multiple data streams and cross-agency arrangements required to close sectoral gender data gaps, and frames existing gaps as structural rather than technical (Harper et al., 2026). Typological work on production archetypes offers a complementary route to survey designs matched to fishery structure (</w:t>
      </w:r>
      <w:proofErr w:type="spellStart"/>
      <w:r>
        <w:t>Aguión</w:t>
      </w:r>
      <w:proofErr w:type="spellEnd"/>
      <w:r>
        <w:t xml:space="preserve"> et al., 2025). Because measurement determines what can subsequently be evaluated, investment here is a precondition for improving the effectiveness evidence rather than an alternative to it.</w:t>
      </w:r>
    </w:p>
    <w:p w14:paraId="7D6F09BE" w14:textId="77777777" w:rsidR="00EC6E73" w:rsidRDefault="00981893">
      <w:pPr>
        <w:spacing w:after="120" w:line="360" w:lineRule="auto"/>
        <w:jc w:val="both"/>
      </w:pPr>
      <w:r>
        <w:t>Intervention categories, reported outcomes and design quality are compiled in Table 4. The pattern is consistent across categories. Reported outcomes are generally positive; designs are generally cross-sectional, single-site and without comparison groups; and the limitations most frequently identified concern attribution, duration and the absence of measured effects on control over income and decisions as distinct from participation. The defensible summary is that no intervention category in fisheries and aquaculture currently has effectiveness evidence sufficient to justify confident claims about durable empowerment outcomes. This is a statement about the state of evaluation, not a claim that the interventions are ineffective, and the distinction matters for programming: absence of evidence of effect is not evidence of absence of effect.</w:t>
      </w:r>
    </w:p>
    <w:p w14:paraId="27D5B83C" w14:textId="77777777" w:rsidR="00EC6E73" w:rsidRDefault="00981893">
      <w:pPr>
        <w:spacing w:after="120" w:line="360" w:lineRule="auto"/>
        <w:jc w:val="both"/>
      </w:pPr>
      <w:r>
        <w:lastRenderedPageBreak/>
        <w:t>Table 4 summarises the principal intervention categories against their reported outcomes, the quality of the designs producing those reports and the limitations that constrain interpretation. The regularity across rows is the substantive finding: outcomes reported are generally favourable, designs are generally cross-sectional and single-site without comparison groups, and outcome measurement rarely extends beyond participation to control over income and decisions.</w:t>
      </w:r>
    </w:p>
    <w:p w14:paraId="4D09932A" w14:textId="77777777" w:rsidR="00EC6E73" w:rsidRDefault="00981893">
      <w:pPr>
        <w:spacing w:before="200" w:after="100"/>
      </w:pPr>
      <w:r>
        <w:rPr>
          <w:b/>
          <w:bCs/>
          <w:sz w:val="20"/>
          <w:szCs w:val="20"/>
        </w:rPr>
        <w:t>Table 4. Intervention categories in fisheries and aquaculture, reported outcomes and evidential limitations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141"/>
        <w:gridCol w:w="2004"/>
        <w:gridCol w:w="2004"/>
        <w:gridCol w:w="1414"/>
      </w:tblGrid>
      <w:tr w:rsidR="00EC6E73" w14:paraId="04CDDCC5"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35F8309" w14:textId="77777777" w:rsidR="00EC6E73" w:rsidRDefault="00981893">
            <w:r>
              <w:rPr>
                <w:b/>
                <w:bCs/>
                <w:sz w:val="18"/>
                <w:szCs w:val="18"/>
              </w:rPr>
              <w:t>Intervention category</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2329C68" w14:textId="77777777" w:rsidR="00EC6E73" w:rsidRDefault="00981893">
            <w:r>
              <w:rPr>
                <w:b/>
                <w:bCs/>
                <w:sz w:val="18"/>
                <w:szCs w:val="18"/>
              </w:rPr>
              <w:t>Reported outcome</w:t>
            </w:r>
          </w:p>
        </w:tc>
        <w:tc>
          <w:tcPr>
            <w:tcW w:w="20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6AA6F4BB" w14:textId="77777777" w:rsidR="00EC6E73" w:rsidRDefault="00981893">
            <w:r>
              <w:rPr>
                <w:b/>
                <w:bCs/>
                <w:sz w:val="18"/>
                <w:szCs w:val="18"/>
              </w:rPr>
              <w:t>Design and evidence quality</w:t>
            </w:r>
          </w:p>
        </w:tc>
        <w:tc>
          <w:tcPr>
            <w:tcW w:w="200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2207978F" w14:textId="77777777" w:rsidR="00EC6E73" w:rsidRDefault="00981893">
            <w:r>
              <w:rPr>
                <w:b/>
                <w:bCs/>
                <w:sz w:val="18"/>
                <w:szCs w:val="18"/>
              </w:rPr>
              <w:t>Principal limitation</w:t>
            </w:r>
          </w:p>
        </w:tc>
        <w:tc>
          <w:tcPr>
            <w:tcW w:w="1414"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184E0977" w14:textId="77777777" w:rsidR="00EC6E73" w:rsidRDefault="00981893">
            <w:r>
              <w:rPr>
                <w:b/>
                <w:bCs/>
                <w:sz w:val="18"/>
                <w:szCs w:val="18"/>
              </w:rPr>
              <w:t>Supporting references</w:t>
            </w:r>
          </w:p>
        </w:tc>
      </w:tr>
      <w:tr w:rsidR="00EC6E73" w14:paraId="19630DF8"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89B306E" w14:textId="77777777" w:rsidR="00EC6E73" w:rsidRDefault="00981893">
            <w:r>
              <w:rPr>
                <w:sz w:val="18"/>
                <w:szCs w:val="18"/>
              </w:rPr>
              <w:t>Technology introduction targeted at women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9DD503" w14:textId="77777777" w:rsidR="00EC6E73" w:rsidRDefault="00981893">
            <w:r>
              <w:rPr>
                <w:sz w:val="18"/>
                <w:szCs w:val="18"/>
              </w:rPr>
              <w:t>Mixed; adoption achieved but empowerment outcomes ambiguous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601A0E4" w14:textId="77777777" w:rsidR="00EC6E73" w:rsidRDefault="00981893">
            <w:r>
              <w:rPr>
                <w:sz w:val="18"/>
                <w:szCs w:val="18"/>
              </w:rPr>
              <w:t>Reflective case analysis; single site; no comparison group</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7862BA3" w14:textId="77777777" w:rsidR="00EC6E73" w:rsidRDefault="00981893">
            <w:r>
              <w:rPr>
                <w:sz w:val="18"/>
                <w:szCs w:val="18"/>
              </w:rPr>
              <w:t>Outcomes attributed to conditions the intervention did not address; no post-project follow-up</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144D9C5" w14:textId="77777777" w:rsidR="00EC6E73" w:rsidRDefault="00981893">
            <w:proofErr w:type="spellStart"/>
            <w:r>
              <w:rPr>
                <w:sz w:val="18"/>
                <w:szCs w:val="18"/>
              </w:rPr>
              <w:t>Brugere</w:t>
            </w:r>
            <w:proofErr w:type="spellEnd"/>
            <w:r>
              <w:rPr>
                <w:sz w:val="18"/>
                <w:szCs w:val="18"/>
              </w:rPr>
              <w:t xml:space="preserve"> et al. (2020)</w:t>
            </w:r>
          </w:p>
        </w:tc>
      </w:tr>
      <w:tr w:rsidR="00EC6E73" w14:paraId="368A973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81BADCD" w14:textId="77777777" w:rsidR="00EC6E73" w:rsidRDefault="00981893">
            <w:r>
              <w:rPr>
                <w:sz w:val="18"/>
                <w:szCs w:val="18"/>
              </w:rPr>
              <w:t>Value-chain upgrading and technical assistance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8E7489F" w14:textId="77777777" w:rsidR="00EC6E73" w:rsidRDefault="00981893">
            <w:r>
              <w:rPr>
                <w:sz w:val="18"/>
                <w:szCs w:val="18"/>
              </w:rPr>
              <w:t>Potential to raise participation and gains identified; current gains to poor farmers minimal</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BD9C99D" w14:textId="77777777" w:rsidR="00EC6E73" w:rsidRDefault="00981893">
            <w:r>
              <w:rPr>
                <w:sz w:val="18"/>
                <w:szCs w:val="18"/>
              </w:rPr>
              <w:t>Rapid appraisal and chain mapping; no implementation evaluation</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D185B4E" w14:textId="77777777" w:rsidR="00EC6E73" w:rsidRDefault="00981893">
            <w:r>
              <w:rPr>
                <w:sz w:val="18"/>
                <w:szCs w:val="18"/>
              </w:rPr>
              <w:t>Recommendations not tested; distribution of upgrading benefits unmeasured</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73C649" w14:textId="77777777" w:rsidR="00EC6E73" w:rsidRDefault="00981893">
            <w:r>
              <w:rPr>
                <w:sz w:val="18"/>
                <w:szCs w:val="18"/>
              </w:rPr>
              <w:t>Ndanga et al. (2013); Ramirez et al. (2020)</w:t>
            </w:r>
          </w:p>
        </w:tc>
      </w:tr>
      <w:tr w:rsidR="00EC6E73" w14:paraId="4E6E552A"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DD8EC41" w14:textId="77777777" w:rsidR="00EC6E73" w:rsidRDefault="00981893">
            <w:r>
              <w:rPr>
                <w:sz w:val="18"/>
                <w:szCs w:val="18"/>
              </w:rPr>
              <w:t>Women's entrepreneurship support</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5EC6570" w14:textId="77777777" w:rsidR="00EC6E73" w:rsidRDefault="00981893">
            <w:r>
              <w:rPr>
                <w:sz w:val="18"/>
                <w:szCs w:val="18"/>
              </w:rPr>
              <w:t>Programme frameworks fail to capture agentic actions preceding the intervention and do not address surrounding policy and norms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FC3BD9" w14:textId="77777777" w:rsidR="00EC6E73" w:rsidRDefault="00981893">
            <w:r>
              <w:rPr>
                <w:sz w:val="18"/>
                <w:szCs w:val="18"/>
              </w:rPr>
              <w:t>Multi-level perspective analysis of two pilots; qualitative</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F90DC95" w14:textId="77777777" w:rsidR="00EC6E73" w:rsidRDefault="00981893">
            <w:r>
              <w:rPr>
                <w:sz w:val="18"/>
                <w:szCs w:val="18"/>
              </w:rPr>
              <w:t>Risk of attributing to programmes change that participants had already initiated</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36B176B" w14:textId="77777777" w:rsidR="00EC6E73" w:rsidRDefault="00981893">
            <w:r>
              <w:rPr>
                <w:sz w:val="18"/>
                <w:szCs w:val="18"/>
              </w:rPr>
              <w:t>Choudhury et al. (2025)</w:t>
            </w:r>
          </w:p>
        </w:tc>
      </w:tr>
      <w:tr w:rsidR="00EC6E73" w14:paraId="01463F84"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9C5F84F" w14:textId="77777777" w:rsidR="00EC6E73" w:rsidRDefault="00981893">
            <w:r>
              <w:rPr>
                <w:sz w:val="18"/>
                <w:szCs w:val="18"/>
              </w:rPr>
              <w:t>Alternative livelihood promotion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AD3D68D" w14:textId="77777777" w:rsidR="00EC6E73" w:rsidRDefault="00981893">
            <w:r>
              <w:rPr>
                <w:sz w:val="18"/>
                <w:szCs w:val="18"/>
              </w:rPr>
              <w:t>Income stability without higher returns than existing livelihoods; high poverty incidence and eventual exit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BDAAFC5" w14:textId="77777777" w:rsidR="00EC6E73" w:rsidRDefault="00981893">
            <w:r>
              <w:rPr>
                <w:sz w:val="18"/>
                <w:szCs w:val="18"/>
              </w:rPr>
              <w:t>Six-year quantitative assessment across three regions; among the longest observation available</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F95FC85" w14:textId="77777777" w:rsidR="00EC6E73" w:rsidRDefault="00981893">
            <w:r>
              <w:rPr>
                <w:sz w:val="18"/>
                <w:szCs w:val="18"/>
              </w:rPr>
              <w:t>Monetary outcomes only; success would have been recorded by single-timepoint participation monitoring</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8056024" w14:textId="77777777" w:rsidR="00EC6E73" w:rsidRDefault="00981893">
            <w:r>
              <w:rPr>
                <w:sz w:val="18"/>
                <w:szCs w:val="18"/>
              </w:rPr>
              <w:t>Pike et al. (2024)</w:t>
            </w:r>
          </w:p>
        </w:tc>
      </w:tr>
      <w:tr w:rsidR="00EC6E73" w14:paraId="49D9456C"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EFF56EF" w14:textId="77777777" w:rsidR="00EC6E73" w:rsidRDefault="00981893">
            <w:r>
              <w:rPr>
                <w:sz w:val="18"/>
                <w:szCs w:val="18"/>
              </w:rPr>
              <w:t>Sectoral gender action plans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B70092" w14:textId="77777777" w:rsidR="00EC6E73" w:rsidRDefault="00981893">
            <w:r>
              <w:rPr>
                <w:sz w:val="18"/>
                <w:szCs w:val="18"/>
              </w:rPr>
              <w:t>Plans present in some countries; all encountered constraints in achieving equal-access goals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B9D95B7" w14:textId="77777777" w:rsidR="00EC6E73" w:rsidRDefault="00981893">
            <w:r>
              <w:rPr>
                <w:sz w:val="18"/>
                <w:szCs w:val="18"/>
              </w:rPr>
              <w:t>Document review with workshop input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855B8F" w14:textId="77777777" w:rsidR="00EC6E73" w:rsidRDefault="00981893">
            <w:r>
              <w:rPr>
                <w:sz w:val="18"/>
                <w:szCs w:val="18"/>
              </w:rPr>
              <w:t>Describes the intervention landscape rather than measuring effects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2163AC4" w14:textId="77777777" w:rsidR="00EC6E73" w:rsidRDefault="00981893">
            <w:r>
              <w:rPr>
                <w:sz w:val="18"/>
                <w:szCs w:val="18"/>
              </w:rPr>
              <w:t>Bosma et al. (2019); Torell et al. (2021)</w:t>
            </w:r>
          </w:p>
        </w:tc>
      </w:tr>
      <w:tr w:rsidR="00EC6E73" w14:paraId="20A700BD"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F49205E" w14:textId="77777777" w:rsidR="00EC6E73" w:rsidRDefault="00981893">
            <w:r>
              <w:rPr>
                <w:sz w:val="18"/>
                <w:szCs w:val="18"/>
              </w:rPr>
              <w:t>Institutionalised local partnership bodies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36B91B6" w14:textId="77777777" w:rsidR="00EC6E73" w:rsidRDefault="00981893">
            <w:r>
              <w:rPr>
                <w:sz w:val="18"/>
                <w:szCs w:val="18"/>
              </w:rPr>
              <w:t>Active support for diversification with constrained structural impact; unpaid women's work persists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0C1CB9B" w14:textId="77777777" w:rsidR="00EC6E73" w:rsidRDefault="00981893">
            <w:r>
              <w:rPr>
                <w:sz w:val="18"/>
                <w:szCs w:val="18"/>
              </w:rPr>
              <w:t>Case study of European Fisheries Local Action Groups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5ACE701" w14:textId="77777777" w:rsidR="00EC6E73" w:rsidRDefault="00981893">
            <w:r>
              <w:rPr>
                <w:sz w:val="18"/>
                <w:szCs w:val="18"/>
              </w:rPr>
              <w:t>High-income institutional setting; limited transferability to low-income small-scale fisheries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526E834" w14:textId="77777777" w:rsidR="00EC6E73" w:rsidRDefault="00981893">
            <w:r>
              <w:rPr>
                <w:sz w:val="18"/>
                <w:szCs w:val="18"/>
              </w:rPr>
              <w:t xml:space="preserve">Freeman &amp; </w:t>
            </w:r>
            <w:proofErr w:type="spellStart"/>
            <w:r>
              <w:rPr>
                <w:sz w:val="18"/>
                <w:szCs w:val="18"/>
              </w:rPr>
              <w:t>Svels</w:t>
            </w:r>
            <w:proofErr w:type="spellEnd"/>
            <w:r>
              <w:rPr>
                <w:sz w:val="18"/>
                <w:szCs w:val="18"/>
              </w:rPr>
              <w:t xml:space="preserve"> (2022)</w:t>
            </w:r>
          </w:p>
        </w:tc>
      </w:tr>
      <w:tr w:rsidR="00EC6E73" w14:paraId="4A89E9A3"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1D41113" w14:textId="77777777" w:rsidR="00EC6E73" w:rsidRDefault="00981893">
            <w:r>
              <w:rPr>
                <w:sz w:val="18"/>
                <w:szCs w:val="18"/>
              </w:rPr>
              <w:t>Empowerment measurement instruments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F9FEB80" w14:textId="77777777" w:rsidR="00EC6E73" w:rsidRDefault="00981893">
            <w:r>
              <w:rPr>
                <w:sz w:val="18"/>
                <w:szCs w:val="18"/>
              </w:rPr>
              <w:t>Feasible application producing interpretable diagnostic profiles of disempowerment domains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1A9964" w14:textId="77777777" w:rsidR="00EC6E73" w:rsidRDefault="00981893">
            <w:r>
              <w:rPr>
                <w:sz w:val="18"/>
                <w:szCs w:val="18"/>
              </w:rPr>
              <w:t>Cross-sectional index application in aquaculture households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7B6FF6" w14:textId="77777777" w:rsidR="00EC6E73" w:rsidRDefault="00981893">
            <w:r>
              <w:rPr>
                <w:sz w:val="18"/>
                <w:szCs w:val="18"/>
              </w:rPr>
              <w:t>Characterises states rather than change; no baseline or comparison group for attribution</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2831A05" w14:textId="77777777" w:rsidR="00EC6E73" w:rsidRDefault="00981893">
            <w:r>
              <w:rPr>
                <w:sz w:val="18"/>
                <w:szCs w:val="18"/>
              </w:rPr>
              <w:t>Adam et al. (2025); Malapit et al. (2019); Njogu et al. (2024)</w:t>
            </w:r>
          </w:p>
        </w:tc>
      </w:tr>
      <w:tr w:rsidR="00EC6E73" w14:paraId="4441E587"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7D4F86B" w14:textId="77777777" w:rsidR="00EC6E73" w:rsidRDefault="00981893">
            <w:r>
              <w:rPr>
                <w:sz w:val="18"/>
                <w:szCs w:val="18"/>
              </w:rPr>
              <w:t>Digital enumeration systems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04AF16C" w14:textId="77777777" w:rsidR="00EC6E73" w:rsidRDefault="00981893">
            <w:r>
              <w:rPr>
                <w:sz w:val="18"/>
                <w:szCs w:val="18"/>
              </w:rPr>
              <w:t>Increased recorded visibility of women's work contributions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61C79D3" w14:textId="77777777" w:rsidR="00EC6E73" w:rsidRDefault="00981893">
            <w:r>
              <w:rPr>
                <w:sz w:val="18"/>
                <w:szCs w:val="18"/>
              </w:rPr>
              <w:t>Applied study of mobile application deployment</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D7A7954" w14:textId="77777777" w:rsidR="00EC6E73" w:rsidRDefault="00981893">
            <w:r>
              <w:rPr>
                <w:sz w:val="18"/>
                <w:szCs w:val="18"/>
              </w:rPr>
              <w:t>Measures what is recorded rather than downstream entitlement or representation effects</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E8D7802" w14:textId="77777777" w:rsidR="00EC6E73" w:rsidRDefault="00981893">
            <w:r>
              <w:rPr>
                <w:sz w:val="18"/>
                <w:szCs w:val="18"/>
              </w:rPr>
              <w:t>Ahmed et al. (2025); Harper et al. (2026)</w:t>
            </w:r>
          </w:p>
        </w:tc>
      </w:tr>
      <w:tr w:rsidR="00EC6E73" w14:paraId="073C7186"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F0F4F2D" w14:textId="77777777" w:rsidR="00EC6E73" w:rsidRDefault="00981893">
            <w:r>
              <w:rPr>
                <w:sz w:val="18"/>
                <w:szCs w:val="18"/>
              </w:rPr>
              <w:t>Cross-sectoral value-chain interventions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95D30BC" w14:textId="77777777" w:rsidR="00EC6E73" w:rsidRDefault="00981893">
            <w:r>
              <w:rPr>
                <w:sz w:val="18"/>
                <w:szCs w:val="18"/>
              </w:rPr>
              <w:t>Effectiveness assessed with pooled estimates and identified contextual moderators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7238FC4" w14:textId="77777777" w:rsidR="00EC6E73" w:rsidRDefault="00981893">
            <w:r>
              <w:rPr>
                <w:sz w:val="18"/>
                <w:szCs w:val="18"/>
              </w:rPr>
              <w:t>Mixed-methods systematic review with meta-analysis</w:t>
            </w:r>
          </w:p>
        </w:tc>
        <w:tc>
          <w:tcPr>
            <w:tcW w:w="200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A4F023B" w14:textId="77777777" w:rsidR="00EC6E73" w:rsidRDefault="00981893">
            <w:r>
              <w:rPr>
                <w:sz w:val="18"/>
                <w:szCs w:val="18"/>
              </w:rPr>
              <w:t>Fisheries and aquaculture a small component of the included evidence; transferability uncertain</w:t>
            </w:r>
          </w:p>
        </w:tc>
        <w:tc>
          <w:tcPr>
            <w:tcW w:w="1414"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4157BD5" w14:textId="77777777" w:rsidR="00EC6E73" w:rsidRDefault="00981893">
            <w:r>
              <w:rPr>
                <w:sz w:val="18"/>
                <w:szCs w:val="18"/>
              </w:rPr>
              <w:t>Malhotra et al. (2024)</w:t>
            </w:r>
          </w:p>
        </w:tc>
      </w:tr>
    </w:tbl>
    <w:p w14:paraId="34DBDEAC" w14:textId="77777777" w:rsidR="00EC6E73" w:rsidRDefault="00981893">
      <w:pPr>
        <w:spacing w:before="100" w:after="260"/>
      </w:pPr>
      <w:r>
        <w:rPr>
          <w:i/>
          <w:iCs/>
          <w:sz w:val="18"/>
          <w:szCs w:val="18"/>
        </w:rPr>
        <w:lastRenderedPageBreak/>
        <w:t>Note. Assessments of design quality reflect the appraisal criteria described in Section 2.6. Absence of evidence of effect is not equivalent to evidence of absence of effect, and no entry in this table should be read as a finding that the intervention category is ineffective.</w:t>
      </w:r>
    </w:p>
    <w:p w14:paraId="71FA40C7" w14:textId="77777777" w:rsidR="00EC6E73" w:rsidRDefault="00981893">
      <w:pPr>
        <w:pStyle w:val="Heading1"/>
        <w:spacing w:before="320" w:after="160"/>
      </w:pPr>
      <w:r>
        <w:rPr>
          <w:b/>
          <w:bCs/>
          <w:color w:val="000000"/>
          <w:sz w:val="26"/>
          <w:szCs w:val="26"/>
        </w:rPr>
        <w:t>8. Emerging Arenas: Blue Economy Expansion, Climate Adaptation and Digitalisation</w:t>
      </w:r>
    </w:p>
    <w:p w14:paraId="2893F965" w14:textId="77777777" w:rsidR="00EC6E73" w:rsidRDefault="00981893">
      <w:pPr>
        <w:spacing w:after="120" w:line="360" w:lineRule="auto"/>
        <w:jc w:val="both"/>
      </w:pPr>
      <w:r>
        <w:t>Three developments are reshaping the context in which women's participation in fisheries is negotiated, and each introduces distributional questions that the existing evidence base is poorly equipped to answer.</w:t>
      </w:r>
    </w:p>
    <w:p w14:paraId="4FD36F22" w14:textId="77777777" w:rsidR="00EC6E73" w:rsidRDefault="00981893">
      <w:pPr>
        <w:spacing w:after="120" w:line="360" w:lineRule="auto"/>
        <w:jc w:val="both"/>
      </w:pPr>
      <w:r>
        <w:t>Blue economy expansion brings new sectors, new investment and new claims on coastal space. Analysis of blue carbon initiatives argues that their success depends on interdisciplinary gender science and that the initiatives currently proceed without adequate attention to the gendered distribution of benefits and burdens (Yadao-Evans et al., 2025). The concern is well grounded, since the Zanzibar evidence demonstrates that a coastal initiative can achieve high participation by women, be widely promoted as an empowerment success and nonetheless leave participating households in poverty and eventually be abandoned by the women it was intended to benefit (Pike et al., 2024). The relevant lesson is not that new blue economy sectors will necessarily disadvantage women, but that participation-based monitoring will not detect it if they do. Institutional reporting has increasingly acknowledged the need for gender-transformative change in the sector while providing limited evidence on its achievement (FAO, 2024).</w:t>
      </w:r>
    </w:p>
    <w:p w14:paraId="7D5B4437" w14:textId="77777777" w:rsidR="00EC6E73" w:rsidRDefault="00981893">
      <w:pPr>
        <w:spacing w:after="120" w:line="360" w:lineRule="auto"/>
        <w:jc w:val="both"/>
      </w:pPr>
      <w:r>
        <w:t>Climate adaptation raises a related problem in a more acute form. Analysis of climate policy and practice found that gender equality objectives are hindered by assumptions, specifically by the substitution of untested premises about women's vulnerability or environmental virtue for evidence about their actual situations (Lau et al., 2021). The critique originates in an earlier and broader analysis of the vulnerability and virtue discourses in environmental policy (Arora-Jonsson, 2011), and its persistence indicates that the problem is structural rather than a transitional failure of an immature policy field. Applied to fisheries, the implication is that adaptation programming targeted at women on the basis of assumed vulnerability may misidentify both the constraint and the appropriate response. Analysis using a gendered agrifood systems framework connects gender disparities to adaptive capacity and to dietary outcomes, providing a more evidence-anchored framing, although the causal pathways it proposes remain to be tested (Adam et al., 2024).</w:t>
      </w:r>
    </w:p>
    <w:p w14:paraId="3154DC28" w14:textId="77777777" w:rsidR="00EC6E73" w:rsidRDefault="00981893">
      <w:pPr>
        <w:spacing w:after="120" w:line="360" w:lineRule="auto"/>
        <w:jc w:val="both"/>
      </w:pPr>
      <w:r>
        <w:t xml:space="preserve">Digitalisation cuts both ways and is the arena where the near-term evidence is most tractable. Digital enumeration demonstrably alters what is recorded, as the Mexican mobile application </w:t>
      </w:r>
      <w:r>
        <w:lastRenderedPageBreak/>
        <w:t xml:space="preserve">evidence shows (Ahmed et al., 2025), and improved records are a precondition for both entitlement and representation. Digital platforms also restructure market access in ways that may either bypass or entrench the intermediation roles in which women are concentrated. The fisheries evidence on this second effect is currently insufficient to support any conclusion. The Tamil Nadu ring seine evidence provides the closest analogue, demonstrating that a technological change reshaped rather than simply removed women's chain position, and that the reshaping was differentiated among women according to their capacity to negotiate entry (Rao &amp; </w:t>
      </w:r>
      <w:proofErr w:type="spellStart"/>
      <w:r>
        <w:t>Djohari</w:t>
      </w:r>
      <w:proofErr w:type="spellEnd"/>
      <w:r>
        <w:t>, 2024). Extrapolating that finding to digital platforms would be speculative, but it identifies the question that platform studies should ask.</w:t>
      </w:r>
    </w:p>
    <w:p w14:paraId="1F8EACD8" w14:textId="77777777" w:rsidR="00EC6E73" w:rsidRDefault="00981893">
      <w:pPr>
        <w:spacing w:after="120" w:line="360" w:lineRule="auto"/>
        <w:jc w:val="both"/>
      </w:pPr>
      <w:r>
        <w:t xml:space="preserve">A cross-cutting risk connects all three arenas. Rapid sectoral change tends to be accompanied by expanded formal recognition of gender objectives and by monitoring systems built around participation counts, precisely the combination that the governance and intervention evidence identifies as compatible with unchanged distributional outcomes (Lawless et al., 2021; </w:t>
      </w:r>
      <w:proofErr w:type="spellStart"/>
      <w:r>
        <w:t>Mangubhai</w:t>
      </w:r>
      <w:proofErr w:type="spellEnd"/>
      <w:r>
        <w:t xml:space="preserve"> &amp; Lawless, 2021). The evidence on gender-based violence adds a further consideration, since institutional arrangements are argued to be capable of reinforcing rather than merely failing to address harm, which implies that new institutions in new sectors require explicit assessment rather than presumption of neutrality (</w:t>
      </w:r>
      <w:proofErr w:type="spellStart"/>
      <w:r>
        <w:t>Mangubhai</w:t>
      </w:r>
      <w:proofErr w:type="spellEnd"/>
      <w:r>
        <w:t xml:space="preserve"> et al., 2023). Intersectional evidence indicates further that the effects of trade and market restructuring are distributed unevenly within as well as between gender groups, so that aggregate monitoring of outcomes for women will conceal the distribution that matters most (Ferguson, 2021).</w:t>
      </w:r>
    </w:p>
    <w:p w14:paraId="3F89AACB" w14:textId="77777777" w:rsidR="00EC6E73" w:rsidRDefault="00981893">
      <w:pPr>
        <w:pStyle w:val="Heading1"/>
        <w:spacing w:before="320" w:after="160"/>
      </w:pPr>
      <w:r>
        <w:rPr>
          <w:b/>
          <w:bCs/>
          <w:color w:val="000000"/>
          <w:sz w:val="26"/>
          <w:szCs w:val="26"/>
        </w:rPr>
        <w:t>9. Future Directions</w:t>
      </w:r>
    </w:p>
    <w:p w14:paraId="1F69FCCC" w14:textId="77777777" w:rsidR="00EC6E73" w:rsidRDefault="00981893">
      <w:pPr>
        <w:spacing w:after="120" w:line="360" w:lineRule="auto"/>
        <w:jc w:val="both"/>
      </w:pPr>
      <w:r>
        <w:t>The priorities set out here follow from the specific evidential weaknesses identified in this review rather than from general appeals for further research, and they are ordered by the extent to which addressing them would change what can currently be concluded.</w:t>
      </w:r>
    </w:p>
    <w:p w14:paraId="4013E9CA" w14:textId="77777777" w:rsidR="00EC6E73" w:rsidRDefault="00981893">
      <w:pPr>
        <w:spacing w:after="120" w:line="360" w:lineRule="auto"/>
        <w:jc w:val="both"/>
      </w:pPr>
      <w:r>
        <w:t xml:space="preserve">The first and most consequential immediate priority is longitudinal and comparative evaluation of interventions. The unresolved problem is that no intervention category in fisheries and aquaculture has effectiveness evidence sufficient to support confident claims about durable change in women's control over income and decisions. Current evidence is inadequate because it is overwhelmingly cross-sectional, single-site and without comparison groups, and because outcome measurement typically stops at participation. The appropriate designs are prospective cohort studies with baseline measurement and matched comparison communities, or stepped-wedge implementation where phased rollout is operationally necessary, with follow-up of at </w:t>
      </w:r>
      <w:r>
        <w:lastRenderedPageBreak/>
        <w:t>least three to five years to capture the exit dynamics that six-year observation in Zanzibar revealed (Pike et al., 2024). Outcome measures should include control over income from the activity, decision-making authority over asset disposal, time allocation and retention in the activity, rather than enrolment. The populations requiring priority attention are those where interventions are being scaled most rapidly, notably aquaculture in South and Southeast Asia and seaweed and blue carbon initiatives in East Africa and the Pacific. Evidence of this kind would allow programming decisions currently made on plausibility to be made on demonstrated effect, and would identify interventions that improve measured indicators without altering underlying relations (Choudhury et al., 2025; Malhotra et al., 2024).</w:t>
      </w:r>
    </w:p>
    <w:p w14:paraId="56FCAF64" w14:textId="77777777" w:rsidR="00EC6E73" w:rsidRDefault="00981893">
      <w:pPr>
        <w:spacing w:after="120" w:line="360" w:lineRule="auto"/>
        <w:jc w:val="both"/>
      </w:pPr>
      <w:r>
        <w:t>The second immediate priority is harmonised gender-disaggregated data infrastructure. The unresolved problem is that participation estimates remain lower bounds of unknown magnitude, which prevents both trend detection and cross-national comparison. Current evidence is inadequate because survey frames, occupational categories and recall periods systematically exclude the activities in which women concentrate (Kleiber et al., 2015; Smith &amp; Basurto, 2019). The required work is instrument development and validation rather than further documentation of the gap: household-level rather than household-head-level enumeration, multiple-occupation recording, activity-based rather than occupation-based classification, and survey frames matched to fishery structure using production typologies (</w:t>
      </w:r>
      <w:proofErr w:type="spellStart"/>
      <w:r>
        <w:t>Aguión</w:t>
      </w:r>
      <w:proofErr w:type="spellEnd"/>
      <w:r>
        <w:t xml:space="preserve"> et al., 2025). Institutional analysis has specified the cross-agency architecture required, drawing on data streams from statistical, health, nutrition and governance agencies as well as fisheries agencies (Harper et al., 2026), and demonstration that digital enumeration alters recorded visibility provides a tested component (Ahmed et al., 2025). Validation should be conducted against independent observation in a small number of well-characterised fisheries before national rollout, and the outcome measure is the difference between instrument-derived and observation-derived participation and catch estimates.</w:t>
      </w:r>
    </w:p>
    <w:p w14:paraId="36E17455" w14:textId="77777777" w:rsidR="00EC6E73" w:rsidRDefault="00981893">
      <w:pPr>
        <w:spacing w:after="120" w:line="360" w:lineRule="auto"/>
        <w:jc w:val="both"/>
      </w:pPr>
      <w:r>
        <w:t xml:space="preserve">The third immediate priority is the extension of empowerment measurement from diagnosis to evaluation. The sector now has a validated index adapted from agricultural measurement and applied in aquaculture settings, but it has been used to characterise states rather than to detect change (Adam et al., 2025; Malapit et al., 2019; Njogu et al., 2024). The required work is repeated application with baseline and endline measurement in intervention and comparison populations, together with psychometric assessment of whether index domains function equivalently across the distinct contexts of capture fisheries, aquaculture and post-harvest trade. This matters because index domains developed for agricultural production may not </w:t>
      </w:r>
      <w:r>
        <w:lastRenderedPageBreak/>
        <w:t>capture the constructs most relevant to mobile trading livelihoods. Assessment of measurement innovation in agriculture provides both the methodological precedent and the cautionary evidence on the divergence between index improvement and relational change (Quisumbing et al., 2023).</w:t>
      </w:r>
    </w:p>
    <w:p w14:paraId="0238B507" w14:textId="77777777" w:rsidR="00EC6E73" w:rsidRDefault="00981893">
      <w:pPr>
        <w:spacing w:after="120" w:line="360" w:lineRule="auto"/>
        <w:jc w:val="both"/>
      </w:pPr>
      <w:r>
        <w:t>A fourth priority, extending over a longer horizon, is causal analysis of institutional and normative mechanisms. The unresolved problem is that norms and institutions are consistently identified as binding constraints while the pathways through which they operate remain inferred from cross-sectional accounts. The Fijian finding that demonstrated benefit, superior relevant knowledge and broad stated support coexist with negligible participation identifies the puzzle precisely and suggests that procedural rules rather than attitudes are the operative constraint (Ferguson Irlanda et al., 2025). Appropriate designs include natural experiments arising from governance reform, comparative institutional analysis across jurisdictions with differing procedural rules, and longitudinal ethnography tracking norm change alongside institutional change. Evidence on the plurality of masculinities within fishing communities indicates that community-level norm measures will be too coarse and that within-community variation should be measured directly (Salguero-Velázquez et al., 2022). Outcome measures should include the composition of decision-making bodies, the disposition of decisions in which women's and men's stated preferences diverge, and the durability of representation gains after external programme support ends.</w:t>
      </w:r>
    </w:p>
    <w:p w14:paraId="54858058" w14:textId="77777777" w:rsidR="00EC6E73" w:rsidRDefault="00981893">
      <w:pPr>
        <w:spacing w:after="120" w:line="360" w:lineRule="auto"/>
        <w:jc w:val="both"/>
      </w:pPr>
      <w:r>
        <w:t>A fifth longer-term priority is the correction of geographical and thematic concentration. The evidence base is dominated by a small number of settings and by capture fisheries, while inland fisheries, Latin America outside Brazil and Mexico, West and Central Africa, and the post-harvest segment of aquaculture chains remain thinly represented. Regional synthesis for East Africa and national analysis for Brazil demonstrate what becomes visible when a region receives sustained attention (</w:t>
      </w:r>
      <w:proofErr w:type="spellStart"/>
      <w:r>
        <w:t>Cavole</w:t>
      </w:r>
      <w:proofErr w:type="spellEnd"/>
      <w:r>
        <w:t xml:space="preserve"> et al., 2025; Ouko et al., 2026). Redressing concentration requires investment in research capacity within under-represented regions rather than extension of existing research programmes into them, and the persistence of gender bias within marine science itself indicates that the composition of the research community is part of the problem to be addressed (</w:t>
      </w:r>
      <w:proofErr w:type="spellStart"/>
      <w:r>
        <w:t>Giakoumi</w:t>
      </w:r>
      <w:proofErr w:type="spellEnd"/>
      <w:r>
        <w:t xml:space="preserve"> et al., 2021; King, 2023).</w:t>
      </w:r>
    </w:p>
    <w:p w14:paraId="20998FA8" w14:textId="77777777" w:rsidR="00EC6E73" w:rsidRDefault="00981893">
      <w:pPr>
        <w:spacing w:after="120" w:line="360" w:lineRule="auto"/>
        <w:jc w:val="both"/>
      </w:pPr>
      <w:r>
        <w:t xml:space="preserve">A sixth priority concerns the emerging arenas. Blue carbon and other blue economy initiatives are being designed and financed now, and the opportunity to build distributional assessment into them prospectively will not recur (Yadao-Evans et al., 2025). The specific requirement is that these initiatives incorporate baseline gender-disaggregated measurement of benefit </w:t>
      </w:r>
      <w:r>
        <w:lastRenderedPageBreak/>
        <w:t>distribution and of displaced activity at the design stage, with pre-registered outcome measures, so that their distributional effects can be evaluated rather than inferred after the fact. Prevalence estimation for gender-based violence in fisheries, using established survey methodologies adapted for sectoral settings and with appropriate ethical safeguards, is a further requirement, since current understanding rests on synthesis rather than measurement (</w:t>
      </w:r>
      <w:proofErr w:type="spellStart"/>
      <w:r>
        <w:t>Mangubhai</w:t>
      </w:r>
      <w:proofErr w:type="spellEnd"/>
      <w:r>
        <w:t xml:space="preserve"> et al., 2023). Agenda-setting work identifying equitable participation in governance, valuation of all actors' contributions, access to financial services, inclusive infrastructure, livelihood diversification and occupational health as priority topics is consistent with these directions, and the methodological considerations it identifies, including gender-disaggregated data collection, intersectional analysis and the operationalisation of equity, correspond closely to the requirements set out here (Hapke, 2025; Rice et al., 2024).</w:t>
      </w:r>
    </w:p>
    <w:p w14:paraId="3E28E8C9" w14:textId="77777777" w:rsidR="00EC6E73" w:rsidRDefault="00981893">
      <w:pPr>
        <w:spacing w:after="120" w:line="360" w:lineRule="auto"/>
        <w:jc w:val="both"/>
      </w:pPr>
      <w:r>
        <w:t>These priorities are compiled in Table 5. The ordering reflects the extent to which addressing each would alter current conclusions, and separates the three immediate priorities, which are tractable with existing methods and modest additional investment, from the three longer-term priorities, which require sustained programmes and institutional change. The immediate priorities share a common feature: each addresses a gap between what is measured and what is claimed, and none requires new theory.</w:t>
      </w:r>
    </w:p>
    <w:p w14:paraId="42774F2C" w14:textId="77777777" w:rsidR="00EC6E73" w:rsidRDefault="00981893">
      <w:pPr>
        <w:spacing w:after="120" w:line="360" w:lineRule="auto"/>
        <w:jc w:val="both"/>
      </w:pPr>
      <w:r>
        <w:t>Table 5 presents the research priorities derived above, pairing each with the unresolved problem it addresses, the design capable of resolving it and the outcome measures required for the results to be interpretable. Immediate priorities are those tractable with existing methods and modest additional investment; longer-term priorities require sustained programmes and institutional change.</w:t>
      </w:r>
    </w:p>
    <w:p w14:paraId="762510E4" w14:textId="77777777" w:rsidR="00EC6E73" w:rsidRDefault="00981893">
      <w:pPr>
        <w:spacing w:before="200" w:after="100"/>
      </w:pPr>
      <w:r>
        <w:rPr>
          <w:b/>
          <w:bCs/>
          <w:sz w:val="20"/>
          <w:szCs w:val="20"/>
        </w:rPr>
        <w:t>Table 5. Prioritised research directions, with unresolved problems, recommended designs and outcome measures</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
        <w:gridCol w:w="2141"/>
        <w:gridCol w:w="2141"/>
        <w:gridCol w:w="1822"/>
        <w:gridCol w:w="1459"/>
      </w:tblGrid>
      <w:tr w:rsidR="00EC6E73" w14:paraId="457147B6" w14:textId="77777777">
        <w:trPr>
          <w:tblHeader/>
        </w:trPr>
        <w:tc>
          <w:tcPr>
            <w:tcW w:w="1457"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705E6BB" w14:textId="77777777" w:rsidR="00EC6E73" w:rsidRDefault="00981893">
            <w:r>
              <w:rPr>
                <w:b/>
                <w:bCs/>
                <w:sz w:val="18"/>
                <w:szCs w:val="18"/>
              </w:rPr>
              <w:t>Priority and horizon</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087136A1" w14:textId="77777777" w:rsidR="00EC6E73" w:rsidRDefault="00981893">
            <w:r>
              <w:rPr>
                <w:b/>
                <w:bCs/>
                <w:sz w:val="18"/>
                <w:szCs w:val="18"/>
              </w:rPr>
              <w:t>Unresolved problem</w:t>
            </w:r>
          </w:p>
        </w:tc>
        <w:tc>
          <w:tcPr>
            <w:tcW w:w="2141"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7A4975C8" w14:textId="77777777" w:rsidR="00EC6E73" w:rsidRDefault="00981893">
            <w:r>
              <w:rPr>
                <w:b/>
                <w:bCs/>
                <w:sz w:val="18"/>
                <w:szCs w:val="18"/>
              </w:rPr>
              <w:t>Recommended design</w:t>
            </w:r>
          </w:p>
        </w:tc>
        <w:tc>
          <w:tcPr>
            <w:tcW w:w="1822"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6F387BCE" w14:textId="77777777" w:rsidR="00EC6E73" w:rsidRDefault="00981893">
            <w:r>
              <w:rPr>
                <w:b/>
                <w:bCs/>
                <w:sz w:val="18"/>
                <w:szCs w:val="18"/>
              </w:rPr>
              <w:t>Outcome measures</w:t>
            </w:r>
          </w:p>
        </w:tc>
        <w:tc>
          <w:tcPr>
            <w:tcW w:w="1459" w:type="dxa"/>
            <w:tcBorders>
              <w:top w:val="single" w:sz="4" w:space="0" w:color="666666"/>
              <w:left w:val="single" w:sz="4" w:space="0" w:color="666666"/>
              <w:bottom w:val="single" w:sz="4" w:space="0" w:color="666666"/>
              <w:right w:val="single" w:sz="4" w:space="0" w:color="666666"/>
            </w:tcBorders>
            <w:shd w:val="clear" w:color="auto" w:fill="E8E8E8"/>
            <w:tcMar>
              <w:top w:w="60" w:type="dxa"/>
              <w:left w:w="80" w:type="dxa"/>
              <w:bottom w:w="60" w:type="dxa"/>
              <w:right w:w="80" w:type="dxa"/>
            </w:tcMar>
          </w:tcPr>
          <w:p w14:paraId="64F27B4E" w14:textId="77777777" w:rsidR="00EC6E73" w:rsidRDefault="00981893">
            <w:r>
              <w:rPr>
                <w:b/>
                <w:bCs/>
                <w:sz w:val="18"/>
                <w:szCs w:val="18"/>
              </w:rPr>
              <w:t>Supporting references</w:t>
            </w:r>
          </w:p>
        </w:tc>
      </w:tr>
      <w:tr w:rsidR="00EC6E73" w14:paraId="4870CB9B"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5D8EBEF" w14:textId="77777777" w:rsidR="00EC6E73" w:rsidRDefault="00981893">
            <w:r>
              <w:rPr>
                <w:sz w:val="18"/>
                <w:szCs w:val="18"/>
              </w:rPr>
              <w:t>Intervention evaluation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DDFE8FF" w14:textId="77777777" w:rsidR="00EC6E73" w:rsidRDefault="00981893">
            <w:r>
              <w:rPr>
                <w:sz w:val="18"/>
                <w:szCs w:val="18"/>
              </w:rPr>
              <w:t>No intervention category has evidence sufficient for confident claims about durable change in control over income and decisions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1FA48D0" w14:textId="77777777" w:rsidR="00EC6E73" w:rsidRDefault="00981893">
            <w:r>
              <w:rPr>
                <w:sz w:val="18"/>
                <w:szCs w:val="18"/>
              </w:rPr>
              <w:t xml:space="preserve">Prospective cohort with baseline and matched comparison communities, or stepped-wedge rollout; </w:t>
            </w:r>
            <w:proofErr w:type="gramStart"/>
            <w:r>
              <w:rPr>
                <w:sz w:val="18"/>
                <w:szCs w:val="18"/>
              </w:rPr>
              <w:t>three to five year</w:t>
            </w:r>
            <w:proofErr w:type="gramEnd"/>
            <w:r>
              <w:rPr>
                <w:sz w:val="18"/>
                <w:szCs w:val="18"/>
              </w:rPr>
              <w:t xml:space="preserve"> follow-up</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9C84D05" w14:textId="77777777" w:rsidR="00EC6E73" w:rsidRDefault="00981893">
            <w:r>
              <w:rPr>
                <w:sz w:val="18"/>
                <w:szCs w:val="18"/>
              </w:rPr>
              <w:t>Control over activity income; authority over asset disposal; time allocation; retention in the activity</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43FA383" w14:textId="77777777" w:rsidR="00EC6E73" w:rsidRDefault="00981893">
            <w:r>
              <w:rPr>
                <w:sz w:val="18"/>
                <w:szCs w:val="18"/>
              </w:rPr>
              <w:t>Choudhury et al. (2025); Malhotra et al. (2024); Pike et al. (2024)</w:t>
            </w:r>
          </w:p>
        </w:tc>
      </w:tr>
      <w:tr w:rsidR="00EC6E73" w14:paraId="6CDCB5AE"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A3FCC42" w14:textId="77777777" w:rsidR="00EC6E73" w:rsidRDefault="00981893">
            <w:r>
              <w:rPr>
                <w:sz w:val="18"/>
                <w:szCs w:val="18"/>
              </w:rPr>
              <w:t>Gender-disaggregated data infrastructure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C8BB65F" w14:textId="77777777" w:rsidR="00EC6E73" w:rsidRDefault="00981893">
            <w:r>
              <w:rPr>
                <w:sz w:val="18"/>
                <w:szCs w:val="18"/>
              </w:rPr>
              <w:t>Participation estimates are lower bounds of unknown magnitude, preventing trend detection and comparison</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46E055C5" w14:textId="77777777" w:rsidR="00EC6E73" w:rsidRDefault="00981893">
            <w:r>
              <w:rPr>
                <w:sz w:val="18"/>
                <w:szCs w:val="18"/>
              </w:rPr>
              <w:t>Instrument development and validation against independent observation in well-characterised fisheries before national rollout</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74738C4" w14:textId="77777777" w:rsidR="00EC6E73" w:rsidRDefault="00981893">
            <w:r>
              <w:rPr>
                <w:sz w:val="18"/>
                <w:szCs w:val="18"/>
              </w:rPr>
              <w:t>Difference between instrument-derived and observation-derived participation and catch estimates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25974A4" w14:textId="77777777" w:rsidR="00EC6E73" w:rsidRDefault="00981893">
            <w:proofErr w:type="spellStart"/>
            <w:r>
              <w:rPr>
                <w:sz w:val="18"/>
                <w:szCs w:val="18"/>
              </w:rPr>
              <w:t>Aguión</w:t>
            </w:r>
            <w:proofErr w:type="spellEnd"/>
            <w:r>
              <w:rPr>
                <w:sz w:val="18"/>
                <w:szCs w:val="18"/>
              </w:rPr>
              <w:t xml:space="preserve"> et al. (2025); Ahmed et al. (2025); Harper et al. (2026); Kleiber et al. (2015); Smith &amp; Basurto (2019)</w:t>
            </w:r>
          </w:p>
        </w:tc>
      </w:tr>
      <w:tr w:rsidR="00EC6E73" w14:paraId="565D90BA"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A32C906" w14:textId="77777777" w:rsidR="00EC6E73" w:rsidRDefault="00981893">
            <w:r>
              <w:rPr>
                <w:sz w:val="18"/>
                <w:szCs w:val="18"/>
              </w:rPr>
              <w:t xml:space="preserve">Empowerment measurement for </w:t>
            </w:r>
            <w:r>
              <w:rPr>
                <w:sz w:val="18"/>
                <w:szCs w:val="18"/>
              </w:rPr>
              <w:lastRenderedPageBreak/>
              <w:t>evaluation (immediate)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956CBEA" w14:textId="77777777" w:rsidR="00EC6E73" w:rsidRDefault="00981893">
            <w:r>
              <w:rPr>
                <w:sz w:val="18"/>
                <w:szCs w:val="18"/>
              </w:rPr>
              <w:lastRenderedPageBreak/>
              <w:t xml:space="preserve">Validated indices are used cross-sectionally to </w:t>
            </w:r>
            <w:r>
              <w:rPr>
                <w:sz w:val="18"/>
                <w:szCs w:val="18"/>
              </w:rPr>
              <w:lastRenderedPageBreak/>
              <w:t>characterise states rather than to detect change</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1D99697" w14:textId="77777777" w:rsidR="00EC6E73" w:rsidRDefault="00981893">
            <w:r>
              <w:rPr>
                <w:sz w:val="18"/>
                <w:szCs w:val="18"/>
              </w:rPr>
              <w:lastRenderedPageBreak/>
              <w:t xml:space="preserve">Repeated index application with baseline and endline </w:t>
            </w:r>
            <w:r>
              <w:rPr>
                <w:sz w:val="18"/>
                <w:szCs w:val="18"/>
              </w:rPr>
              <w:lastRenderedPageBreak/>
              <w:t>in intervention and comparison populations; psychometric assessment across sub-sectors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372FCBE" w14:textId="77777777" w:rsidR="00EC6E73" w:rsidRDefault="00981893">
            <w:r>
              <w:rPr>
                <w:sz w:val="18"/>
                <w:szCs w:val="18"/>
              </w:rPr>
              <w:lastRenderedPageBreak/>
              <w:t xml:space="preserve">Domain-level change scores; measurement </w:t>
            </w:r>
            <w:r>
              <w:rPr>
                <w:sz w:val="18"/>
                <w:szCs w:val="18"/>
              </w:rPr>
              <w:lastRenderedPageBreak/>
              <w:t>invariance across capture, aquaculture and trade contexts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D56CF5B" w14:textId="77777777" w:rsidR="00EC6E73" w:rsidRDefault="00981893">
            <w:r>
              <w:rPr>
                <w:sz w:val="18"/>
                <w:szCs w:val="18"/>
              </w:rPr>
              <w:lastRenderedPageBreak/>
              <w:t xml:space="preserve">Adam et al. (2025); Malapit </w:t>
            </w:r>
            <w:r>
              <w:rPr>
                <w:sz w:val="18"/>
                <w:szCs w:val="18"/>
              </w:rPr>
              <w:lastRenderedPageBreak/>
              <w:t>et al. (2019); Njogu et al. (2024); Quisumbing et al. (2023)</w:t>
            </w:r>
          </w:p>
        </w:tc>
      </w:tr>
      <w:tr w:rsidR="00EC6E73" w14:paraId="62A9D573"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E861206" w14:textId="77777777" w:rsidR="00EC6E73" w:rsidRDefault="00981893">
            <w:r>
              <w:rPr>
                <w:sz w:val="18"/>
                <w:szCs w:val="18"/>
              </w:rPr>
              <w:lastRenderedPageBreak/>
              <w:t>Causal analysis of institutional and normative mechanisms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86E63F1" w14:textId="77777777" w:rsidR="00EC6E73" w:rsidRDefault="00981893">
            <w:r>
              <w:rPr>
                <w:sz w:val="18"/>
                <w:szCs w:val="18"/>
              </w:rPr>
              <w:t>Norms and institutions are identified as binding constraints but their pathways remain inferred from cross-sectional accounts</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DFD06BE" w14:textId="77777777" w:rsidR="00EC6E73" w:rsidRDefault="00981893">
            <w:r>
              <w:rPr>
                <w:sz w:val="18"/>
                <w:szCs w:val="18"/>
              </w:rPr>
              <w:t>Natural experiments from governance reform; comparative institutional analysis across procedural regimes; longitudinal ethnography</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EF879F9" w14:textId="77777777" w:rsidR="00EC6E73" w:rsidRDefault="00981893">
            <w:r>
              <w:rPr>
                <w:sz w:val="18"/>
                <w:szCs w:val="18"/>
              </w:rPr>
              <w:t>Composition of decision-making bodies; disposition of decisions where stated preferences diverge; durability of representation after programme exit</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D6BFBDA" w14:textId="77777777" w:rsidR="00EC6E73" w:rsidRDefault="00981893">
            <w:r>
              <w:rPr>
                <w:sz w:val="18"/>
                <w:szCs w:val="18"/>
              </w:rPr>
              <w:t>Ferguson Irlanda et al. (2025); Salguero-Velázquez et al. (2022)</w:t>
            </w:r>
          </w:p>
        </w:tc>
      </w:tr>
      <w:tr w:rsidR="00EC6E73" w14:paraId="1BE6F4EC"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86E9557" w14:textId="77777777" w:rsidR="00EC6E73" w:rsidRDefault="00981893">
            <w:r>
              <w:rPr>
                <w:sz w:val="18"/>
                <w:szCs w:val="18"/>
              </w:rPr>
              <w:t>Correction of geographical and thematic concentration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3563E80C" w14:textId="77777777" w:rsidR="00EC6E73" w:rsidRDefault="00981893">
            <w:r>
              <w:rPr>
                <w:sz w:val="18"/>
                <w:szCs w:val="18"/>
              </w:rPr>
              <w:t>Evidence is dominated by a few settings and by capture fisheries; inland fisheries and several regions are thinly represented</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4C9EC19" w14:textId="77777777" w:rsidR="00EC6E73" w:rsidRDefault="00981893">
            <w:r>
              <w:rPr>
                <w:sz w:val="18"/>
                <w:szCs w:val="18"/>
              </w:rPr>
              <w:t>Investment in research capacity within under-represented regions rather than extension of existing programmes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61736FD2" w14:textId="77777777" w:rsidR="00EC6E73" w:rsidRDefault="00981893">
            <w:r>
              <w:rPr>
                <w:sz w:val="18"/>
                <w:szCs w:val="18"/>
              </w:rPr>
              <w:t>Regional coverage of gender-disaggregated evidence; representation within the producing research community</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495A4FB" w14:textId="77777777" w:rsidR="00EC6E73" w:rsidRDefault="00981893">
            <w:proofErr w:type="spellStart"/>
            <w:r>
              <w:rPr>
                <w:sz w:val="18"/>
                <w:szCs w:val="18"/>
              </w:rPr>
              <w:t>Cavole</w:t>
            </w:r>
            <w:proofErr w:type="spellEnd"/>
            <w:r>
              <w:rPr>
                <w:sz w:val="18"/>
                <w:szCs w:val="18"/>
              </w:rPr>
              <w:t xml:space="preserve"> et al. (2025); </w:t>
            </w:r>
            <w:proofErr w:type="spellStart"/>
            <w:r>
              <w:rPr>
                <w:sz w:val="18"/>
                <w:szCs w:val="18"/>
              </w:rPr>
              <w:t>Giakoumi</w:t>
            </w:r>
            <w:proofErr w:type="spellEnd"/>
            <w:r>
              <w:rPr>
                <w:sz w:val="18"/>
                <w:szCs w:val="18"/>
              </w:rPr>
              <w:t xml:space="preserve"> et al. (2021); King (2023); Ouko et al. (2026)</w:t>
            </w:r>
          </w:p>
        </w:tc>
      </w:tr>
      <w:tr w:rsidR="00EC6E73" w14:paraId="4B8C8E44" w14:textId="77777777">
        <w:tc>
          <w:tcPr>
            <w:tcW w:w="1457"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064EBD02" w14:textId="77777777" w:rsidR="00EC6E73" w:rsidRDefault="00981893">
            <w:r>
              <w:rPr>
                <w:sz w:val="18"/>
                <w:szCs w:val="18"/>
              </w:rPr>
              <w:t>Prospective assessment of emerging arenas (longer term)</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15B59CD8" w14:textId="77777777" w:rsidR="00EC6E73" w:rsidRDefault="00981893">
            <w:r>
              <w:rPr>
                <w:sz w:val="18"/>
                <w:szCs w:val="18"/>
              </w:rPr>
              <w:t>Blue economy and climate initiatives are being designed now without distributional assessment built in; violence prevalence is unmeasured</w:t>
            </w:r>
          </w:p>
        </w:tc>
        <w:tc>
          <w:tcPr>
            <w:tcW w:w="2141"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34EB6E6" w14:textId="77777777" w:rsidR="00EC6E73" w:rsidRDefault="00981893">
            <w:r>
              <w:rPr>
                <w:sz w:val="18"/>
                <w:szCs w:val="18"/>
              </w:rPr>
              <w:t>Baseline gender-disaggregated benefit and displacement measurement with pre-registered outcomes; adapted prevalence surveys with ethical safeguards</w:t>
            </w:r>
          </w:p>
        </w:tc>
        <w:tc>
          <w:tcPr>
            <w:tcW w:w="1822"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DCB8ABE" w14:textId="77777777" w:rsidR="00EC6E73" w:rsidRDefault="00981893">
            <w:r>
              <w:rPr>
                <w:sz w:val="18"/>
                <w:szCs w:val="18"/>
              </w:rPr>
              <w:t>Distribution of initiative benefits and displaced activity; prevalence estimates for defined violence categories</w:t>
            </w:r>
          </w:p>
        </w:tc>
        <w:tc>
          <w:tcPr>
            <w:tcW w:w="1459"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4967828" w14:textId="77777777" w:rsidR="00EC6E73" w:rsidRDefault="00981893">
            <w:r>
              <w:rPr>
                <w:sz w:val="18"/>
                <w:szCs w:val="18"/>
              </w:rPr>
              <w:t xml:space="preserve">Hapke (2025); </w:t>
            </w:r>
            <w:proofErr w:type="spellStart"/>
            <w:r>
              <w:rPr>
                <w:sz w:val="18"/>
                <w:szCs w:val="18"/>
              </w:rPr>
              <w:t>Mangubhai</w:t>
            </w:r>
            <w:proofErr w:type="spellEnd"/>
            <w:r>
              <w:rPr>
                <w:sz w:val="18"/>
                <w:szCs w:val="18"/>
              </w:rPr>
              <w:t xml:space="preserve"> et al. (2023); Rice et al. (2024); Yadao-Evans et al. (2025)</w:t>
            </w:r>
          </w:p>
        </w:tc>
      </w:tr>
    </w:tbl>
    <w:p w14:paraId="6A3AAABB" w14:textId="77777777" w:rsidR="00EC6E73" w:rsidRDefault="00981893">
      <w:pPr>
        <w:spacing w:before="100" w:after="260"/>
      </w:pPr>
      <w:r>
        <w:rPr>
          <w:i/>
          <w:iCs/>
          <w:sz w:val="18"/>
          <w:szCs w:val="18"/>
        </w:rPr>
        <w:t>Note. Priorities are ordered by the extent to which addressing them would alter conclusions that can currently be drawn, not by cost or by ease of implementation.</w:t>
      </w:r>
    </w:p>
    <w:p w14:paraId="67B4B494" w14:textId="77777777" w:rsidR="00EC6E73" w:rsidRDefault="00981893">
      <w:pPr>
        <w:pStyle w:val="Heading1"/>
        <w:spacing w:before="320" w:after="160"/>
      </w:pPr>
      <w:r>
        <w:rPr>
          <w:b/>
          <w:bCs/>
          <w:color w:val="000000"/>
          <w:sz w:val="26"/>
          <w:szCs w:val="26"/>
        </w:rPr>
        <w:t>10. Conclusions</w:t>
      </w:r>
    </w:p>
    <w:p w14:paraId="1A807A25" w14:textId="77777777" w:rsidR="00EC6E73" w:rsidRDefault="00981893">
      <w:pPr>
        <w:spacing w:after="120" w:line="360" w:lineRule="auto"/>
        <w:jc w:val="both"/>
      </w:pPr>
      <w:r>
        <w:t>This review set out to compare the conceptualisations of empowerment in use in fisheries and aquaculture, to appraise the descriptive evidence on women's roles, to synthesise the evidence on structural constraint, to evaluate the evidence on governance reform and interventions, and to derive prioritised research directions. The conclusions differ considerably in the confidence they warrant, and stating that variation is as important as stating the conclusions themselves.</w:t>
      </w:r>
    </w:p>
    <w:p w14:paraId="4DDA91E4" w14:textId="77777777" w:rsidR="00EC6E73" w:rsidRDefault="00981893">
      <w:pPr>
        <w:spacing w:after="120" w:line="360" w:lineRule="auto"/>
        <w:jc w:val="both"/>
      </w:pPr>
      <w:r>
        <w:t>The descriptive conclusions are secure. Women participate across every node of fisheries and aquaculture value chains, their participation is patterned rather than random, and it is systematically undercounted by standard enumeration methods. The direction of measurement error is predictable because its mechanisms are identifiable properties of survey frames, occupational categories and definitional choices, which means that published participation figures should be read as lower bounds. Confidence in these propositions is high because they are supported by convergent findings from heterogeneous designs in independent settings.</w:t>
      </w:r>
    </w:p>
    <w:p w14:paraId="551BB75C" w14:textId="77777777" w:rsidR="00EC6E73" w:rsidRDefault="00981893">
      <w:pPr>
        <w:spacing w:after="120" w:line="360" w:lineRule="auto"/>
        <w:jc w:val="both"/>
      </w:pPr>
      <w:r>
        <w:t xml:space="preserve">The structural conclusions are largely secure in one domain and provisional in the others. Evidence from index-based measurement, household surveys and qualitative fieldwork across </w:t>
      </w:r>
      <w:r>
        <w:lastRenderedPageBreak/>
        <w:t>South Asia and East Africa converges on the finding that the binding constraints concern control over income, assets and financial services rather than access to participation. This is the most robust structural finding available. The evidence that gender norms, masculinities and mobility constraints matter is strong in the sense that it is consistent across many settings, but the specific pathways remain inferred rather than demonstrated, and the plurality of masculinities within single communities indicates that community-level generalisations will be too coarse. The evidence on gender-based violence establishes that the phenomenon is present and that institutional arrangements may reinforce it, without supporting any estimate of its extent. Intersectional evidence establishes that within-group heterogeneity is large enough to make aggregate outcomes for women a misleading basis for programme assessment.</w:t>
      </w:r>
    </w:p>
    <w:p w14:paraId="235634F7" w14:textId="77777777" w:rsidR="00EC6E73" w:rsidRDefault="00981893">
      <w:pPr>
        <w:spacing w:after="120" w:line="360" w:lineRule="auto"/>
        <w:jc w:val="both"/>
      </w:pPr>
      <w:r>
        <w:t>The governance conclusions are moderately secure and consistent in direction. Commitment to gender equality attenuates systematically as it moves from international instrument to sectoral implementation, and the attenuation takes a recognisable form in which transformative language is retained while the operational content reduces to reaching women. The finding that most gender-inclusive approaches in practitioner use are designed only to reach women, rather than to benefit, empower or transform, is the clearest available expression of this. Co-management does not resolve the problem and its distributional consequences depend on design, with delegated and cooperative arrangements performing better than consultative ones. The Fijian evidence that demonstrated benefit, superior relevant knowledge and broad community support coexist with negligible participation locates the operative constraint in institutional procedure rather than in attitude or capability, and this is the single most useful governance finding for practical purposes.</w:t>
      </w:r>
    </w:p>
    <w:p w14:paraId="3D3ABAD4" w14:textId="77777777" w:rsidR="00EC6E73" w:rsidRDefault="00981893">
      <w:pPr>
        <w:spacing w:after="120" w:line="360" w:lineRule="auto"/>
        <w:jc w:val="both"/>
      </w:pPr>
      <w:r>
        <w:t>The conclusions concerning intervention effectiveness are weak, and this is the most consequential finding of the review. No intervention category in fisheries and aquaculture currently has effectiveness evidence sufficient to support confident claims about durable improvement in women's control over income and decisions. The evidence is dominated by cross-sectional, single-site studies without comparison groups, with outcome measurement typically stopping at participation. Where longer observation has been available it has qualified rather than confirmed initial optimism, and a livelihood initiative widely promoted as an empowerment success was found on six-year assessment to combine income stability with high poverty incidence and eventual exit by the women it was intended to serve. This is not evidence that interventions are ineffective. It is evidence that the field does not presently know, and the distinction is important because the two conclusions imply different responses.</w:t>
      </w:r>
    </w:p>
    <w:p w14:paraId="111E1B5A" w14:textId="77777777" w:rsidR="00EC6E73" w:rsidRDefault="00981893">
      <w:pPr>
        <w:spacing w:after="120" w:line="360" w:lineRule="auto"/>
        <w:jc w:val="both"/>
      </w:pPr>
      <w:r>
        <w:lastRenderedPageBreak/>
        <w:t>Taken together, these findings support a reorientation of both research and practice. Recognition has largely been achieved as an intellectual matter and remains incomplete as a statistical one; the constraint on progress has shifted from establishing that women work in fisheries to establishing what changes the terms on which they do so. Participation-based monitoring, which served the recognition phase well, is now actively misleading, because it registers success in precisely the cases where distributional outcomes may be unchanged or adverse. The broader significance of this synthesis lies in that shift. A field that has spent two decades demonstrating that women are present now requires the evaluative infrastructure to determine what makes their presence consequential, and the absence of that infrastructure, rather than any absence of commitment or evidence of women's contribution, is the principal obstacle to equitable outcomes in the sector.</w:t>
      </w:r>
    </w:p>
    <w:p w14:paraId="4B0C1859" w14:textId="77777777" w:rsidR="00EC6E73" w:rsidRDefault="00981893">
      <w:pPr>
        <w:pStyle w:val="Heading1"/>
        <w:spacing w:before="320" w:after="160"/>
      </w:pPr>
      <w:r>
        <w:rPr>
          <w:b/>
          <w:bCs/>
          <w:color w:val="000000"/>
          <w:sz w:val="26"/>
          <w:szCs w:val="26"/>
        </w:rPr>
        <w:t>11. Limitations</w:t>
      </w:r>
    </w:p>
    <w:p w14:paraId="2A0EE134" w14:textId="77777777" w:rsidR="00EC6E73" w:rsidRDefault="00981893">
      <w:pPr>
        <w:spacing w:after="120" w:line="360" w:lineRule="auto"/>
        <w:jc w:val="both"/>
      </w:pPr>
      <w:r>
        <w:t>This review is a narrative synthesis and carries the limitations intrinsic to that design. Although the search strategy, eligibility criteria and appraisal approach were stated in advance and applied consistently, study selection and interpretation involved judgement that was not independently duplicated, and selection and interpretive bias cannot be excluded. Studies aligning with the conceptual framing developed during synthesis may have been retained more readily than those that did not, and the ordering of themes reflects analytical choices that another reviewer might reasonably have made differently.</w:t>
      </w:r>
    </w:p>
    <w:p w14:paraId="17E25DB0" w14:textId="77777777" w:rsidR="00EC6E73" w:rsidRDefault="00981893">
      <w:pPr>
        <w:spacing w:after="120" w:line="360" w:lineRule="auto"/>
        <w:jc w:val="both"/>
      </w:pPr>
      <w:r>
        <w:t>Access to subscription bibliographic resources was not available. Web of Science Core Collection, Scopus, Aquatic Sciences and Fisheries Abstracts and CAB Abstracts were not searched, and the last two in particular provide coverage of fisheries and agricultural literature that the accessible platforms only partially replicate. Grey literature held in institutional repositories other than that of the Food and Agriculture Organization of the United Nations was not systematically searched, which is a material restriction in a field where a substantial proportion of programme evaluation is reported outside peer-reviewed channels. The evidence base examined here is therefore likely to under-represent negative and null findings, and the assessment of intervention effectiveness should be read with that asymmetry in mind.</w:t>
      </w:r>
    </w:p>
    <w:p w14:paraId="6230DB96" w14:textId="77777777" w:rsidR="00EC6E73" w:rsidRDefault="00981893">
      <w:pPr>
        <w:spacing w:after="120" w:line="360" w:lineRule="auto"/>
        <w:jc w:val="both"/>
      </w:pPr>
      <w:r>
        <w:t xml:space="preserve">Only English-language publications were assessed. Substantial literatures exist in Portuguese, Spanish, French, Bahasa Indonesia and other languages covering regions central to the topic, and their exclusion is likely to have reduced the representation of Latin American, Francophone West African and Southeast Asian evidence in particular. This restriction compounds an </w:t>
      </w:r>
      <w:r>
        <w:lastRenderedPageBreak/>
        <w:t>existing geographical concentration in the accessible literature, which is dominated by evidence from Bangladesh, Zanzibar, the Pacific Islands, the Kenyan coast and Brazil, with many major fishing nations represented by single studies or none.</w:t>
      </w:r>
    </w:p>
    <w:p w14:paraId="0765019B" w14:textId="77777777" w:rsidR="00EC6E73" w:rsidRDefault="00981893">
      <w:pPr>
        <w:spacing w:after="120" w:line="360" w:lineRule="auto"/>
        <w:jc w:val="both"/>
      </w:pPr>
      <w:r>
        <w:t>The included evidence is heterogeneous in design, setting and outcome construct to a degree that precluded quantitative synthesis. Empowerment, agency, participation and decision-making authority are operationalised inconsistently across studies, so apparently comparable findings may not be comparable, and no pooled estimate of any effect could responsibly be produced. Much of the evidence is observational and cross-sectional, which limits causal inference throughout, and the small number of longitudinal studies means that persistence of any documented change is largely unknown. Comparability across studies is further limited by differences in sampling frames and in the definition of what constitutes participation in a fishery.</w:t>
      </w:r>
    </w:p>
    <w:p w14:paraId="48FB514E" w14:textId="2E6FCCB8" w:rsidR="00EC6E73" w:rsidRDefault="00981893">
      <w:pPr>
        <w:spacing w:after="120" w:line="360" w:lineRule="auto"/>
        <w:jc w:val="both"/>
      </w:pPr>
      <w:r>
        <w:t>Publication bias is a plausible concern in the intervention literature, where evaluations conducted by or for implementing organisations may be more likely to report and publish favourable outcomes. No formal assessment of this bias was possible given the small number of comparable studies. The field is also developing rapidly, particularly in the areas of empowerment measurement, blue economy governance and digital data systems, and conclusions drawn from evidence available to the stated search end date may be superseded. No formal risk-of-bias instrument was applied, since no recognised tool accommodates the range of designs represented and reporting quality in many included studies would not support one; appraisal was therefore structured and documented but not scored.</w:t>
      </w:r>
    </w:p>
    <w:p w14:paraId="02333D26" w14:textId="77777777" w:rsidR="00981893" w:rsidRPr="000839CE" w:rsidRDefault="00981893" w:rsidP="00981893">
      <w:pPr>
        <w:rPr>
          <w:b/>
        </w:rPr>
      </w:pPr>
      <w:bookmarkStart w:id="0" w:name="_Hlk234486585"/>
      <w:bookmarkStart w:id="1" w:name="_Hlk234075571"/>
      <w:bookmarkStart w:id="2" w:name="_Hlk232755622"/>
      <w:bookmarkStart w:id="3" w:name="_Hlk234084549"/>
      <w:r w:rsidRPr="000839CE">
        <w:rPr>
          <w:b/>
        </w:rPr>
        <w:t>Declaration of AI Use</w:t>
      </w:r>
    </w:p>
    <w:p w14:paraId="02BD946E" w14:textId="77777777" w:rsidR="00981893" w:rsidRPr="000839CE" w:rsidRDefault="00981893" w:rsidP="00981893">
      <w:bookmarkStart w:id="4" w:name="_Hlk234486575"/>
      <w:bookmarkEnd w:id="0"/>
    </w:p>
    <w:p w14:paraId="3DF3E73A" w14:textId="77777777" w:rsidR="00981893" w:rsidRPr="000839CE" w:rsidRDefault="00981893" w:rsidP="00981893">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t>.</w:t>
      </w:r>
    </w:p>
    <w:bookmarkEnd w:id="2"/>
    <w:bookmarkEnd w:id="4"/>
    <w:p w14:paraId="50FA6D70" w14:textId="77777777" w:rsidR="00981893" w:rsidRDefault="00981893" w:rsidP="00981893">
      <w:pPr>
        <w:shd w:val="clear" w:color="auto" w:fill="FFFFFF"/>
        <w:rPr>
          <w:rFonts w:ascii="Arial" w:hAnsi="Arial" w:cs="Arial"/>
          <w:color w:val="222222"/>
          <w:lang w:val="en-IN" w:eastAsia="en-IN"/>
        </w:rPr>
      </w:pPr>
    </w:p>
    <w:bookmarkEnd w:id="3"/>
    <w:p w14:paraId="120D8A2F" w14:textId="77777777" w:rsidR="00981893" w:rsidRDefault="00981893">
      <w:pPr>
        <w:spacing w:after="120" w:line="360" w:lineRule="auto"/>
        <w:jc w:val="both"/>
      </w:pPr>
    </w:p>
    <w:p w14:paraId="6C6AE770" w14:textId="77777777" w:rsidR="00EC6E73" w:rsidRDefault="00981893">
      <w:pPr>
        <w:pStyle w:val="Heading1"/>
        <w:spacing w:before="320" w:after="160"/>
      </w:pPr>
      <w:r>
        <w:rPr>
          <w:b/>
          <w:bCs/>
          <w:color w:val="000000"/>
          <w:sz w:val="26"/>
          <w:szCs w:val="26"/>
        </w:rPr>
        <w:t>References</w:t>
      </w:r>
    </w:p>
    <w:p w14:paraId="5C3DA62D" w14:textId="77777777" w:rsidR="00EC6E73" w:rsidRDefault="00981893">
      <w:pPr>
        <w:spacing w:after="140" w:line="300" w:lineRule="auto"/>
        <w:ind w:left="720" w:hanging="720"/>
      </w:pPr>
      <w:r>
        <w:t xml:space="preserve">Adam, R., Lam, R. D., Lozano Lazo, D. P., McDougall, C., Rajaratnam, S., Ouko, K., </w:t>
      </w:r>
      <w:proofErr w:type="spellStart"/>
      <w:r>
        <w:t>Pasani</w:t>
      </w:r>
      <w:proofErr w:type="spellEnd"/>
      <w:r>
        <w:t xml:space="preserve">, C., Forsythe, L., &amp; </w:t>
      </w:r>
      <w:proofErr w:type="spellStart"/>
      <w:r>
        <w:t>Rossignoli</w:t>
      </w:r>
      <w:proofErr w:type="spellEnd"/>
      <w:r>
        <w:t xml:space="preserve">, C. M. (2024). Using a sustainable food systems </w:t>
      </w:r>
      <w:r>
        <w:lastRenderedPageBreak/>
        <w:t xml:space="preserve">framework to examine gender equality and women's empowerment in aquatic food systems. </w:t>
      </w:r>
      <w:r>
        <w:rPr>
          <w:i/>
          <w:iCs/>
        </w:rPr>
        <w:t>Frontiers in Sustainable Food Systems, 8</w:t>
      </w:r>
      <w:r>
        <w:t>, Article 1327798. https://doi.org/10.3389/fsufs.2024.1327798</w:t>
      </w:r>
    </w:p>
    <w:p w14:paraId="441CFB2B" w14:textId="77777777" w:rsidR="00EC6E73" w:rsidRDefault="00981893">
      <w:pPr>
        <w:spacing w:after="140" w:line="300" w:lineRule="auto"/>
        <w:ind w:left="720" w:hanging="720"/>
      </w:pPr>
      <w:r>
        <w:t xml:space="preserve">Adam, R. I., Rajaratnam, S., Sufian, F. D., &amp; Njogu, L. (2025). Measuring women's empowerment in aquaculture in northwestern Bangladesh using a project level women's empowerment in fisheries index (pro-WEFI). </w:t>
      </w:r>
      <w:r>
        <w:rPr>
          <w:i/>
          <w:iCs/>
        </w:rPr>
        <w:t>PLOS ONE, 20</w:t>
      </w:r>
      <w:r>
        <w:t>(1), Article e0314284. https://doi.org/10.1371/journal.pone.0314284</w:t>
      </w:r>
    </w:p>
    <w:p w14:paraId="26DC6CE6" w14:textId="77777777" w:rsidR="00EC6E73" w:rsidRDefault="00981893">
      <w:pPr>
        <w:spacing w:after="140" w:line="300" w:lineRule="auto"/>
        <w:ind w:left="720" w:hanging="720"/>
      </w:pPr>
      <w:r>
        <w:t xml:space="preserve">Adjei, M., &amp; Chan, A. H. N. (2023). What women do, believe in, and financially contribute—What matters more in couples' decision making? Gender inequality in Ghana's small-scale fisheries. </w:t>
      </w:r>
      <w:r>
        <w:rPr>
          <w:i/>
          <w:iCs/>
        </w:rPr>
        <w:t>Rural Sociology, 88</w:t>
      </w:r>
      <w:r>
        <w:t>(1), 220–251. https://doi.org/10.1111/ruso.12474</w:t>
      </w:r>
    </w:p>
    <w:p w14:paraId="714A89F2" w14:textId="77777777" w:rsidR="00EC6E73" w:rsidRDefault="00981893">
      <w:pPr>
        <w:spacing w:after="140" w:line="300" w:lineRule="auto"/>
        <w:ind w:left="720" w:hanging="720"/>
      </w:pPr>
      <w:proofErr w:type="spellStart"/>
      <w:r>
        <w:t>Aguión</w:t>
      </w:r>
      <w:proofErr w:type="spellEnd"/>
      <w:r>
        <w:t xml:space="preserve">, A., Basurto, X., </w:t>
      </w:r>
      <w:proofErr w:type="spellStart"/>
      <w:r>
        <w:t>Funge</w:t>
      </w:r>
      <w:proofErr w:type="spellEnd"/>
      <w:r>
        <w:t xml:space="preserve">-Smith, S., Gorelli, G., Iversen, E., Mancha-Cisneros, M. del M., &amp; Gutierrez, N. L. (2025). Five archetypes of small-scale fisheries reveal a continuum of production strategies to guide governance and policymaking. </w:t>
      </w:r>
      <w:r>
        <w:rPr>
          <w:i/>
          <w:iCs/>
        </w:rPr>
        <w:t>Nature Food, 6</w:t>
      </w:r>
      <w:r>
        <w:t>(11), 1020–1031. https://doi.org/10.1038/s43016-025-01237-5</w:t>
      </w:r>
    </w:p>
    <w:p w14:paraId="539AF350" w14:textId="77777777" w:rsidR="00EC6E73" w:rsidRDefault="00981893">
      <w:pPr>
        <w:spacing w:after="140" w:line="300" w:lineRule="auto"/>
        <w:ind w:left="720" w:hanging="720"/>
      </w:pPr>
      <w:r>
        <w:t xml:space="preserve">Ahmed, T., </w:t>
      </w:r>
      <w:proofErr w:type="spellStart"/>
      <w:r>
        <w:t>Précoma</w:t>
      </w:r>
      <w:proofErr w:type="spellEnd"/>
      <w:r>
        <w:t xml:space="preserve">-de La Mora, M., </w:t>
      </w:r>
      <w:proofErr w:type="spellStart"/>
      <w:r>
        <w:t>Pellowe</w:t>
      </w:r>
      <w:proofErr w:type="spellEnd"/>
      <w:r>
        <w:t xml:space="preserve">, K., &amp; Lindkvist, E. (2025). Mobile apps increase the visibility of women's work contributions in Mexican small-scale fisheries. </w:t>
      </w:r>
      <w:r>
        <w:rPr>
          <w:i/>
          <w:iCs/>
        </w:rPr>
        <w:t>Ecology and Society, 30</w:t>
      </w:r>
      <w:r>
        <w:t>(4), Article 16. https://doi.org/10.5751/ES-16531-300416</w:t>
      </w:r>
    </w:p>
    <w:p w14:paraId="7A751B33" w14:textId="77777777" w:rsidR="00EC6E73" w:rsidRDefault="00981893">
      <w:pPr>
        <w:spacing w:after="140" w:line="300" w:lineRule="auto"/>
        <w:ind w:left="720" w:hanging="720"/>
      </w:pPr>
      <w:r>
        <w:t xml:space="preserve">Arora-Jonsson, S. (2011). Virtue and vulnerability: Discourses on women, gender and climate change. </w:t>
      </w:r>
      <w:r>
        <w:rPr>
          <w:i/>
          <w:iCs/>
        </w:rPr>
        <w:t>Global Environmental Change, 21</w:t>
      </w:r>
      <w:r>
        <w:t>(2), 744–751. https://doi.org/10.1016/j.gloenvcha.2011.01.005</w:t>
      </w:r>
    </w:p>
    <w:p w14:paraId="79A17D3E" w14:textId="77777777" w:rsidR="00EC6E73" w:rsidRDefault="00981893">
      <w:pPr>
        <w:spacing w:after="140" w:line="30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 4</w:t>
      </w:r>
      <w:r>
        <w:t>(1), Article 5. https://doi.org/10.1186/s41073-019-0064-8</w:t>
      </w:r>
    </w:p>
    <w:p w14:paraId="434EAE55" w14:textId="77777777" w:rsidR="00EC6E73" w:rsidRDefault="00981893">
      <w:pPr>
        <w:spacing w:after="140" w:line="300" w:lineRule="auto"/>
        <w:ind w:left="720" w:hanging="720"/>
      </w:pPr>
      <w:r>
        <w:t xml:space="preserve">Basurto, X., Gutierrez, N. L., Franz, N., Mancha-Cisneros, M. del M., Gorelli, G., </w:t>
      </w:r>
      <w:proofErr w:type="spellStart"/>
      <w:r>
        <w:t>Aguión</w:t>
      </w:r>
      <w:proofErr w:type="spellEnd"/>
      <w:r>
        <w:t xml:space="preserve">, A., </w:t>
      </w:r>
      <w:proofErr w:type="spellStart"/>
      <w:r>
        <w:t>Funge</w:t>
      </w:r>
      <w:proofErr w:type="spellEnd"/>
      <w:r>
        <w:t xml:space="preserve">-Smith, S., Harper, S., Mills, D. J., Nico, G., Tilley, A., </w:t>
      </w:r>
      <w:proofErr w:type="spellStart"/>
      <w:r>
        <w:t>Vannuccini</w:t>
      </w:r>
      <w:proofErr w:type="spellEnd"/>
      <w:r>
        <w:t xml:space="preserve">, S., Virdin, J., Westlund, L., Allison, E. H., Anderson, C. M., Baio, A., Cinner, J., Fabinyi, M., … Thilsted, S. H. (2025). Illuminating the multidimensional contributions of small-scale fisheries. </w:t>
      </w:r>
      <w:r>
        <w:rPr>
          <w:i/>
          <w:iCs/>
        </w:rPr>
        <w:t>Nature, 637</w:t>
      </w:r>
      <w:r>
        <w:t>(8047), 875–884. https://doi.org/10.1038/s41586-024-08448-z</w:t>
      </w:r>
    </w:p>
    <w:p w14:paraId="3C82C1A1" w14:textId="77777777" w:rsidR="00EC6E73" w:rsidRDefault="00981893">
      <w:pPr>
        <w:spacing w:after="140" w:line="300" w:lineRule="auto"/>
        <w:ind w:left="720" w:hanging="720"/>
      </w:pPr>
      <w:r>
        <w:t xml:space="preserve">Bosma, R. H., Nguyen, T. D., Calumpang, L. M., &amp; Carandang, S. A. (2019). Gender action plans in the aquaculture value chain: What's missing? </w:t>
      </w:r>
      <w:r>
        <w:rPr>
          <w:i/>
          <w:iCs/>
        </w:rPr>
        <w:t>Reviews in Aquaculture, 11</w:t>
      </w:r>
      <w:r>
        <w:t>(4), 1297–1307. https://doi.org/10.1111/raq.12293</w:t>
      </w:r>
    </w:p>
    <w:p w14:paraId="7F4B13A7" w14:textId="77777777" w:rsidR="00EC6E73" w:rsidRDefault="00981893">
      <w:pPr>
        <w:spacing w:after="140" w:line="300" w:lineRule="auto"/>
        <w:ind w:left="720" w:hanging="720"/>
      </w:pPr>
      <w:proofErr w:type="spellStart"/>
      <w:r>
        <w:t>Brugere</w:t>
      </w:r>
      <w:proofErr w:type="spellEnd"/>
      <w:r>
        <w:t xml:space="preserve">, C., </w:t>
      </w:r>
      <w:proofErr w:type="spellStart"/>
      <w:r>
        <w:t>Msuya</w:t>
      </w:r>
      <w:proofErr w:type="spellEnd"/>
      <w:r>
        <w:t xml:space="preserve">, F. E., </w:t>
      </w:r>
      <w:proofErr w:type="spellStart"/>
      <w:r>
        <w:t>Jiddawi</w:t>
      </w:r>
      <w:proofErr w:type="spellEnd"/>
      <w:r>
        <w:t xml:space="preserve">, N., </w:t>
      </w:r>
      <w:proofErr w:type="spellStart"/>
      <w:r>
        <w:t>Nyonje</w:t>
      </w:r>
      <w:proofErr w:type="spellEnd"/>
      <w:r>
        <w:t xml:space="preserve">, B., &amp; Maly, R. (2020). Can innovation empower? Reflections on introducing tubular nets to women seaweed farmers in </w:t>
      </w:r>
      <w:r>
        <w:lastRenderedPageBreak/>
        <w:t xml:space="preserve">Zanzibar. </w:t>
      </w:r>
      <w:r>
        <w:rPr>
          <w:i/>
          <w:iCs/>
        </w:rPr>
        <w:t>Gender, Technology and Development, 24</w:t>
      </w:r>
      <w:r>
        <w:t>(1), 89–109. https://doi.org/10.1080/09718524.2019.1695307</w:t>
      </w:r>
    </w:p>
    <w:p w14:paraId="7E3DE985" w14:textId="77777777" w:rsidR="00EC6E73" w:rsidRDefault="00981893">
      <w:pPr>
        <w:spacing w:after="140" w:line="300" w:lineRule="auto"/>
        <w:ind w:left="720" w:hanging="720"/>
      </w:pPr>
      <w:proofErr w:type="spellStart"/>
      <w:r>
        <w:t>Cavole</w:t>
      </w:r>
      <w:proofErr w:type="spellEnd"/>
      <w:r>
        <w:t xml:space="preserve">, L. M., </w:t>
      </w:r>
      <w:proofErr w:type="spellStart"/>
      <w:r>
        <w:t>Gragnolati</w:t>
      </w:r>
      <w:proofErr w:type="spellEnd"/>
      <w:r>
        <w:t xml:space="preserve">, M., Matoso Silva, R. V. M., Lopes, P. F. M., Giarrizzo, T., &amp; Reis-Filho, J. A. (2025). Unveiling gender disparities: The role of women in transforming small-scale fisheries. </w:t>
      </w:r>
      <w:r>
        <w:rPr>
          <w:i/>
          <w:iCs/>
        </w:rPr>
        <w:t>Fish and Fisheries, 26</w:t>
      </w:r>
      <w:r>
        <w:t>(6), 1146–1163. https://doi.org/10.1111/faf.70023</w:t>
      </w:r>
    </w:p>
    <w:p w14:paraId="28349D43" w14:textId="77777777" w:rsidR="00EC6E73" w:rsidRDefault="00981893">
      <w:pPr>
        <w:spacing w:after="140" w:line="300" w:lineRule="auto"/>
        <w:ind w:left="720" w:hanging="720"/>
      </w:pPr>
      <w:r>
        <w:t xml:space="preserve">Choudhury, A., Leeuwis, C., van der Burg, M., McDougall, C., &amp; Adam, R. (2025). Shifting the aquaculture regime toward gender equity? Case studies of women's entrepreneurial niche innovations in Bangladesh. </w:t>
      </w:r>
      <w:r>
        <w:rPr>
          <w:i/>
          <w:iCs/>
        </w:rPr>
        <w:t>Gender, Technology and Development, 29</w:t>
      </w:r>
      <w:r>
        <w:t>(3), 345–369. https://doi.org/10.1080/09718524.2025.2516122</w:t>
      </w:r>
    </w:p>
    <w:p w14:paraId="0581D641" w14:textId="77777777" w:rsidR="00EC6E73" w:rsidRDefault="00981893">
      <w:pPr>
        <w:spacing w:after="140" w:line="300" w:lineRule="auto"/>
        <w:ind w:left="720" w:hanging="720"/>
      </w:pPr>
      <w:r>
        <w:t xml:space="preserve">Cruz-Torres, M. L. (2012). Unruly women and invisible workers: The shrimp traders of Mazatlán, Mexico. </w:t>
      </w:r>
      <w:r>
        <w:rPr>
          <w:i/>
          <w:iCs/>
        </w:rPr>
        <w:t>Signs: Journal of Women in Culture and Society, 37</w:t>
      </w:r>
      <w:r>
        <w:t>(3), 610–617. https://doi.org/10.1086/662722</w:t>
      </w:r>
    </w:p>
    <w:p w14:paraId="610536F4" w14:textId="77777777" w:rsidR="00EC6E73" w:rsidRDefault="00981893">
      <w:pPr>
        <w:spacing w:after="140" w:line="300" w:lineRule="auto"/>
        <w:ind w:left="720" w:hanging="720"/>
      </w:pPr>
      <w:r>
        <w:t xml:space="preserve">Deb, A. K., Haque, C. E., &amp; Thompson, S. (2015). 'Man can't give birth, woman can't fish': Gender dynamics in the small-scale fisheries of Bangladesh. </w:t>
      </w:r>
      <w:r>
        <w:rPr>
          <w:i/>
          <w:iCs/>
        </w:rPr>
        <w:t>Gender, Place &amp; Culture, 22</w:t>
      </w:r>
      <w:r>
        <w:t>(3), 305–324. https://doi.org/10.1080/0966369X.2013.855626</w:t>
      </w:r>
    </w:p>
    <w:p w14:paraId="201A2973" w14:textId="77777777" w:rsidR="00EC6E73" w:rsidRDefault="00981893">
      <w:pPr>
        <w:spacing w:after="140" w:line="300" w:lineRule="auto"/>
        <w:ind w:left="720" w:hanging="720"/>
      </w:pPr>
      <w:r>
        <w:t xml:space="preserve">de la Torre-Castro, M. (2019). Inclusive management through gender consideration in small-scale fisheries: The why and the how. </w:t>
      </w:r>
      <w:r>
        <w:rPr>
          <w:i/>
          <w:iCs/>
        </w:rPr>
        <w:t>Frontiers in Marine Science, 6</w:t>
      </w:r>
      <w:r>
        <w:t>, Article 156. https://doi.org/10.3389/fmars.2019.00156</w:t>
      </w:r>
    </w:p>
    <w:p w14:paraId="26B4EF74" w14:textId="77777777" w:rsidR="00EC6E73" w:rsidRDefault="00981893">
      <w:pPr>
        <w:spacing w:after="140" w:line="300" w:lineRule="auto"/>
        <w:ind w:left="720" w:hanging="720"/>
      </w:pPr>
      <w:r>
        <w:t xml:space="preserve">Di Ciommo, R. C., &amp; </w:t>
      </w:r>
      <w:proofErr w:type="spellStart"/>
      <w:r>
        <w:t>Schiavetti</w:t>
      </w:r>
      <w:proofErr w:type="spellEnd"/>
      <w:r>
        <w:t xml:space="preserve">, A. (2012). Women participation in the management of a Marine Protected Area in Brazil. </w:t>
      </w:r>
      <w:r>
        <w:rPr>
          <w:i/>
          <w:iCs/>
        </w:rPr>
        <w:t>Ocean &amp; Coastal Management, 62</w:t>
      </w:r>
      <w:r>
        <w:t>, 15–23. https://doi.org/10.1016/j.ocecoaman.2012.02.010</w:t>
      </w:r>
    </w:p>
    <w:p w14:paraId="06530458" w14:textId="77777777" w:rsidR="00EC6E73" w:rsidRDefault="00981893">
      <w:pPr>
        <w:spacing w:after="140" w:line="300" w:lineRule="auto"/>
        <w:ind w:left="720" w:hanging="720"/>
      </w:pPr>
      <w:r>
        <w:t xml:space="preserve">FAO. (2024). </w:t>
      </w:r>
      <w:r>
        <w:rPr>
          <w:i/>
          <w:iCs/>
        </w:rPr>
        <w:t>The state of world fisheries and aquaculture 2024: Blue transformation in action</w:t>
      </w:r>
      <w:r>
        <w:t>. Food and Agriculture Organization of the United Nations. https://doi.org/10.4060/cd0683en</w:t>
      </w:r>
    </w:p>
    <w:p w14:paraId="39DA5738" w14:textId="77777777" w:rsidR="00EC6E73" w:rsidRDefault="00981893">
      <w:pPr>
        <w:spacing w:after="140" w:line="300" w:lineRule="auto"/>
        <w:ind w:left="720" w:hanging="720"/>
      </w:pPr>
      <w:r>
        <w:t xml:space="preserve">FAO, Duke University, &amp; WorldFish. (2023). </w:t>
      </w:r>
      <w:r>
        <w:rPr>
          <w:i/>
          <w:iCs/>
        </w:rPr>
        <w:t>Illuminating hidden harvests: The contributions of small-scale fisheries to sustainable development</w:t>
      </w:r>
      <w:r>
        <w:t>. Food and Agriculture Organization of the United Nations. https://doi.org/10.4060/cc4576en</w:t>
      </w:r>
    </w:p>
    <w:p w14:paraId="0850E27A" w14:textId="77777777" w:rsidR="00EC6E73" w:rsidRDefault="00981893">
      <w:pPr>
        <w:spacing w:after="140" w:line="300" w:lineRule="auto"/>
        <w:ind w:left="720" w:hanging="720"/>
      </w:pPr>
      <w:r>
        <w:t xml:space="preserve">Ferguson, C. E. (2021). A rising tide does not lift all boats: Intersectional analysis reveals inequitable impacts of the seafood trade in fishing communities. </w:t>
      </w:r>
      <w:r>
        <w:rPr>
          <w:i/>
          <w:iCs/>
        </w:rPr>
        <w:t>Frontiers in Marine Science, 8</w:t>
      </w:r>
      <w:r>
        <w:t>, Article 625389. https://doi.org/10.3389/fmars.2021.625389</w:t>
      </w:r>
    </w:p>
    <w:p w14:paraId="220D21B6" w14:textId="77777777" w:rsidR="00EC6E73" w:rsidRDefault="00981893">
      <w:pPr>
        <w:spacing w:after="140" w:line="300" w:lineRule="auto"/>
        <w:ind w:left="720" w:hanging="720"/>
      </w:pPr>
      <w:r>
        <w:t xml:space="preserve">Ferguson Irlanda, C. E., </w:t>
      </w:r>
      <w:proofErr w:type="spellStart"/>
      <w:r>
        <w:t>Mangubhai</w:t>
      </w:r>
      <w:proofErr w:type="spellEnd"/>
      <w:r>
        <w:t xml:space="preserve">, S., Waqa, E., Govan, H., Jagadish, A., Lester, S. E., Mills, M., </w:t>
      </w:r>
      <w:proofErr w:type="spellStart"/>
      <w:r>
        <w:t>Tabunakawai-Vakalalabure</w:t>
      </w:r>
      <w:proofErr w:type="spellEnd"/>
      <w:r>
        <w:t xml:space="preserve">, M., Tawake, A., &amp; </w:t>
      </w:r>
      <w:proofErr w:type="spellStart"/>
      <w:r>
        <w:t>O'Garra</w:t>
      </w:r>
      <w:proofErr w:type="spellEnd"/>
      <w:r>
        <w:t xml:space="preserve">, T. (2025). Insights on the roles of women in effective and procedurally just environmental governance from coastal fisheries management in Fiji. </w:t>
      </w:r>
      <w:r>
        <w:rPr>
          <w:i/>
          <w:iCs/>
        </w:rPr>
        <w:t>Conservation Biology, 39</w:t>
      </w:r>
      <w:r>
        <w:t>(6), Article e70121. https://doi.org/10.1111/cobi.70121</w:t>
      </w:r>
    </w:p>
    <w:p w14:paraId="6CD31037" w14:textId="77777777" w:rsidR="00EC6E73" w:rsidRDefault="00981893">
      <w:pPr>
        <w:spacing w:after="140" w:line="300" w:lineRule="auto"/>
        <w:ind w:left="720" w:hanging="720"/>
      </w:pPr>
      <w:r>
        <w:lastRenderedPageBreak/>
        <w:t xml:space="preserve">Fiorella, K. J., Camlin, C. S., Salmen, C. R., Omondi, R., Hickey, M. D., Omollo, D. O., Milner, E. M., </w:t>
      </w:r>
      <w:proofErr w:type="spellStart"/>
      <w:r>
        <w:t>Bukusi</w:t>
      </w:r>
      <w:proofErr w:type="spellEnd"/>
      <w:r>
        <w:t xml:space="preserve">, E. A., Fernald, L. C. H., &amp; Brashares, J. S. (2015). Transactional fish-for-sex relationships amid declining fish access in Kenya. </w:t>
      </w:r>
      <w:r>
        <w:rPr>
          <w:i/>
          <w:iCs/>
        </w:rPr>
        <w:t>World Development, 74</w:t>
      </w:r>
      <w:r>
        <w:t>, 323–332. https://doi.org/10.1016/j.worlddev.2015.05.015</w:t>
      </w:r>
    </w:p>
    <w:p w14:paraId="78220AA8" w14:textId="77777777" w:rsidR="00EC6E73" w:rsidRDefault="00981893">
      <w:pPr>
        <w:spacing w:after="140" w:line="300" w:lineRule="auto"/>
        <w:ind w:left="720" w:hanging="720"/>
      </w:pPr>
      <w:proofErr w:type="spellStart"/>
      <w:r>
        <w:t>Frangoudes</w:t>
      </w:r>
      <w:proofErr w:type="spellEnd"/>
      <w:r>
        <w:t xml:space="preserve">, K., Gerrard, S., &amp; Kleiber, D. (2019). Situated transformations of women and gender relations in small-scale fisheries and communities in a globalized world. </w:t>
      </w:r>
      <w:r>
        <w:rPr>
          <w:i/>
          <w:iCs/>
        </w:rPr>
        <w:t>Maritime Studies, 18</w:t>
      </w:r>
      <w:r>
        <w:t>(3), 241–248. https://doi.org/10.1007/s40152-019-00159-w</w:t>
      </w:r>
    </w:p>
    <w:p w14:paraId="4CFFD8D3" w14:textId="77777777" w:rsidR="00EC6E73" w:rsidRDefault="00981893">
      <w:pPr>
        <w:spacing w:after="140" w:line="300" w:lineRule="auto"/>
        <w:ind w:left="720" w:hanging="720"/>
      </w:pPr>
      <w:r>
        <w:t xml:space="preserve">Freeman, R., &amp; </w:t>
      </w:r>
      <w:proofErr w:type="spellStart"/>
      <w:r>
        <w:t>Svels</w:t>
      </w:r>
      <w:proofErr w:type="spellEnd"/>
      <w:r>
        <w:t xml:space="preserve">, K. (2022). Women's empowerment in small-scale fisheries: The impact of Fisheries Local Action Groups. </w:t>
      </w:r>
      <w:r>
        <w:rPr>
          <w:i/>
          <w:iCs/>
        </w:rPr>
        <w:t>Marine Policy, 136</w:t>
      </w:r>
      <w:r>
        <w:t>, Article 104907. https://doi.org/10.1016/j.marpol.2021.104907</w:t>
      </w:r>
    </w:p>
    <w:p w14:paraId="0E2DF1FE" w14:textId="77777777" w:rsidR="00EC6E73" w:rsidRDefault="00981893">
      <w:pPr>
        <w:spacing w:after="140" w:line="300" w:lineRule="auto"/>
        <w:ind w:left="720" w:hanging="720"/>
      </w:pPr>
      <w:proofErr w:type="spellStart"/>
      <w:r>
        <w:t>Fröcklin</w:t>
      </w:r>
      <w:proofErr w:type="spellEnd"/>
      <w:r>
        <w:t xml:space="preserve">, S., de la Torre-Castro, M., Håkansson, E., Carlsson, A., Magnusson, M., &amp; </w:t>
      </w:r>
      <w:proofErr w:type="spellStart"/>
      <w:r>
        <w:t>Jiddawi</w:t>
      </w:r>
      <w:proofErr w:type="spellEnd"/>
      <w:r>
        <w:t xml:space="preserve">, N. S. (2014). Towards improved management of tropical invertebrate fisheries: Including time series and gender. </w:t>
      </w:r>
      <w:proofErr w:type="spellStart"/>
      <w:r>
        <w:rPr>
          <w:i/>
          <w:iCs/>
        </w:rPr>
        <w:t>PLoS</w:t>
      </w:r>
      <w:proofErr w:type="spellEnd"/>
      <w:r>
        <w:rPr>
          <w:i/>
          <w:iCs/>
        </w:rPr>
        <w:t xml:space="preserve"> ONE, 9</w:t>
      </w:r>
      <w:r>
        <w:t>(3), Article e91161. https://doi.org/10.1371/journal.pone.0091161</w:t>
      </w:r>
    </w:p>
    <w:p w14:paraId="13A960DD" w14:textId="77777777" w:rsidR="00EC6E73" w:rsidRDefault="00981893">
      <w:pPr>
        <w:spacing w:after="140" w:line="300" w:lineRule="auto"/>
        <w:ind w:left="720" w:hanging="720"/>
      </w:pPr>
      <w:proofErr w:type="spellStart"/>
      <w:r>
        <w:t>Fröcklin</w:t>
      </w:r>
      <w:proofErr w:type="spellEnd"/>
      <w:r>
        <w:t xml:space="preserve">, S., de la Torre-Castro, M., Lindström, L., &amp; </w:t>
      </w:r>
      <w:proofErr w:type="spellStart"/>
      <w:r>
        <w:t>Jiddawi</w:t>
      </w:r>
      <w:proofErr w:type="spellEnd"/>
      <w:r>
        <w:t xml:space="preserve">, N. S. (2013). Fish traders as key actors in fisheries: Gender and adaptive management. </w:t>
      </w:r>
      <w:proofErr w:type="spellStart"/>
      <w:r>
        <w:rPr>
          <w:i/>
          <w:iCs/>
        </w:rPr>
        <w:t>Ambio</w:t>
      </w:r>
      <w:proofErr w:type="spellEnd"/>
      <w:r>
        <w:rPr>
          <w:i/>
          <w:iCs/>
        </w:rPr>
        <w:t>, 42</w:t>
      </w:r>
      <w:r>
        <w:t>(8), 951–962. https://doi.org/10.1007/s13280-013-0451-1</w:t>
      </w:r>
    </w:p>
    <w:p w14:paraId="63F5AB9D" w14:textId="77777777" w:rsidR="00EC6E73" w:rsidRDefault="00981893">
      <w:pPr>
        <w:spacing w:after="140" w:line="300" w:lineRule="auto"/>
        <w:ind w:left="720" w:hanging="720"/>
      </w:pPr>
      <w:proofErr w:type="spellStart"/>
      <w:r>
        <w:t>Galappaththi</w:t>
      </w:r>
      <w:proofErr w:type="spellEnd"/>
      <w:r>
        <w:t xml:space="preserve">, M., Collins, A. M., Armitage, D., &amp; Nayak, P. K. (2021). Linking social wellbeing and intersectionality to understand gender relations in dried fish value chains. </w:t>
      </w:r>
      <w:r>
        <w:rPr>
          <w:i/>
          <w:iCs/>
        </w:rPr>
        <w:t>Maritime Studies, 20</w:t>
      </w:r>
      <w:r>
        <w:t>(4), 355–370. https://doi.org/10.1007/s40152-021-00232-3</w:t>
      </w:r>
    </w:p>
    <w:p w14:paraId="62C5A21D" w14:textId="77777777" w:rsidR="00EC6E73" w:rsidRDefault="00981893">
      <w:pPr>
        <w:spacing w:after="140" w:line="300" w:lineRule="auto"/>
        <w:ind w:left="720" w:hanging="720"/>
      </w:pPr>
      <w:r>
        <w:t xml:space="preserve">Gammage, T., Gurney, G. G., Diedrich, A., &amp; Dudayev, R. (2025). Equity through co-management in small-scale fisheries—A review. </w:t>
      </w:r>
      <w:r>
        <w:rPr>
          <w:i/>
          <w:iCs/>
        </w:rPr>
        <w:t>Fish and Fisheries, 26</w:t>
      </w:r>
      <w:r>
        <w:t>(3), 425–443. https://doi.org/10.1111/faf.12889</w:t>
      </w:r>
    </w:p>
    <w:p w14:paraId="52E92AF2" w14:textId="77777777" w:rsidR="00EC6E73" w:rsidRDefault="00981893">
      <w:pPr>
        <w:spacing w:after="140" w:line="300" w:lineRule="auto"/>
        <w:ind w:left="720" w:hanging="720"/>
      </w:pPr>
      <w:r>
        <w:t xml:space="preserve">Giakoumi, S., Pita, C., Coll, M., Fraschetti, S., Gissi, E., Katara, I., Lloret-Lloret, E., Rossi, F., Portman, M., </w:t>
      </w:r>
      <w:proofErr w:type="spellStart"/>
      <w:r>
        <w:t>Stelzenmüller</w:t>
      </w:r>
      <w:proofErr w:type="spellEnd"/>
      <w:r>
        <w:t xml:space="preserve">, V., &amp; Micheli, F. (2021). Persistent gender bias in marine science and conservation calls for action to achieve equity. </w:t>
      </w:r>
      <w:r>
        <w:rPr>
          <w:i/>
          <w:iCs/>
        </w:rPr>
        <w:t>Biological Conservation, 257</w:t>
      </w:r>
      <w:r>
        <w:t>, Article 109134. https://doi.org/10.1016/j.biocon.2021.109134</w:t>
      </w:r>
    </w:p>
    <w:p w14:paraId="56215BC8" w14:textId="77777777" w:rsidR="00EC6E73" w:rsidRDefault="00981893">
      <w:pPr>
        <w:spacing w:after="140" w:line="300" w:lineRule="auto"/>
        <w:ind w:left="720" w:hanging="720"/>
      </w:pPr>
      <w:r>
        <w:t xml:space="preserve">Gissi, E., Portman, M. E., &amp; </w:t>
      </w:r>
      <w:proofErr w:type="spellStart"/>
      <w:r>
        <w:t>Hornidge</w:t>
      </w:r>
      <w:proofErr w:type="spellEnd"/>
      <w:r>
        <w:t xml:space="preserve">, A.-K. (2018). Un-gendering the ocean: Why women matter in ocean governance for sustainability. </w:t>
      </w:r>
      <w:r>
        <w:rPr>
          <w:i/>
          <w:iCs/>
        </w:rPr>
        <w:t>Marine Policy, 94</w:t>
      </w:r>
      <w:r>
        <w:t>, 215–219. https://doi.org/10.1016/j.marpol.2018.05.020</w:t>
      </w:r>
    </w:p>
    <w:p w14:paraId="58CAE7A3" w14:textId="77777777" w:rsidR="00EC6E73" w:rsidRDefault="00981893">
      <w:pPr>
        <w:spacing w:after="140" w:line="300" w:lineRule="auto"/>
        <w:ind w:left="720" w:hanging="720"/>
      </w:pPr>
      <w:r>
        <w:t xml:space="preserve">Gopal, N., Hapke, H. M., Kusakabe, K., Rajaratnam, S., &amp; Williams, M. J. (2020). Expanding the horizons for women in fisheries and aquaculture. </w:t>
      </w:r>
      <w:r>
        <w:rPr>
          <w:i/>
          <w:iCs/>
        </w:rPr>
        <w:t>Gender, Technology and Development, 24</w:t>
      </w:r>
      <w:r>
        <w:t>(1), 1–9. https://doi.org/10.1080/09718524.2020.1736353</w:t>
      </w:r>
    </w:p>
    <w:p w14:paraId="7B254C33" w14:textId="77777777" w:rsidR="00EC6E73" w:rsidRDefault="00981893">
      <w:pPr>
        <w:spacing w:after="140" w:line="300" w:lineRule="auto"/>
        <w:ind w:left="720" w:hanging="720"/>
      </w:pPr>
      <w:r>
        <w:lastRenderedPageBreak/>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 48</w:t>
      </w:r>
      <w:r>
        <w:t>(6), Article e12931. https://doi.org/10.1111/eci.12931</w:t>
      </w:r>
    </w:p>
    <w:p w14:paraId="60E9479F" w14:textId="77777777" w:rsidR="00EC6E73" w:rsidRDefault="00981893">
      <w:pPr>
        <w:spacing w:after="140" w:line="300" w:lineRule="auto"/>
        <w:ind w:left="720" w:hanging="720"/>
      </w:pPr>
      <w:r>
        <w:t xml:space="preserve">Gurung, K., Bhandari, H., &amp; Paris, T. (2016). Transformation from rice farming to commercial aquaculture in Bangladesh: Implications for gender, food security, and livelihood. </w:t>
      </w:r>
      <w:r>
        <w:rPr>
          <w:i/>
          <w:iCs/>
        </w:rPr>
        <w:t>Gender, Technology and Development, 20</w:t>
      </w:r>
      <w:r>
        <w:t>(1), 49–80. https://doi.org/10.1177/0971852415618747</w:t>
      </w:r>
    </w:p>
    <w:p w14:paraId="706D8BC8" w14:textId="77777777" w:rsidR="00EC6E73" w:rsidRDefault="00981893">
      <w:pPr>
        <w:spacing w:after="140" w:line="300" w:lineRule="auto"/>
        <w:ind w:left="720" w:hanging="720"/>
      </w:pPr>
      <w:r>
        <w:t xml:space="preserve">Gustavsson, M., </w:t>
      </w:r>
      <w:proofErr w:type="spellStart"/>
      <w:r>
        <w:t>Frangoudes</w:t>
      </w:r>
      <w:proofErr w:type="spellEnd"/>
      <w:r>
        <w:t xml:space="preserve">, K., Lindström, L., Álvarez Burgos, M. C., &amp; de la Torre-Castro, M. (2021). Gender and Blue Justice in small-scale fisheries governance. </w:t>
      </w:r>
      <w:r>
        <w:rPr>
          <w:i/>
          <w:iCs/>
        </w:rPr>
        <w:t>Marine Policy, 133</w:t>
      </w:r>
      <w:r>
        <w:t>, Article 104743. https://doi.org/10.1016/j.marpol.2021.104743</w:t>
      </w:r>
    </w:p>
    <w:p w14:paraId="35985C83" w14:textId="77777777" w:rsidR="00EC6E73" w:rsidRDefault="00981893">
      <w:pPr>
        <w:spacing w:after="140" w:line="300" w:lineRule="auto"/>
        <w:ind w:left="720" w:hanging="720"/>
      </w:pPr>
      <w:r>
        <w:t xml:space="preserve">Hapke, H. M. (2025). Gender analysis for social equity in aquatic food systems: A research agenda for strengthening fisheries science to support transformational change. </w:t>
      </w:r>
      <w:r>
        <w:rPr>
          <w:i/>
          <w:iCs/>
        </w:rPr>
        <w:t>Frontiers in Sustainable Food Systems, 9</w:t>
      </w:r>
      <w:r>
        <w:t>, Article 1676206. https://doi.org/10.3389/fsufs.2025.1676206</w:t>
      </w:r>
    </w:p>
    <w:p w14:paraId="3121D3F3" w14:textId="77777777" w:rsidR="00EC6E73" w:rsidRDefault="00981893">
      <w:pPr>
        <w:spacing w:after="140" w:line="300" w:lineRule="auto"/>
        <w:ind w:left="720" w:hanging="720"/>
      </w:pPr>
      <w:r>
        <w:t xml:space="preserve">Harper, S., </w:t>
      </w:r>
      <w:proofErr w:type="spellStart"/>
      <w:r>
        <w:t>Adshade</w:t>
      </w:r>
      <w:proofErr w:type="spellEnd"/>
      <w:r>
        <w:t xml:space="preserve">, M., Lam, V. W. Y., Pauly, D., &amp; Sumaila, U. R. (2020). Valuing invisible catches: Estimating the global contribution by women to small-scale marine capture fisheries production. </w:t>
      </w:r>
      <w:r>
        <w:rPr>
          <w:i/>
          <w:iCs/>
        </w:rPr>
        <w:t>PLOS ONE, 15</w:t>
      </w:r>
      <w:r>
        <w:t>(3), Article e0228912. https://doi.org/10.1371/journal.pone.0228912</w:t>
      </w:r>
    </w:p>
    <w:p w14:paraId="79CCDA41" w14:textId="77777777" w:rsidR="00EC6E73" w:rsidRDefault="00981893">
      <w:pPr>
        <w:spacing w:after="140" w:line="300" w:lineRule="auto"/>
        <w:ind w:left="720" w:hanging="720"/>
      </w:pPr>
      <w:r>
        <w:t xml:space="preserve">Harper, S., Grubb, C., Stiles, M., &amp; Sumaila, U. R. (2017). Contributions by women to fisheries economies: Insights from five maritime countries. </w:t>
      </w:r>
      <w:r>
        <w:rPr>
          <w:i/>
          <w:iCs/>
        </w:rPr>
        <w:t>Coastal Management, 45</w:t>
      </w:r>
      <w:r>
        <w:t>(2), 91–106. https://doi.org/10.1080/08920753.2017.1278143</w:t>
      </w:r>
    </w:p>
    <w:p w14:paraId="42DDECAB" w14:textId="77777777" w:rsidR="00EC6E73" w:rsidRDefault="00981893">
      <w:pPr>
        <w:spacing w:after="140" w:line="300" w:lineRule="auto"/>
        <w:ind w:left="720" w:hanging="720"/>
      </w:pPr>
      <w:r>
        <w:t xml:space="preserve">Harper, S., Zeller, D., Hauzer, M., Pauly, D., &amp; Sumaila, U. R. (2013). Women and fisheries: Contribution to food security and local economies. </w:t>
      </w:r>
      <w:r>
        <w:rPr>
          <w:i/>
          <w:iCs/>
        </w:rPr>
        <w:t>Marine Policy, 39</w:t>
      </w:r>
      <w:r>
        <w:t>, 56–63. https://doi.org/10.1016/j.marpol.2012.10.018</w:t>
      </w:r>
    </w:p>
    <w:p w14:paraId="56CD3C1A" w14:textId="77777777" w:rsidR="00EC6E73" w:rsidRDefault="00981893">
      <w:pPr>
        <w:spacing w:after="140" w:line="300" w:lineRule="auto"/>
        <w:ind w:left="720" w:hanging="720"/>
      </w:pPr>
      <w:r>
        <w:t xml:space="preserve">Harper, S. J., Williams, M., Kleiber, D., Axelrod, M., </w:t>
      </w:r>
      <w:proofErr w:type="spellStart"/>
      <w:r>
        <w:t>Mangubhai</w:t>
      </w:r>
      <w:proofErr w:type="spellEnd"/>
      <w:r>
        <w:t xml:space="preserve">, S., Torell, E., Macho, G., Fakoya, K., Gopal, N., Ojea, E., Lawless, S., Franz, N., de la Torre-Castro, M., Deeg, C., Gustavsson, M., </w:t>
      </w:r>
      <w:proofErr w:type="spellStart"/>
      <w:r>
        <w:t>Oloko</w:t>
      </w:r>
      <w:proofErr w:type="spellEnd"/>
      <w:r>
        <w:t xml:space="preserve">, A., Atkins, M., Basurto, X., Soejima, K., … McDougall, C. (2026). Designing gender-inclusive data systems in small-scale fisheries. </w:t>
      </w:r>
      <w:proofErr w:type="spellStart"/>
      <w:r>
        <w:rPr>
          <w:i/>
          <w:iCs/>
        </w:rPr>
        <w:t>Ambio</w:t>
      </w:r>
      <w:proofErr w:type="spellEnd"/>
      <w:r>
        <w:rPr>
          <w:i/>
          <w:iCs/>
        </w:rPr>
        <w:t>, 55</w:t>
      </w:r>
      <w:r>
        <w:t>(2), 245–259. https://doi.org/10.1007/s13280-025-02250-5</w:t>
      </w:r>
    </w:p>
    <w:p w14:paraId="1A87A570" w14:textId="77777777" w:rsidR="00EC6E73" w:rsidRDefault="00981893">
      <w:pPr>
        <w:spacing w:after="140" w:line="300" w:lineRule="auto"/>
        <w:ind w:left="720" w:hanging="720"/>
      </w:pPr>
      <w:r>
        <w:t xml:space="preserve">King, B. D. (2023). Social identities, intersectionality, and the experiences of women and women of </w:t>
      </w:r>
      <w:proofErr w:type="spellStart"/>
      <w:r>
        <w:t>color</w:t>
      </w:r>
      <w:proofErr w:type="spellEnd"/>
      <w:r>
        <w:t xml:space="preserve"> in marine, aquatic, and fisheries science professions. </w:t>
      </w:r>
      <w:r>
        <w:rPr>
          <w:i/>
          <w:iCs/>
        </w:rPr>
        <w:t>Fisheries, 48</w:t>
      </w:r>
      <w:r>
        <w:t>(1), 20–28. https://doi.org/10.1002/fsh.10838</w:t>
      </w:r>
    </w:p>
    <w:p w14:paraId="60E2740E" w14:textId="77777777" w:rsidR="00EC6E73" w:rsidRDefault="00981893">
      <w:pPr>
        <w:spacing w:after="140" w:line="300" w:lineRule="auto"/>
        <w:ind w:left="720" w:hanging="720"/>
      </w:pPr>
      <w:r>
        <w:t xml:space="preserve">Kleiber, D., Harris, L. M., &amp; Vincent, A. C. J. (2015). Gender and small-scale fisheries: A case for counting women and beyond. </w:t>
      </w:r>
      <w:r>
        <w:rPr>
          <w:i/>
          <w:iCs/>
        </w:rPr>
        <w:t>Fish and Fisheries, 16</w:t>
      </w:r>
      <w:r>
        <w:t>(4), 547–562. https://doi.org/10.1111/faf.12075</w:t>
      </w:r>
    </w:p>
    <w:p w14:paraId="6A8B2A08" w14:textId="77777777" w:rsidR="00EC6E73" w:rsidRDefault="00981893">
      <w:pPr>
        <w:spacing w:after="140" w:line="300" w:lineRule="auto"/>
        <w:ind w:left="720" w:hanging="720"/>
      </w:pPr>
      <w:r>
        <w:lastRenderedPageBreak/>
        <w:t xml:space="preserve">Lau, J. D., Kleiber, D., Lawless, S., &amp; Cohen, P. J. (2021). Gender equality in climate policy and practice hindered by assumptions. </w:t>
      </w:r>
      <w:r>
        <w:rPr>
          <w:i/>
          <w:iCs/>
        </w:rPr>
        <w:t>Nature Climate Change, 11</w:t>
      </w:r>
      <w:r>
        <w:t>(3), 186–192. https://doi.org/10.1038/s41558-021-00999-7</w:t>
      </w:r>
    </w:p>
    <w:p w14:paraId="77D852CA" w14:textId="77777777" w:rsidR="00EC6E73" w:rsidRDefault="00981893">
      <w:pPr>
        <w:spacing w:after="140" w:line="300" w:lineRule="auto"/>
        <w:ind w:left="720" w:hanging="720"/>
      </w:pPr>
      <w:r>
        <w:t xml:space="preserve">Lawless, S., Cohen, P., McDougall, C., </w:t>
      </w:r>
      <w:proofErr w:type="spellStart"/>
      <w:r>
        <w:t>Orirana</w:t>
      </w:r>
      <w:proofErr w:type="spellEnd"/>
      <w:r>
        <w:t xml:space="preserve">, G., </w:t>
      </w:r>
      <w:proofErr w:type="spellStart"/>
      <w:r>
        <w:t>Siota</w:t>
      </w:r>
      <w:proofErr w:type="spellEnd"/>
      <w:r>
        <w:t xml:space="preserve">, F., &amp; Doyle, K. (2019). Gender norms and relations: Implications for agency in coastal livelihoods. </w:t>
      </w:r>
      <w:r>
        <w:rPr>
          <w:i/>
          <w:iCs/>
        </w:rPr>
        <w:t>Maritime Studies, 18</w:t>
      </w:r>
      <w:r>
        <w:t>(3), 347–358. https://doi.org/10.1007/s40152-019-00147-0</w:t>
      </w:r>
    </w:p>
    <w:p w14:paraId="40ED0013" w14:textId="77777777" w:rsidR="00EC6E73" w:rsidRDefault="00981893">
      <w:pPr>
        <w:spacing w:after="140" w:line="300" w:lineRule="auto"/>
        <w:ind w:left="720" w:hanging="720"/>
      </w:pPr>
      <w:r>
        <w:t xml:space="preserve">Lawless, S., Cohen, P. J., </w:t>
      </w:r>
      <w:proofErr w:type="spellStart"/>
      <w:r>
        <w:t>Mangubhai</w:t>
      </w:r>
      <w:proofErr w:type="spellEnd"/>
      <w:r>
        <w:t xml:space="preserve">, S., Kleiber, D., &amp; Morrison, T. H. (2021). Gender equality is diluted in commitments made to small-scale fisheries. </w:t>
      </w:r>
      <w:r>
        <w:rPr>
          <w:i/>
          <w:iCs/>
        </w:rPr>
        <w:t>World Development, 140</w:t>
      </w:r>
      <w:r>
        <w:t>, Article 105348. https://doi.org/10.1016/j.worlddev.2020.105348</w:t>
      </w:r>
    </w:p>
    <w:p w14:paraId="5F28B9EF" w14:textId="77777777" w:rsidR="00EC6E73" w:rsidRDefault="00981893">
      <w:pPr>
        <w:spacing w:after="140" w:line="300" w:lineRule="auto"/>
        <w:ind w:left="720" w:hanging="720"/>
      </w:pPr>
      <w:r>
        <w:t xml:space="preserve">Liontakis, A., </w:t>
      </w:r>
      <w:proofErr w:type="spellStart"/>
      <w:r>
        <w:t>Tzouramani</w:t>
      </w:r>
      <w:proofErr w:type="spellEnd"/>
      <w:r>
        <w:t xml:space="preserve">, I., </w:t>
      </w:r>
      <w:proofErr w:type="spellStart"/>
      <w:r>
        <w:t>Mantziaris</w:t>
      </w:r>
      <w:proofErr w:type="spellEnd"/>
      <w:r>
        <w:t xml:space="preserve">, S., &amp; </w:t>
      </w:r>
      <w:proofErr w:type="spellStart"/>
      <w:r>
        <w:t>Sintori</w:t>
      </w:r>
      <w:proofErr w:type="spellEnd"/>
      <w:r>
        <w:t xml:space="preserve">, A. (2020). Unravelling the role of gender in fisheries' socio-economic performance: The case of Greek small-scale fisheries. </w:t>
      </w:r>
      <w:r>
        <w:rPr>
          <w:i/>
          <w:iCs/>
        </w:rPr>
        <w:t>Sustainability, 12</w:t>
      </w:r>
      <w:r>
        <w:t>(13), Article 5304. https://doi.org/10.3390/su12135304</w:t>
      </w:r>
    </w:p>
    <w:p w14:paraId="3871E848" w14:textId="77777777" w:rsidR="00EC6E73" w:rsidRDefault="00981893">
      <w:pPr>
        <w:spacing w:after="140" w:line="300" w:lineRule="auto"/>
        <w:ind w:left="720" w:hanging="720"/>
      </w:pPr>
      <w:r>
        <w:t xml:space="preserve">Malapit, H., Quisumbing, A., </w:t>
      </w:r>
      <w:proofErr w:type="spellStart"/>
      <w:r>
        <w:t>Meinzen</w:t>
      </w:r>
      <w:proofErr w:type="spellEnd"/>
      <w:r>
        <w:t xml:space="preserve">-Dick, R., Seymour, G., Martinez, E. M., Heckert, J., Rubin, D., Vaz, A., &amp; Yount, K. M. (2019). Development of the project-level Women's Empowerment in Agriculture Index (pro-WEAI). </w:t>
      </w:r>
      <w:r>
        <w:rPr>
          <w:i/>
          <w:iCs/>
        </w:rPr>
        <w:t>World Development, 122</w:t>
      </w:r>
      <w:r>
        <w:t>, 675–692. https://doi.org/10.1016/j.worlddev.2019.06.018</w:t>
      </w:r>
    </w:p>
    <w:p w14:paraId="04E8DF90" w14:textId="77777777" w:rsidR="00EC6E73" w:rsidRDefault="00981893">
      <w:pPr>
        <w:spacing w:after="140" w:line="300" w:lineRule="auto"/>
        <w:ind w:left="720" w:hanging="720"/>
      </w:pPr>
      <w:r>
        <w:t xml:space="preserve">Malhotra, S. K., Mantri, S., Gupta, N., Bhandari, R., Armah, R. N., Alhassan, H., Young, S., White, H., </w:t>
      </w:r>
      <w:proofErr w:type="spellStart"/>
      <w:r>
        <w:t>Puskur</w:t>
      </w:r>
      <w:proofErr w:type="spellEnd"/>
      <w:r>
        <w:t xml:space="preserve">, R., Waddington, H. S., &amp; Masset, E. (2024). Value chain interventions for improving women's economic empowerment: A mixed-methods systematic review and meta-analysis. </w:t>
      </w:r>
      <w:r>
        <w:rPr>
          <w:i/>
          <w:iCs/>
        </w:rPr>
        <w:t>Campbell Systematic Reviews, 20</w:t>
      </w:r>
      <w:r>
        <w:t>(3), Article e1428. https://doi.org/10.1002/cl2.1428</w:t>
      </w:r>
    </w:p>
    <w:p w14:paraId="74D53CC6" w14:textId="77777777" w:rsidR="00EC6E73" w:rsidRDefault="00981893">
      <w:pPr>
        <w:spacing w:after="140" w:line="300" w:lineRule="auto"/>
        <w:ind w:left="720" w:hanging="720"/>
      </w:pPr>
      <w:proofErr w:type="spellStart"/>
      <w:r>
        <w:t>Mangubhai</w:t>
      </w:r>
      <w:proofErr w:type="spellEnd"/>
      <w:r>
        <w:t xml:space="preserve">, S., Barclay, K. M., Lawless, S., &amp; Makhoul, N. (2023). Gender-based violence: Relevance for fisheries practitioners. </w:t>
      </w:r>
      <w:r>
        <w:rPr>
          <w:i/>
          <w:iCs/>
        </w:rPr>
        <w:t>Fish and Fisheries, 24</w:t>
      </w:r>
      <w:r>
        <w:t>(4), 582–594. https://doi.org/10.1111/faf.12747</w:t>
      </w:r>
    </w:p>
    <w:p w14:paraId="3389713D" w14:textId="77777777" w:rsidR="00EC6E73" w:rsidRDefault="00981893">
      <w:pPr>
        <w:spacing w:after="140" w:line="300" w:lineRule="auto"/>
        <w:ind w:left="720" w:hanging="720"/>
      </w:pPr>
      <w:proofErr w:type="spellStart"/>
      <w:r>
        <w:t>Mangubhai</w:t>
      </w:r>
      <w:proofErr w:type="spellEnd"/>
      <w:r>
        <w:t xml:space="preserve">, S., &amp; Lawless, S. (2021). Exploring gender inclusion in small-scale fisheries management and development in Melanesia. </w:t>
      </w:r>
      <w:r>
        <w:rPr>
          <w:i/>
          <w:iCs/>
        </w:rPr>
        <w:t>Marine Policy, 123</w:t>
      </w:r>
      <w:r>
        <w:t>, Article 104287. https://doi.org/10.1016/j.marpol.2020.104287</w:t>
      </w:r>
    </w:p>
    <w:p w14:paraId="3ACA0DFF" w14:textId="77777777" w:rsidR="00EC6E73" w:rsidRDefault="00981893">
      <w:pPr>
        <w:spacing w:after="140" w:line="300" w:lineRule="auto"/>
        <w:ind w:left="720" w:hanging="720"/>
      </w:pPr>
      <w:proofErr w:type="spellStart"/>
      <w:r>
        <w:t>Mangubhai</w:t>
      </w:r>
      <w:proofErr w:type="spellEnd"/>
      <w:r>
        <w:t xml:space="preserve">, S., Lawless, S., Cowley, A., </w:t>
      </w:r>
      <w:proofErr w:type="spellStart"/>
      <w:r>
        <w:t>Mangubhai</w:t>
      </w:r>
      <w:proofErr w:type="spellEnd"/>
      <w:r>
        <w:t xml:space="preserve">, J. P., &amp; Williams, M. J. (2022). Progressing gender equality in fisheries by building strategic partnerships with development organisations. </w:t>
      </w:r>
      <w:r>
        <w:rPr>
          <w:i/>
          <w:iCs/>
        </w:rPr>
        <w:t>World Development, 158</w:t>
      </w:r>
      <w:r>
        <w:t>, Article 105975. https://doi.org/10.1016/j.worlddev.2022.105975</w:t>
      </w:r>
    </w:p>
    <w:p w14:paraId="7487CB7F" w14:textId="77777777" w:rsidR="00EC6E73" w:rsidRDefault="00981893">
      <w:pPr>
        <w:spacing w:after="140" w:line="300" w:lineRule="auto"/>
        <w:ind w:left="720" w:hanging="720"/>
      </w:pPr>
      <w:r>
        <w:t xml:space="preserve">Matsue, N., Daw, T., &amp; Garrett, L. (2014). Women fish traders on the Kenyan coast: Livelihoods, bargaining power, and participation in management. </w:t>
      </w:r>
      <w:r>
        <w:rPr>
          <w:i/>
          <w:iCs/>
        </w:rPr>
        <w:t>Coastal Management, 42</w:t>
      </w:r>
      <w:r>
        <w:t>(6), 531–554. https://doi.org/10.1080/08920753.2014.964819</w:t>
      </w:r>
    </w:p>
    <w:p w14:paraId="1896BB81" w14:textId="77777777" w:rsidR="00EC6E73" w:rsidRDefault="00981893">
      <w:pPr>
        <w:spacing w:after="140" w:line="300" w:lineRule="auto"/>
        <w:ind w:left="720" w:hanging="720"/>
      </w:pPr>
      <w:r>
        <w:t xml:space="preserve">Mohamed, A. A., Omar, O. E., Ahmed, A. A., Mohamed, L. A., &amp; Bilow, I. A. (2026). The limited role of women in small-scale fisheries in Mogadishu, Somalia: Cultural </w:t>
      </w:r>
      <w:r>
        <w:lastRenderedPageBreak/>
        <w:t xml:space="preserve">norms, access to resources and educational attainment. </w:t>
      </w:r>
      <w:r>
        <w:rPr>
          <w:i/>
          <w:iCs/>
        </w:rPr>
        <w:t>Frontiers in Sociology, 11</w:t>
      </w:r>
      <w:r>
        <w:t>, Article 1785217. https://doi.org/10.3389/fsoc.2026.1785217</w:t>
      </w:r>
    </w:p>
    <w:p w14:paraId="69A3FAC9" w14:textId="77777777" w:rsidR="00EC6E73" w:rsidRDefault="00981893">
      <w:pPr>
        <w:spacing w:after="140" w:line="300" w:lineRule="auto"/>
        <w:ind w:left="720" w:hanging="720"/>
      </w:pPr>
      <w:r>
        <w:t xml:space="preserve">Ndanga, L. Z. B., </w:t>
      </w:r>
      <w:proofErr w:type="spellStart"/>
      <w:r>
        <w:t>Quagrainie</w:t>
      </w:r>
      <w:proofErr w:type="spellEnd"/>
      <w:r>
        <w:t xml:space="preserve">, K. K., &amp; Dennis, J. H. (2013). Economically feasible options for increased women participation in Kenyan aquaculture value chain. </w:t>
      </w:r>
      <w:r>
        <w:rPr>
          <w:i/>
          <w:iCs/>
        </w:rPr>
        <w:t>Aquaculture, 414–415</w:t>
      </w:r>
      <w:r>
        <w:t>, 183–190. https://doi.org/10.1016/j.aquaculture.2013.08.012</w:t>
      </w:r>
    </w:p>
    <w:p w14:paraId="52D8D054" w14:textId="77777777" w:rsidR="00EC6E73" w:rsidRDefault="00981893">
      <w:pPr>
        <w:spacing w:after="140" w:line="300" w:lineRule="auto"/>
        <w:ind w:left="720" w:hanging="720"/>
      </w:pPr>
      <w:proofErr w:type="spellStart"/>
      <w:r>
        <w:t>Ndawala</w:t>
      </w:r>
      <w:proofErr w:type="spellEnd"/>
      <w:r>
        <w:t xml:space="preserve">, M. A., </w:t>
      </w:r>
      <w:proofErr w:type="spellStart"/>
      <w:r>
        <w:t>Msuya</w:t>
      </w:r>
      <w:proofErr w:type="spellEnd"/>
      <w:r>
        <w:t xml:space="preserve">, F. E., </w:t>
      </w:r>
      <w:proofErr w:type="spellStart"/>
      <w:r>
        <w:t>Cabarubias</w:t>
      </w:r>
      <w:proofErr w:type="spellEnd"/>
      <w:r>
        <w:t xml:space="preserve">, J. P., </w:t>
      </w:r>
      <w:proofErr w:type="spellStart"/>
      <w:r>
        <w:t>Kambey</w:t>
      </w:r>
      <w:proofErr w:type="spellEnd"/>
      <w:r>
        <w:t xml:space="preserve">, C. S. B., </w:t>
      </w:r>
      <w:proofErr w:type="spellStart"/>
      <w:r>
        <w:t>Buriyo</w:t>
      </w:r>
      <w:proofErr w:type="spellEnd"/>
      <w:r>
        <w:t xml:space="preserve">, A. S., </w:t>
      </w:r>
      <w:proofErr w:type="spellStart"/>
      <w:r>
        <w:t>Mvungi</w:t>
      </w:r>
      <w:proofErr w:type="spellEnd"/>
      <w:r>
        <w:t xml:space="preserve">, E. F., &amp; Cottier-Cook, E. J. (2022). Effect of biosecurity practices and diseases on growth and carrageenan properties of </w:t>
      </w:r>
      <w:proofErr w:type="spellStart"/>
      <w:r>
        <w:rPr>
          <w:i/>
          <w:iCs/>
        </w:rPr>
        <w:t>Kappaphycus</w:t>
      </w:r>
      <w:proofErr w:type="spellEnd"/>
      <w:r>
        <w:rPr>
          <w:i/>
          <w:iCs/>
        </w:rPr>
        <w:t xml:space="preserve"> </w:t>
      </w:r>
      <w:proofErr w:type="spellStart"/>
      <w:r>
        <w:rPr>
          <w:i/>
          <w:iCs/>
        </w:rPr>
        <w:t>alvarezii</w:t>
      </w:r>
      <w:proofErr w:type="spellEnd"/>
      <w:r>
        <w:t xml:space="preserve"> and </w:t>
      </w:r>
      <w:r>
        <w:rPr>
          <w:i/>
          <w:iCs/>
        </w:rPr>
        <w:t xml:space="preserve">Eucheuma </w:t>
      </w:r>
      <w:proofErr w:type="spellStart"/>
      <w:r>
        <w:rPr>
          <w:i/>
          <w:iCs/>
        </w:rPr>
        <w:t>denticulatum</w:t>
      </w:r>
      <w:proofErr w:type="spellEnd"/>
      <w:r>
        <w:t xml:space="preserve"> cultivated in Zanzibar, Tanzania. </w:t>
      </w:r>
      <w:r>
        <w:rPr>
          <w:i/>
          <w:iCs/>
        </w:rPr>
        <w:t>Journal of Applied Phycology, 34</w:t>
      </w:r>
      <w:r>
        <w:t>(6), 3069–3085. https://doi.org/10.1007/s10811-022-02835-7</w:t>
      </w:r>
    </w:p>
    <w:p w14:paraId="62BD0227" w14:textId="77777777" w:rsidR="00EC6E73" w:rsidRDefault="00981893">
      <w:pPr>
        <w:spacing w:after="140" w:line="300" w:lineRule="auto"/>
        <w:ind w:left="720" w:hanging="720"/>
      </w:pPr>
      <w:r>
        <w:t xml:space="preserve">Ngwenya, B. N., </w:t>
      </w:r>
      <w:proofErr w:type="spellStart"/>
      <w:r>
        <w:t>Mosepele</w:t>
      </w:r>
      <w:proofErr w:type="spellEnd"/>
      <w:r>
        <w:t xml:space="preserve">, K. K., &amp; </w:t>
      </w:r>
      <w:proofErr w:type="spellStart"/>
      <w:r>
        <w:t>Magole</w:t>
      </w:r>
      <w:proofErr w:type="spellEnd"/>
      <w:r>
        <w:t xml:space="preserve">, L. (2012). A case for gender equity in governance of the Okavango Delta fisheries in Botswana. </w:t>
      </w:r>
      <w:r>
        <w:rPr>
          <w:i/>
          <w:iCs/>
        </w:rPr>
        <w:t>Natural Resources Forum, 36</w:t>
      </w:r>
      <w:r>
        <w:t>(2), 109–122. https://doi.org/10.1111/j.1477-8947.2012.001450.x</w:t>
      </w:r>
    </w:p>
    <w:p w14:paraId="080871A1" w14:textId="77777777" w:rsidR="00EC6E73" w:rsidRDefault="00981893">
      <w:pPr>
        <w:spacing w:after="140" w:line="300" w:lineRule="auto"/>
        <w:ind w:left="720" w:hanging="720"/>
      </w:pPr>
      <w:r>
        <w:t xml:space="preserve">Njogu, L., Adam, R., &amp; Farnworth, C. R. (2024). Assessing women's empowerment, participation, and engagement in aquaculture in Bangladesh. </w:t>
      </w:r>
      <w:r>
        <w:rPr>
          <w:i/>
          <w:iCs/>
        </w:rPr>
        <w:t>Aquaculture International, 32</w:t>
      </w:r>
      <w:r>
        <w:t>(5), 6303–6331. https://doi.org/10.1007/s10499-024-01467-7</w:t>
      </w:r>
    </w:p>
    <w:p w14:paraId="46FBF0B3" w14:textId="77777777" w:rsidR="00EC6E73" w:rsidRDefault="00981893">
      <w:pPr>
        <w:spacing w:after="140" w:line="300" w:lineRule="auto"/>
        <w:ind w:left="720" w:hanging="720"/>
      </w:pPr>
      <w:r>
        <w:t xml:space="preserve">Ouko, K. O., Yugi, C. L., Oketch, M. O., Njogu, L., Mboya, J. B., Ogola, R. J., </w:t>
      </w:r>
      <w:proofErr w:type="spellStart"/>
      <w:r>
        <w:t>Aboge</w:t>
      </w:r>
      <w:proofErr w:type="spellEnd"/>
      <w:r>
        <w:t xml:space="preserve">, D., Muthoka, M., &amp; </w:t>
      </w:r>
      <w:proofErr w:type="spellStart"/>
      <w:r>
        <w:t>Midamba</w:t>
      </w:r>
      <w:proofErr w:type="spellEnd"/>
      <w:r>
        <w:t xml:space="preserve">, D. C. (2026). Unveiling gender inequities in small-scale fisheries and aquaculture in East Africa: A Harvard Analytical Framework approach. </w:t>
      </w:r>
      <w:r>
        <w:rPr>
          <w:i/>
          <w:iCs/>
        </w:rPr>
        <w:t>Aquaculture, Fish and Fisheries, 6</w:t>
      </w:r>
      <w:r>
        <w:t>(2), Article e70210. https://doi.org/10.1002/aff2.70210</w:t>
      </w:r>
    </w:p>
    <w:p w14:paraId="4A4DDA3E" w14:textId="77777777" w:rsidR="00EC6E73" w:rsidRDefault="00981893">
      <w:pPr>
        <w:spacing w:after="140" w:line="300" w:lineRule="auto"/>
        <w:ind w:left="720" w:hanging="720"/>
      </w:pPr>
      <w:r>
        <w:t xml:space="preserve">Palash, M. S., Haque, A. B. M. M., Rahman, M. W., </w:t>
      </w:r>
      <w:proofErr w:type="spellStart"/>
      <w:r>
        <w:t>Nahiduzzaman</w:t>
      </w:r>
      <w:proofErr w:type="spellEnd"/>
      <w:r>
        <w:t xml:space="preserve">, M., &amp; Hossain, A. (2024). Economic well-being induced women's empowerment: Evidence from coastal fishing communities of Bangladesh. </w:t>
      </w:r>
      <w:proofErr w:type="spellStart"/>
      <w:r>
        <w:rPr>
          <w:i/>
          <w:iCs/>
        </w:rPr>
        <w:t>Heliyon</w:t>
      </w:r>
      <w:proofErr w:type="spellEnd"/>
      <w:r>
        <w:rPr>
          <w:i/>
          <w:iCs/>
        </w:rPr>
        <w:t>, 10</w:t>
      </w:r>
      <w:r>
        <w:t>(7), Article e28743. https://doi.org/10.1016/j.heliyon.2024.e28743</w:t>
      </w:r>
    </w:p>
    <w:p w14:paraId="27BA66D9" w14:textId="77777777" w:rsidR="00EC6E73" w:rsidRDefault="00981893">
      <w:pPr>
        <w:spacing w:after="140" w:line="300" w:lineRule="auto"/>
        <w:ind w:left="720" w:hanging="720"/>
      </w:pPr>
      <w:r>
        <w:t xml:space="preserve">Pedroza-Gutiérrez, C., &amp; Hapke, H. M. (2022). Women's work in small-scale fisheries: A framework for accounting its value. </w:t>
      </w:r>
      <w:r>
        <w:rPr>
          <w:i/>
          <w:iCs/>
        </w:rPr>
        <w:t>Gender, Place &amp; Culture, 29</w:t>
      </w:r>
      <w:r>
        <w:t>(12), 1733–1750. https://doi.org/10.1080/0966369X.2021.1997936</w:t>
      </w:r>
    </w:p>
    <w:p w14:paraId="35086302" w14:textId="77777777" w:rsidR="00EC6E73" w:rsidRDefault="00981893">
      <w:pPr>
        <w:spacing w:after="140" w:line="300" w:lineRule="auto"/>
        <w:ind w:left="720" w:hanging="720"/>
      </w:pPr>
      <w:r>
        <w:t xml:space="preserve">Pike, F., Lindström, L., Ekstedt, J., </w:t>
      </w:r>
      <w:proofErr w:type="spellStart"/>
      <w:r>
        <w:t>Jiddawi</w:t>
      </w:r>
      <w:proofErr w:type="spellEnd"/>
      <w:r>
        <w:t xml:space="preserve">, N. S., &amp; de la Torre-Castro, M. (2024). Dynamic livelihoods, gender and poverty in marine protected areas: Case study from Zanzibar, Tanzania. </w:t>
      </w:r>
      <w:proofErr w:type="spellStart"/>
      <w:r>
        <w:rPr>
          <w:i/>
          <w:iCs/>
        </w:rPr>
        <w:t>Ambio</w:t>
      </w:r>
      <w:proofErr w:type="spellEnd"/>
      <w:r>
        <w:rPr>
          <w:i/>
          <w:iCs/>
        </w:rPr>
        <w:t>, 53</w:t>
      </w:r>
      <w:r>
        <w:t>(8), 1218–1233. https://doi.org/10.1007/s13280-024-02010-x</w:t>
      </w:r>
    </w:p>
    <w:p w14:paraId="1DCB04D7" w14:textId="77777777" w:rsidR="00EC6E73" w:rsidRDefault="00981893">
      <w:pPr>
        <w:spacing w:after="140" w:line="300" w:lineRule="auto"/>
        <w:ind w:left="720" w:hanging="720"/>
      </w:pPr>
      <w:r>
        <w:t xml:space="preserve">Quisumbing, A., Cole, S., Elias, M., Faas, S., </w:t>
      </w:r>
      <w:proofErr w:type="spellStart"/>
      <w:r>
        <w:t>Galiè</w:t>
      </w:r>
      <w:proofErr w:type="spellEnd"/>
      <w:r>
        <w:t xml:space="preserve">, A., Malapit, H., </w:t>
      </w:r>
      <w:proofErr w:type="spellStart"/>
      <w:r>
        <w:t>Meinzen</w:t>
      </w:r>
      <w:proofErr w:type="spellEnd"/>
      <w:r>
        <w:t xml:space="preserve">-Dick, R., Myers, E., Seymour, G., &amp; Twyman, J. (2023). Measuring women's empowerment in agriculture: Innovations and evidence. </w:t>
      </w:r>
      <w:r>
        <w:rPr>
          <w:i/>
          <w:iCs/>
        </w:rPr>
        <w:t>Global Food Security, 38</w:t>
      </w:r>
      <w:r>
        <w:t>, Article 100707. https://doi.org/10.1016/j.gfs.2023.100707</w:t>
      </w:r>
    </w:p>
    <w:p w14:paraId="10858007" w14:textId="77777777" w:rsidR="00EC6E73" w:rsidRDefault="00981893">
      <w:pPr>
        <w:spacing w:after="140" w:line="300" w:lineRule="auto"/>
        <w:ind w:left="720" w:hanging="720"/>
      </w:pPr>
      <w:r>
        <w:lastRenderedPageBreak/>
        <w:t xml:space="preserve">Ramirez, P. J. B., Narvaez, T. A., &amp; Santos-Ramirez, E. J. (2020). Gender-inclusive value chains: The case of seaweed farming in Zamboanga Peninsula, Philippines. </w:t>
      </w:r>
      <w:r>
        <w:rPr>
          <w:i/>
          <w:iCs/>
        </w:rPr>
        <w:t>Gender, Technology and Development, 24</w:t>
      </w:r>
      <w:r>
        <w:t>(1), 110–130. https://doi.org/10.1080/09718524.2020.1728810</w:t>
      </w:r>
    </w:p>
    <w:p w14:paraId="6C8D50CD" w14:textId="77777777" w:rsidR="00EC6E73" w:rsidRDefault="00981893">
      <w:pPr>
        <w:spacing w:after="140" w:line="300" w:lineRule="auto"/>
        <w:ind w:left="720" w:hanging="720"/>
      </w:pPr>
      <w:r>
        <w:t xml:space="preserve">Rao, N. (2017). Assets, agency and legitimacy: Towards a relational understanding of gender equality policy and practice. </w:t>
      </w:r>
      <w:r>
        <w:rPr>
          <w:i/>
          <w:iCs/>
        </w:rPr>
        <w:t>World Development, 95</w:t>
      </w:r>
      <w:r>
        <w:t>, 43–54. https://doi.org/10.1016/j.worlddev.2017.02.018</w:t>
      </w:r>
    </w:p>
    <w:p w14:paraId="0461B486" w14:textId="77777777" w:rsidR="00EC6E73" w:rsidRDefault="00981893">
      <w:pPr>
        <w:spacing w:after="140" w:line="300" w:lineRule="auto"/>
        <w:ind w:left="720" w:hanging="720"/>
      </w:pPr>
      <w:r>
        <w:t xml:space="preserve">Rao, N., &amp; </w:t>
      </w:r>
      <w:proofErr w:type="spellStart"/>
      <w:r>
        <w:t>Djohari</w:t>
      </w:r>
      <w:proofErr w:type="spellEnd"/>
      <w:r>
        <w:t xml:space="preserve">, N. (2024). Both visible and invisible: Women, risk-taking and the expansion of fisheries technologies in South India. </w:t>
      </w:r>
      <w:r>
        <w:rPr>
          <w:i/>
          <w:iCs/>
        </w:rPr>
        <w:t>Gender, Technology and Development, 28</w:t>
      </w:r>
      <w:r>
        <w:t>(1), 29–49. https://doi.org/10.1080/09718524.2023.2264526</w:t>
      </w:r>
    </w:p>
    <w:p w14:paraId="33572976" w14:textId="77777777" w:rsidR="00EC6E73" w:rsidRDefault="00981893">
      <w:pPr>
        <w:spacing w:after="140" w:line="300" w:lineRule="auto"/>
        <w:ind w:left="720" w:hanging="720"/>
      </w:pPr>
      <w:r>
        <w:t xml:space="preserve">Rice, E. D., Gondwe, E., Bennett, A. E., </w:t>
      </w:r>
      <w:proofErr w:type="spellStart"/>
      <w:r>
        <w:t>Okanga</w:t>
      </w:r>
      <w:proofErr w:type="spellEnd"/>
      <w:r>
        <w:t>, P. A., Osho-</w:t>
      </w:r>
      <w:proofErr w:type="spellStart"/>
      <w:r>
        <w:t>Abdulgafar</w:t>
      </w:r>
      <w:proofErr w:type="spellEnd"/>
      <w:r>
        <w:t xml:space="preserve">, N. F., Fakoya, K., </w:t>
      </w:r>
      <w:proofErr w:type="spellStart"/>
      <w:r>
        <w:t>Oloko</w:t>
      </w:r>
      <w:proofErr w:type="spellEnd"/>
      <w:r>
        <w:t xml:space="preserve">, A., Harper, S., Kawaye, P. C., Chuku, E. O., &amp; Smith, H. (2024). The future of gender research in small-scale fisheries: Priorities and pathways for advancing gender equity. </w:t>
      </w:r>
      <w:r>
        <w:rPr>
          <w:i/>
          <w:iCs/>
        </w:rPr>
        <w:t>Fish and Fisheries, 25</w:t>
      </w:r>
      <w:r>
        <w:t>(3), 401–408. https://doi.org/10.1111/faf.12814</w:t>
      </w:r>
    </w:p>
    <w:p w14:paraId="31DE50DC" w14:textId="77777777" w:rsidR="00EC6E73" w:rsidRDefault="00981893">
      <w:pPr>
        <w:spacing w:after="140" w:line="300" w:lineRule="auto"/>
        <w:ind w:left="720" w:hanging="720"/>
      </w:pPr>
      <w:r>
        <w:t xml:space="preserve">Salguero-Velázquez, A., Solano, N., Fernandez-Rivera Melo, F. J., López-Ercilla, I., &amp; Torre, J. (2022). Characterization of masculinity expressions and their influence on the participation of women in Mexican small-scale fisheries. </w:t>
      </w:r>
      <w:r>
        <w:rPr>
          <w:i/>
          <w:iCs/>
        </w:rPr>
        <w:t>Maritime Studies, 21</w:t>
      </w:r>
      <w:r>
        <w:t>(3), 363–378. https://doi.org/10.1007/s40152-022-00276-z</w:t>
      </w:r>
    </w:p>
    <w:p w14:paraId="38D0DC38" w14:textId="77777777" w:rsidR="00EC6E73" w:rsidRDefault="00981893">
      <w:pPr>
        <w:spacing w:after="140" w:line="300" w:lineRule="auto"/>
        <w:ind w:left="720" w:hanging="720"/>
      </w:pPr>
      <w:r>
        <w:t xml:space="preserve">Smith, H., &amp; Basurto, X. (2019). Defining small-scale fisheries and examining the role of science in shaping perceptions of who and what counts: A systematic review. </w:t>
      </w:r>
      <w:r>
        <w:rPr>
          <w:i/>
          <w:iCs/>
        </w:rPr>
        <w:t>Frontiers in Marine Science, 6</w:t>
      </w:r>
      <w:r>
        <w:t>, Article 236. https://doi.org/10.3389/fmars.2019.00236</w:t>
      </w:r>
    </w:p>
    <w:p w14:paraId="3F9D1115" w14:textId="77777777" w:rsidR="00EC6E73" w:rsidRDefault="00981893">
      <w:pPr>
        <w:spacing w:after="140" w:line="300" w:lineRule="auto"/>
        <w:ind w:left="720" w:hanging="720"/>
      </w:pPr>
      <w:r>
        <w:t xml:space="preserve">Swathi Lekshmi, P. S., Radhakrishnan, K., </w:t>
      </w:r>
      <w:proofErr w:type="spellStart"/>
      <w:r>
        <w:t>Narayanakumar</w:t>
      </w:r>
      <w:proofErr w:type="spellEnd"/>
      <w:r>
        <w:t xml:space="preserve">, R., </w:t>
      </w:r>
      <w:proofErr w:type="spellStart"/>
      <w:r>
        <w:t>Vipinkumar</w:t>
      </w:r>
      <w:proofErr w:type="spellEnd"/>
      <w:r>
        <w:t xml:space="preserve">, V. P., </w:t>
      </w:r>
      <w:proofErr w:type="spellStart"/>
      <w:r>
        <w:t>Parappurathu</w:t>
      </w:r>
      <w:proofErr w:type="spellEnd"/>
      <w:r>
        <w:t xml:space="preserve">, S., Salim, S. S., Johnson, B., &amp; </w:t>
      </w:r>
      <w:proofErr w:type="spellStart"/>
      <w:r>
        <w:t>Pattnaik</w:t>
      </w:r>
      <w:proofErr w:type="spellEnd"/>
      <w:r>
        <w:t xml:space="preserve">, P. (2022). Gender and small-scale fisheries: Contribution to livelihood and local economies. </w:t>
      </w:r>
      <w:r>
        <w:rPr>
          <w:i/>
          <w:iCs/>
        </w:rPr>
        <w:t>Marine Policy, 136</w:t>
      </w:r>
      <w:r>
        <w:t>, Article 104913. https://doi.org/10.1016/j.marpol.2021.104913</w:t>
      </w:r>
    </w:p>
    <w:p w14:paraId="07A52A13" w14:textId="77777777" w:rsidR="00EC6E73" w:rsidRDefault="00981893">
      <w:pPr>
        <w:spacing w:after="140" w:line="300" w:lineRule="auto"/>
        <w:ind w:left="720" w:hanging="720"/>
      </w:pPr>
      <w:r>
        <w:t xml:space="preserve">Teh, L. C. L., &amp; Sumaila, U. R. (2013). Contribution of marine fisheries to worldwide employment. </w:t>
      </w:r>
      <w:r>
        <w:rPr>
          <w:i/>
          <w:iCs/>
        </w:rPr>
        <w:t>Fish and Fisheries, 14</w:t>
      </w:r>
      <w:r>
        <w:t>(1), 77–88. https://doi.org/10.1111/j.1467-2979.2011.00450.x</w:t>
      </w:r>
    </w:p>
    <w:p w14:paraId="664BCD67" w14:textId="77777777" w:rsidR="00EC6E73" w:rsidRDefault="00981893">
      <w:pPr>
        <w:spacing w:after="140" w:line="300" w:lineRule="auto"/>
        <w:ind w:left="720" w:hanging="720"/>
      </w:pPr>
      <w:r>
        <w:t xml:space="preserve">Thomas, A., </w:t>
      </w:r>
      <w:proofErr w:type="spellStart"/>
      <w:r>
        <w:t>Mangubhai</w:t>
      </w:r>
      <w:proofErr w:type="spellEnd"/>
      <w:r>
        <w:t xml:space="preserve">, S., Fox, M., Meo, S., Miller, K., </w:t>
      </w:r>
      <w:proofErr w:type="spellStart"/>
      <w:r>
        <w:t>Naisilisili</w:t>
      </w:r>
      <w:proofErr w:type="spellEnd"/>
      <w:r>
        <w:t xml:space="preserve">, W., </w:t>
      </w:r>
      <w:proofErr w:type="spellStart"/>
      <w:r>
        <w:t>Veitayaki</w:t>
      </w:r>
      <w:proofErr w:type="spellEnd"/>
      <w:r>
        <w:t xml:space="preserve">, J., &amp; </w:t>
      </w:r>
      <w:proofErr w:type="spellStart"/>
      <w:r>
        <w:t>Waqairatu</w:t>
      </w:r>
      <w:proofErr w:type="spellEnd"/>
      <w:r>
        <w:t xml:space="preserve">, S. (2021). Why they must be counted: Significant contributions of Fijian women fishers to food security and livelihoods. </w:t>
      </w:r>
      <w:r>
        <w:rPr>
          <w:i/>
          <w:iCs/>
        </w:rPr>
        <w:t>Ocean &amp; Coastal Management, 205</w:t>
      </w:r>
      <w:r>
        <w:t>, Article 105571. https://doi.org/10.1016/j.ocecoaman.2021.105571</w:t>
      </w:r>
    </w:p>
    <w:p w14:paraId="0513D298" w14:textId="77777777" w:rsidR="00EC6E73" w:rsidRDefault="00981893">
      <w:pPr>
        <w:spacing w:after="140" w:line="300" w:lineRule="auto"/>
        <w:ind w:left="720" w:hanging="720"/>
      </w:pPr>
      <w:r>
        <w:t xml:space="preserve">Torell, E., </w:t>
      </w:r>
      <w:proofErr w:type="spellStart"/>
      <w:r>
        <w:t>Manyungwa-Pasani</w:t>
      </w:r>
      <w:proofErr w:type="spellEnd"/>
      <w:r>
        <w:t xml:space="preserve">, C., Bilecki, D., </w:t>
      </w:r>
      <w:proofErr w:type="spellStart"/>
      <w:r>
        <w:t>Gumulira</w:t>
      </w:r>
      <w:proofErr w:type="spellEnd"/>
      <w:r>
        <w:t xml:space="preserve">, I., &amp; </w:t>
      </w:r>
      <w:proofErr w:type="spellStart"/>
      <w:r>
        <w:t>Yiwombe</w:t>
      </w:r>
      <w:proofErr w:type="spellEnd"/>
      <w:r>
        <w:t xml:space="preserve">, G. (2021). Assessing and advancing gender equity in Lake Malawi's small-scale fisheries sector. </w:t>
      </w:r>
      <w:r>
        <w:rPr>
          <w:i/>
          <w:iCs/>
        </w:rPr>
        <w:t>Sustainability, 13</w:t>
      </w:r>
      <w:r>
        <w:t>(23), Article 13001. https://doi.org/10.3390/su132313001</w:t>
      </w:r>
    </w:p>
    <w:p w14:paraId="6482D374" w14:textId="77777777" w:rsidR="00EC6E73" w:rsidRDefault="00981893">
      <w:pPr>
        <w:spacing w:after="140" w:line="300" w:lineRule="auto"/>
        <w:ind w:left="720" w:hanging="720"/>
      </w:pPr>
      <w:proofErr w:type="spellStart"/>
      <w:r>
        <w:lastRenderedPageBreak/>
        <w:t>Weeratunge</w:t>
      </w:r>
      <w:proofErr w:type="spellEnd"/>
      <w:r>
        <w:t xml:space="preserve">, N., Snyder, K. A., &amp; Sze, C. P. (2010). Gleaner, fisher, trader, processor: Understanding gendered employment in fisheries and aquaculture. </w:t>
      </w:r>
      <w:r>
        <w:rPr>
          <w:i/>
          <w:iCs/>
        </w:rPr>
        <w:t>Fish and Fisheries, 11</w:t>
      </w:r>
      <w:r>
        <w:t>(4), 405–420. https://doi.org/10.1111/j.1467-2979.2010.00368.x</w:t>
      </w:r>
    </w:p>
    <w:p w14:paraId="09F6F8DD" w14:textId="77777777" w:rsidR="00EC6E73" w:rsidRDefault="00981893">
      <w:pPr>
        <w:spacing w:after="140" w:line="300" w:lineRule="auto"/>
        <w:ind w:left="720" w:hanging="720"/>
      </w:pPr>
      <w:r>
        <w:t xml:space="preserve">Williams, M. J., Gopal, N., Kusakabe, K., &amp; </w:t>
      </w:r>
      <w:proofErr w:type="spellStart"/>
      <w:r>
        <w:t>Fakoya</w:t>
      </w:r>
      <w:proofErr w:type="spellEnd"/>
      <w:r>
        <w:t xml:space="preserve">, K. (2025). Women work in fisheries too: The Gender in Aquaculture and Fisheries Section story. </w:t>
      </w:r>
      <w:r>
        <w:rPr>
          <w:i/>
          <w:iCs/>
        </w:rPr>
        <w:t>Frontiers in Ocean Sustainability, 3</w:t>
      </w:r>
      <w:r>
        <w:t>, Article 1599625. https://doi.org/10.3389/focsu.2025.1599625</w:t>
      </w:r>
    </w:p>
    <w:p w14:paraId="62B5E317" w14:textId="77777777" w:rsidR="00EC6E73" w:rsidRDefault="00981893">
      <w:pPr>
        <w:spacing w:after="140" w:line="300" w:lineRule="auto"/>
        <w:ind w:left="720" w:hanging="720"/>
      </w:pPr>
      <w:r>
        <w:t xml:space="preserve">Yadao-Evans, W., Lopez, D. E., Aigrette, L., Arce-Peña, N., Beeston, M., Canty, S. W. J., De Silva, S., Grimm, K. E., Hamilton, J., House, J., Howard, J., James, R., Lawless, S., </w:t>
      </w:r>
      <w:proofErr w:type="spellStart"/>
      <w:r>
        <w:t>Mangubhai</w:t>
      </w:r>
      <w:proofErr w:type="spellEnd"/>
      <w:r>
        <w:t xml:space="preserve">, S., McDougall, C., Montgomery, K., Naggea, J., Nightingale, M., Pidgeon, E., … Ying, L. (2025). Advancing interdisciplinary science of gender is key to the success of blue carbon initiatives. </w:t>
      </w:r>
      <w:r>
        <w:rPr>
          <w:i/>
          <w:iCs/>
        </w:rPr>
        <w:t>Nature Communications, 16</w:t>
      </w:r>
      <w:r>
        <w:t>(1), Article 10184. https://doi.org/10.1038/s41467-025-65593-3</w:t>
      </w:r>
    </w:p>
    <w:sectPr w:rsidR="00EC6E7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591EB" w14:textId="77777777" w:rsidR="00BA18F1" w:rsidRDefault="00BA18F1" w:rsidP="003F3D62">
      <w:r>
        <w:separator/>
      </w:r>
    </w:p>
  </w:endnote>
  <w:endnote w:type="continuationSeparator" w:id="0">
    <w:p w14:paraId="2AA24335" w14:textId="77777777" w:rsidR="00BA18F1" w:rsidRDefault="00BA18F1" w:rsidP="003F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29D5" w14:textId="77777777" w:rsidR="003F3D62" w:rsidRDefault="003F3D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D1F2" w14:textId="77777777" w:rsidR="003F3D62" w:rsidRDefault="003F3D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43C8" w14:textId="77777777" w:rsidR="003F3D62" w:rsidRDefault="003F3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4923" w14:textId="77777777" w:rsidR="00BA18F1" w:rsidRDefault="00BA18F1" w:rsidP="003F3D62">
      <w:r>
        <w:separator/>
      </w:r>
    </w:p>
  </w:footnote>
  <w:footnote w:type="continuationSeparator" w:id="0">
    <w:p w14:paraId="333313A9" w14:textId="77777777" w:rsidR="00BA18F1" w:rsidRDefault="00BA18F1" w:rsidP="003F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292E" w14:textId="15176BB4" w:rsidR="003F3D62" w:rsidRDefault="003F3D62">
    <w:pPr>
      <w:pStyle w:val="Header"/>
    </w:pPr>
    <w:r>
      <w:rPr>
        <w:noProof/>
      </w:rPr>
      <w:pict w14:anchorId="2FF2EA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E4F" w14:textId="57055618" w:rsidR="003F3D62" w:rsidRDefault="003F3D62">
    <w:pPr>
      <w:pStyle w:val="Header"/>
    </w:pPr>
    <w:r>
      <w:rPr>
        <w:noProof/>
      </w:rPr>
      <w:pict w14:anchorId="5B7FF5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4094" w14:textId="1B6AE396" w:rsidR="003F3D62" w:rsidRDefault="003F3D62">
    <w:pPr>
      <w:pStyle w:val="Header"/>
    </w:pPr>
    <w:r>
      <w:rPr>
        <w:noProof/>
      </w:rPr>
      <w:pict w14:anchorId="03D848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9375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1C7E"/>
    <w:multiLevelType w:val="hybridMultilevel"/>
    <w:tmpl w:val="5F9C799C"/>
    <w:lvl w:ilvl="0" w:tplc="CCEAD540">
      <w:start w:val="1"/>
      <w:numFmt w:val="bullet"/>
      <w:lvlText w:val="●"/>
      <w:lvlJc w:val="left"/>
      <w:pPr>
        <w:ind w:left="720" w:hanging="360"/>
      </w:pPr>
    </w:lvl>
    <w:lvl w:ilvl="1" w:tplc="76F05CDE">
      <w:start w:val="1"/>
      <w:numFmt w:val="bullet"/>
      <w:lvlText w:val="○"/>
      <w:lvlJc w:val="left"/>
      <w:pPr>
        <w:ind w:left="1440" w:hanging="360"/>
      </w:pPr>
    </w:lvl>
    <w:lvl w:ilvl="2" w:tplc="1158B48E">
      <w:start w:val="1"/>
      <w:numFmt w:val="bullet"/>
      <w:lvlText w:val="■"/>
      <w:lvlJc w:val="left"/>
      <w:pPr>
        <w:ind w:left="2160" w:hanging="360"/>
      </w:pPr>
    </w:lvl>
    <w:lvl w:ilvl="3" w:tplc="53764A4C">
      <w:start w:val="1"/>
      <w:numFmt w:val="bullet"/>
      <w:lvlText w:val="●"/>
      <w:lvlJc w:val="left"/>
      <w:pPr>
        <w:ind w:left="2880" w:hanging="360"/>
      </w:pPr>
    </w:lvl>
    <w:lvl w:ilvl="4" w:tplc="CB90D25C">
      <w:start w:val="1"/>
      <w:numFmt w:val="bullet"/>
      <w:lvlText w:val="○"/>
      <w:lvlJc w:val="left"/>
      <w:pPr>
        <w:ind w:left="3600" w:hanging="360"/>
      </w:pPr>
    </w:lvl>
    <w:lvl w:ilvl="5" w:tplc="88B6534E">
      <w:start w:val="1"/>
      <w:numFmt w:val="bullet"/>
      <w:lvlText w:val="■"/>
      <w:lvlJc w:val="left"/>
      <w:pPr>
        <w:ind w:left="4320" w:hanging="360"/>
      </w:pPr>
    </w:lvl>
    <w:lvl w:ilvl="6" w:tplc="6E62325C">
      <w:start w:val="1"/>
      <w:numFmt w:val="bullet"/>
      <w:lvlText w:val="●"/>
      <w:lvlJc w:val="left"/>
      <w:pPr>
        <w:ind w:left="5040" w:hanging="360"/>
      </w:pPr>
    </w:lvl>
    <w:lvl w:ilvl="7" w:tplc="52C277DA">
      <w:start w:val="1"/>
      <w:numFmt w:val="bullet"/>
      <w:lvlText w:val="●"/>
      <w:lvlJc w:val="left"/>
      <w:pPr>
        <w:ind w:left="5760" w:hanging="360"/>
      </w:pPr>
    </w:lvl>
    <w:lvl w:ilvl="8" w:tplc="6B6A3B2C">
      <w:start w:val="1"/>
      <w:numFmt w:val="bullet"/>
      <w:lvlText w:val="●"/>
      <w:lvlJc w:val="left"/>
      <w:pPr>
        <w:ind w:left="6480" w:hanging="360"/>
      </w:pPr>
    </w:lvl>
  </w:abstractNum>
  <w:num w:numId="1" w16cid:durableId="12577137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E73"/>
    <w:rsid w:val="000971F6"/>
    <w:rsid w:val="003733A6"/>
    <w:rsid w:val="003F3D62"/>
    <w:rsid w:val="00874A7D"/>
    <w:rsid w:val="00981893"/>
    <w:rsid w:val="00BA18F1"/>
    <w:rsid w:val="00DE554A"/>
    <w:rsid w:val="00EC6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ABC0E"/>
  <w15:docId w15:val="{A3F9ACA4-77DD-4DB6-A971-7EDB41E1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3D62"/>
    <w:pPr>
      <w:tabs>
        <w:tab w:val="center" w:pos="4513"/>
        <w:tab w:val="right" w:pos="9026"/>
      </w:tabs>
    </w:pPr>
  </w:style>
  <w:style w:type="character" w:customStyle="1" w:styleId="HeaderChar">
    <w:name w:val="Header Char"/>
    <w:basedOn w:val="DefaultParagraphFont"/>
    <w:link w:val="Header"/>
    <w:uiPriority w:val="99"/>
    <w:rsid w:val="003F3D62"/>
  </w:style>
  <w:style w:type="paragraph" w:styleId="Footer">
    <w:name w:val="footer"/>
    <w:basedOn w:val="Normal"/>
    <w:link w:val="FooterChar"/>
    <w:uiPriority w:val="99"/>
    <w:unhideWhenUsed/>
    <w:rsid w:val="003F3D62"/>
    <w:pPr>
      <w:tabs>
        <w:tab w:val="center" w:pos="4513"/>
        <w:tab w:val="right" w:pos="9026"/>
      </w:tabs>
    </w:pPr>
  </w:style>
  <w:style w:type="character" w:customStyle="1" w:styleId="FooterChar">
    <w:name w:val="Footer Char"/>
    <w:basedOn w:val="DefaultParagraphFont"/>
    <w:link w:val="Footer"/>
    <w:uiPriority w:val="99"/>
    <w:rsid w:val="003F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44</Pages>
  <Words>18408</Words>
  <Characters>104929</Characters>
  <Application>Microsoft Office Word</Application>
  <DocSecurity>0</DocSecurity>
  <Lines>874</Lines>
  <Paragraphs>246</Paragraphs>
  <ScaleCrop>false</ScaleCrop>
  <Company>HP</Company>
  <LinksUpToDate>false</LinksUpToDate>
  <CharactersWithSpaces>123091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2026-08-09T13:42:00Z</dcterms:created>
  <dcterms:modified xsi:type="dcterms:W3CDTF">2026-08-10T12:45:00Z</dcterms:modified>
</cp:coreProperties>
</file>