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3881" w14:textId="77777777" w:rsidR="00A95BA9" w:rsidRPr="007A5D58" w:rsidRDefault="00000000">
      <w:pPr>
        <w:jc w:val="center"/>
        <w:rPr>
          <w:rFonts w:ascii="Times New Roman" w:hAnsi="Times New Roman" w:cs="Times New Roman"/>
          <w:b/>
          <w:bCs/>
          <w:sz w:val="28"/>
          <w:szCs w:val="28"/>
        </w:rPr>
      </w:pPr>
      <w:r w:rsidRPr="007A5D58">
        <w:rPr>
          <w:rFonts w:ascii="Times New Roman" w:hAnsi="Times New Roman" w:cs="Times New Roman"/>
          <w:b/>
          <w:bCs/>
          <w:sz w:val="28"/>
          <w:szCs w:val="28"/>
        </w:rPr>
        <w:t>EFFECT OF CADMIUM TOXICITY ON MEMORY, PAIN SENSITIVITY AND IMMUNITY IN FEMALE ALBINO RATS</w:t>
      </w:r>
    </w:p>
    <w:p w14:paraId="2A0A3E6D" w14:textId="77777777" w:rsidR="00CC1A74" w:rsidRDefault="00CC1A74">
      <w:pPr>
        <w:tabs>
          <w:tab w:val="left" w:pos="380"/>
        </w:tabs>
        <w:jc w:val="both"/>
        <w:rPr>
          <w:rFonts w:ascii="Times New Roman" w:hAnsi="Times New Roman" w:cs="Times New Roman"/>
          <w:b/>
          <w:bCs/>
          <w:sz w:val="24"/>
          <w:szCs w:val="24"/>
        </w:rPr>
      </w:pPr>
      <w:bookmarkStart w:id="0" w:name="_Hlk229490294"/>
      <w:bookmarkStart w:id="1" w:name="_Hlk229515566"/>
    </w:p>
    <w:p w14:paraId="18A5B35C" w14:textId="77777777" w:rsidR="00CC1A74" w:rsidRDefault="00CC1A74">
      <w:pPr>
        <w:tabs>
          <w:tab w:val="left" w:pos="380"/>
        </w:tabs>
        <w:jc w:val="both"/>
        <w:rPr>
          <w:rFonts w:ascii="Times New Roman" w:hAnsi="Times New Roman" w:cs="Times New Roman"/>
          <w:b/>
          <w:bCs/>
          <w:sz w:val="24"/>
          <w:szCs w:val="24"/>
        </w:rPr>
      </w:pPr>
    </w:p>
    <w:p w14:paraId="21599EFE" w14:textId="77777777" w:rsidR="00CC1A74" w:rsidRDefault="00CC1A74">
      <w:pPr>
        <w:tabs>
          <w:tab w:val="left" w:pos="380"/>
        </w:tabs>
        <w:jc w:val="both"/>
        <w:rPr>
          <w:rFonts w:ascii="Times New Roman" w:hAnsi="Times New Roman" w:cs="Times New Roman"/>
          <w:b/>
          <w:bCs/>
          <w:sz w:val="24"/>
          <w:szCs w:val="24"/>
        </w:rPr>
      </w:pPr>
    </w:p>
    <w:p w14:paraId="3B3613B7" w14:textId="27DE9728" w:rsidR="00A95BA9" w:rsidRPr="007A5D58" w:rsidRDefault="00000000">
      <w:pPr>
        <w:tabs>
          <w:tab w:val="left" w:pos="380"/>
        </w:tabs>
        <w:jc w:val="both"/>
        <w:rPr>
          <w:rFonts w:ascii="Times New Roman" w:hAnsi="Times New Roman" w:cs="Times New Roman"/>
          <w:b/>
          <w:bCs/>
          <w:sz w:val="28"/>
          <w:szCs w:val="28"/>
          <w:u w:val="single"/>
        </w:rPr>
      </w:pPr>
      <w:r w:rsidRPr="007A5D58">
        <w:rPr>
          <w:rFonts w:ascii="Times New Roman" w:hAnsi="Times New Roman" w:cs="Times New Roman"/>
          <w:b/>
          <w:bCs/>
          <w:sz w:val="28"/>
          <w:szCs w:val="28"/>
          <w:u w:val="single"/>
        </w:rPr>
        <w:t>Abstract</w:t>
      </w:r>
    </w:p>
    <w:p w14:paraId="249F2814"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b/>
          <w:bCs/>
          <w:sz w:val="24"/>
          <w:szCs w:val="24"/>
        </w:rPr>
        <w:t xml:space="preserve">Background: </w:t>
      </w:r>
      <w:r w:rsidRPr="007A5D58">
        <w:rPr>
          <w:rFonts w:ascii="Times New Roman" w:hAnsi="Times New Roman" w:cs="Times New Roman"/>
          <w:sz w:val="24"/>
          <w:szCs w:val="24"/>
        </w:rPr>
        <w:t>Cadmium (Cd) is a highly toxic metal found in cigarette smoke, industrial waste and agricultural chemicals. Unlike essential minerals like zinc, the body cannot easily eliminate Cadmium, leading to accumulation in vital organs and chronic physiological damage. This study assessed Cadmium effect on spatial memory, pain sensation and immunity in female albino rats.</w:t>
      </w:r>
    </w:p>
    <w:p w14:paraId="08D13D84"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b/>
          <w:bCs/>
          <w:sz w:val="24"/>
          <w:szCs w:val="24"/>
        </w:rPr>
        <w:t xml:space="preserve">Methodology: </w:t>
      </w:r>
      <w:r w:rsidRPr="007A5D58">
        <w:rPr>
          <w:rFonts w:ascii="Times New Roman" w:hAnsi="Times New Roman" w:cs="Times New Roman"/>
          <w:sz w:val="24"/>
          <w:szCs w:val="24"/>
        </w:rPr>
        <w:t>Fifteen female albino rats were divided into three groups: a control and two treatment groups receiving a single intraperitoneal dose of 2 mg/kg and 3 mg/kg of Cadmium respectively. Spatial memory was assessed via the Y-maze test and pain sensitivity using the Formalin test (early &amp; late phase). Immune response was measured through Total White Blood Cell and differential counts, while weight change was monitored through daily weight measurement for seven days.</w:t>
      </w:r>
    </w:p>
    <w:p w14:paraId="5E31B7E9"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Results: </w:t>
      </w:r>
      <w:r w:rsidRPr="007A5D58">
        <w:rPr>
          <w:rFonts w:ascii="Times New Roman" w:hAnsi="Times New Roman" w:cs="Times New Roman"/>
          <w:sz w:val="24"/>
          <w:szCs w:val="24"/>
        </w:rPr>
        <w:t xml:space="preserve">Cadmium administration led to a dose-dependent reduction in Y-maze percentage alternations and a significant reduction in Y-maze arm entries. A significant (p &lt; 0.05) decrease in pain-related behavior occurred in the late phase of the Formalin test. The 3 mg/kg group showed a significant reduction in Total WBC count, stable differential count between the control and treated groups, and a non-significant reduction in the eosinophil and basophil percentages in the Cadmium-treated group compared to the control. Also, treated groups showed a reduction in body weight change compared to the control. </w:t>
      </w:r>
    </w:p>
    <w:p w14:paraId="34694002"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Conclusion: </w:t>
      </w:r>
      <w:r w:rsidRPr="007A5D58">
        <w:rPr>
          <w:rFonts w:ascii="Times New Roman" w:hAnsi="Times New Roman" w:cs="Times New Roman"/>
          <w:sz w:val="24"/>
          <w:szCs w:val="24"/>
        </w:rPr>
        <w:t>This study concludes that Cadmium is a multi-systemic toxin. It causes cognitive impairment, alters pain perception, suppresses the immune system and reduces body weight gain in female albino rats.</w:t>
      </w:r>
    </w:p>
    <w:p w14:paraId="44C968D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Keywords: </w:t>
      </w:r>
      <w:r w:rsidRPr="007A5D58">
        <w:rPr>
          <w:rFonts w:ascii="Times New Roman" w:hAnsi="Times New Roman" w:cs="Times New Roman"/>
          <w:sz w:val="24"/>
          <w:szCs w:val="24"/>
        </w:rPr>
        <w:t>Cadmium-toxicity, Female albino rats, Spatial memory, White Blood Cell count, Formalin test</w:t>
      </w:r>
    </w:p>
    <w:bookmarkEnd w:id="0"/>
    <w:bookmarkEnd w:id="1"/>
    <w:p w14:paraId="7DC6D677" w14:textId="77777777" w:rsidR="00A95BA9" w:rsidRPr="007A5D58" w:rsidRDefault="00A95BA9">
      <w:pPr>
        <w:jc w:val="both"/>
        <w:rPr>
          <w:rFonts w:ascii="Times New Roman" w:hAnsi="Times New Roman" w:cs="Times New Roman"/>
          <w:sz w:val="24"/>
          <w:szCs w:val="24"/>
        </w:rPr>
        <w:sectPr w:rsidR="00A95BA9" w:rsidRPr="007A5D58">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360"/>
        </w:sectPr>
      </w:pPr>
    </w:p>
    <w:p w14:paraId="501E8A71" w14:textId="77777777" w:rsidR="00A95BA9" w:rsidRPr="007A5D58" w:rsidRDefault="00A95BA9">
      <w:pPr>
        <w:tabs>
          <w:tab w:val="left" w:pos="5267"/>
        </w:tabs>
        <w:rPr>
          <w:rFonts w:ascii="Times New Roman" w:hAnsi="Times New Roman" w:cs="Times New Roman"/>
          <w:sz w:val="24"/>
          <w:szCs w:val="24"/>
        </w:rPr>
      </w:pPr>
    </w:p>
    <w:p w14:paraId="3EB1EA97" w14:textId="77777777" w:rsidR="00A95BA9" w:rsidRPr="007A5D58" w:rsidRDefault="00A95BA9">
      <w:pPr>
        <w:tabs>
          <w:tab w:val="left" w:pos="5267"/>
        </w:tabs>
        <w:rPr>
          <w:rFonts w:ascii="Times New Roman" w:hAnsi="Times New Roman" w:cs="Times New Roman"/>
          <w:b/>
          <w:bCs/>
          <w:sz w:val="28"/>
          <w:szCs w:val="28"/>
          <w:u w:val="single"/>
        </w:rPr>
      </w:pPr>
    </w:p>
    <w:p w14:paraId="4A817F04" w14:textId="77777777" w:rsidR="00A95BA9" w:rsidRPr="007A5D58" w:rsidRDefault="00A95BA9">
      <w:pPr>
        <w:tabs>
          <w:tab w:val="left" w:pos="5267"/>
        </w:tabs>
        <w:rPr>
          <w:rFonts w:ascii="Times New Roman" w:hAnsi="Times New Roman" w:cs="Times New Roman"/>
          <w:b/>
          <w:bCs/>
          <w:sz w:val="28"/>
          <w:szCs w:val="28"/>
          <w:u w:val="single"/>
        </w:rPr>
      </w:pPr>
    </w:p>
    <w:p w14:paraId="64F2A653" w14:textId="77777777" w:rsidR="00A95BA9" w:rsidRDefault="00A95BA9">
      <w:pPr>
        <w:tabs>
          <w:tab w:val="left" w:pos="5267"/>
        </w:tabs>
        <w:rPr>
          <w:rFonts w:ascii="Times New Roman" w:hAnsi="Times New Roman" w:cs="Times New Roman"/>
          <w:b/>
          <w:bCs/>
          <w:sz w:val="28"/>
          <w:szCs w:val="28"/>
          <w:u w:val="single"/>
        </w:rPr>
      </w:pPr>
    </w:p>
    <w:p w14:paraId="650BFF3E" w14:textId="77777777" w:rsidR="004E6291" w:rsidRPr="007A5D58" w:rsidRDefault="004E6291">
      <w:pPr>
        <w:tabs>
          <w:tab w:val="left" w:pos="5267"/>
        </w:tabs>
        <w:rPr>
          <w:rFonts w:ascii="Times New Roman" w:hAnsi="Times New Roman" w:cs="Times New Roman"/>
          <w:b/>
          <w:bCs/>
          <w:sz w:val="28"/>
          <w:szCs w:val="28"/>
          <w:u w:val="single"/>
        </w:rPr>
      </w:pPr>
    </w:p>
    <w:p w14:paraId="4BE3B13E" w14:textId="77777777" w:rsidR="00A95BA9" w:rsidRPr="007A5D58" w:rsidRDefault="00000000">
      <w:pPr>
        <w:tabs>
          <w:tab w:val="left" w:pos="5267"/>
        </w:tabs>
        <w:rPr>
          <w:rFonts w:ascii="Times New Roman" w:hAnsi="Times New Roman" w:cs="Times New Roman"/>
          <w:b/>
          <w:bCs/>
          <w:sz w:val="28"/>
          <w:szCs w:val="28"/>
        </w:rPr>
      </w:pPr>
      <w:r w:rsidRPr="007A5D58">
        <w:rPr>
          <w:rFonts w:ascii="Times New Roman" w:hAnsi="Times New Roman" w:cs="Times New Roman"/>
          <w:b/>
          <w:bCs/>
          <w:sz w:val="28"/>
          <w:szCs w:val="28"/>
          <w:u w:val="single"/>
        </w:rPr>
        <w:lastRenderedPageBreak/>
        <w:t>Introduction</w:t>
      </w:r>
    </w:p>
    <w:p w14:paraId="7913715C" w14:textId="77777777" w:rsidR="00A95BA9" w:rsidRPr="007A5D58" w:rsidRDefault="00000000">
      <w:pPr>
        <w:pStyle w:val="NormalWeb"/>
        <w:jc w:val="both"/>
      </w:pPr>
      <w:r w:rsidRPr="007A5D58">
        <w:t>Cadmium (Cd), an extremely toxic heavy metal, is widely distributed throughout the environment as a result of smoke from cigarettes, mining activities, indiscriminate waste dumping, agrochemical inputs and fast urban growth. It poses a significant contamination risk, especially in regions where human activities are heavily impacted. Cadmium contamination in the environment has become a very serious public health issue. Different from vital minerals such as zinc or iron, cadmium shows no known biological function in the human or animal body and is regarded as a contaminant with high environmental toxicity. Because cadmium cannot be broken down by biological processes and has the ability to remain in the body for a very long time, it builds up gradually and in vital organs such as the kidneys, brain, liver, lungs, and reproductive organs, accumulates eventually altering normal physiological functions throughout the body.</w:t>
      </w:r>
      <w:r w:rsidRPr="007A5D58">
        <w:rPr>
          <w:vertAlign w:val="superscript"/>
        </w:rPr>
        <w:t>7</w:t>
      </w:r>
      <w:r w:rsidRPr="007A5D58">
        <w:t xml:space="preserve"> A major route of cadmium exposure is through the intake of contaminated food and water. Another important route of entry includes inhalation of cigarette smoke especially in urban and industrialized settings.</w:t>
      </w:r>
    </w:p>
    <w:p w14:paraId="79F0CE74" w14:textId="77777777" w:rsidR="00A95BA9" w:rsidRPr="007A5D58" w:rsidRDefault="00000000">
      <w:pPr>
        <w:pStyle w:val="NormalWeb"/>
        <w:jc w:val="both"/>
        <w:rPr>
          <w:vertAlign w:val="superscript"/>
        </w:rPr>
      </w:pPr>
      <w:r w:rsidRPr="007A5D58">
        <w:t>​In the body, the nervous system is more prone and vulnerable to damage from cadmium exposure. The nervous system is very sensitive, susceptible and at risk of toxicity induced by cadmium. Despite the presence of the blood-brain barrier (BBB), which protects the brain by allowing important nutrients into the brain while keeping harmful substances out. Research have shown that cadmium can bypass and penetrate this protective barrier, accumulate and build up in neural tissues and impair normal cellular metabolism. When cadmium accumulates in the brain, it triggers oxidative damage by overproducing Reactive Oxygen Species (ROS) and weakening the brain’s natural antioxidant defenses at the same time. These disturbances in form of biochemical imbalances leads to neuroinflammation and interfere with the brain’s normal signaling of the synapses.</w:t>
      </w:r>
      <w:r w:rsidRPr="007A5D58">
        <w:rPr>
          <w:vertAlign w:val="superscript"/>
        </w:rPr>
        <w:t>12</w:t>
      </w:r>
      <w:r w:rsidRPr="007A5D58">
        <w:t xml:space="preserve"> The hippocampus which is a part of the brain responsible for memory formation and spatial learning suffers serious structural deterioration. Recent investigations have shown that cadmium exposure tends to disrupt calcium balance and reduces the formation of new neurons in the adult hippocampus thereby leading to cognitive decline.</w:t>
      </w:r>
      <w:r w:rsidRPr="007A5D58">
        <w:rPr>
          <w:vertAlign w:val="superscript"/>
        </w:rPr>
        <w:t>7</w:t>
      </w:r>
      <w:r w:rsidRPr="007A5D58">
        <w:t xml:space="preserve"> Cadmium has also been found to affect synaptic pruning negatively at dendritic spines, a mechanism important for the maintenance of effective neural connectivity and efficient cognitive function.</w:t>
      </w:r>
      <w:r w:rsidRPr="007A5D58">
        <w:rPr>
          <w:vertAlign w:val="superscript"/>
        </w:rPr>
        <w:t>18</w:t>
      </w:r>
    </w:p>
    <w:p w14:paraId="262D380C" w14:textId="77777777" w:rsidR="00A95BA9" w:rsidRPr="007A5D58" w:rsidRDefault="00000000">
      <w:pPr>
        <w:pStyle w:val="NormalWeb"/>
        <w:jc w:val="both"/>
        <w:rPr>
          <w:vertAlign w:val="superscript"/>
        </w:rPr>
      </w:pPr>
      <w:r w:rsidRPr="007A5D58">
        <w:t>To add to the damaging effect on the nervous system, cadmium poses toxic effects to multiple organs and physiologic systems. The kidneys are highly at risk as cadmium-metallothionein complex is filtered and reabsorbed in the proximal tubules, which slowly deteriorates renal function and may result to possible chronic kidney disease.</w:t>
      </w:r>
      <w:r w:rsidRPr="007A5D58">
        <w:rPr>
          <w:vertAlign w:val="superscript"/>
        </w:rPr>
        <w:t>1</w:t>
      </w:r>
      <w:r w:rsidRPr="007A5D58">
        <w:t xml:space="preserve"> The liver is also at risk, as cadmium build up induces oxidative stress, inflammatory responses and hepatocellular damage, which may in turn disrupt the organ’s detoxification and metabolic function.</w:t>
      </w:r>
      <w:r w:rsidRPr="007A5D58">
        <w:rPr>
          <w:vertAlign w:val="superscript"/>
        </w:rPr>
        <w:t>13</w:t>
      </w:r>
    </w:p>
    <w:p w14:paraId="2FCBDA3C" w14:textId="77777777" w:rsidR="00A95BA9" w:rsidRPr="007A5D58" w:rsidRDefault="00000000">
      <w:pPr>
        <w:pStyle w:val="NormalWeb"/>
        <w:jc w:val="both"/>
      </w:pPr>
      <w:r w:rsidRPr="007A5D58">
        <w:t>The reproductive organs are also not left out as exposure to cadmium interferes with hormone synthesis thereby reducing sperm quality in males and affecting ovarian function in a negative way in females leading to deficits in reproductive function.</w:t>
      </w:r>
      <w:r w:rsidRPr="007A5D58">
        <w:rPr>
          <w:vertAlign w:val="superscript"/>
        </w:rPr>
        <w:t>7</w:t>
      </w:r>
      <w:r w:rsidRPr="007A5D58">
        <w:t xml:space="preserve"> Also, cadmium can compromise the immune system by activating inflammatory pathways and altering immune cell function, which may impair host’s defenses and contribute to chronic inflammatory responses.</w:t>
      </w:r>
    </w:p>
    <w:p w14:paraId="3A7FFA47" w14:textId="77777777" w:rsidR="00A95BA9" w:rsidRPr="007A5D58" w:rsidRDefault="00000000">
      <w:pPr>
        <w:pStyle w:val="NormalWeb"/>
        <w:jc w:val="both"/>
        <w:rPr>
          <w:vertAlign w:val="superscript"/>
        </w:rPr>
      </w:pPr>
      <w:r w:rsidRPr="007A5D58">
        <w:lastRenderedPageBreak/>
        <w:t>Cadmium toxicity effects tend to be more pronounced in female models because it mimics and imitate estrogenic activity which functions as a metalloestrogen. Given that estrogen plays an important role in neuroprotection in the hypothalamus, cadmium which disrupts its signaling may aggravate deficits related to memory and alter the way sensory information is processed.</w:t>
      </w:r>
      <w:r w:rsidRPr="007A5D58">
        <w:rPr>
          <w:vertAlign w:val="superscript"/>
        </w:rPr>
        <w:t>12</w:t>
      </w:r>
      <w:r w:rsidRPr="007A5D58">
        <w:t xml:space="preserve"> This interaction become important when looking at pain perception also known as nociception. Pain sensation transmission occurs through complex neural pathways that encompasses peripheral sensory neurons and neural circuits within the spinal cord. Neuroinflammation triggered by cadmium increases the secretion of pro-inflammatory mediators such as tumor necrosis factor-alpha (TNF-α) and interleukin-1 β (IL-1β). These inflammatory cytokines are known for their roles in sensitizing pain pathways which results in potential alteration to pain threshold.</w:t>
      </w:r>
      <w:r w:rsidRPr="007A5D58">
        <w:rPr>
          <w:vertAlign w:val="superscript"/>
        </w:rPr>
        <w:t>12,11</w:t>
      </w:r>
    </w:p>
    <w:p w14:paraId="5AB13E66" w14:textId="77777777" w:rsidR="00A95BA9" w:rsidRPr="007A5D58" w:rsidRDefault="00000000">
      <w:pPr>
        <w:pStyle w:val="NormalWeb"/>
        <w:jc w:val="both"/>
        <w:rPr>
          <w:vertAlign w:val="superscript"/>
        </w:rPr>
      </w:pPr>
      <w:r w:rsidRPr="007A5D58">
        <w:t>Changes in body weight have been associated consistently with cadmium exposure especially in experimental animal models. It has been reported by several studies that there is a noticeable reduction in body weight and growth rate after administering cadmium. This suggests that cadmium has a detrimental effect on normal metabolic processes. This weight loss is linked most times to cadmium-induced toxicity which impairs nutrient absorption, energy metabolism and systemic homeostasis. An example shows that experimental findings have shown that exposure to cadmium decreases body weight in rats significantly and this shows its toxic effect on important organs and metabolic pathway.</w:t>
      </w:r>
      <w:r w:rsidRPr="007A5D58">
        <w:rPr>
          <w:vertAlign w:val="superscript"/>
        </w:rPr>
        <w:t>4,9</w:t>
      </w:r>
      <w:r w:rsidRPr="007A5D58">
        <w:t xml:space="preserve"> The processes responsible for these changes involve multiple factors. Cadmium is known to induce oxidative stress, affect mitochondria function and compromise lipid metabolism and all of these lead to reduction in the availability of energy and weight loss.</w:t>
      </w:r>
      <w:r w:rsidRPr="007A5D58">
        <w:rPr>
          <w:vertAlign w:val="superscript"/>
        </w:rPr>
        <w:t>3</w:t>
      </w:r>
      <w:r w:rsidRPr="007A5D58">
        <w:t xml:space="preserve"> Damage to organs such as the liver and kidneys caused by cadmium induction may disturb metabolic regulation which gradually leads to a decline in overall body mass. Evidence also shows that cadmium exposure suppresses appetite and reduces food intake in experimental animals which contributes to reduced weight gain or progressive reduction in body weight over time.</w:t>
      </w:r>
      <w:r w:rsidRPr="007A5D58">
        <w:rPr>
          <w:vertAlign w:val="superscript"/>
        </w:rPr>
        <w:t>10</w:t>
      </w:r>
    </w:p>
    <w:p w14:paraId="5CB3A944" w14:textId="77777777" w:rsidR="00A95BA9" w:rsidRPr="007A5D58" w:rsidRDefault="00000000">
      <w:pPr>
        <w:pStyle w:val="NormalWeb"/>
        <w:jc w:val="both"/>
        <w:rPr>
          <w:vertAlign w:val="superscript"/>
        </w:rPr>
      </w:pPr>
      <w:r w:rsidRPr="007A5D58">
        <w:t>Female albino rats were used for this study due to their relevance in assessing the reproductive and endocrine effects of toxic substances like cadmium. Since estrogen plays a crucial role in regulating reproductive function, ovarian activity, and overall physiological processes, the use of female models allows for a more appropriate evaluation on how cadmium influences these systems. To add to this, cadmium exposure has been associated with impaired ovarian function, hormone levels alterations, and reduced fertility which shows its potential to negatively affect reproductive health.</w:t>
      </w:r>
      <w:r w:rsidRPr="007A5D58">
        <w:rPr>
          <w:vertAlign w:val="superscript"/>
        </w:rPr>
        <w:t>20,14</w:t>
      </w:r>
    </w:p>
    <w:p w14:paraId="73718A37" w14:textId="77777777" w:rsidR="00A95BA9" w:rsidRPr="007A5D58" w:rsidRDefault="00000000">
      <w:pPr>
        <w:pStyle w:val="NormalWeb"/>
        <w:jc w:val="both"/>
      </w:pPr>
      <w:r w:rsidRPr="007A5D58">
        <w:t>There are relatively few studies that have simultaneously examined the effect of cadmium on memory, pain sensitivity and immune functions. Therefore, this study aims to investigate the impact of cadmium exposure on memory, pain sensitivity and immune parameters in female albino rats in order to provide deep insight on the systemic exposure of cadmium.</w:t>
      </w:r>
    </w:p>
    <w:p w14:paraId="65D04B20"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In biomedical research, laboratory rats are commonly used because their physiological systems share similarities with humans. Female albino rats were particularly used in this study because they serve as a reliable experimental model with a physiology that is well understood thereby making them ideal for investigating the effect of cadmium on memory, pain sensitivity and immune responses.</w:t>
      </w:r>
    </w:p>
    <w:p w14:paraId="02DF013E" w14:textId="77777777" w:rsidR="00A95BA9" w:rsidRPr="007A5D58" w:rsidRDefault="00000000">
      <w:pPr>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lastRenderedPageBreak/>
        <w:t>Materials and Method</w:t>
      </w:r>
    </w:p>
    <w:p w14:paraId="403F493E" w14:textId="77777777" w:rsidR="00A95BA9" w:rsidRPr="007A5D58" w:rsidRDefault="00000000">
      <w:pPr>
        <w:jc w:val="both"/>
        <w:rPr>
          <w:rFonts w:ascii="Times New Roman" w:hAnsi="Times New Roman" w:cs="Times New Roman"/>
          <w:b/>
          <w:bCs/>
          <w:i/>
          <w:iCs/>
          <w:sz w:val="24"/>
          <w:szCs w:val="24"/>
        </w:rPr>
      </w:pPr>
      <w:r w:rsidRPr="007A5D58">
        <w:rPr>
          <w:rFonts w:ascii="Times New Roman" w:hAnsi="Times New Roman" w:cs="Times New Roman"/>
          <w:b/>
          <w:bCs/>
          <w:i/>
          <w:iCs/>
          <w:sz w:val="24"/>
          <w:szCs w:val="24"/>
        </w:rPr>
        <w:t>Experimental Animals</w:t>
      </w:r>
    </w:p>
    <w:p w14:paraId="56E99F53"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Female Albino rats with body weights ranging from 60-140g were used for this study. Before the commencement of the experimental procedures, the animals were acclimatized for a period of two weeks at the animal house facility located at the College of Health Sciences in Prince Abubakar Audu University (PAAU). This acclimatization was done to reduce stress in the rats. All animals were housed in plastic cages that contained food and water which was provided ad libitum. The housing environment was maintained under controlled temperature and humidity conditions (27 degree Celsius, 45-50% humidity) within a sterile environment to prevent infection and contamination risk. All experimental procedures were strictly conducted in accordance with the guidelines listed in the Principles of Laboratory Animal Care (NIH Publication No. 85-23) and standards of ethics guiding the study of experimental pain in conscious animals which was established by Zimmerman.</w:t>
      </w:r>
    </w:p>
    <w:p w14:paraId="5B920ECA" w14:textId="77777777" w:rsidR="00A95BA9" w:rsidRPr="007A5D58" w:rsidRDefault="00000000">
      <w:pPr>
        <w:jc w:val="both"/>
        <w:rPr>
          <w:rFonts w:ascii="Times New Roman" w:hAnsi="Times New Roman" w:cs="Times New Roman"/>
          <w:b/>
          <w:bCs/>
          <w:i/>
          <w:iCs/>
          <w:sz w:val="24"/>
          <w:szCs w:val="24"/>
        </w:rPr>
      </w:pPr>
      <w:r w:rsidRPr="007A5D58">
        <w:rPr>
          <w:rFonts w:ascii="Times New Roman" w:hAnsi="Times New Roman" w:cs="Times New Roman"/>
          <w:b/>
          <w:bCs/>
          <w:i/>
          <w:iCs/>
          <w:sz w:val="24"/>
          <w:szCs w:val="24"/>
        </w:rPr>
        <w:t>Experimental Design`</w:t>
      </w:r>
    </w:p>
    <w:p w14:paraId="0D4E3AD8"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15 female albino rats were randomly divided into three groups of rats each:</w:t>
      </w:r>
    </w:p>
    <w:p w14:paraId="0D3433AF" w14:textId="77777777" w:rsidR="00A95BA9" w:rsidRPr="007A5D58" w:rsidRDefault="00000000">
      <w:pPr>
        <w:pStyle w:val="ListParagraph"/>
        <w:numPr>
          <w:ilvl w:val="0"/>
          <w:numId w:val="1"/>
        </w:numPr>
        <w:jc w:val="both"/>
        <w:rPr>
          <w:rFonts w:ascii="Times New Roman" w:hAnsi="Times New Roman" w:cs="Times New Roman"/>
          <w:sz w:val="24"/>
          <w:szCs w:val="24"/>
        </w:rPr>
      </w:pPr>
      <w:r w:rsidRPr="007A5D58">
        <w:rPr>
          <w:rFonts w:ascii="Times New Roman" w:hAnsi="Times New Roman" w:cs="Times New Roman"/>
          <w:b/>
          <w:bCs/>
          <w:sz w:val="24"/>
          <w:szCs w:val="24"/>
        </w:rPr>
        <w:t>Group A (Control Group):</w:t>
      </w:r>
      <w:r w:rsidRPr="007A5D58">
        <w:rPr>
          <w:rFonts w:ascii="Times New Roman" w:hAnsi="Times New Roman" w:cs="Times New Roman"/>
          <w:sz w:val="24"/>
          <w:szCs w:val="24"/>
        </w:rPr>
        <w:t xml:space="preserve"> Administered distilled water at 10 mL/kg.</w:t>
      </w:r>
    </w:p>
    <w:p w14:paraId="26AF716E" w14:textId="77777777" w:rsidR="00A95BA9" w:rsidRPr="007A5D58" w:rsidRDefault="00000000">
      <w:pPr>
        <w:pStyle w:val="ListParagraph"/>
        <w:numPr>
          <w:ilvl w:val="0"/>
          <w:numId w:val="1"/>
        </w:numPr>
        <w:jc w:val="both"/>
        <w:rPr>
          <w:rFonts w:ascii="Times New Roman" w:hAnsi="Times New Roman" w:cs="Times New Roman"/>
          <w:sz w:val="24"/>
          <w:szCs w:val="24"/>
        </w:rPr>
      </w:pPr>
      <w:r w:rsidRPr="007A5D58">
        <w:rPr>
          <w:rFonts w:ascii="Times New Roman" w:hAnsi="Times New Roman" w:cs="Times New Roman"/>
          <w:b/>
          <w:bCs/>
          <w:sz w:val="24"/>
          <w:szCs w:val="24"/>
        </w:rPr>
        <w:t>Group B:</w:t>
      </w:r>
      <w:r w:rsidRPr="007A5D58">
        <w:rPr>
          <w:rFonts w:ascii="Times New Roman" w:hAnsi="Times New Roman" w:cs="Times New Roman"/>
          <w:sz w:val="24"/>
          <w:szCs w:val="24"/>
        </w:rPr>
        <w:t xml:space="preserve"> A single intraperitoneal injection of cadmium was administered at a dose of 2 mg/kg body weight.</w:t>
      </w:r>
    </w:p>
    <w:p w14:paraId="339F4CEC" w14:textId="77777777" w:rsidR="00A95BA9" w:rsidRPr="007A5D58" w:rsidRDefault="00000000">
      <w:pPr>
        <w:pStyle w:val="ListParagraph"/>
        <w:numPr>
          <w:ilvl w:val="0"/>
          <w:numId w:val="1"/>
        </w:numPr>
        <w:jc w:val="both"/>
        <w:rPr>
          <w:rFonts w:ascii="Times New Roman" w:hAnsi="Times New Roman" w:cs="Times New Roman"/>
          <w:sz w:val="24"/>
          <w:szCs w:val="24"/>
        </w:rPr>
      </w:pPr>
      <w:r w:rsidRPr="007A5D58">
        <w:rPr>
          <w:rFonts w:ascii="Times New Roman" w:hAnsi="Times New Roman" w:cs="Times New Roman"/>
          <w:b/>
          <w:bCs/>
          <w:sz w:val="24"/>
          <w:szCs w:val="24"/>
        </w:rPr>
        <w:t xml:space="preserve">Group C: </w:t>
      </w:r>
      <w:r w:rsidRPr="007A5D58">
        <w:rPr>
          <w:rFonts w:ascii="Times New Roman" w:hAnsi="Times New Roman" w:cs="Times New Roman"/>
          <w:sz w:val="24"/>
          <w:szCs w:val="24"/>
        </w:rPr>
        <w:t>A single intraperitoneal injection of cadmium was administered at a dose of 3 mg/kg body weight.</w:t>
      </w:r>
    </w:p>
    <w:p w14:paraId="0156C9E9"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Following the treatment period, the animals were subjected to behavioral tests to assess memory. On the seventh day, a behavioral test to assess pain sensitivity was done. After that, the animals were euthanized, the brain tissues alongside the paws injected with formalin were collected for histological assessment. The blood samples were also collected for hematological analysis to examine immune response.</w:t>
      </w:r>
    </w:p>
    <w:p w14:paraId="798CB0C1" w14:textId="77777777" w:rsidR="00A95BA9" w:rsidRPr="007A5D58" w:rsidRDefault="00000000">
      <w:pPr>
        <w:jc w:val="both"/>
        <w:rPr>
          <w:rFonts w:ascii="Times New Roman" w:hAnsi="Times New Roman" w:cs="Times New Roman"/>
          <w:sz w:val="24"/>
          <w:szCs w:val="24"/>
        </w:rPr>
      </w:pPr>
      <w:r w:rsidRPr="007A5D58">
        <w:rPr>
          <w:rFonts w:ascii="Times New Roman" w:hAnsi="Times New Roman" w:cs="Times New Roman"/>
          <w:sz w:val="24"/>
          <w:szCs w:val="24"/>
        </w:rPr>
        <w:t xml:space="preserve">The tissues were preserved in 10% formalin to maintain cellular integrity. </w:t>
      </w:r>
    </w:p>
    <w:p w14:paraId="2565D666" w14:textId="77777777" w:rsidR="00A95BA9" w:rsidRPr="007A5D58" w:rsidRDefault="00000000">
      <w:pPr>
        <w:jc w:val="both"/>
        <w:rPr>
          <w:rFonts w:ascii="Times New Roman" w:hAnsi="Times New Roman" w:cs="Times New Roman"/>
          <w:b/>
          <w:bCs/>
          <w:i/>
          <w:iCs/>
          <w:sz w:val="24"/>
          <w:szCs w:val="24"/>
        </w:rPr>
      </w:pPr>
      <w:r w:rsidRPr="007A5D58">
        <w:rPr>
          <w:rFonts w:ascii="Times New Roman" w:hAnsi="Times New Roman" w:cs="Times New Roman"/>
          <w:b/>
          <w:bCs/>
          <w:i/>
          <w:iCs/>
          <w:sz w:val="24"/>
          <w:szCs w:val="24"/>
        </w:rPr>
        <w:t xml:space="preserve">Experimental Procedures </w:t>
      </w:r>
    </w:p>
    <w:p w14:paraId="4EDED6DA" w14:textId="77777777" w:rsidR="00A95BA9" w:rsidRPr="007A5D58" w:rsidRDefault="00000000">
      <w:pPr>
        <w:jc w:val="both"/>
        <w:rPr>
          <w:rFonts w:ascii="Times New Roman" w:hAnsi="Times New Roman" w:cs="Times New Roman"/>
          <w:sz w:val="24"/>
          <w:szCs w:val="24"/>
          <w:vertAlign w:val="superscript"/>
        </w:rPr>
      </w:pPr>
      <w:r w:rsidRPr="007A5D58">
        <w:rPr>
          <w:rFonts w:ascii="Times New Roman" w:hAnsi="Times New Roman" w:cs="Times New Roman"/>
          <w:sz w:val="24"/>
          <w:szCs w:val="24"/>
        </w:rPr>
        <w:t xml:space="preserve">The experimental procedures includes both behavioral and hematological assessments to examine the effects of cadmium toxicity on memory, pain sensitivity, and immunity in female albino rats. Two tests, namely Y-maze and Morris water maze tests was used to assess memory performance. Spatial working memory, by rodents’ instinctive disposition to explore new environments, was measured using the Y Maze test where each rat was placed at the center of a maze consisting of three identical arms set up at 120° angles and allowed to freely explore for a duration of 5 minutes. The order and number of arm entries were recorded, spontaneous alternation behavior defined as sequential entry into three different arms, was used as a metric of memory performance, where increased alternation behavior implies enhanced working memory function (Kraeuter </w:t>
      </w:r>
      <w:r w:rsidRPr="007A5D58">
        <w:rPr>
          <w:rFonts w:ascii="Times New Roman" w:hAnsi="Times New Roman" w:cs="Times New Roman"/>
          <w:i/>
          <w:iCs/>
          <w:sz w:val="24"/>
          <w:szCs w:val="24"/>
        </w:rPr>
        <w:t>et al.,</w:t>
      </w:r>
      <w:r w:rsidRPr="007A5D58">
        <w:rPr>
          <w:rFonts w:ascii="Times New Roman" w:hAnsi="Times New Roman" w:cs="Times New Roman"/>
          <w:sz w:val="24"/>
          <w:szCs w:val="24"/>
        </w:rPr>
        <w:t xml:space="preserve"> 2019).</w:t>
      </w:r>
      <w:r w:rsidRPr="007A5D58">
        <w:rPr>
          <w:rFonts w:ascii="Times New Roman" w:hAnsi="Times New Roman" w:cs="Times New Roman"/>
          <w:sz w:val="24"/>
          <w:szCs w:val="24"/>
          <w:vertAlign w:val="superscript"/>
        </w:rPr>
        <w:t>6</w:t>
      </w:r>
      <w:r w:rsidRPr="007A5D58">
        <w:rPr>
          <w:rFonts w:ascii="Times New Roman" w:hAnsi="Times New Roman" w:cs="Times New Roman"/>
          <w:sz w:val="24"/>
          <w:szCs w:val="24"/>
        </w:rPr>
        <w:t xml:space="preserve"> The Morris water maze was subsequently used to evaluate spatial learning and reference memory, which comprised a circular tank filled with opaque water </w:t>
      </w:r>
      <w:r w:rsidRPr="007A5D58">
        <w:rPr>
          <w:rFonts w:ascii="Times New Roman" w:hAnsi="Times New Roman" w:cs="Times New Roman"/>
          <w:sz w:val="24"/>
          <w:szCs w:val="24"/>
        </w:rPr>
        <w:lastRenderedPageBreak/>
        <w:t>and a hidden/submerged escape platform was placed just below the surface of the water. Rats were introduced into the pool from different starting points and allowed to locate the hidden platform and the time taken to locate the platform was recorded. Learning capacity was assessed through different training trials with shorter time taken to locate the platform indicating improved spatial learning and memory retention.</w:t>
      </w:r>
      <w:r w:rsidRPr="007A5D58">
        <w:rPr>
          <w:rFonts w:ascii="Times New Roman" w:hAnsi="Times New Roman" w:cs="Times New Roman"/>
          <w:sz w:val="24"/>
          <w:szCs w:val="24"/>
          <w:vertAlign w:val="superscript"/>
        </w:rPr>
        <w:t>17,19</w:t>
      </w:r>
    </w:p>
    <w:p w14:paraId="55E55431" w14:textId="77777777" w:rsidR="00A95BA9" w:rsidRPr="007A5D58" w:rsidRDefault="00000000">
      <w:pPr>
        <w:jc w:val="both"/>
        <w:rPr>
          <w:rFonts w:ascii="Times New Roman" w:hAnsi="Times New Roman" w:cs="Times New Roman"/>
          <w:sz w:val="24"/>
          <w:szCs w:val="24"/>
          <w:vertAlign w:val="superscript"/>
        </w:rPr>
      </w:pPr>
      <w:r w:rsidRPr="007A5D58">
        <w:rPr>
          <w:rFonts w:ascii="Times New Roman" w:hAnsi="Times New Roman" w:cs="Times New Roman"/>
          <w:sz w:val="24"/>
          <w:szCs w:val="24"/>
        </w:rPr>
        <w:t>Pain sensitivity was examined using the formalin-induced paw-licking test, a well-known and used model for evaluating the response of nociceptive and inflammatory pain in rodents. A formalin solution of 2% (0.2 ml) was injected subcutaneously into the plantar surface of the hind paw of each rat, after which the animals were individually localized in an observation chamber and closely monitored for pain-associated behaviors, particularly paw licking and biting. The duration of these behavioral responses was recorded, with the test generating two response phases: an early phase with a duration 0–5 minutes, which shows direct activation of nociceptors, and a late phase occurring between 15–30 minutes, which corresponds to inflammatory pain.</w:t>
      </w:r>
      <w:r w:rsidRPr="007A5D58">
        <w:rPr>
          <w:rFonts w:ascii="Times New Roman" w:hAnsi="Times New Roman" w:cs="Times New Roman"/>
          <w:sz w:val="24"/>
          <w:szCs w:val="24"/>
          <w:vertAlign w:val="superscript"/>
        </w:rPr>
        <w:t>16,5</w:t>
      </w:r>
      <w:r w:rsidRPr="007A5D58">
        <w:rPr>
          <w:rFonts w:ascii="Times New Roman" w:hAnsi="Times New Roman" w:cs="Times New Roman"/>
          <w:sz w:val="24"/>
          <w:szCs w:val="24"/>
        </w:rPr>
        <w:t xml:space="preserve"> On completion of the behavioral assessments, blood samples were collected into EDTA anticoagulant tubes for hematological analysis to study immune function. Total white blood cell (WBC) count and differential leukocyte counts, including neutrophils, lymphocytes, monocytes, eosinophils, and basophils were identified from stained blood smears that was examined under a microscope and these parameters were used as indicators of the immune system activity.</w:t>
      </w:r>
      <w:r w:rsidRPr="007A5D58">
        <w:rPr>
          <w:rFonts w:ascii="Times New Roman" w:hAnsi="Times New Roman" w:cs="Times New Roman"/>
          <w:sz w:val="24"/>
          <w:szCs w:val="24"/>
          <w:vertAlign w:val="superscript"/>
        </w:rPr>
        <w:t>2,15</w:t>
      </w:r>
    </w:p>
    <w:p w14:paraId="59DBC453"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Statistical Analysis</w:t>
      </w:r>
    </w:p>
    <w:p w14:paraId="5F078CE7"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sz w:val="24"/>
          <w:szCs w:val="24"/>
        </w:rPr>
        <w:t>All data obtained from the study were presented as Mean ± Standard Error of Mean (SEM). Data were analyzed using GraphPad Prism Version 10. Differences among multiple groups were assessed using One-Way Analysis of Variance (ANOVA) followed by Dunnett post-hoc tests. Statistical analysis was also performed using unpaired Student’s t-test. A Two-Way Analysis of Variance (ANOVA) was used. A p-value pf less than 0.05 (p&lt;0.05) was considered statistically significant.</w:t>
      </w:r>
    </w:p>
    <w:p w14:paraId="3FB55136" w14:textId="77777777" w:rsidR="00A95BA9" w:rsidRPr="007A5D58" w:rsidRDefault="00A95BA9">
      <w:pPr>
        <w:spacing w:before="240"/>
        <w:jc w:val="both"/>
        <w:rPr>
          <w:rFonts w:ascii="Times New Roman" w:hAnsi="Times New Roman" w:cs="Times New Roman"/>
          <w:b/>
          <w:bCs/>
          <w:sz w:val="24"/>
          <w:szCs w:val="24"/>
          <w:u w:val="single"/>
        </w:rPr>
      </w:pPr>
    </w:p>
    <w:p w14:paraId="29F94F8C" w14:textId="77777777" w:rsidR="00A95BA9" w:rsidRPr="007A5D58" w:rsidRDefault="00A95BA9">
      <w:pPr>
        <w:spacing w:before="240"/>
        <w:jc w:val="both"/>
        <w:rPr>
          <w:rFonts w:ascii="Times New Roman" w:hAnsi="Times New Roman" w:cs="Times New Roman"/>
          <w:b/>
          <w:bCs/>
          <w:sz w:val="24"/>
          <w:szCs w:val="24"/>
          <w:u w:val="single"/>
        </w:rPr>
      </w:pPr>
    </w:p>
    <w:p w14:paraId="5C6D79E9" w14:textId="77777777" w:rsidR="00A95BA9" w:rsidRPr="007A5D58" w:rsidRDefault="00A95BA9">
      <w:pPr>
        <w:spacing w:before="240"/>
        <w:jc w:val="both"/>
        <w:rPr>
          <w:rFonts w:ascii="Times New Roman" w:hAnsi="Times New Roman" w:cs="Times New Roman"/>
          <w:b/>
          <w:bCs/>
          <w:sz w:val="24"/>
          <w:szCs w:val="24"/>
          <w:u w:val="single"/>
        </w:rPr>
      </w:pPr>
    </w:p>
    <w:p w14:paraId="6EEAC77E" w14:textId="77777777" w:rsidR="00A95BA9" w:rsidRPr="007A5D58" w:rsidRDefault="00A95BA9">
      <w:pPr>
        <w:spacing w:before="240"/>
        <w:jc w:val="both"/>
        <w:rPr>
          <w:rFonts w:ascii="Times New Roman" w:hAnsi="Times New Roman" w:cs="Times New Roman"/>
          <w:b/>
          <w:bCs/>
          <w:sz w:val="24"/>
          <w:szCs w:val="24"/>
          <w:u w:val="single"/>
        </w:rPr>
      </w:pPr>
    </w:p>
    <w:p w14:paraId="3FF42389" w14:textId="77777777" w:rsidR="00A95BA9" w:rsidRPr="007A5D58" w:rsidRDefault="00A95BA9">
      <w:pPr>
        <w:spacing w:before="240"/>
        <w:jc w:val="both"/>
        <w:rPr>
          <w:rFonts w:ascii="Times New Roman" w:hAnsi="Times New Roman" w:cs="Times New Roman"/>
          <w:b/>
          <w:bCs/>
          <w:sz w:val="24"/>
          <w:szCs w:val="24"/>
          <w:u w:val="single"/>
        </w:rPr>
      </w:pPr>
    </w:p>
    <w:p w14:paraId="140414DD" w14:textId="77777777" w:rsidR="00A95BA9" w:rsidRPr="007A5D58" w:rsidRDefault="00A95BA9">
      <w:pPr>
        <w:spacing w:before="240"/>
        <w:jc w:val="both"/>
        <w:rPr>
          <w:rFonts w:ascii="Times New Roman" w:hAnsi="Times New Roman" w:cs="Times New Roman"/>
          <w:b/>
          <w:bCs/>
          <w:sz w:val="24"/>
          <w:szCs w:val="24"/>
          <w:u w:val="single"/>
        </w:rPr>
      </w:pPr>
    </w:p>
    <w:p w14:paraId="7BA130CF"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RESULTS</w:t>
      </w:r>
    </w:p>
    <w:p w14:paraId="71DA5CD3"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reduced the number of arm entries in the Y-Maze test.</w:t>
      </w:r>
    </w:p>
    <w:p w14:paraId="6127EC95"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Figure 1 shows how cadmium affected how the rats moved around and explored the maze. There was an obvious reduction in activity as the dose of cadmium increased. The rats given </w:t>
      </w:r>
      <w:r w:rsidRPr="007A5D58">
        <w:rPr>
          <w:rFonts w:ascii="Times New Roman" w:hAnsi="Times New Roman" w:cs="Times New Roman"/>
          <w:b/>
          <w:bCs/>
          <w:sz w:val="24"/>
          <w:szCs w:val="24"/>
        </w:rPr>
        <w:t xml:space="preserve">3 mg of Cadmium </w:t>
      </w:r>
      <w:r w:rsidRPr="007A5D58">
        <w:rPr>
          <w:rFonts w:ascii="Times New Roman" w:hAnsi="Times New Roman" w:cs="Times New Roman"/>
          <w:sz w:val="24"/>
          <w:szCs w:val="24"/>
        </w:rPr>
        <w:t xml:space="preserve">had a </w:t>
      </w:r>
      <w:r w:rsidRPr="007A5D58">
        <w:rPr>
          <w:rFonts w:ascii="Times New Roman" w:hAnsi="Times New Roman" w:cs="Times New Roman"/>
          <w:b/>
          <w:bCs/>
          <w:sz w:val="24"/>
          <w:szCs w:val="24"/>
        </w:rPr>
        <w:t xml:space="preserve">significant (p &lt; 0.05) decrease </w:t>
      </w:r>
      <w:r w:rsidRPr="007A5D58">
        <w:rPr>
          <w:rFonts w:ascii="Times New Roman" w:hAnsi="Times New Roman" w:cs="Times New Roman"/>
          <w:sz w:val="24"/>
          <w:szCs w:val="24"/>
        </w:rPr>
        <w:t xml:space="preserve">in the number of times they entered the maze compared to the control group. While the </w:t>
      </w:r>
      <w:r w:rsidRPr="007A5D58">
        <w:rPr>
          <w:rFonts w:ascii="Times New Roman" w:hAnsi="Times New Roman" w:cs="Times New Roman"/>
          <w:b/>
          <w:bCs/>
          <w:sz w:val="24"/>
          <w:szCs w:val="24"/>
        </w:rPr>
        <w:t xml:space="preserve">2 mg Cadmium </w:t>
      </w:r>
      <w:r w:rsidRPr="007A5D58">
        <w:rPr>
          <w:rFonts w:ascii="Times New Roman" w:hAnsi="Times New Roman" w:cs="Times New Roman"/>
          <w:sz w:val="24"/>
          <w:szCs w:val="24"/>
        </w:rPr>
        <w:t>group also showed a reduction in entries compared to the control, the most obvious inhibitory effect was observed at the higher dosage.</w:t>
      </w:r>
    </w:p>
    <w:p w14:paraId="53ABF98D" w14:textId="77777777" w:rsidR="00A95BA9" w:rsidRPr="007A5D58" w:rsidRDefault="00000000">
      <w:pPr>
        <w:spacing w:before="240"/>
        <w:jc w:val="both"/>
      </w:pPr>
      <w:r>
        <w:rPr>
          <w:noProof/>
        </w:rPr>
        <w:pict w14:anchorId="19D758C6">
          <v:shapetype id="_x0000_t202" coordsize="21600,21600" o:spt="202" path="m,l,21600r21600,l21600,xe">
            <v:stroke joinstyle="miter"/>
            <v:path gradientshapeok="t" o:connecttype="rect"/>
          </v:shapetype>
          <v:shape id="1027" o:spid="_x0000_s2058" type="#_x0000_t202" style="position:absolute;left:0;text-align:left;margin-left:209.5pt;margin-top:130.1pt;width:27pt;height:20.25pt;z-index:5;visibility:visible;mso-wrap-distance-left:0;mso-wrap-distance-right:0;mso-position-horizontal-relative:text;mso-position-vertical-relative:text;mso-width-relative:page;mso-height-relative:page" stroked="f">
            <v:textbox>
              <w:txbxContent>
                <w:p w14:paraId="1427E246" w14:textId="77777777" w:rsidR="00A95BA9" w:rsidRDefault="00000000">
                  <w:pPr>
                    <w:rPr>
                      <w:sz w:val="36"/>
                      <w:szCs w:val="36"/>
                    </w:rPr>
                  </w:pPr>
                  <w:r>
                    <w:rPr>
                      <w:rFonts w:ascii="Bahnschrift" w:hAnsi="Bahnschrift"/>
                      <w:sz w:val="36"/>
                      <w:szCs w:val="36"/>
                    </w:rPr>
                    <w:t>*</w:t>
                  </w:r>
                </w:p>
                <w:p w14:paraId="5920431D" w14:textId="77777777" w:rsidR="00A95BA9" w:rsidRDefault="00A95BA9"/>
              </w:txbxContent>
            </v:textbox>
          </v:shape>
        </w:pict>
      </w:r>
      <w:bookmarkStart w:id="2" w:name="_Hlk229118767"/>
      <w:r w:rsidRPr="007A5D58">
        <w:object w:dxaOrig="6041" w:dyaOrig="5583" w14:anchorId="75755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9" o:spid="_x0000_i1025" type="#_x0000_t75" style="width:496.5pt;height:362.5pt;visibility:visible;mso-wrap-distance-left:0;mso-wrap-distance-right:0" o:ole="">
            <v:imagedata r:id="rId13" o:title="" embosscolor="white"/>
          </v:shape>
          <o:OLEObject Type="Embed" ProgID="Prism10.Document" ShapeID="1029" DrawAspect="Content" ObjectID="_1841671351" r:id="rId14"/>
        </w:object>
      </w:r>
      <w:bookmarkEnd w:id="2"/>
      <w:r w:rsidRPr="007A5D58">
        <w:rPr>
          <w:rFonts w:ascii="Times New Roman" w:hAnsi="Times New Roman" w:cs="Times New Roman"/>
          <w:b/>
          <w:bCs/>
          <w:sz w:val="24"/>
          <w:szCs w:val="24"/>
        </w:rPr>
        <w:t xml:space="preserve">Figure 1: </w:t>
      </w:r>
      <w:r w:rsidRPr="007A5D58">
        <w:rPr>
          <w:rFonts w:ascii="Times New Roman" w:hAnsi="Times New Roman" w:cs="Times New Roman"/>
          <w:sz w:val="24"/>
          <w:szCs w:val="24"/>
        </w:rPr>
        <w:t xml:space="preserve">Effects of Cadmium on number of arm entries in Y maze test in female albino rats </w:t>
      </w:r>
    </w:p>
    <w:p w14:paraId="079185DF" w14:textId="77777777" w:rsidR="00A95BA9" w:rsidRPr="007A5D58" w:rsidRDefault="00A95BA9">
      <w:pPr>
        <w:spacing w:before="240"/>
        <w:jc w:val="both"/>
        <w:rPr>
          <w:rFonts w:ascii="Times New Roman" w:hAnsi="Times New Roman" w:cs="Times New Roman"/>
          <w:sz w:val="24"/>
          <w:szCs w:val="24"/>
        </w:rPr>
      </w:pPr>
    </w:p>
    <w:p w14:paraId="74C961D9" w14:textId="77777777" w:rsidR="00A95BA9" w:rsidRPr="007A5D58" w:rsidRDefault="00A95BA9">
      <w:pPr>
        <w:spacing w:before="240"/>
        <w:jc w:val="both"/>
        <w:rPr>
          <w:rFonts w:ascii="Times New Roman" w:hAnsi="Times New Roman" w:cs="Times New Roman"/>
          <w:sz w:val="24"/>
          <w:szCs w:val="24"/>
        </w:rPr>
      </w:pPr>
    </w:p>
    <w:p w14:paraId="6CBBB79E" w14:textId="77777777" w:rsidR="00A95BA9" w:rsidRPr="007A5D58" w:rsidRDefault="00A95BA9">
      <w:pPr>
        <w:spacing w:before="240"/>
        <w:jc w:val="both"/>
        <w:rPr>
          <w:rFonts w:ascii="Times New Roman" w:hAnsi="Times New Roman" w:cs="Times New Roman"/>
          <w:sz w:val="24"/>
          <w:szCs w:val="24"/>
        </w:rPr>
      </w:pPr>
    </w:p>
    <w:p w14:paraId="788016EA" w14:textId="77777777" w:rsidR="00A95BA9" w:rsidRPr="007A5D58" w:rsidRDefault="00A95BA9">
      <w:pPr>
        <w:spacing w:before="240"/>
        <w:jc w:val="both"/>
        <w:rPr>
          <w:rFonts w:ascii="Times New Roman" w:hAnsi="Times New Roman" w:cs="Times New Roman"/>
          <w:sz w:val="24"/>
          <w:szCs w:val="24"/>
        </w:rPr>
      </w:pPr>
    </w:p>
    <w:p w14:paraId="64FC0C36"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reduced the percentage alternation in the Y-Maze test</w:t>
      </w:r>
    </w:p>
    <w:p w14:paraId="346D618A" w14:textId="77777777" w:rsidR="00A95BA9" w:rsidRPr="007A5D58" w:rsidRDefault="00000000">
      <w:pPr>
        <w:spacing w:before="240"/>
        <w:jc w:val="both"/>
        <w:rPr>
          <w:rFonts w:ascii="Times New Roman" w:hAnsi="Times New Roman" w:cs="Times New Roman"/>
          <w:sz w:val="24"/>
          <w:szCs w:val="24"/>
          <w:u w:val="single"/>
        </w:rPr>
      </w:pPr>
      <w:r w:rsidRPr="007A5D58">
        <w:rPr>
          <w:rFonts w:ascii="Times New Roman" w:hAnsi="Times New Roman" w:cs="Times New Roman"/>
          <w:sz w:val="24"/>
          <w:szCs w:val="24"/>
        </w:rPr>
        <w:lastRenderedPageBreak/>
        <w:t xml:space="preserve">The effect of Cadmium on spatial working memory is shown in </w:t>
      </w:r>
      <w:r w:rsidRPr="007A5D58">
        <w:rPr>
          <w:rFonts w:ascii="Times New Roman" w:hAnsi="Times New Roman" w:cs="Times New Roman"/>
          <w:b/>
          <w:bCs/>
          <w:sz w:val="24"/>
          <w:szCs w:val="24"/>
        </w:rPr>
        <w:t xml:space="preserve">Figure 2, </w:t>
      </w:r>
      <w:r w:rsidRPr="007A5D58">
        <w:rPr>
          <w:rFonts w:ascii="Times New Roman" w:hAnsi="Times New Roman" w:cs="Times New Roman"/>
          <w:sz w:val="24"/>
          <w:szCs w:val="24"/>
        </w:rPr>
        <w:t xml:space="preserve">which measures the percentage of spontaneous alternations. The </w:t>
      </w:r>
      <w:r w:rsidRPr="007A5D58">
        <w:rPr>
          <w:rFonts w:ascii="Times New Roman" w:hAnsi="Times New Roman" w:cs="Times New Roman"/>
          <w:b/>
          <w:bCs/>
          <w:sz w:val="24"/>
          <w:szCs w:val="24"/>
        </w:rPr>
        <w:t xml:space="preserve">Control </w:t>
      </w:r>
      <w:r w:rsidRPr="007A5D58">
        <w:rPr>
          <w:rFonts w:ascii="Times New Roman" w:hAnsi="Times New Roman" w:cs="Times New Roman"/>
          <w:sz w:val="24"/>
          <w:szCs w:val="24"/>
        </w:rPr>
        <w:t xml:space="preserve">group showed the highest percentage of alternations (approximately 55-60%), which indicates healthy cognitive exploration. It was noticed that rats treated with </w:t>
      </w:r>
      <w:r w:rsidRPr="007A5D58">
        <w:rPr>
          <w:rFonts w:ascii="Times New Roman" w:hAnsi="Times New Roman" w:cs="Times New Roman"/>
          <w:b/>
          <w:bCs/>
          <w:sz w:val="24"/>
          <w:szCs w:val="24"/>
        </w:rPr>
        <w:t xml:space="preserve">2 mg Cadmium </w:t>
      </w:r>
      <w:r w:rsidRPr="007A5D58">
        <w:rPr>
          <w:rFonts w:ascii="Times New Roman" w:hAnsi="Times New Roman" w:cs="Times New Roman"/>
          <w:sz w:val="24"/>
          <w:szCs w:val="24"/>
        </w:rPr>
        <w:t xml:space="preserve">and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 xml:space="preserve">showed a progressive decline in alternation behavior. This suggests that cadmium exposure may alter short-term spatial memory and cognitive function. </w:t>
      </w:r>
    </w:p>
    <w:bookmarkStart w:id="3" w:name="_Hlk229326882"/>
    <w:p w14:paraId="6343B084" w14:textId="77777777" w:rsidR="00A95BA9" w:rsidRPr="007A5D58" w:rsidRDefault="00000000">
      <w:pPr>
        <w:spacing w:before="240"/>
        <w:jc w:val="center"/>
      </w:pPr>
      <w:r w:rsidRPr="007A5D58">
        <w:object w:dxaOrig="5882" w:dyaOrig="5556" w14:anchorId="31848402">
          <v:shape id="1031" o:spid="_x0000_i1026" type="#_x0000_t75" style="width:421.5pt;height:414pt;visibility:visible;mso-wrap-distance-left:0;mso-wrap-distance-right:0" o:ole="">
            <v:imagedata r:id="rId15" o:title="" embosscolor="white"/>
          </v:shape>
          <o:OLEObject Type="Embed" ProgID="Prism10.Document" ShapeID="1031" DrawAspect="Content" ObjectID="_1841671352" r:id="rId16"/>
        </w:object>
      </w:r>
      <w:bookmarkEnd w:id="3"/>
    </w:p>
    <w:p w14:paraId="36D7997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Figure 2: </w:t>
      </w:r>
      <w:r w:rsidRPr="007A5D58">
        <w:rPr>
          <w:rFonts w:ascii="Times New Roman" w:hAnsi="Times New Roman" w:cs="Times New Roman"/>
          <w:sz w:val="24"/>
          <w:szCs w:val="24"/>
        </w:rPr>
        <w:t xml:space="preserve">Effects of Cadmium on percentage alternations in Y maze test in female albino rats </w:t>
      </w:r>
    </w:p>
    <w:p w14:paraId="08261D3B" w14:textId="77777777" w:rsidR="00A95BA9" w:rsidRPr="007A5D58" w:rsidRDefault="00A95BA9">
      <w:pPr>
        <w:spacing w:before="240"/>
      </w:pPr>
    </w:p>
    <w:p w14:paraId="393C151C" w14:textId="77777777" w:rsidR="00A95BA9" w:rsidRPr="007A5D58" w:rsidRDefault="00A95BA9">
      <w:pPr>
        <w:spacing w:before="240"/>
        <w:jc w:val="both"/>
        <w:rPr>
          <w:rFonts w:ascii="Times New Roman" w:hAnsi="Times New Roman" w:cs="Times New Roman"/>
          <w:b/>
          <w:bCs/>
          <w:sz w:val="24"/>
          <w:szCs w:val="24"/>
        </w:rPr>
      </w:pPr>
    </w:p>
    <w:p w14:paraId="5102A13F"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reduced the licking/biting time in the early phase of the Formalin test</w:t>
      </w:r>
    </w:p>
    <w:p w14:paraId="6CF0D21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The effects of Cadmium administration on the early phase of the Formalin test are shown in </w:t>
      </w:r>
      <w:r w:rsidRPr="007A5D58">
        <w:rPr>
          <w:rFonts w:ascii="Times New Roman" w:hAnsi="Times New Roman" w:cs="Times New Roman"/>
          <w:b/>
          <w:bCs/>
          <w:sz w:val="24"/>
          <w:szCs w:val="24"/>
        </w:rPr>
        <w:t xml:space="preserve">Figure 3. </w:t>
      </w:r>
      <w:r w:rsidRPr="007A5D58">
        <w:rPr>
          <w:rFonts w:ascii="Times New Roman" w:hAnsi="Times New Roman" w:cs="Times New Roman"/>
          <w:sz w:val="24"/>
          <w:szCs w:val="24"/>
        </w:rPr>
        <w:t xml:space="preserve">Both the </w:t>
      </w:r>
      <w:r w:rsidRPr="007A5D58">
        <w:rPr>
          <w:rFonts w:ascii="Times New Roman" w:hAnsi="Times New Roman" w:cs="Times New Roman"/>
          <w:b/>
          <w:bCs/>
          <w:sz w:val="24"/>
          <w:szCs w:val="24"/>
        </w:rPr>
        <w:t xml:space="preserve">2 mg </w:t>
      </w:r>
      <w:r w:rsidRPr="007A5D58">
        <w:rPr>
          <w:rFonts w:ascii="Times New Roman" w:hAnsi="Times New Roman" w:cs="Times New Roman"/>
          <w:sz w:val="24"/>
          <w:szCs w:val="24"/>
        </w:rPr>
        <w:t xml:space="preserve">and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treated groups showed a reduction in licking and biting duration compared to the</w:t>
      </w:r>
      <w:r w:rsidRPr="007A5D58">
        <w:rPr>
          <w:rFonts w:ascii="Times New Roman" w:hAnsi="Times New Roman" w:cs="Times New Roman"/>
          <w:b/>
          <w:bCs/>
          <w:sz w:val="24"/>
          <w:szCs w:val="24"/>
        </w:rPr>
        <w:t xml:space="preserve"> Control </w:t>
      </w:r>
      <w:r w:rsidRPr="007A5D58">
        <w:rPr>
          <w:rFonts w:ascii="Times New Roman" w:hAnsi="Times New Roman" w:cs="Times New Roman"/>
          <w:sz w:val="24"/>
          <w:szCs w:val="24"/>
        </w:rPr>
        <w:t>group. This reduction did not reach the threshold for statistical significance, suggesting a limited effect of Cadmium on immediate nociceptive signaling.</w:t>
      </w:r>
    </w:p>
    <w:p w14:paraId="6DB7AA65" w14:textId="77777777" w:rsidR="00A95BA9" w:rsidRPr="007A5D58" w:rsidRDefault="00A95BA9">
      <w:pPr>
        <w:spacing w:before="240"/>
        <w:jc w:val="both"/>
        <w:rPr>
          <w:rFonts w:ascii="Times New Roman" w:hAnsi="Times New Roman" w:cs="Times New Roman"/>
          <w:sz w:val="24"/>
          <w:szCs w:val="24"/>
        </w:rPr>
      </w:pPr>
    </w:p>
    <w:p w14:paraId="3A10C4D3" w14:textId="77777777" w:rsidR="00A95BA9" w:rsidRPr="007A5D58" w:rsidRDefault="00000000">
      <w:pPr>
        <w:spacing w:before="240"/>
        <w:jc w:val="both"/>
        <w:rPr>
          <w:rFonts w:ascii="Times New Roman" w:hAnsi="Times New Roman" w:cs="Times New Roman"/>
          <w:b/>
          <w:bCs/>
          <w:sz w:val="24"/>
          <w:szCs w:val="24"/>
          <w:u w:val="single"/>
        </w:rPr>
      </w:pPr>
      <w:r w:rsidRPr="007A5D58">
        <w:rPr>
          <w:noProof/>
        </w:rPr>
        <w:drawing>
          <wp:anchor distT="0" distB="0" distL="0" distR="0" simplePos="0" relativeHeight="2" behindDoc="1" locked="0" layoutInCell="1" allowOverlap="1" wp14:anchorId="43C8FEFE" wp14:editId="10EB2DF1">
            <wp:simplePos x="0" y="0"/>
            <wp:positionH relativeFrom="column">
              <wp:posOffset>-152400</wp:posOffset>
            </wp:positionH>
            <wp:positionV relativeFrom="paragraph">
              <wp:posOffset>-106679</wp:posOffset>
            </wp:positionV>
            <wp:extent cx="4825471" cy="4450080"/>
            <wp:effectExtent l="0" t="0" r="0" b="0"/>
            <wp:wrapNone/>
            <wp:docPr id="10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7" cstate="print"/>
                    <a:srcRect l="35126" t="46230" r="42137" b="16495"/>
                    <a:stretch/>
                  </pic:blipFill>
                  <pic:spPr>
                    <a:xfrm>
                      <a:off x="0" y="0"/>
                      <a:ext cx="4825471" cy="4450080"/>
                    </a:xfrm>
                    <a:prstGeom prst="rect">
                      <a:avLst/>
                    </a:prstGeom>
                    <a:ln>
                      <a:noFill/>
                    </a:ln>
                  </pic:spPr>
                </pic:pic>
              </a:graphicData>
            </a:graphic>
            <wp14:sizeRelH relativeFrom="margin">
              <wp14:pctWidth>0</wp14:pctWidth>
            </wp14:sizeRelH>
            <wp14:sizeRelV relativeFrom="margin">
              <wp14:pctHeight>0</wp14:pctHeight>
            </wp14:sizeRelV>
          </wp:anchor>
        </w:drawing>
      </w:r>
    </w:p>
    <w:p w14:paraId="305BAE4A" w14:textId="77777777" w:rsidR="00A95BA9" w:rsidRPr="007A5D58" w:rsidRDefault="00A95BA9">
      <w:pPr>
        <w:spacing w:before="240"/>
        <w:jc w:val="both"/>
        <w:rPr>
          <w:rFonts w:ascii="Times New Roman" w:hAnsi="Times New Roman" w:cs="Times New Roman"/>
          <w:b/>
          <w:bCs/>
          <w:sz w:val="24"/>
          <w:szCs w:val="24"/>
          <w:u w:val="single"/>
        </w:rPr>
      </w:pPr>
    </w:p>
    <w:p w14:paraId="483A2C57" w14:textId="77777777" w:rsidR="00A95BA9" w:rsidRPr="007A5D58" w:rsidRDefault="00A95BA9">
      <w:pPr>
        <w:spacing w:before="240"/>
        <w:jc w:val="both"/>
        <w:rPr>
          <w:rFonts w:ascii="Times New Roman" w:hAnsi="Times New Roman" w:cs="Times New Roman"/>
          <w:b/>
          <w:bCs/>
          <w:sz w:val="24"/>
          <w:szCs w:val="24"/>
          <w:u w:val="single"/>
        </w:rPr>
      </w:pPr>
    </w:p>
    <w:p w14:paraId="7AC3EF2D" w14:textId="77777777" w:rsidR="00A95BA9" w:rsidRPr="007A5D58" w:rsidRDefault="00A95BA9">
      <w:pPr>
        <w:spacing w:before="240"/>
        <w:jc w:val="both"/>
        <w:rPr>
          <w:rFonts w:ascii="Times New Roman" w:hAnsi="Times New Roman" w:cs="Times New Roman"/>
          <w:b/>
          <w:bCs/>
          <w:sz w:val="24"/>
          <w:szCs w:val="24"/>
          <w:u w:val="single"/>
        </w:rPr>
      </w:pPr>
    </w:p>
    <w:p w14:paraId="49BB8EED" w14:textId="77777777" w:rsidR="00A95BA9" w:rsidRPr="007A5D58" w:rsidRDefault="00A95BA9">
      <w:pPr>
        <w:spacing w:before="240"/>
        <w:jc w:val="both"/>
        <w:rPr>
          <w:rFonts w:ascii="Times New Roman" w:hAnsi="Times New Roman" w:cs="Times New Roman"/>
          <w:b/>
          <w:bCs/>
          <w:sz w:val="24"/>
          <w:szCs w:val="24"/>
          <w:u w:val="single"/>
        </w:rPr>
      </w:pPr>
    </w:p>
    <w:p w14:paraId="3B67046C" w14:textId="77777777" w:rsidR="00A95BA9" w:rsidRPr="007A5D58" w:rsidRDefault="00A95BA9">
      <w:pPr>
        <w:spacing w:before="240"/>
        <w:jc w:val="both"/>
        <w:rPr>
          <w:rFonts w:ascii="Times New Roman" w:hAnsi="Times New Roman" w:cs="Times New Roman"/>
          <w:b/>
          <w:bCs/>
          <w:sz w:val="24"/>
          <w:szCs w:val="24"/>
          <w:u w:val="single"/>
        </w:rPr>
      </w:pPr>
    </w:p>
    <w:p w14:paraId="7A217368" w14:textId="77777777" w:rsidR="00A95BA9" w:rsidRPr="007A5D58" w:rsidRDefault="00A95BA9">
      <w:pPr>
        <w:spacing w:before="240"/>
        <w:jc w:val="both"/>
        <w:rPr>
          <w:rFonts w:ascii="Times New Roman" w:hAnsi="Times New Roman" w:cs="Times New Roman"/>
          <w:b/>
          <w:bCs/>
          <w:sz w:val="24"/>
          <w:szCs w:val="24"/>
          <w:u w:val="single"/>
        </w:rPr>
      </w:pPr>
    </w:p>
    <w:p w14:paraId="70554441" w14:textId="77777777" w:rsidR="00A95BA9" w:rsidRPr="007A5D58" w:rsidRDefault="00A95BA9">
      <w:pPr>
        <w:spacing w:before="240"/>
        <w:jc w:val="both"/>
        <w:rPr>
          <w:rFonts w:ascii="Times New Roman" w:hAnsi="Times New Roman" w:cs="Times New Roman"/>
          <w:b/>
          <w:bCs/>
          <w:sz w:val="24"/>
          <w:szCs w:val="24"/>
          <w:u w:val="single"/>
        </w:rPr>
      </w:pPr>
    </w:p>
    <w:p w14:paraId="12286BF9" w14:textId="77777777" w:rsidR="00A95BA9" w:rsidRPr="007A5D58" w:rsidRDefault="00A95BA9">
      <w:pPr>
        <w:rPr>
          <w:noProof/>
        </w:rPr>
      </w:pPr>
    </w:p>
    <w:p w14:paraId="33C2FAC3" w14:textId="77777777" w:rsidR="00A95BA9" w:rsidRPr="007A5D58" w:rsidRDefault="00A95BA9">
      <w:pPr>
        <w:rPr>
          <w:noProof/>
        </w:rPr>
      </w:pPr>
    </w:p>
    <w:p w14:paraId="5A1AD35F" w14:textId="77777777" w:rsidR="00A95BA9" w:rsidRPr="007A5D58" w:rsidRDefault="00A95BA9">
      <w:pPr>
        <w:rPr>
          <w:noProof/>
        </w:rPr>
      </w:pPr>
    </w:p>
    <w:p w14:paraId="522BB6C2" w14:textId="77777777" w:rsidR="00A95BA9" w:rsidRPr="007A5D58" w:rsidRDefault="00A95BA9">
      <w:pPr>
        <w:rPr>
          <w:noProof/>
        </w:rPr>
      </w:pPr>
    </w:p>
    <w:p w14:paraId="720F02BF" w14:textId="77777777" w:rsidR="00A95BA9" w:rsidRPr="007A5D58" w:rsidRDefault="00A95BA9">
      <w:pPr>
        <w:rPr>
          <w:noProof/>
        </w:rPr>
      </w:pPr>
    </w:p>
    <w:p w14:paraId="44E94429" w14:textId="77777777" w:rsidR="00A95BA9" w:rsidRPr="007A5D58" w:rsidRDefault="00A95BA9">
      <w:pPr>
        <w:rPr>
          <w:noProof/>
        </w:rPr>
      </w:pPr>
    </w:p>
    <w:p w14:paraId="43E8AC97"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Figure 3: </w:t>
      </w:r>
      <w:r w:rsidRPr="007A5D58">
        <w:rPr>
          <w:rFonts w:ascii="Times New Roman" w:hAnsi="Times New Roman" w:cs="Times New Roman"/>
          <w:sz w:val="24"/>
          <w:szCs w:val="24"/>
        </w:rPr>
        <w:t xml:space="preserve">Effects of Cadmium on licking/biting time in the early phase of the Formalin test in female albino rats </w:t>
      </w:r>
    </w:p>
    <w:p w14:paraId="5031F293" w14:textId="77777777" w:rsidR="00A95BA9" w:rsidRPr="007A5D58" w:rsidRDefault="00A95BA9">
      <w:pPr>
        <w:rPr>
          <w:noProof/>
        </w:rPr>
      </w:pPr>
    </w:p>
    <w:p w14:paraId="2733C373" w14:textId="77777777" w:rsidR="00A95BA9" w:rsidRPr="007A5D58" w:rsidRDefault="00A95BA9">
      <w:pPr>
        <w:rPr>
          <w:noProof/>
        </w:rPr>
      </w:pPr>
    </w:p>
    <w:p w14:paraId="07DDE8A6" w14:textId="77777777" w:rsidR="00A95BA9" w:rsidRPr="007A5D58" w:rsidRDefault="00A95BA9">
      <w:pPr>
        <w:rPr>
          <w:noProof/>
        </w:rPr>
      </w:pPr>
    </w:p>
    <w:p w14:paraId="6732E1EC" w14:textId="77777777" w:rsidR="00A95BA9" w:rsidRPr="007A5D58" w:rsidRDefault="00A95BA9">
      <w:pPr>
        <w:rPr>
          <w:noProof/>
        </w:rPr>
      </w:pPr>
    </w:p>
    <w:p w14:paraId="26120EBA" w14:textId="77777777" w:rsidR="00A95BA9" w:rsidRPr="007A5D58" w:rsidRDefault="00A95BA9">
      <w:pPr>
        <w:rPr>
          <w:noProof/>
        </w:rPr>
      </w:pPr>
    </w:p>
    <w:p w14:paraId="1DCBAFF1" w14:textId="77777777" w:rsidR="00A95BA9" w:rsidRPr="007A5D58" w:rsidRDefault="00000000">
      <w:pPr>
        <w:rPr>
          <w:rFonts w:ascii="Times New Roman" w:hAnsi="Times New Roman" w:cs="Times New Roman"/>
          <w:b/>
          <w:bCs/>
          <w:noProof/>
          <w:sz w:val="24"/>
          <w:szCs w:val="24"/>
        </w:rPr>
      </w:pPr>
      <w:r w:rsidRPr="007A5D58">
        <w:rPr>
          <w:rFonts w:ascii="Times New Roman" w:hAnsi="Times New Roman" w:cs="Times New Roman"/>
          <w:b/>
          <w:bCs/>
          <w:noProof/>
          <w:sz w:val="24"/>
          <w:szCs w:val="24"/>
        </w:rPr>
        <w:t>Cadmium significantly inhibited the licking/biting time in the late phase of the Formalin test</w:t>
      </w:r>
      <w:r w:rsidRPr="007A5D58">
        <w:rPr>
          <w:noProof/>
        </w:rPr>
        <w:t xml:space="preserve">    </w:t>
      </w:r>
    </w:p>
    <w:p w14:paraId="2A297723" w14:textId="77777777" w:rsidR="00A95BA9" w:rsidRPr="007A5D58" w:rsidRDefault="00000000">
      <w:pPr>
        <w:jc w:val="both"/>
        <w:rPr>
          <w:rFonts w:ascii="Times New Roman" w:hAnsi="Times New Roman" w:cs="Times New Roman"/>
          <w:noProof/>
          <w:sz w:val="24"/>
          <w:szCs w:val="24"/>
        </w:rPr>
      </w:pPr>
      <w:r w:rsidRPr="007A5D58">
        <w:rPr>
          <w:rFonts w:ascii="Times New Roman" w:hAnsi="Times New Roman" w:cs="Times New Roman"/>
          <w:b/>
          <w:bCs/>
          <w:noProof/>
          <w:sz w:val="24"/>
          <w:szCs w:val="24"/>
        </w:rPr>
        <w:lastRenderedPageBreak/>
        <w:t xml:space="preserve">Figure 4 </w:t>
      </w:r>
      <w:r w:rsidRPr="007A5D58">
        <w:rPr>
          <w:rFonts w:ascii="Times New Roman" w:hAnsi="Times New Roman" w:cs="Times New Roman"/>
          <w:noProof/>
          <w:sz w:val="24"/>
          <w:szCs w:val="24"/>
        </w:rPr>
        <w:t xml:space="preserve">shows the effect of Cadmium on the late phase (inflammatory pain) of the Formalin test. There was a </w:t>
      </w:r>
      <w:r w:rsidRPr="007A5D58">
        <w:rPr>
          <w:rFonts w:ascii="Times New Roman" w:hAnsi="Times New Roman" w:cs="Times New Roman"/>
          <w:b/>
          <w:bCs/>
          <w:noProof/>
          <w:sz w:val="24"/>
          <w:szCs w:val="24"/>
        </w:rPr>
        <w:t xml:space="preserve">significant (p &lt; 0.05) decrease </w:t>
      </w:r>
      <w:r w:rsidRPr="007A5D58">
        <w:rPr>
          <w:rFonts w:ascii="Times New Roman" w:hAnsi="Times New Roman" w:cs="Times New Roman"/>
          <w:noProof/>
          <w:sz w:val="24"/>
          <w:szCs w:val="24"/>
        </w:rPr>
        <w:t xml:space="preserve">in the duration of licking and biting behavior in both the </w:t>
      </w:r>
      <w:r w:rsidRPr="007A5D58">
        <w:rPr>
          <w:rFonts w:ascii="Times New Roman" w:hAnsi="Times New Roman" w:cs="Times New Roman"/>
          <w:b/>
          <w:bCs/>
          <w:noProof/>
          <w:sz w:val="24"/>
          <w:szCs w:val="24"/>
        </w:rPr>
        <w:t xml:space="preserve">2 mg </w:t>
      </w:r>
      <w:r w:rsidRPr="007A5D58">
        <w:rPr>
          <w:rFonts w:ascii="Times New Roman" w:hAnsi="Times New Roman" w:cs="Times New Roman"/>
          <w:noProof/>
          <w:sz w:val="24"/>
          <w:szCs w:val="24"/>
        </w:rPr>
        <w:t xml:space="preserve">and </w:t>
      </w:r>
      <w:r w:rsidRPr="007A5D58">
        <w:rPr>
          <w:rFonts w:ascii="Times New Roman" w:hAnsi="Times New Roman" w:cs="Times New Roman"/>
          <w:b/>
          <w:bCs/>
          <w:noProof/>
          <w:sz w:val="24"/>
          <w:szCs w:val="24"/>
        </w:rPr>
        <w:t xml:space="preserve">3 mg Cadmium </w:t>
      </w:r>
      <w:r w:rsidRPr="007A5D58">
        <w:rPr>
          <w:rFonts w:ascii="Times New Roman" w:hAnsi="Times New Roman" w:cs="Times New Roman"/>
          <w:noProof/>
          <w:sz w:val="24"/>
          <w:szCs w:val="24"/>
        </w:rPr>
        <w:t xml:space="preserve">groups when compared to the </w:t>
      </w:r>
      <w:r w:rsidRPr="007A5D58">
        <w:rPr>
          <w:rFonts w:ascii="Times New Roman" w:hAnsi="Times New Roman" w:cs="Times New Roman"/>
          <w:b/>
          <w:bCs/>
          <w:noProof/>
          <w:sz w:val="24"/>
          <w:szCs w:val="24"/>
        </w:rPr>
        <w:t xml:space="preserve">Control </w:t>
      </w:r>
      <w:r w:rsidRPr="007A5D58">
        <w:rPr>
          <w:rFonts w:ascii="Times New Roman" w:hAnsi="Times New Roman" w:cs="Times New Roman"/>
          <w:noProof/>
          <w:sz w:val="24"/>
          <w:szCs w:val="24"/>
        </w:rPr>
        <w:t>group. The Control group showed a high level of nociceptive response, which was markedly reduced in the Cadmium-treated groups. These results indicate that Cadmium exposure significantly modulates the behavioral response to inflammatory-mediated pain in female albino rats.</w:t>
      </w:r>
    </w:p>
    <w:p w14:paraId="13CC313D" w14:textId="77777777" w:rsidR="00A95BA9" w:rsidRPr="007A5D58" w:rsidRDefault="00000000">
      <w:pPr>
        <w:rPr>
          <w:rFonts w:ascii="Times New Roman" w:hAnsi="Times New Roman" w:cs="Times New Roman"/>
          <w:b/>
          <w:bCs/>
          <w:noProof/>
          <w:sz w:val="24"/>
          <w:szCs w:val="24"/>
        </w:rPr>
      </w:pPr>
      <w:r w:rsidRPr="007A5D58">
        <w:rPr>
          <w:noProof/>
        </w:rPr>
        <w:drawing>
          <wp:anchor distT="0" distB="0" distL="0" distR="0" simplePos="0" relativeHeight="6" behindDoc="1" locked="0" layoutInCell="1" allowOverlap="1" wp14:anchorId="294E3DF6" wp14:editId="39ABBDD1">
            <wp:simplePos x="0" y="0"/>
            <wp:positionH relativeFrom="margin">
              <wp:posOffset>-88900</wp:posOffset>
            </wp:positionH>
            <wp:positionV relativeFrom="paragraph">
              <wp:posOffset>6985</wp:posOffset>
            </wp:positionV>
            <wp:extent cx="4197350" cy="3970055"/>
            <wp:effectExtent l="0" t="0" r="0" b="0"/>
            <wp:wrapNone/>
            <wp:docPr id="103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8" cstate="print"/>
                    <a:srcRect l="35943" t="46956" r="38727" b="10433"/>
                    <a:stretch/>
                  </pic:blipFill>
                  <pic:spPr>
                    <a:xfrm>
                      <a:off x="0" y="0"/>
                      <a:ext cx="4197350" cy="3970055"/>
                    </a:xfrm>
                    <a:prstGeom prst="rect">
                      <a:avLst/>
                    </a:prstGeom>
                    <a:ln>
                      <a:noFill/>
                    </a:ln>
                  </pic:spPr>
                </pic:pic>
              </a:graphicData>
            </a:graphic>
            <wp14:sizeRelH relativeFrom="margin">
              <wp14:pctWidth>0</wp14:pctWidth>
            </wp14:sizeRelH>
            <wp14:sizeRelV relativeFrom="margin">
              <wp14:pctHeight>0</wp14:pctHeight>
            </wp14:sizeRelV>
          </wp:anchor>
        </w:drawing>
      </w:r>
    </w:p>
    <w:p w14:paraId="1B89BB7E" w14:textId="77777777" w:rsidR="00A95BA9" w:rsidRPr="007A5D58" w:rsidRDefault="00A95BA9">
      <w:pPr>
        <w:rPr>
          <w:rFonts w:ascii="Times New Roman" w:hAnsi="Times New Roman" w:cs="Times New Roman"/>
          <w:b/>
          <w:bCs/>
          <w:noProof/>
          <w:sz w:val="24"/>
          <w:szCs w:val="24"/>
        </w:rPr>
      </w:pPr>
    </w:p>
    <w:p w14:paraId="0DEA8B72" w14:textId="77777777" w:rsidR="00A95BA9" w:rsidRPr="007A5D58" w:rsidRDefault="00A95BA9">
      <w:pPr>
        <w:spacing w:before="240"/>
        <w:jc w:val="both"/>
        <w:rPr>
          <w:rFonts w:ascii="Times New Roman" w:hAnsi="Times New Roman" w:cs="Times New Roman"/>
          <w:b/>
          <w:bCs/>
          <w:sz w:val="24"/>
          <w:szCs w:val="24"/>
          <w:u w:val="single"/>
        </w:rPr>
      </w:pPr>
    </w:p>
    <w:p w14:paraId="79F45081" w14:textId="77777777" w:rsidR="00A95BA9" w:rsidRPr="007A5D58" w:rsidRDefault="00000000">
      <w:pPr>
        <w:spacing w:before="240"/>
        <w:jc w:val="both"/>
        <w:rPr>
          <w:rFonts w:ascii="Times New Roman" w:hAnsi="Times New Roman" w:cs="Times New Roman"/>
          <w:b/>
          <w:bCs/>
          <w:sz w:val="24"/>
          <w:szCs w:val="24"/>
          <w:u w:val="single"/>
        </w:rPr>
      </w:pPr>
      <w:r>
        <w:rPr>
          <w:noProof/>
        </w:rPr>
        <w:pict w14:anchorId="0C9DBE4A">
          <v:shape id="1035" o:spid="_x0000_s2055" type="#_x0000_t202" style="position:absolute;left:0;text-align:left;margin-left:117.7pt;margin-top:19.5pt;width:22.3pt;height:19.1pt;z-index:3;visibility:visible;mso-width-percent:0;mso-height-percent:0;mso-wrap-distance-top:3.6pt;mso-wrap-distance-bottom:3.6pt;mso-position-horizontal-relative:text;mso-position-vertical-relative:text;mso-width-percent:0;mso-height-percent:0;mso-width-relative:margin;mso-height-relative:margin" stroked="f">
            <v:textbox>
              <w:txbxContent>
                <w:p w14:paraId="45F9A067" w14:textId="77777777" w:rsidR="00A95BA9" w:rsidRDefault="00000000">
                  <w:pPr>
                    <w:rPr>
                      <w:sz w:val="36"/>
                      <w:szCs w:val="36"/>
                    </w:rPr>
                  </w:pPr>
                  <w:bookmarkStart w:id="4" w:name="OLE_LINK1"/>
                  <w:r>
                    <w:rPr>
                      <w:rFonts w:ascii="Bahnschrift" w:hAnsi="Bahnschrift"/>
                      <w:sz w:val="36"/>
                      <w:szCs w:val="36"/>
                    </w:rPr>
                    <w:t>*</w:t>
                  </w:r>
                  <w:bookmarkEnd w:id="4"/>
                </w:p>
              </w:txbxContent>
            </v:textbox>
            <w10:wrap type="square"/>
          </v:shape>
        </w:pict>
      </w:r>
    </w:p>
    <w:p w14:paraId="2CC158A1" w14:textId="77777777" w:rsidR="00A95BA9" w:rsidRPr="007A5D58" w:rsidRDefault="00000000">
      <w:pPr>
        <w:spacing w:before="240"/>
        <w:jc w:val="both"/>
        <w:rPr>
          <w:rFonts w:ascii="Times New Roman" w:hAnsi="Times New Roman" w:cs="Times New Roman"/>
          <w:b/>
          <w:bCs/>
          <w:sz w:val="24"/>
          <w:szCs w:val="24"/>
          <w:u w:val="single"/>
        </w:rPr>
      </w:pPr>
      <w:r>
        <w:rPr>
          <w:noProof/>
        </w:rPr>
        <w:pict w14:anchorId="1A99DBAD">
          <v:shape id="1036" o:spid="_x0000_s2054" type="#_x0000_t202" style="position:absolute;left:0;text-align:left;margin-left:85.55pt;margin-top:2.7pt;width:22.3pt;height:19.1pt;z-index:4;visibility:visible;mso-width-percent:0;mso-height-percent:0;mso-wrap-distance-top:3.6pt;mso-wrap-distance-bottom:3.6pt;mso-position-horizontal-relative:text;mso-position-vertical-relative:text;mso-width-percent:0;mso-height-percent:0;mso-width-relative:margin;mso-height-relative:margin" stroked="f">
            <v:textbox>
              <w:txbxContent>
                <w:p w14:paraId="417D4FBB" w14:textId="77777777" w:rsidR="00A95BA9" w:rsidRDefault="00000000">
                  <w:pPr>
                    <w:pBdr>
                      <w:bottom w:val="single" w:sz="4" w:space="1" w:color="auto"/>
                    </w:pBdr>
                    <w:rPr>
                      <w:sz w:val="36"/>
                      <w:szCs w:val="36"/>
                    </w:rPr>
                  </w:pPr>
                  <w:r>
                    <w:rPr>
                      <w:rFonts w:ascii="Bahnschrift" w:hAnsi="Bahnschrift"/>
                      <w:sz w:val="36"/>
                      <w:szCs w:val="36"/>
                    </w:rPr>
                    <w:t>*</w:t>
                  </w:r>
                </w:p>
              </w:txbxContent>
            </v:textbox>
            <w10:wrap type="square"/>
          </v:shape>
        </w:pict>
      </w:r>
    </w:p>
    <w:p w14:paraId="1071E465" w14:textId="77777777" w:rsidR="00A95BA9" w:rsidRPr="007A5D58" w:rsidRDefault="00A95BA9">
      <w:pPr>
        <w:spacing w:before="240"/>
        <w:jc w:val="both"/>
        <w:rPr>
          <w:rFonts w:ascii="Times New Roman" w:hAnsi="Times New Roman" w:cs="Times New Roman"/>
          <w:b/>
          <w:bCs/>
          <w:sz w:val="24"/>
          <w:szCs w:val="24"/>
          <w:u w:val="single"/>
        </w:rPr>
      </w:pPr>
    </w:p>
    <w:p w14:paraId="7C53AA3D" w14:textId="77777777" w:rsidR="00A95BA9" w:rsidRPr="007A5D58" w:rsidRDefault="00A95BA9">
      <w:pPr>
        <w:spacing w:before="240"/>
        <w:jc w:val="both"/>
        <w:rPr>
          <w:rFonts w:ascii="Times New Roman" w:hAnsi="Times New Roman" w:cs="Times New Roman"/>
          <w:b/>
          <w:bCs/>
          <w:sz w:val="24"/>
          <w:szCs w:val="24"/>
          <w:u w:val="single"/>
        </w:rPr>
      </w:pPr>
    </w:p>
    <w:p w14:paraId="30B6E52A" w14:textId="77777777" w:rsidR="00A95BA9" w:rsidRPr="007A5D58" w:rsidRDefault="00A95BA9">
      <w:pPr>
        <w:spacing w:before="240"/>
        <w:jc w:val="both"/>
        <w:rPr>
          <w:rFonts w:ascii="Times New Roman" w:hAnsi="Times New Roman" w:cs="Times New Roman"/>
          <w:b/>
          <w:bCs/>
          <w:sz w:val="24"/>
          <w:szCs w:val="24"/>
          <w:u w:val="single"/>
        </w:rPr>
      </w:pPr>
    </w:p>
    <w:p w14:paraId="73825199" w14:textId="77777777" w:rsidR="00A95BA9" w:rsidRPr="007A5D58" w:rsidRDefault="00A95BA9">
      <w:pPr>
        <w:spacing w:before="240"/>
        <w:jc w:val="both"/>
        <w:rPr>
          <w:rFonts w:ascii="Times New Roman" w:hAnsi="Times New Roman" w:cs="Times New Roman"/>
          <w:b/>
          <w:bCs/>
          <w:sz w:val="24"/>
          <w:szCs w:val="24"/>
          <w:u w:val="single"/>
        </w:rPr>
      </w:pPr>
    </w:p>
    <w:p w14:paraId="69815683" w14:textId="77777777" w:rsidR="00A95BA9" w:rsidRPr="007A5D58" w:rsidRDefault="00A95BA9">
      <w:pPr>
        <w:spacing w:before="240"/>
        <w:jc w:val="both"/>
        <w:rPr>
          <w:rFonts w:ascii="Times New Roman" w:hAnsi="Times New Roman" w:cs="Times New Roman"/>
          <w:b/>
          <w:bCs/>
          <w:sz w:val="24"/>
          <w:szCs w:val="24"/>
          <w:u w:val="single"/>
        </w:rPr>
      </w:pPr>
    </w:p>
    <w:p w14:paraId="21E0CA37" w14:textId="77777777" w:rsidR="00A95BA9" w:rsidRPr="007A5D58" w:rsidRDefault="00A95BA9">
      <w:pPr>
        <w:spacing w:before="240"/>
        <w:jc w:val="both"/>
        <w:rPr>
          <w:rFonts w:ascii="Times New Roman" w:hAnsi="Times New Roman" w:cs="Times New Roman"/>
          <w:b/>
          <w:bCs/>
          <w:sz w:val="24"/>
          <w:szCs w:val="24"/>
          <w:u w:val="single"/>
        </w:rPr>
      </w:pPr>
    </w:p>
    <w:p w14:paraId="47BA65AA" w14:textId="77777777" w:rsidR="00A95BA9" w:rsidRPr="007A5D58" w:rsidRDefault="00A95BA9">
      <w:pPr>
        <w:spacing w:before="240"/>
        <w:jc w:val="both"/>
        <w:rPr>
          <w:rFonts w:ascii="Times New Roman" w:hAnsi="Times New Roman" w:cs="Times New Roman"/>
          <w:b/>
          <w:bCs/>
          <w:sz w:val="24"/>
          <w:szCs w:val="24"/>
          <w:u w:val="single"/>
        </w:rPr>
      </w:pPr>
    </w:p>
    <w:p w14:paraId="54DB01C0" w14:textId="77777777" w:rsidR="00A95BA9" w:rsidRPr="007A5D58" w:rsidRDefault="00A95BA9">
      <w:pPr>
        <w:spacing w:before="240"/>
        <w:jc w:val="both"/>
        <w:rPr>
          <w:rFonts w:ascii="Times New Roman" w:hAnsi="Times New Roman" w:cs="Times New Roman"/>
          <w:b/>
          <w:bCs/>
          <w:sz w:val="24"/>
          <w:szCs w:val="24"/>
          <w:u w:val="single"/>
        </w:rPr>
      </w:pPr>
    </w:p>
    <w:p w14:paraId="70DEF82A"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t xml:space="preserve">Figure 4: </w:t>
      </w:r>
      <w:r w:rsidRPr="007A5D58">
        <w:rPr>
          <w:rFonts w:ascii="Times New Roman" w:hAnsi="Times New Roman" w:cs="Times New Roman"/>
          <w:sz w:val="24"/>
          <w:szCs w:val="24"/>
        </w:rPr>
        <w:t xml:space="preserve">Effects of Cadmium on licking/biting time in the late phase of the Formalin test in female albino rats </w:t>
      </w:r>
    </w:p>
    <w:p w14:paraId="34E36629" w14:textId="77777777" w:rsidR="00A95BA9" w:rsidRPr="007A5D58" w:rsidRDefault="00A95BA9">
      <w:pPr>
        <w:spacing w:before="240"/>
        <w:jc w:val="both"/>
        <w:rPr>
          <w:rFonts w:ascii="Times New Roman" w:hAnsi="Times New Roman" w:cs="Times New Roman"/>
          <w:b/>
          <w:bCs/>
          <w:sz w:val="24"/>
          <w:szCs w:val="24"/>
          <w:u w:val="single"/>
        </w:rPr>
      </w:pPr>
    </w:p>
    <w:p w14:paraId="12D2F2F6" w14:textId="77777777" w:rsidR="00A95BA9" w:rsidRPr="007A5D58" w:rsidRDefault="00A95BA9">
      <w:pPr>
        <w:spacing w:before="240"/>
        <w:jc w:val="both"/>
        <w:rPr>
          <w:rFonts w:ascii="Times New Roman" w:hAnsi="Times New Roman" w:cs="Times New Roman"/>
          <w:b/>
          <w:bCs/>
          <w:sz w:val="24"/>
          <w:szCs w:val="24"/>
          <w:u w:val="single"/>
        </w:rPr>
      </w:pPr>
    </w:p>
    <w:p w14:paraId="41BF8675" w14:textId="77777777" w:rsidR="00A95BA9" w:rsidRPr="007A5D58" w:rsidRDefault="00A95BA9">
      <w:pPr>
        <w:spacing w:before="240"/>
        <w:jc w:val="both"/>
        <w:rPr>
          <w:rFonts w:ascii="Times New Roman" w:hAnsi="Times New Roman" w:cs="Times New Roman"/>
          <w:b/>
          <w:bCs/>
          <w:sz w:val="24"/>
          <w:szCs w:val="24"/>
          <w:u w:val="single"/>
        </w:rPr>
      </w:pPr>
    </w:p>
    <w:p w14:paraId="6B960E18" w14:textId="77777777" w:rsidR="00A95BA9" w:rsidRPr="007A5D58" w:rsidRDefault="00A95BA9">
      <w:pPr>
        <w:spacing w:before="240"/>
        <w:jc w:val="both"/>
        <w:rPr>
          <w:rFonts w:ascii="Times New Roman" w:hAnsi="Times New Roman" w:cs="Times New Roman"/>
          <w:b/>
          <w:bCs/>
          <w:sz w:val="24"/>
          <w:szCs w:val="24"/>
          <w:u w:val="single"/>
        </w:rPr>
      </w:pPr>
    </w:p>
    <w:p w14:paraId="76A79584" w14:textId="77777777" w:rsidR="00A95BA9" w:rsidRPr="007A5D58" w:rsidRDefault="00A95BA9">
      <w:pPr>
        <w:spacing w:before="240"/>
        <w:jc w:val="both"/>
        <w:rPr>
          <w:rFonts w:ascii="Times New Roman" w:hAnsi="Times New Roman" w:cs="Times New Roman"/>
          <w:b/>
          <w:bCs/>
          <w:sz w:val="24"/>
          <w:szCs w:val="24"/>
          <w:u w:val="single"/>
        </w:rPr>
      </w:pPr>
    </w:p>
    <w:p w14:paraId="161FF140"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administration reduced body weight gain over seven days duration</w:t>
      </w:r>
    </w:p>
    <w:p w14:paraId="6276E74F"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Figure 5 shows the daily weight change in female albino rats across the three experimental groups. While all groups showed a general increase in weight over the week, the rate of weight gain was notably lower in the Cadmium-treated groups compared to the control.</w:t>
      </w:r>
    </w:p>
    <w:p w14:paraId="0694B159"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From </w:t>
      </w:r>
      <w:r w:rsidRPr="007A5D58">
        <w:rPr>
          <w:rFonts w:ascii="Times New Roman" w:hAnsi="Times New Roman" w:cs="Times New Roman"/>
          <w:b/>
          <w:bCs/>
          <w:sz w:val="24"/>
          <w:szCs w:val="24"/>
        </w:rPr>
        <w:t xml:space="preserve">Day 3 to Day 7, </w:t>
      </w:r>
      <w:r w:rsidRPr="007A5D58">
        <w:rPr>
          <w:rFonts w:ascii="Times New Roman" w:hAnsi="Times New Roman" w:cs="Times New Roman"/>
          <w:sz w:val="24"/>
          <w:szCs w:val="24"/>
        </w:rPr>
        <w:t xml:space="preserve">the control group consistently showed higher weight gain values than the rats treated with </w:t>
      </w:r>
      <w:r w:rsidRPr="007A5D58">
        <w:rPr>
          <w:rFonts w:ascii="Times New Roman" w:hAnsi="Times New Roman" w:cs="Times New Roman"/>
          <w:b/>
          <w:bCs/>
          <w:sz w:val="24"/>
          <w:szCs w:val="24"/>
        </w:rPr>
        <w:t xml:space="preserve">2 mg and 3 mg of Cadmium. </w:t>
      </w:r>
      <w:r w:rsidRPr="007A5D58">
        <w:rPr>
          <w:rFonts w:ascii="Times New Roman" w:hAnsi="Times New Roman" w:cs="Times New Roman"/>
          <w:sz w:val="24"/>
          <w:szCs w:val="24"/>
        </w:rPr>
        <w:t xml:space="preserve">This suppression of growth was most visible on </w:t>
      </w:r>
      <w:r w:rsidRPr="007A5D58">
        <w:rPr>
          <w:rFonts w:ascii="Times New Roman" w:hAnsi="Times New Roman" w:cs="Times New Roman"/>
          <w:b/>
          <w:bCs/>
          <w:sz w:val="24"/>
          <w:szCs w:val="24"/>
        </w:rPr>
        <w:t xml:space="preserve">Day 5, </w:t>
      </w:r>
      <w:r w:rsidRPr="007A5D58">
        <w:rPr>
          <w:rFonts w:ascii="Times New Roman" w:hAnsi="Times New Roman" w:cs="Times New Roman"/>
          <w:sz w:val="24"/>
          <w:szCs w:val="24"/>
        </w:rPr>
        <w:t>where the control group reached a peak weight change of approximately 18g, whereas the Cadmium-treated groups remained lower at approximately 12g.</w:t>
      </w:r>
    </w:p>
    <w:p w14:paraId="1164492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These findings suggest that Cadmium toxicity interferes with normal metabolic processes or reduces feed intake leading to a reduced growth rate in the subjects over time.</w:t>
      </w:r>
      <w:r w:rsidRPr="007A5D58">
        <w:object w:dxaOrig="8282" w:dyaOrig="4685" w14:anchorId="1B8D3791">
          <v:shape id="1037" o:spid="_x0000_i1027" type="#_x0000_t75" style="width:493.5pt;height:302pt;visibility:visible;mso-wrap-distance-left:0;mso-wrap-distance-right:0" o:ole="">
            <v:imagedata r:id="rId19" o:title="" embosscolor="white"/>
          </v:shape>
          <o:OLEObject Type="Embed" ProgID="Prism10.Document" ShapeID="1037" DrawAspect="Content" ObjectID="_1841671353" r:id="rId20"/>
        </w:object>
      </w:r>
      <w:r w:rsidRPr="007A5D58">
        <w:rPr>
          <w:rFonts w:ascii="Times New Roman" w:hAnsi="Times New Roman" w:cs="Times New Roman"/>
          <w:b/>
          <w:bCs/>
          <w:sz w:val="24"/>
          <w:szCs w:val="24"/>
        </w:rPr>
        <w:t xml:space="preserve">Figure 5: </w:t>
      </w:r>
      <w:r w:rsidRPr="007A5D58">
        <w:rPr>
          <w:rFonts w:ascii="Times New Roman" w:hAnsi="Times New Roman" w:cs="Times New Roman"/>
          <w:sz w:val="24"/>
          <w:szCs w:val="24"/>
        </w:rPr>
        <w:t>Effects of Cadmium administration on daily body weight change in female albino rats over a seven-day period</w:t>
      </w:r>
      <w:r w:rsidRPr="007A5D58">
        <w:rPr>
          <w:rFonts w:ascii="Times New Roman" w:hAnsi="Times New Roman" w:cs="Times New Roman"/>
          <w:b/>
          <w:bCs/>
          <w:sz w:val="24"/>
          <w:szCs w:val="24"/>
        </w:rPr>
        <w:t xml:space="preserve"> </w:t>
      </w:r>
    </w:p>
    <w:p w14:paraId="4F57EC68" w14:textId="77777777" w:rsidR="00A95BA9" w:rsidRPr="007A5D58" w:rsidRDefault="00A95BA9">
      <w:pPr>
        <w:spacing w:before="240"/>
        <w:jc w:val="both"/>
        <w:rPr>
          <w:rFonts w:ascii="Times New Roman" w:hAnsi="Times New Roman" w:cs="Times New Roman"/>
          <w:b/>
          <w:bCs/>
          <w:sz w:val="24"/>
          <w:szCs w:val="24"/>
          <w:u w:val="single"/>
        </w:rPr>
      </w:pPr>
    </w:p>
    <w:p w14:paraId="7B15404C" w14:textId="77777777" w:rsidR="00A95BA9" w:rsidRPr="007A5D58" w:rsidRDefault="00A95BA9">
      <w:pPr>
        <w:spacing w:before="240"/>
        <w:jc w:val="both"/>
        <w:rPr>
          <w:rFonts w:ascii="Times New Roman" w:hAnsi="Times New Roman" w:cs="Times New Roman"/>
          <w:b/>
          <w:bCs/>
          <w:sz w:val="24"/>
          <w:szCs w:val="24"/>
          <w:u w:val="single"/>
        </w:rPr>
      </w:pPr>
    </w:p>
    <w:p w14:paraId="7950A0BD" w14:textId="77777777" w:rsidR="00A95BA9" w:rsidRPr="007A5D58" w:rsidRDefault="00A95BA9">
      <w:pPr>
        <w:spacing w:before="240"/>
        <w:jc w:val="both"/>
        <w:rPr>
          <w:rFonts w:ascii="Times New Roman" w:hAnsi="Times New Roman" w:cs="Times New Roman"/>
          <w:sz w:val="24"/>
          <w:szCs w:val="24"/>
        </w:rPr>
      </w:pPr>
    </w:p>
    <w:p w14:paraId="253359B0" w14:textId="77777777" w:rsidR="00A95BA9" w:rsidRPr="007A5D58" w:rsidRDefault="00A95BA9">
      <w:pPr>
        <w:spacing w:before="240"/>
        <w:jc w:val="both"/>
        <w:rPr>
          <w:rFonts w:ascii="Times New Roman" w:hAnsi="Times New Roman" w:cs="Times New Roman"/>
          <w:b/>
          <w:bCs/>
          <w:sz w:val="24"/>
          <w:szCs w:val="24"/>
          <w:u w:val="single"/>
        </w:rPr>
      </w:pPr>
    </w:p>
    <w:p w14:paraId="3E04857C" w14:textId="77777777" w:rsidR="00A95BA9" w:rsidRPr="007A5D58" w:rsidRDefault="00000000">
      <w:pPr>
        <w:spacing w:before="240"/>
        <w:jc w:val="both"/>
        <w:rPr>
          <w:rFonts w:ascii="Times New Roman" w:hAnsi="Times New Roman" w:cs="Times New Roman"/>
          <w:b/>
          <w:bCs/>
          <w:sz w:val="24"/>
          <w:szCs w:val="24"/>
        </w:rPr>
      </w:pPr>
      <w:r w:rsidRPr="007A5D58">
        <w:rPr>
          <w:rFonts w:ascii="Times New Roman" w:hAnsi="Times New Roman" w:cs="Times New Roman"/>
          <w:b/>
          <w:bCs/>
          <w:sz w:val="24"/>
          <w:szCs w:val="24"/>
        </w:rPr>
        <w:t>Cadmium administration significantly reduced Total White Blood Cell Count</w:t>
      </w:r>
    </w:p>
    <w:p w14:paraId="4E81CA0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Figure 6 shows the effect of Cadmium toxicity on the Total White Blood Cell (WBC) count in female albino rats. The results demonstrated a significant (p &lt;0.05) reduction in the total WBC count of the group treated with </w:t>
      </w:r>
      <w:r w:rsidRPr="007A5D58">
        <w:rPr>
          <w:rFonts w:ascii="Times New Roman" w:hAnsi="Times New Roman" w:cs="Times New Roman"/>
          <w:b/>
          <w:bCs/>
          <w:sz w:val="24"/>
          <w:szCs w:val="24"/>
        </w:rPr>
        <w:t xml:space="preserve">3 mg/kg of Cadmium </w:t>
      </w:r>
      <w:r w:rsidRPr="007A5D58">
        <w:rPr>
          <w:rFonts w:ascii="Times New Roman" w:hAnsi="Times New Roman" w:cs="Times New Roman"/>
          <w:sz w:val="24"/>
          <w:szCs w:val="24"/>
        </w:rPr>
        <w:t xml:space="preserve">when compared to the </w:t>
      </w:r>
      <w:r w:rsidRPr="007A5D58">
        <w:rPr>
          <w:rFonts w:ascii="Times New Roman" w:hAnsi="Times New Roman" w:cs="Times New Roman"/>
          <w:b/>
          <w:bCs/>
          <w:sz w:val="24"/>
          <w:szCs w:val="24"/>
        </w:rPr>
        <w:t>Control</w:t>
      </w:r>
      <w:r w:rsidRPr="007A5D58">
        <w:rPr>
          <w:rFonts w:ascii="Times New Roman" w:hAnsi="Times New Roman" w:cs="Times New Roman"/>
          <w:sz w:val="24"/>
          <w:szCs w:val="24"/>
        </w:rPr>
        <w:t xml:space="preserve"> group.</w:t>
      </w:r>
    </w:p>
    <w:p w14:paraId="642F47A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While the control group maintained a healthy immune profile with a count of approximately 16×10</w:t>
      </w:r>
      <w:r w:rsidRPr="007A5D58">
        <w:rPr>
          <w:rFonts w:ascii="Times New Roman" w:hAnsi="Times New Roman" w:cs="Times New Roman"/>
          <w:sz w:val="24"/>
          <w:szCs w:val="24"/>
          <w:vertAlign w:val="superscript"/>
        </w:rPr>
        <w:t>9</w:t>
      </w:r>
      <w:r w:rsidRPr="007A5D58">
        <w:rPr>
          <w:rFonts w:ascii="Times New Roman" w:hAnsi="Times New Roman" w:cs="Times New Roman"/>
          <w:sz w:val="24"/>
          <w:szCs w:val="24"/>
        </w:rPr>
        <w:t>/µL, the cadmium-treated grouped showed a sharp decline to approximately 12.5×10</w:t>
      </w:r>
      <w:r w:rsidRPr="007A5D58">
        <w:rPr>
          <w:rFonts w:ascii="Times New Roman" w:hAnsi="Times New Roman" w:cs="Times New Roman"/>
          <w:sz w:val="24"/>
          <w:szCs w:val="24"/>
          <w:vertAlign w:val="superscript"/>
        </w:rPr>
        <w:t>9</w:t>
      </w:r>
      <w:r w:rsidRPr="007A5D58">
        <w:rPr>
          <w:rFonts w:ascii="Times New Roman" w:hAnsi="Times New Roman" w:cs="Times New Roman"/>
          <w:sz w:val="24"/>
          <w:szCs w:val="24"/>
        </w:rPr>
        <w:t>/µL. This significant drop in WBC indicates that Cadmium exposure has a suppressive effect on the immune system.</w:t>
      </w:r>
    </w:p>
    <w:p w14:paraId="04DDA459" w14:textId="77777777" w:rsidR="00A95BA9" w:rsidRPr="007A5D58" w:rsidRDefault="00000000">
      <w:pPr>
        <w:spacing w:before="240"/>
        <w:jc w:val="both"/>
        <w:rPr>
          <w:rFonts w:ascii="Times New Roman" w:hAnsi="Times New Roman" w:cs="Times New Roman"/>
          <w:b/>
          <w:bCs/>
          <w:sz w:val="24"/>
          <w:szCs w:val="24"/>
          <w:u w:val="single"/>
        </w:rPr>
      </w:pPr>
      <w:r>
        <w:rPr>
          <w:rFonts w:ascii="Times New Roman" w:hAnsi="Times New Roman" w:cs="Times New Roman"/>
          <w:noProof/>
          <w:sz w:val="24"/>
          <w:szCs w:val="24"/>
        </w:rPr>
        <w:pict w14:anchorId="1399869A">
          <v:shape id="1039" o:spid="_x0000_s2052" type="#_x0000_t202" style="position:absolute;left:0;text-align:left;margin-left:111.8pt;margin-top:85.2pt;width:26.4pt;height:22.2pt;z-index:7;visibility:visible;mso-wrap-distance-left:0;mso-wrap-distance-right:0;mso-position-horizontal-relative:text;mso-position-vertical-relative:text;mso-width-relative:page;mso-height-relative:page" stroked="f">
            <v:textbox>
              <w:txbxContent>
                <w:p w14:paraId="66F0C8D6" w14:textId="77777777" w:rsidR="00A95BA9" w:rsidRDefault="00000000">
                  <w:pPr>
                    <w:rPr>
                      <w:b/>
                      <w:bCs/>
                      <w:sz w:val="36"/>
                      <w:szCs w:val="36"/>
                    </w:rPr>
                  </w:pPr>
                  <w:r>
                    <w:rPr>
                      <w:rFonts w:ascii="Yu Mincho Light" w:eastAsia="Yu Mincho Light" w:hAnsi="Yu Mincho Light" w:hint="eastAsia"/>
                      <w:b/>
                      <w:bCs/>
                      <w:sz w:val="36"/>
                      <w:szCs w:val="36"/>
                    </w:rPr>
                    <w:t>*</w:t>
                  </w:r>
                </w:p>
              </w:txbxContent>
            </v:textbox>
          </v:shape>
        </w:pict>
      </w:r>
      <w:r w:rsidRPr="007A5D58">
        <w:object w:dxaOrig="5666" w:dyaOrig="5849" w14:anchorId="03CD7C05">
          <v:shape id="1040" o:spid="_x0000_i1028" type="#_x0000_t75" style="width:283.5pt;height:290pt;visibility:visible;mso-wrap-distance-left:0;mso-wrap-distance-right:0" o:ole="">
            <v:imagedata r:id="rId21" o:title="" embosscolor="white"/>
          </v:shape>
          <o:OLEObject Type="Embed" ProgID="Prism10.Document" ShapeID="1040" DrawAspect="Content" ObjectID="_1841671354" r:id="rId22"/>
        </w:object>
      </w:r>
    </w:p>
    <w:p w14:paraId="45F69E68"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rPr>
        <w:t xml:space="preserve">Figure 6: </w:t>
      </w:r>
      <w:r w:rsidRPr="007A5D58">
        <w:rPr>
          <w:rFonts w:ascii="Times New Roman" w:hAnsi="Times New Roman" w:cs="Times New Roman"/>
          <w:sz w:val="24"/>
          <w:szCs w:val="24"/>
        </w:rPr>
        <w:t>Effect of Cadmium on Total White Blood Cell Count. Data are expressed as mean ± SEM (n = 5). Statistical analysis was performed using unpaired Student’s t-test. *p &lt; 0.05 was considered statistically significant.</w:t>
      </w:r>
    </w:p>
    <w:p w14:paraId="2127DED7" w14:textId="77777777" w:rsidR="00A95BA9" w:rsidRPr="007A5D58" w:rsidRDefault="00A95BA9">
      <w:pPr>
        <w:spacing w:before="240"/>
        <w:jc w:val="both"/>
        <w:rPr>
          <w:rFonts w:ascii="Times New Roman" w:hAnsi="Times New Roman" w:cs="Times New Roman"/>
          <w:b/>
          <w:bCs/>
          <w:sz w:val="24"/>
          <w:szCs w:val="24"/>
          <w:u w:val="single"/>
        </w:rPr>
      </w:pPr>
    </w:p>
    <w:p w14:paraId="119C9688" w14:textId="77777777" w:rsidR="00A95BA9" w:rsidRPr="007A5D58" w:rsidRDefault="00A95BA9">
      <w:pPr>
        <w:spacing w:before="240"/>
        <w:jc w:val="both"/>
        <w:rPr>
          <w:rFonts w:ascii="Times New Roman" w:hAnsi="Times New Roman" w:cs="Times New Roman"/>
          <w:b/>
          <w:bCs/>
          <w:sz w:val="24"/>
          <w:szCs w:val="24"/>
          <w:u w:val="single"/>
        </w:rPr>
      </w:pPr>
    </w:p>
    <w:p w14:paraId="3F478A44" w14:textId="77777777" w:rsidR="00A95BA9" w:rsidRPr="007A5D58" w:rsidRDefault="00A95BA9">
      <w:pPr>
        <w:spacing w:before="240"/>
        <w:jc w:val="both"/>
        <w:rPr>
          <w:rFonts w:ascii="Times New Roman" w:hAnsi="Times New Roman" w:cs="Times New Roman"/>
          <w:b/>
          <w:bCs/>
          <w:sz w:val="24"/>
          <w:szCs w:val="24"/>
          <w:u w:val="single"/>
        </w:rPr>
      </w:pPr>
    </w:p>
    <w:p w14:paraId="369028A6" w14:textId="77777777" w:rsidR="00A95BA9" w:rsidRPr="007A5D58" w:rsidRDefault="00A95BA9">
      <w:pPr>
        <w:spacing w:before="240"/>
        <w:jc w:val="both"/>
        <w:rPr>
          <w:rFonts w:ascii="Times New Roman" w:hAnsi="Times New Roman" w:cs="Times New Roman"/>
          <w:b/>
          <w:bCs/>
          <w:sz w:val="24"/>
          <w:szCs w:val="24"/>
          <w:u w:val="single"/>
        </w:rPr>
      </w:pPr>
    </w:p>
    <w:p w14:paraId="537428E4" w14:textId="77777777" w:rsidR="00A95BA9" w:rsidRPr="007A5D58" w:rsidRDefault="00A95BA9">
      <w:pPr>
        <w:spacing w:before="240"/>
        <w:jc w:val="both"/>
        <w:rPr>
          <w:rFonts w:ascii="Times New Roman" w:hAnsi="Times New Roman" w:cs="Times New Roman"/>
          <w:b/>
          <w:bCs/>
          <w:sz w:val="24"/>
          <w:szCs w:val="24"/>
          <w:u w:val="single"/>
        </w:rPr>
      </w:pPr>
    </w:p>
    <w:p w14:paraId="2A51A2B3" w14:textId="77777777" w:rsidR="00A95BA9" w:rsidRPr="007A5D58" w:rsidRDefault="00000000">
      <w:pPr>
        <w:spacing w:before="240"/>
        <w:rPr>
          <w:rFonts w:ascii="Times New Roman" w:hAnsi="Times New Roman" w:cs="Times New Roman"/>
          <w:b/>
          <w:bCs/>
          <w:sz w:val="24"/>
          <w:szCs w:val="24"/>
        </w:rPr>
      </w:pPr>
      <w:r w:rsidRPr="007A5D58">
        <w:rPr>
          <w:rFonts w:ascii="Times New Roman" w:hAnsi="Times New Roman" w:cs="Times New Roman"/>
          <w:b/>
          <w:bCs/>
          <w:sz w:val="24"/>
          <w:szCs w:val="24"/>
        </w:rPr>
        <w:t>Effect of Cadmium of Differential White Cell Count</w:t>
      </w:r>
    </w:p>
    <w:p w14:paraId="18DB67C6"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b/>
          <w:bCs/>
          <w:sz w:val="24"/>
          <w:szCs w:val="24"/>
        </w:rPr>
        <w:lastRenderedPageBreak/>
        <w:t xml:space="preserve">Figure 7 </w:t>
      </w:r>
      <w:r w:rsidRPr="007A5D58">
        <w:rPr>
          <w:rFonts w:ascii="Times New Roman" w:hAnsi="Times New Roman" w:cs="Times New Roman"/>
          <w:sz w:val="24"/>
          <w:szCs w:val="24"/>
        </w:rPr>
        <w:t xml:space="preserve">illustrates the impact of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on the various subsets of white blood cells. Unlike the total WBC count, most of the differential counts remained stable between the Control and Treated groups, though some specific trends were observed such as no statistically significant changes in the percentages of neutrophils, lymphocytes or monocytes, a visible reduction observed in the eosinophil percentage in the Cadmium-treated group compared to the Control, and similarly to eosinophils, the basophil count showed a downward trend in the Cadmium-treated group.</w:t>
      </w:r>
    </w:p>
    <w:p w14:paraId="3428D9FE" w14:textId="77777777" w:rsidR="00A95BA9" w:rsidRPr="007A5D58" w:rsidRDefault="00000000">
      <w:pPr>
        <w:spacing w:before="240"/>
        <w:jc w:val="both"/>
        <w:rPr>
          <w:rFonts w:ascii="Times New Roman" w:hAnsi="Times New Roman" w:cs="Times New Roman"/>
          <w:b/>
          <w:bCs/>
          <w:sz w:val="24"/>
          <w:szCs w:val="24"/>
          <w:u w:val="single"/>
        </w:rPr>
      </w:pPr>
      <w:r w:rsidRPr="007A5D58">
        <w:object w:dxaOrig="11592" w:dyaOrig="12242" w14:anchorId="7D1B7686">
          <v:shape id="1042" o:spid="_x0000_i1029" type="#_x0000_t75" style="width:467.5pt;height:494pt;visibility:visible;mso-wrap-distance-left:0;mso-wrap-distance-right:0" o:ole="">
            <v:imagedata r:id="rId23" o:title="" embosscolor="white"/>
          </v:shape>
          <o:OLEObject Type="Embed" ProgID="Prism10.Document" ShapeID="1042" DrawAspect="Content" ObjectID="_1841671355" r:id="rId24"/>
        </w:object>
      </w:r>
    </w:p>
    <w:p w14:paraId="1E3FAE8E"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DISCUSSION</w:t>
      </w:r>
    </w:p>
    <w:p w14:paraId="0C1849CB"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In the present study, the neurotoxic effects of cadmium administration on spatial memory and nociceptive processing were investigated in female albino rats. Cadmium is a known heavy metal pollutant that crosses the blood-brain barrier, leading to oxidative stress and neuronal dysfunction.</w:t>
      </w:r>
    </w:p>
    <w:p w14:paraId="1AD399CF"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To evaluate the impact of Cadmium on spatial memory and exploratory behavior, the Y-Maze test was used. This behavioral assessment banks on the innate tendency of rodents to explore new environments. In the study, Cadmium administration resulted in a dose-dependent decrease in both the number of arm entries and the percentage of spontaneous alternations. The significant reduction in arm entries in the </w:t>
      </w:r>
      <w:r w:rsidRPr="007A5D58">
        <w:rPr>
          <w:rFonts w:ascii="Times New Roman" w:hAnsi="Times New Roman" w:cs="Times New Roman"/>
          <w:b/>
          <w:bCs/>
          <w:sz w:val="24"/>
          <w:szCs w:val="24"/>
        </w:rPr>
        <w:t xml:space="preserve">3 mg Cadmium </w:t>
      </w:r>
      <w:r w:rsidRPr="007A5D58">
        <w:rPr>
          <w:rFonts w:ascii="Times New Roman" w:hAnsi="Times New Roman" w:cs="Times New Roman"/>
          <w:sz w:val="24"/>
          <w:szCs w:val="24"/>
        </w:rPr>
        <w:t xml:space="preserve">group suggests impaired locomotor activity and decrease in the drive to explore. The decline in percentage alternations also indicates a deficit in spatial working memory, likely due to Cadmium-induced damage to the hippocampus; a brain region critical for memory formation. </w:t>
      </w:r>
    </w:p>
    <w:p w14:paraId="42C0625B"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For pain sensitivity, the </w:t>
      </w:r>
      <w:r w:rsidRPr="007A5D58">
        <w:rPr>
          <w:rFonts w:ascii="Times New Roman" w:hAnsi="Times New Roman" w:cs="Times New Roman"/>
          <w:b/>
          <w:bCs/>
          <w:sz w:val="24"/>
          <w:szCs w:val="24"/>
        </w:rPr>
        <w:t>Formalin test</w:t>
      </w:r>
      <w:r w:rsidRPr="007A5D58">
        <w:rPr>
          <w:rFonts w:ascii="Times New Roman" w:hAnsi="Times New Roman" w:cs="Times New Roman"/>
          <w:sz w:val="24"/>
          <w:szCs w:val="24"/>
        </w:rPr>
        <w:t xml:space="preserve"> was used to differentiate between neurogenic and inflammatory pain. The results showed that Cadmium administration influenced the behavioral response to noxious stimuli. In the early phase (0-5 minutes) which represents direct nociceptors activation, there was a visible but non-significant decrease in licking/biting time. However, in the late phase (15-30 minutes), characterized by inflammatory pain, Cadmium administration at both </w:t>
      </w:r>
      <w:r w:rsidRPr="007A5D58">
        <w:rPr>
          <w:rFonts w:ascii="Times New Roman" w:hAnsi="Times New Roman" w:cs="Times New Roman"/>
          <w:b/>
          <w:bCs/>
          <w:sz w:val="24"/>
          <w:szCs w:val="24"/>
        </w:rPr>
        <w:t xml:space="preserve">2 mg and 3 mg </w:t>
      </w:r>
      <w:r w:rsidRPr="007A5D58">
        <w:rPr>
          <w:rFonts w:ascii="Times New Roman" w:hAnsi="Times New Roman" w:cs="Times New Roman"/>
          <w:sz w:val="24"/>
          <w:szCs w:val="24"/>
        </w:rPr>
        <w:t xml:space="preserve">caused a </w:t>
      </w:r>
      <w:r w:rsidRPr="007A5D58">
        <w:rPr>
          <w:rFonts w:ascii="Times New Roman" w:hAnsi="Times New Roman" w:cs="Times New Roman"/>
          <w:b/>
          <w:bCs/>
          <w:sz w:val="24"/>
          <w:szCs w:val="24"/>
        </w:rPr>
        <w:t xml:space="preserve">significant (p &lt;0.05) reduction </w:t>
      </w:r>
      <w:r w:rsidRPr="007A5D58">
        <w:rPr>
          <w:rFonts w:ascii="Times New Roman" w:hAnsi="Times New Roman" w:cs="Times New Roman"/>
          <w:sz w:val="24"/>
          <w:szCs w:val="24"/>
        </w:rPr>
        <w:t>in pain-related behaviors compared to the control.</w:t>
      </w:r>
    </w:p>
    <w:p w14:paraId="698A13D3"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A reduction in pain behavior is usually associated with anti-nociception, but in the context of Cadmium toxicity, it reflects significant toxicity or sensory-motor impairment. The reduction in the late phase responses suggests that Cadmium may disrupt the inflammatory signaling pathways or cause structural damage to the peripheral nerves and spinal cord circuits involved in processing persistent pain.</w:t>
      </w:r>
    </w:p>
    <w:p w14:paraId="71276C87"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The observed reduction in body weight among the rats treated with Cadmium serves as a primary and clear indicator of systemic toxicity. In biological research, body weight is often the first and most reliable warning sign that an organism is under severe physiological distress. When an animal fails to gain weight at a normal rate, it suggests that the toxic substance is not just affecting a single organ, but rather affecting the body’s entire functional balance.</w:t>
      </w:r>
    </w:p>
    <w:p w14:paraId="107B5FF2"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A primary reason for this decline is that Cadmium is well known for its ability to disrupt gastrointestinal absorption. This means that even if the rats were consuming standard amount of food, the Cadmium likely damaged the lining of the intestines or interfered with the enzymes needed to process nutrients. Because of this, the rats were unable to effectively pull the energy and vitamins they needed from the diet to support healthy growth.</w:t>
      </w:r>
    </w:p>
    <w:p w14:paraId="681C85C7"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The fact that this reduced weight gain became most noticeable from day 3 and above suggests a cumulative toxic effect because as the metal built up in the rats’ tissues over several days, their physiological systems began to buckle under the increasing stress. </w:t>
      </w:r>
    </w:p>
    <w:p w14:paraId="29450C58"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lastRenderedPageBreak/>
        <w:t xml:space="preserve">The investigation into the effects of Cadmium toxicity on the immune system of female albino rats revealed a state of leukopenia, characterized by a significant (p&lt;0.05) reduction in the Total White Blood Cell count. White blood cells are the primary mediators of the immune response, responsible for defending the body against the invasion of pathogens and foreign materials. The observed decrease in total count in the group treated with </w:t>
      </w:r>
      <w:r w:rsidRPr="007A5D58">
        <w:rPr>
          <w:rFonts w:ascii="Times New Roman" w:hAnsi="Times New Roman" w:cs="Times New Roman"/>
          <w:b/>
          <w:bCs/>
          <w:sz w:val="24"/>
          <w:szCs w:val="24"/>
        </w:rPr>
        <w:t xml:space="preserve">3 mg of Cadmium </w:t>
      </w:r>
      <w:r w:rsidRPr="007A5D58">
        <w:rPr>
          <w:rFonts w:ascii="Times New Roman" w:hAnsi="Times New Roman" w:cs="Times New Roman"/>
          <w:sz w:val="24"/>
          <w:szCs w:val="24"/>
        </w:rPr>
        <w:t xml:space="preserve">suggests that the metal exerts a suppressive effect on the hematopoietic system. </w:t>
      </w:r>
    </w:p>
    <w:p w14:paraId="58F758C5"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To have more understanding of the nature of this immune suppression, a differential white blood cell count was performed. While the total number of cells reduced, the percentages of Neutrophils, Lymphocytes, and Monocytes remained largely unchanged and comparable to the Control group. This suggests that Cadmium causes a generalized depletion of the immune cells rather than targeting a specific subset. In other words, the entire immune cells reduced in size but the ratio of neutrophils to lymphocytes remained the same. However, the downward trends observed in Eosinophils and Basophils indicated that specialized immune functions might be vulnerable to heavy metal exposure.  </w:t>
      </w:r>
    </w:p>
    <w:p w14:paraId="24155E60"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When viewed alongside the observed deficits spatial memory and reduced body weight gain, these immunological findings confirmed that Cadmium toxicity is multi-systemic. The stunted growth and memory impairment are likely due to a weakened immune system, as the body’s overall physiological resilience is compromised. These results collectively come to the conclusion that Cadmium administration induces significant systemic toxicity.</w:t>
      </w:r>
    </w:p>
    <w:p w14:paraId="62D2566D"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t>CONCLUSION</w:t>
      </w:r>
    </w:p>
    <w:p w14:paraId="3A4A6D5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The results of this study demonstrate that Cadmium administration induces multi-systemic toxicity in female albino rats. Chronic exposure to Cadmium led to a marked impairment in spatial working memory and a reduction in exploratory drive. The altered nociceptive responses observed in the formalin test suggest that Cadmium disrupts inflammatory pain processing and sensory motor pathways. </w:t>
      </w:r>
    </w:p>
    <w:p w14:paraId="5452537D" w14:textId="77777777" w:rsidR="00A95BA9" w:rsidRPr="007A5D58" w:rsidRDefault="00000000">
      <w:pPr>
        <w:spacing w:before="240"/>
        <w:jc w:val="both"/>
        <w:rPr>
          <w:rFonts w:ascii="Times New Roman" w:hAnsi="Times New Roman" w:cs="Times New Roman"/>
          <w:sz w:val="24"/>
          <w:szCs w:val="24"/>
        </w:rPr>
      </w:pPr>
      <w:r w:rsidRPr="007A5D58">
        <w:rPr>
          <w:rFonts w:ascii="Times New Roman" w:hAnsi="Times New Roman" w:cs="Times New Roman"/>
          <w:sz w:val="24"/>
          <w:szCs w:val="24"/>
        </w:rPr>
        <w:t xml:space="preserve">The systemic nature of this toxicity was further noticed by the reduction in body weight gain and a significant decline in total white blood cell count. Despite the stable percentage of differential counts, the reduction in total WBC count indicates a generalized suppression of the immune system. </w:t>
      </w:r>
    </w:p>
    <w:p w14:paraId="7559BFEB" w14:textId="77777777" w:rsidR="00A95BA9" w:rsidRPr="007A5D58" w:rsidRDefault="00000000">
      <w:pPr>
        <w:spacing w:before="240"/>
        <w:jc w:val="both"/>
        <w:rPr>
          <w:rFonts w:ascii="Times New Roman" w:hAnsi="Times New Roman" w:cs="Times New Roman"/>
          <w:b/>
          <w:bCs/>
          <w:sz w:val="24"/>
          <w:szCs w:val="24"/>
          <w:u w:val="single"/>
        </w:rPr>
      </w:pPr>
      <w:r w:rsidRPr="007A5D58">
        <w:rPr>
          <w:rFonts w:ascii="Times New Roman" w:hAnsi="Times New Roman" w:cs="Times New Roman"/>
          <w:sz w:val="24"/>
          <w:szCs w:val="24"/>
        </w:rPr>
        <w:t xml:space="preserve">In summary, Cadmium acts as a potent toxic substance that simultaneously impairs cognitive function, physical growth and immunity. These findings show the severe health risks associated with Cadmium exposure and highlight the need for further research into protective antioxidants that could potentially mitigate these toxic effects. </w:t>
      </w:r>
    </w:p>
    <w:p w14:paraId="0F248E97" w14:textId="77777777" w:rsidR="00A95BA9" w:rsidRPr="007A5D58" w:rsidRDefault="00A95BA9">
      <w:pPr>
        <w:spacing w:before="240"/>
        <w:ind w:left="720" w:hanging="720"/>
        <w:jc w:val="both"/>
        <w:rPr>
          <w:rFonts w:ascii="Times New Roman" w:hAnsi="Times New Roman" w:cs="Times New Roman"/>
          <w:b/>
          <w:bCs/>
          <w:sz w:val="24"/>
          <w:szCs w:val="24"/>
          <w:u w:val="single"/>
        </w:rPr>
      </w:pPr>
    </w:p>
    <w:p w14:paraId="4BF17557" w14:textId="77777777" w:rsidR="002D768C" w:rsidRDefault="002D768C">
      <w:pPr>
        <w:spacing w:before="240"/>
        <w:ind w:left="720" w:hanging="720"/>
        <w:jc w:val="both"/>
        <w:rPr>
          <w:rFonts w:ascii="Times New Roman" w:hAnsi="Times New Roman" w:cs="Times New Roman"/>
          <w:b/>
          <w:bCs/>
          <w:sz w:val="24"/>
          <w:szCs w:val="24"/>
          <w:u w:val="single"/>
        </w:rPr>
      </w:pPr>
    </w:p>
    <w:p w14:paraId="7C3583AD" w14:textId="77777777" w:rsidR="002D768C" w:rsidRDefault="002D768C">
      <w:pPr>
        <w:spacing w:before="240"/>
        <w:ind w:left="720" w:hanging="720"/>
        <w:jc w:val="both"/>
        <w:rPr>
          <w:rFonts w:ascii="Times New Roman" w:hAnsi="Times New Roman" w:cs="Times New Roman"/>
          <w:b/>
          <w:bCs/>
          <w:sz w:val="24"/>
          <w:szCs w:val="24"/>
          <w:u w:val="single"/>
        </w:rPr>
      </w:pPr>
    </w:p>
    <w:p w14:paraId="496FC4DE" w14:textId="092F7203" w:rsidR="00A95BA9" w:rsidRPr="007A5D58" w:rsidRDefault="00000000">
      <w:pPr>
        <w:spacing w:before="240"/>
        <w:ind w:left="720" w:hanging="720"/>
        <w:jc w:val="both"/>
        <w:rPr>
          <w:rFonts w:ascii="Times New Roman" w:hAnsi="Times New Roman" w:cs="Times New Roman"/>
          <w:b/>
          <w:bCs/>
          <w:sz w:val="24"/>
          <w:szCs w:val="24"/>
          <w:u w:val="single"/>
        </w:rPr>
      </w:pPr>
      <w:r w:rsidRPr="007A5D58">
        <w:rPr>
          <w:rFonts w:ascii="Times New Roman" w:hAnsi="Times New Roman" w:cs="Times New Roman"/>
          <w:b/>
          <w:bCs/>
          <w:sz w:val="24"/>
          <w:szCs w:val="24"/>
          <w:u w:val="single"/>
        </w:rPr>
        <w:lastRenderedPageBreak/>
        <w:t>REFERENCES</w:t>
      </w:r>
    </w:p>
    <w:p w14:paraId="5FE059E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 xml:space="preserve">[1] Branca, J. J. V., Pacini, A., Gulisano, M., &amp; Morucci, G. (2023). Hypertension in people exposed to environmental cadmium: Roles for 20-hydroxyeicosatetraenoic acid in the kidney. International Journal of Molecular Sciences, 24(15), 12387. </w:t>
      </w:r>
    </w:p>
    <w:p w14:paraId="3CE5EA4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[2] Campbell, T. W. (2015). Exotic animal hematology and cytology (4</w:t>
      </w:r>
      <w:r w:rsidRPr="007A5D58">
        <w:rPr>
          <w:rFonts w:ascii="Times New Roman" w:hAnsi="Times New Roman" w:cs="Times New Roman"/>
          <w:sz w:val="24"/>
          <w:szCs w:val="24"/>
          <w:vertAlign w:val="superscript"/>
        </w:rPr>
        <w:t>th</w:t>
      </w:r>
      <w:r w:rsidRPr="007A5D58">
        <w:rPr>
          <w:rFonts w:ascii="Times New Roman" w:hAnsi="Times New Roman" w:cs="Times New Roman"/>
          <w:sz w:val="24"/>
          <w:szCs w:val="24"/>
        </w:rPr>
        <w:t xml:space="preserve"> ed.). Wiley-Blackwell.</w:t>
      </w:r>
    </w:p>
    <w:p w14:paraId="5B598D31"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[3] Chen, Q., Wang, Q., Zhang, Y., &amp; Li,Y. (2023). Cadmium-induced oxidative stress and mitochondrial dysfunction in metabolic disorders. Environmental Toxicology and Pharmacology, 99, 104-123.</w:t>
      </w:r>
    </w:p>
    <w:p w14:paraId="158A841E"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[4] Ding, Z., Liu, S., Sun, C., &amp; Zhang, H. (2024). Chronic cadmium exposure induces metabolic disruption and body weight loss in rats. Toxicology Reports, 11, 245-253.</w:t>
      </w:r>
    </w:p>
    <w:p w14:paraId="7DFB3B4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[5] Hunskaar, S., &amp; Hole, K. (2020). The formalin test in mice: Dissociation between inflammatory and non-inflammatory pain. Pain, 30(1), 103-114.</w:t>
      </w:r>
    </w:p>
    <w:p w14:paraId="2A1DFE77"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 xml:space="preserve">[6] Kraeuter, A. K., Guest, P. C., &amp; Sarnyai, Z. (2019). The Y-maze for assessment of spatial working and reference memory in mice. Methods in Molecular Biology, 1916, 105-111. </w:t>
      </w:r>
    </w:p>
    <w:p w14:paraId="5BB7F5D1"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[7] Li, X., Zhang, H., &amp; Liu, Y. (2024). Systemic accumulation of cadmium and its impact on hippocampal neurogenesis and reproductive health in female models. Environmental Toxicology and Pharmacology, 108, 104412.</w:t>
      </w:r>
    </w:p>
    <w:p w14:paraId="3B5E43E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[8] Morris, R. G. (1984). Developments of a water-maze procedure for studying spatial learning in the rat. Journal of Neuroscience Methods, 11(1), 47-60.</w:t>
      </w:r>
    </w:p>
    <w:p w14:paraId="2A6064EA"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[9] Ojo, O. A., Ajiboye, B. O., Oyinloye, B. E., &amp; Ojo, A. B. (2023). Cadmium toxicity: Effects on body weight, organ function, and oxidative stress biomarkers in experimental animals. Biological Trace Element Research, 201(5), 2301-2312.</w:t>
      </w:r>
    </w:p>
    <w:p w14:paraId="4F0C36F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[10] Satarug, S. (2024). Cadmium exposure and its effects on metabolic health and body weight regulation: A review. Cells, 13(1),83.</w:t>
      </w:r>
    </w:p>
    <w:p w14:paraId="22A60A16"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[11] Sharma, R., Gupta, S., Kumar, A., &amp; Singh, M. (2025). Cadmium-induced pro-inflammatory cytokine polarization and pain sensitization in wistar rats. Toxicology Reports, 12, 450-458.</w:t>
      </w:r>
    </w:p>
    <w:p w14:paraId="56DDABB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[12] Sun, Q., Wang, L., &amp; Zhao, H. (2025). Neuroinflammatory pathways and estrogenic mimicry of cadmium: Implications for memory and nociception. Frontiers in Molecular Neuroscience, 18, 1102.</w:t>
      </w:r>
    </w:p>
    <w:p w14:paraId="1112188D"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[13] Taysi, S. (2024). Oxidative stress and inflammatory responses in cadmium-induced hepatocellular damage. Journal of Biochemical and Molecular Toxicology, 38(2), e23641.</w:t>
      </w:r>
    </w:p>
    <w:p w14:paraId="7E44971C"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[14] Thompson, J., &amp; Bannigan, J. (2024). Cadmium: Toxic effects on the reproductive system and fetal development. Birth Defects Research, 116(2), 145-158.</w:t>
      </w:r>
    </w:p>
    <w:p w14:paraId="28660EBA"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lastRenderedPageBreak/>
        <w:t>[15] Thrall, M. A., Weiser, G., Allison, R. W., &amp; Campbell, T. W. (2022). Veterinary hematology and clinical chemistry (3</w:t>
      </w:r>
      <w:r w:rsidRPr="007A5D58">
        <w:rPr>
          <w:rFonts w:ascii="Times New Roman" w:hAnsi="Times New Roman" w:cs="Times New Roman"/>
          <w:sz w:val="24"/>
          <w:szCs w:val="24"/>
          <w:vertAlign w:val="superscript"/>
        </w:rPr>
        <w:t>rd</w:t>
      </w:r>
      <w:r w:rsidRPr="007A5D58">
        <w:rPr>
          <w:rFonts w:ascii="Times New Roman" w:hAnsi="Times New Roman" w:cs="Times New Roman"/>
          <w:sz w:val="24"/>
          <w:szCs w:val="24"/>
        </w:rPr>
        <w:t xml:space="preserve"> ed.). Wiley-Blackwell.</w:t>
      </w:r>
    </w:p>
    <w:p w14:paraId="6E4FAB4B"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[16] Tjølsen, A., Berge, O. G., Hunskaar, S., Rosland, J. H., &amp; Hole, K. (1992). The formalin test: An evaluation of the method. Pain, 51(1), 5-17.</w:t>
      </w:r>
    </w:p>
    <w:p w14:paraId="016B3F28"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 xml:space="preserve">[17] Vorhees, C. V., &amp; Williams, M. T. (2006). Morris water maze: Procedures for assessing spatial and related forms of learning and memory. Nature Protocols, 1(2), 848-858. </w:t>
      </w:r>
    </w:p>
    <w:p w14:paraId="0A628C05"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[18] Wang, J., et al. (2023). Cadmium exposure disrupts dendritic spine pruning and synaptic plasticity in the adult hippocampus. NeuroToxicology, 94, 112-120.</w:t>
      </w:r>
    </w:p>
    <w:p w14:paraId="01A24EEC" w14:textId="77777777" w:rsidR="00A95BA9" w:rsidRPr="007A5D58"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[19] Wijnen, J., et al. (2024). Advanced protocols for the Morris water maze: Evaluating escape latency in chronic toxicity models. Behavioral Brain Research, 452, 114567.</w:t>
      </w:r>
    </w:p>
    <w:p w14:paraId="4ABA6E11" w14:textId="77777777" w:rsidR="00A95BA9" w:rsidRDefault="00000000">
      <w:pPr>
        <w:ind w:left="720" w:hanging="720"/>
        <w:jc w:val="both"/>
        <w:rPr>
          <w:rFonts w:ascii="Times New Roman" w:hAnsi="Times New Roman" w:cs="Times New Roman"/>
          <w:sz w:val="24"/>
          <w:szCs w:val="24"/>
        </w:rPr>
      </w:pPr>
      <w:r w:rsidRPr="007A5D58">
        <w:rPr>
          <w:rFonts w:ascii="Times New Roman" w:hAnsi="Times New Roman" w:cs="Times New Roman"/>
          <w:sz w:val="24"/>
          <w:szCs w:val="24"/>
        </w:rPr>
        <w:t>[20] Zhang, W., Liu, Z., Wang, L., &amp; Sun, Y. (2023). Cadmium exposure and female reproductive toxicity: Mechanisms and implications. Ecotoxicology and Environmental Safety, 252,114585.</w:t>
      </w:r>
    </w:p>
    <w:p w14:paraId="6D1D5874" w14:textId="77777777" w:rsidR="00A95BA9" w:rsidRDefault="00A95BA9">
      <w:pPr>
        <w:spacing w:before="240"/>
        <w:jc w:val="both"/>
        <w:rPr>
          <w:rFonts w:ascii="Times New Roman" w:hAnsi="Times New Roman" w:cs="Times New Roman"/>
          <w:sz w:val="24"/>
          <w:szCs w:val="24"/>
        </w:rPr>
      </w:pPr>
    </w:p>
    <w:sectPr w:rsidR="00A95BA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A9ED" w14:textId="77777777" w:rsidR="00790E84" w:rsidRDefault="00790E84">
      <w:pPr>
        <w:spacing w:after="0" w:line="240" w:lineRule="auto"/>
      </w:pPr>
      <w:r>
        <w:separator/>
      </w:r>
    </w:p>
  </w:endnote>
  <w:endnote w:type="continuationSeparator" w:id="0">
    <w:p w14:paraId="1F0C9C45" w14:textId="77777777" w:rsidR="00790E84" w:rsidRDefault="00790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hnschrift">
    <w:panose1 w:val="020B0502040204020203"/>
    <w:charset w:val="00"/>
    <w:family w:val="swiss"/>
    <w:pitch w:val="variable"/>
    <w:sig w:usb0="A00002C7" w:usb1="00000002" w:usb2="00000000" w:usb3="00000000" w:csb0="0000019F" w:csb1="00000000"/>
  </w:font>
  <w:font w:name="Yu Mincho Light">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DD01" w14:textId="77777777" w:rsidR="000E6711" w:rsidRDefault="000E6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E9D4" w14:textId="77777777" w:rsidR="00A95BA9"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7DB63C49" w14:textId="77777777" w:rsidR="00A95BA9" w:rsidRDefault="00A95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B230" w14:textId="77777777" w:rsidR="000E6711" w:rsidRDefault="000E6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98E2E" w14:textId="77777777" w:rsidR="00790E84" w:rsidRDefault="00790E84">
      <w:pPr>
        <w:spacing w:after="0" w:line="240" w:lineRule="auto"/>
      </w:pPr>
      <w:r>
        <w:separator/>
      </w:r>
    </w:p>
  </w:footnote>
  <w:footnote w:type="continuationSeparator" w:id="0">
    <w:p w14:paraId="649FA15E" w14:textId="77777777" w:rsidR="00790E84" w:rsidRDefault="00790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EC83" w14:textId="60785A02" w:rsidR="000E6711" w:rsidRDefault="000E6711">
    <w:pPr>
      <w:pStyle w:val="Header"/>
    </w:pPr>
    <w:r>
      <w:rPr>
        <w:noProof/>
      </w:rPr>
      <w:pict w14:anchorId="320E0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80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1E0C" w14:textId="7F779CF1" w:rsidR="000E6711" w:rsidRDefault="000E6711">
    <w:pPr>
      <w:pStyle w:val="Header"/>
    </w:pPr>
    <w:r>
      <w:rPr>
        <w:noProof/>
      </w:rPr>
      <w:pict w14:anchorId="0F9C6F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80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1D7C" w14:textId="37CE633C" w:rsidR="000E6711" w:rsidRDefault="000E6711">
    <w:pPr>
      <w:pStyle w:val="Header"/>
    </w:pPr>
    <w:r>
      <w:rPr>
        <w:noProof/>
      </w:rPr>
      <w:pict w14:anchorId="4571BF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80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D4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274AB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DCFC4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BB3F8E8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15:restartNumberingAfterBreak="0">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15:restartNumberingAfterBreak="0">
    <w:nsid w:val="0000000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15:restartNumberingAfterBreak="0">
    <w:nsid w:val="0000000B"/>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15:restartNumberingAfterBreak="0">
    <w:nsid w:val="0000000C"/>
    <w:multiLevelType w:val="hybridMultilevel"/>
    <w:tmpl w:val="9143BBB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E"/>
    <w:multiLevelType w:val="hybridMultilevel"/>
    <w:tmpl w:val="CE64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95CA5"/>
    <w:multiLevelType w:val="hybridMultilevel"/>
    <w:tmpl w:val="79148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519718">
    <w:abstractNumId w:val="5"/>
  </w:num>
  <w:num w:numId="2" w16cid:durableId="2129349264">
    <w:abstractNumId w:val="13"/>
  </w:num>
  <w:num w:numId="3" w16cid:durableId="1955598889">
    <w:abstractNumId w:val="0"/>
  </w:num>
  <w:num w:numId="4" w16cid:durableId="173691200">
    <w:abstractNumId w:val="2"/>
  </w:num>
  <w:num w:numId="5" w16cid:durableId="1622688477">
    <w:abstractNumId w:val="14"/>
  </w:num>
  <w:num w:numId="6" w16cid:durableId="1781953131">
    <w:abstractNumId w:val="1"/>
  </w:num>
  <w:num w:numId="7" w16cid:durableId="571741746">
    <w:abstractNumId w:val="3"/>
  </w:num>
  <w:num w:numId="8" w16cid:durableId="1082751171">
    <w:abstractNumId w:val="4"/>
  </w:num>
  <w:num w:numId="9" w16cid:durableId="497114706">
    <w:abstractNumId w:val="6"/>
  </w:num>
  <w:num w:numId="10" w16cid:durableId="2034307517">
    <w:abstractNumId w:val="7"/>
  </w:num>
  <w:num w:numId="11" w16cid:durableId="2039305963">
    <w:abstractNumId w:val="8"/>
  </w:num>
  <w:num w:numId="12" w16cid:durableId="1609700284">
    <w:abstractNumId w:val="9"/>
  </w:num>
  <w:num w:numId="13" w16cid:durableId="1214851541">
    <w:abstractNumId w:val="10"/>
  </w:num>
  <w:num w:numId="14" w16cid:durableId="201870915">
    <w:abstractNumId w:val="11"/>
  </w:num>
  <w:num w:numId="15" w16cid:durableId="125973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5BA9"/>
    <w:rsid w:val="000E6711"/>
    <w:rsid w:val="00292777"/>
    <w:rsid w:val="002C1AEB"/>
    <w:rsid w:val="002D768C"/>
    <w:rsid w:val="004E6291"/>
    <w:rsid w:val="00655AA5"/>
    <w:rsid w:val="00727666"/>
    <w:rsid w:val="00790E84"/>
    <w:rsid w:val="007A5D58"/>
    <w:rsid w:val="00876982"/>
    <w:rsid w:val="00A67248"/>
    <w:rsid w:val="00A95BA9"/>
    <w:rsid w:val="00BB0481"/>
    <w:rsid w:val="00BD4C04"/>
    <w:rsid w:val="00CC1A74"/>
    <w:rsid w:val="00D06B21"/>
    <w:rsid w:val="00ED69B1"/>
    <w:rsid w:val="00F1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7A2C63A1"/>
  <w15:docId w15:val="{1DA56528-B303-4694-A01D-2D60025B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rPr>
      <w:color w:val="808080"/>
    </w:r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oleObject" Target="embeddings/oleObject5.bin"/><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7.emf"/><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4268</Words>
  <Characters>24332</Characters>
  <Application>Microsoft Office Word</Application>
  <DocSecurity>0</DocSecurity>
  <Lines>202</Lines>
  <Paragraphs>57</Paragraphs>
  <ScaleCrop>false</ScaleCrop>
  <Company/>
  <LinksUpToDate>false</LinksUpToDate>
  <CharactersWithSpaces>28543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jonahgodspower5@gmail.com</dc:creator>
  <cp:lastModifiedBy>SDI 1180</cp:lastModifiedBy>
  <cp:revision>19</cp:revision>
  <dcterms:created xsi:type="dcterms:W3CDTF">2026-05-13T09:53:00Z</dcterms:created>
  <dcterms:modified xsi:type="dcterms:W3CDTF">2026-05-30T13:06:00Z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cb5d3db00fb144fc856c7c49774c0f00</vt:lpwstr>
  </property>
</Properties>
</file>