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48B0E" w14:textId="297641B6" w:rsidR="0012185D" w:rsidRDefault="00A71CE0" w:rsidP="00A71CE0">
      <w:pPr>
        <w:spacing w:before="100" w:beforeAutospacing="1" w:after="100" w:afterAutospacing="1" w:line="240" w:lineRule="auto"/>
        <w:jc w:val="center"/>
        <w:outlineLvl w:val="0"/>
        <w:rPr>
          <w:rFonts w:ascii="Times New Roman" w:eastAsia="Times New Roman" w:hAnsi="Times New Roman" w:cs="Times New Roman"/>
          <w:b/>
          <w:bCs/>
          <w:color w:val="000000" w:themeColor="text1"/>
          <w:kern w:val="36"/>
          <w:sz w:val="24"/>
          <w:szCs w:val="24"/>
        </w:rPr>
      </w:pPr>
      <w:r w:rsidRPr="00E000DA">
        <w:rPr>
          <w:rFonts w:ascii="Times New Roman" w:eastAsia="Times New Roman" w:hAnsi="Times New Roman" w:cs="Times New Roman"/>
          <w:b/>
          <w:bCs/>
          <w:color w:val="000000" w:themeColor="text1"/>
          <w:kern w:val="36"/>
          <w:sz w:val="24"/>
          <w:szCs w:val="24"/>
        </w:rPr>
        <w:t>GROSS CAPITAL FORMATION AND ECONOMIC GROWTH IN NIGERIA: EVIDENCE FROM THE AUTOREGRESSIVE DISTRIBUTED LAG (ARDL) APPROACH</w:t>
      </w:r>
    </w:p>
    <w:p w14:paraId="38C3A5E1" w14:textId="77777777" w:rsidR="00AD2FA3" w:rsidRDefault="00AD2FA3" w:rsidP="00A71CE0">
      <w:pPr>
        <w:spacing w:before="100" w:beforeAutospacing="1" w:after="100" w:afterAutospacing="1" w:line="240" w:lineRule="auto"/>
        <w:jc w:val="center"/>
        <w:outlineLvl w:val="0"/>
        <w:rPr>
          <w:rFonts w:ascii="Times New Roman" w:eastAsia="Times New Roman" w:hAnsi="Times New Roman" w:cs="Times New Roman"/>
          <w:b/>
          <w:bCs/>
          <w:color w:val="000000" w:themeColor="text1"/>
          <w:kern w:val="36"/>
          <w:sz w:val="24"/>
          <w:szCs w:val="24"/>
        </w:rPr>
      </w:pPr>
    </w:p>
    <w:p w14:paraId="31E77A51" w14:textId="6EB25382" w:rsidR="0012185D" w:rsidRPr="00E000DA" w:rsidRDefault="009B6E9A" w:rsidP="009F4EC8">
      <w:pPr>
        <w:spacing w:before="100" w:beforeAutospacing="1" w:after="100" w:afterAutospacing="1" w:line="240" w:lineRule="auto"/>
        <w:outlineLvl w:val="1"/>
        <w:rPr>
          <w:rFonts w:ascii="Times New Roman" w:eastAsia="Times New Roman" w:hAnsi="Times New Roman" w:cs="Times New Roman"/>
          <w:b/>
          <w:bCs/>
          <w:color w:val="000000" w:themeColor="text1"/>
          <w:sz w:val="24"/>
          <w:szCs w:val="24"/>
        </w:rPr>
      </w:pPr>
      <w:r w:rsidRPr="00E000DA">
        <w:rPr>
          <w:rFonts w:ascii="Times New Roman" w:eastAsia="Times New Roman" w:hAnsi="Times New Roman" w:cs="Times New Roman"/>
          <w:b/>
          <w:bCs/>
          <w:color w:val="000000" w:themeColor="text1"/>
          <w:sz w:val="24"/>
          <w:szCs w:val="24"/>
        </w:rPr>
        <w:t>ABSTRACT</w:t>
      </w:r>
    </w:p>
    <w:p w14:paraId="184C544A" w14:textId="665CDD3B" w:rsidR="0012185D" w:rsidRPr="00E000DA" w:rsidRDefault="00523501" w:rsidP="006E76E5">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E000DA">
        <w:rPr>
          <w:rFonts w:ascii="Times New Roman" w:eastAsia="Times New Roman" w:hAnsi="Times New Roman" w:cs="Times New Roman"/>
          <w:color w:val="000000" w:themeColor="text1"/>
          <w:sz w:val="24"/>
          <w:szCs w:val="24"/>
        </w:rPr>
        <w:t xml:space="preserve">Gross capital formation is considered one of the most important contributors to economic growth by building up capital, increasing productivity and technological progress. In Nigeria, although various policies and development programmes have been put in place to attract investments, the impact of gross capital formation on sustained economic growth is inconclusive. This study used the Autoregressive Distributed Lag (ARDL) model to </w:t>
      </w:r>
      <w:r w:rsidR="001C607D" w:rsidRPr="00E000DA">
        <w:rPr>
          <w:rFonts w:ascii="Times New Roman" w:eastAsia="Times New Roman" w:hAnsi="Times New Roman" w:cs="Times New Roman"/>
          <w:color w:val="000000" w:themeColor="text1"/>
          <w:sz w:val="24"/>
          <w:szCs w:val="24"/>
        </w:rPr>
        <w:t>analyze</w:t>
      </w:r>
      <w:r w:rsidRPr="00E000DA">
        <w:rPr>
          <w:rFonts w:ascii="Times New Roman" w:eastAsia="Times New Roman" w:hAnsi="Times New Roman" w:cs="Times New Roman"/>
          <w:color w:val="000000" w:themeColor="text1"/>
          <w:sz w:val="24"/>
          <w:szCs w:val="24"/>
        </w:rPr>
        <w:t xml:space="preserve"> the impact of gross capital formation on economic growth in N</w:t>
      </w:r>
      <w:r w:rsidR="00244B19" w:rsidRPr="00E000DA">
        <w:rPr>
          <w:rFonts w:ascii="Times New Roman" w:eastAsia="Times New Roman" w:hAnsi="Times New Roman" w:cs="Times New Roman"/>
          <w:color w:val="000000" w:themeColor="text1"/>
          <w:sz w:val="24"/>
          <w:szCs w:val="24"/>
        </w:rPr>
        <w:t>igeria for the period 2004–2025 with the data sourced from Central Bank Statistical Bulletin and World Development Indicators</w:t>
      </w:r>
      <w:r w:rsidRPr="00E000DA">
        <w:rPr>
          <w:rFonts w:ascii="Times New Roman" w:eastAsia="Times New Roman" w:hAnsi="Times New Roman" w:cs="Times New Roman"/>
          <w:color w:val="000000" w:themeColor="text1"/>
          <w:sz w:val="24"/>
          <w:szCs w:val="24"/>
        </w:rPr>
        <w:t xml:space="preserve">. The results showed that in the short run, the effect of gross capital formation on the </w:t>
      </w:r>
      <w:r w:rsidR="00D86261" w:rsidRPr="00E000DA">
        <w:rPr>
          <w:rFonts w:ascii="Times New Roman" w:eastAsia="Times New Roman" w:hAnsi="Times New Roman" w:cs="Times New Roman"/>
          <w:color w:val="000000" w:themeColor="text1"/>
          <w:sz w:val="24"/>
          <w:szCs w:val="24"/>
        </w:rPr>
        <w:t xml:space="preserve">growth of the </w:t>
      </w:r>
      <w:r w:rsidRPr="00E000DA">
        <w:rPr>
          <w:rFonts w:ascii="Times New Roman" w:eastAsia="Times New Roman" w:hAnsi="Times New Roman" w:cs="Times New Roman"/>
          <w:color w:val="000000" w:themeColor="text1"/>
          <w:sz w:val="24"/>
          <w:szCs w:val="24"/>
        </w:rPr>
        <w:t xml:space="preserve">economy was negative, but statistically insignificant, in the contemporaneous period, and positive but insignificant in the lagged period, meaning that investment has not significantly contributed to the improvement of economic </w:t>
      </w:r>
      <w:r w:rsidR="00D86261" w:rsidRPr="00E000DA">
        <w:rPr>
          <w:rFonts w:ascii="Times New Roman" w:eastAsia="Times New Roman" w:hAnsi="Times New Roman" w:cs="Times New Roman"/>
          <w:color w:val="000000" w:themeColor="text1"/>
          <w:sz w:val="24"/>
          <w:szCs w:val="24"/>
        </w:rPr>
        <w:t>growth</w:t>
      </w:r>
      <w:r w:rsidRPr="00E000DA">
        <w:rPr>
          <w:rFonts w:ascii="Times New Roman" w:eastAsia="Times New Roman" w:hAnsi="Times New Roman" w:cs="Times New Roman"/>
          <w:color w:val="000000" w:themeColor="text1"/>
          <w:sz w:val="24"/>
          <w:szCs w:val="24"/>
        </w:rPr>
        <w:t xml:space="preserve">. </w:t>
      </w:r>
      <w:r w:rsidR="00D86261" w:rsidRPr="00E000DA">
        <w:rPr>
          <w:rFonts w:ascii="Times New Roman" w:eastAsia="Times New Roman" w:hAnsi="Times New Roman" w:cs="Times New Roman"/>
          <w:color w:val="000000" w:themeColor="text1"/>
          <w:sz w:val="24"/>
          <w:szCs w:val="24"/>
        </w:rPr>
        <w:t>L</w:t>
      </w:r>
      <w:r w:rsidRPr="00E000DA">
        <w:rPr>
          <w:rFonts w:ascii="Times New Roman" w:eastAsia="Times New Roman" w:hAnsi="Times New Roman" w:cs="Times New Roman"/>
          <w:color w:val="000000" w:themeColor="text1"/>
          <w:sz w:val="24"/>
          <w:szCs w:val="24"/>
        </w:rPr>
        <w:t xml:space="preserve">iteracy rate had a negative contemporaneous effect, although not statistically significant, on economic growth but a positive statistically significant lagged effect, indicating that the economic returns from human capital formation are long delayed. The study </w:t>
      </w:r>
      <w:r w:rsidR="00D86261" w:rsidRPr="00E000DA">
        <w:rPr>
          <w:rFonts w:ascii="Times New Roman" w:eastAsia="Times New Roman" w:hAnsi="Times New Roman" w:cs="Times New Roman"/>
          <w:color w:val="000000" w:themeColor="text1"/>
          <w:sz w:val="24"/>
          <w:szCs w:val="24"/>
        </w:rPr>
        <w:t xml:space="preserve">concludes </w:t>
      </w:r>
      <w:r w:rsidRPr="00E000DA">
        <w:rPr>
          <w:rFonts w:ascii="Times New Roman" w:eastAsia="Times New Roman" w:hAnsi="Times New Roman" w:cs="Times New Roman"/>
          <w:color w:val="000000" w:themeColor="text1"/>
          <w:sz w:val="24"/>
          <w:szCs w:val="24"/>
        </w:rPr>
        <w:t>that only a combination of efficient capital allocation, institutional quality and continued investment in human capital development can help to s</w:t>
      </w:r>
      <w:r w:rsidR="00D86261" w:rsidRPr="00E000DA">
        <w:rPr>
          <w:rFonts w:ascii="Times New Roman" w:eastAsia="Times New Roman" w:hAnsi="Times New Roman" w:cs="Times New Roman"/>
          <w:color w:val="000000" w:themeColor="text1"/>
          <w:sz w:val="24"/>
          <w:szCs w:val="24"/>
        </w:rPr>
        <w:t xml:space="preserve">timulate </w:t>
      </w:r>
      <w:r w:rsidRPr="00E000DA">
        <w:rPr>
          <w:rFonts w:ascii="Times New Roman" w:eastAsia="Times New Roman" w:hAnsi="Times New Roman" w:cs="Times New Roman"/>
          <w:color w:val="000000" w:themeColor="text1"/>
          <w:sz w:val="24"/>
          <w:szCs w:val="24"/>
        </w:rPr>
        <w:t>sustainable economic growth if there is a greater amount of investment. The study</w:t>
      </w:r>
      <w:r w:rsidR="00D86261" w:rsidRPr="00E000DA">
        <w:rPr>
          <w:rFonts w:ascii="Times New Roman" w:eastAsia="Times New Roman" w:hAnsi="Times New Roman" w:cs="Times New Roman"/>
          <w:color w:val="000000" w:themeColor="text1"/>
          <w:sz w:val="24"/>
          <w:szCs w:val="24"/>
        </w:rPr>
        <w:t xml:space="preserve"> recommends that</w:t>
      </w:r>
      <w:r w:rsidRPr="00E000DA">
        <w:rPr>
          <w:rFonts w:ascii="Times New Roman" w:eastAsia="Times New Roman" w:hAnsi="Times New Roman" w:cs="Times New Roman"/>
          <w:color w:val="000000" w:themeColor="text1"/>
          <w:sz w:val="24"/>
          <w:szCs w:val="24"/>
        </w:rPr>
        <w:t xml:space="preserve"> Federal Ministry of Finance, Federal Ministry of Budget and Economic Plan</w:t>
      </w:r>
      <w:r w:rsidR="00A3325C" w:rsidRPr="00E000DA">
        <w:rPr>
          <w:rFonts w:ascii="Times New Roman" w:eastAsia="Times New Roman" w:hAnsi="Times New Roman" w:cs="Times New Roman"/>
          <w:color w:val="000000" w:themeColor="text1"/>
          <w:sz w:val="24"/>
          <w:szCs w:val="24"/>
        </w:rPr>
        <w:t xml:space="preserve">ning, Central Bank of Nigeria </w:t>
      </w:r>
      <w:r w:rsidRPr="00E000DA">
        <w:rPr>
          <w:rFonts w:ascii="Times New Roman" w:eastAsia="Times New Roman" w:hAnsi="Times New Roman" w:cs="Times New Roman"/>
          <w:color w:val="000000" w:themeColor="text1"/>
          <w:sz w:val="24"/>
          <w:szCs w:val="24"/>
        </w:rPr>
        <w:t xml:space="preserve">and Nigerian Investment Promotion Commission </w:t>
      </w:r>
      <w:r w:rsidR="00D86261" w:rsidRPr="00E000DA">
        <w:rPr>
          <w:rFonts w:ascii="Times New Roman" w:eastAsia="Times New Roman" w:hAnsi="Times New Roman" w:cs="Times New Roman"/>
          <w:color w:val="000000" w:themeColor="text1"/>
          <w:sz w:val="24"/>
          <w:szCs w:val="24"/>
        </w:rPr>
        <w:t xml:space="preserve">should </w:t>
      </w:r>
      <w:r w:rsidRPr="00E000DA">
        <w:rPr>
          <w:rFonts w:ascii="Times New Roman" w:eastAsia="Times New Roman" w:hAnsi="Times New Roman" w:cs="Times New Roman"/>
          <w:color w:val="000000" w:themeColor="text1"/>
          <w:sz w:val="24"/>
          <w:szCs w:val="24"/>
        </w:rPr>
        <w:t xml:space="preserve">enhance policies that encourage productive investment, underpinned with improved infrastructure, efficient allocation of capital, and an enabling investment environment. It also urges the Federal Ministry of Education, National Universities Commission, National Board for Technical Education and the National Commission for Colleges of Education to boost technical, vocational, digital and innovation-based education to build up labour productivity and </w:t>
      </w:r>
      <w:r w:rsidR="002E71D9" w:rsidRPr="00E000DA">
        <w:rPr>
          <w:rFonts w:ascii="Times New Roman" w:eastAsia="Times New Roman" w:hAnsi="Times New Roman" w:cs="Times New Roman"/>
          <w:color w:val="000000" w:themeColor="text1"/>
          <w:sz w:val="24"/>
          <w:szCs w:val="24"/>
        </w:rPr>
        <w:t>maximize</w:t>
      </w:r>
      <w:r w:rsidRPr="00E000DA">
        <w:rPr>
          <w:rFonts w:ascii="Times New Roman" w:eastAsia="Times New Roman" w:hAnsi="Times New Roman" w:cs="Times New Roman"/>
          <w:color w:val="000000" w:themeColor="text1"/>
          <w:sz w:val="24"/>
          <w:szCs w:val="24"/>
        </w:rPr>
        <w:t xml:space="preserve"> long-term growth effects of manpower development.</w:t>
      </w:r>
    </w:p>
    <w:p w14:paraId="434A4CB6" w14:textId="77777777" w:rsidR="0012185D" w:rsidRPr="00E000DA" w:rsidRDefault="0012185D" w:rsidP="006E76E5">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E000DA">
        <w:rPr>
          <w:rFonts w:ascii="Times New Roman" w:eastAsia="Times New Roman" w:hAnsi="Times New Roman" w:cs="Times New Roman"/>
          <w:b/>
          <w:bCs/>
          <w:color w:val="000000" w:themeColor="text1"/>
          <w:sz w:val="24"/>
          <w:szCs w:val="24"/>
        </w:rPr>
        <w:t>Keywords:</w:t>
      </w:r>
      <w:r w:rsidRPr="00E000DA">
        <w:rPr>
          <w:rFonts w:ascii="Times New Roman" w:eastAsia="Times New Roman" w:hAnsi="Times New Roman" w:cs="Times New Roman"/>
          <w:color w:val="000000" w:themeColor="text1"/>
          <w:sz w:val="24"/>
          <w:szCs w:val="24"/>
        </w:rPr>
        <w:t xml:space="preserve"> </w:t>
      </w:r>
      <w:r w:rsidR="007028DB" w:rsidRPr="00E000DA">
        <w:rPr>
          <w:rFonts w:ascii="Times New Roman" w:hAnsi="Times New Roman" w:cs="Times New Roman"/>
          <w:color w:val="000000" w:themeColor="text1"/>
          <w:sz w:val="24"/>
          <w:szCs w:val="24"/>
        </w:rPr>
        <w:t>ARDL, Economic Growth, Gross Capital Formation, Literacy Rate, Nigeria</w:t>
      </w:r>
    </w:p>
    <w:p w14:paraId="146DB3F1" w14:textId="77777777" w:rsidR="0012185D" w:rsidRPr="00E000DA" w:rsidRDefault="0012185D" w:rsidP="006E76E5">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E000DA">
        <w:rPr>
          <w:rFonts w:ascii="Times New Roman" w:eastAsia="Times New Roman" w:hAnsi="Times New Roman" w:cs="Times New Roman"/>
          <w:b/>
          <w:bCs/>
          <w:color w:val="000000" w:themeColor="text1"/>
          <w:sz w:val="24"/>
          <w:szCs w:val="24"/>
        </w:rPr>
        <w:t>JEL Classification:</w:t>
      </w:r>
      <w:r w:rsidRPr="00E000DA">
        <w:rPr>
          <w:rFonts w:ascii="Times New Roman" w:eastAsia="Times New Roman" w:hAnsi="Times New Roman" w:cs="Times New Roman"/>
          <w:color w:val="000000" w:themeColor="text1"/>
          <w:sz w:val="24"/>
          <w:szCs w:val="24"/>
        </w:rPr>
        <w:t xml:space="preserve"> </w:t>
      </w:r>
      <w:r w:rsidR="000E2DFB" w:rsidRPr="00E000DA">
        <w:rPr>
          <w:rFonts w:ascii="Times New Roman" w:hAnsi="Times New Roman" w:cs="Times New Roman"/>
          <w:color w:val="000000" w:themeColor="text1"/>
          <w:sz w:val="24"/>
          <w:szCs w:val="24"/>
        </w:rPr>
        <w:t>E22, O40, O47, O55, C22</w:t>
      </w:r>
    </w:p>
    <w:p w14:paraId="0089C4F8" w14:textId="77777777" w:rsidR="002E71D9" w:rsidRDefault="002E71D9" w:rsidP="0045397C">
      <w:pPr>
        <w:spacing w:before="100" w:beforeAutospacing="1" w:after="100" w:afterAutospacing="1" w:line="360" w:lineRule="auto"/>
        <w:jc w:val="both"/>
        <w:outlineLvl w:val="0"/>
        <w:rPr>
          <w:rFonts w:ascii="Times New Roman" w:eastAsia="Times New Roman" w:hAnsi="Times New Roman" w:cs="Times New Roman"/>
          <w:color w:val="000000" w:themeColor="text1"/>
          <w:sz w:val="24"/>
          <w:szCs w:val="24"/>
        </w:rPr>
      </w:pPr>
    </w:p>
    <w:p w14:paraId="3BE3ECBB" w14:textId="13A01D1E" w:rsidR="0012185D" w:rsidRPr="00E000DA" w:rsidRDefault="0012185D" w:rsidP="0045397C">
      <w:pPr>
        <w:spacing w:before="100" w:beforeAutospacing="1" w:after="100" w:afterAutospacing="1" w:line="360" w:lineRule="auto"/>
        <w:jc w:val="both"/>
        <w:outlineLvl w:val="0"/>
        <w:rPr>
          <w:rFonts w:ascii="Times New Roman" w:eastAsia="Times New Roman" w:hAnsi="Times New Roman" w:cs="Times New Roman"/>
          <w:b/>
          <w:bCs/>
          <w:color w:val="000000" w:themeColor="text1"/>
          <w:kern w:val="36"/>
          <w:sz w:val="24"/>
          <w:szCs w:val="24"/>
        </w:rPr>
      </w:pPr>
      <w:r w:rsidRPr="00E000DA">
        <w:rPr>
          <w:rFonts w:ascii="Times New Roman" w:eastAsia="Times New Roman" w:hAnsi="Times New Roman" w:cs="Times New Roman"/>
          <w:b/>
          <w:bCs/>
          <w:color w:val="000000" w:themeColor="text1"/>
          <w:kern w:val="36"/>
          <w:sz w:val="24"/>
          <w:szCs w:val="24"/>
        </w:rPr>
        <w:t>1.0 Introduction</w:t>
      </w:r>
    </w:p>
    <w:p w14:paraId="31FDA524" w14:textId="58EFAA2D" w:rsidR="00852F90" w:rsidRPr="00E000DA" w:rsidRDefault="002E71D9" w:rsidP="0045397C">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6078A4" w:rsidRPr="00E000DA">
        <w:rPr>
          <w:rFonts w:ascii="Times New Roman" w:eastAsia="Times New Roman" w:hAnsi="Times New Roman" w:cs="Times New Roman"/>
          <w:color w:val="000000" w:themeColor="text1"/>
          <w:sz w:val="24"/>
          <w:szCs w:val="24"/>
        </w:rPr>
        <w:t xml:space="preserve">The achievement of sustainable growth remains central to the </w:t>
      </w:r>
      <w:r w:rsidR="00852F90" w:rsidRPr="00E000DA">
        <w:rPr>
          <w:rFonts w:ascii="Times New Roman" w:eastAsia="Times New Roman" w:hAnsi="Times New Roman" w:cs="Times New Roman"/>
          <w:color w:val="000000" w:themeColor="text1"/>
          <w:sz w:val="24"/>
          <w:szCs w:val="24"/>
        </w:rPr>
        <w:t>macroeconomic policy</w:t>
      </w:r>
      <w:r w:rsidR="006078A4" w:rsidRPr="00E000DA">
        <w:rPr>
          <w:rFonts w:ascii="Times New Roman" w:eastAsia="Times New Roman" w:hAnsi="Times New Roman" w:cs="Times New Roman"/>
          <w:color w:val="000000" w:themeColor="text1"/>
          <w:sz w:val="24"/>
          <w:szCs w:val="24"/>
        </w:rPr>
        <w:t xml:space="preserve"> goals of </w:t>
      </w:r>
      <w:r w:rsidR="00852F90" w:rsidRPr="00E000DA">
        <w:rPr>
          <w:rFonts w:ascii="Times New Roman" w:eastAsia="Times New Roman" w:hAnsi="Times New Roman" w:cs="Times New Roman"/>
          <w:color w:val="000000" w:themeColor="text1"/>
          <w:sz w:val="24"/>
          <w:szCs w:val="24"/>
        </w:rPr>
        <w:t>both dev</w:t>
      </w:r>
      <w:r w:rsidR="006078A4" w:rsidRPr="00E000DA">
        <w:rPr>
          <w:rFonts w:ascii="Times New Roman" w:eastAsia="Times New Roman" w:hAnsi="Times New Roman" w:cs="Times New Roman"/>
          <w:color w:val="000000" w:themeColor="text1"/>
          <w:sz w:val="24"/>
          <w:szCs w:val="24"/>
        </w:rPr>
        <w:t>eloped and developing countries</w:t>
      </w:r>
      <w:r w:rsidR="00852F90" w:rsidRPr="00E000DA">
        <w:rPr>
          <w:rFonts w:ascii="Times New Roman" w:eastAsia="Times New Roman" w:hAnsi="Times New Roman" w:cs="Times New Roman"/>
          <w:color w:val="000000" w:themeColor="text1"/>
          <w:sz w:val="24"/>
          <w:szCs w:val="24"/>
        </w:rPr>
        <w:t xml:space="preserve">. The implications of growth with respect to the generation of employment, poverty alleviation, </w:t>
      </w:r>
      <w:r w:rsidRPr="00E000DA">
        <w:rPr>
          <w:rFonts w:ascii="Times New Roman" w:eastAsia="Times New Roman" w:hAnsi="Times New Roman" w:cs="Times New Roman"/>
          <w:color w:val="000000" w:themeColor="text1"/>
          <w:sz w:val="24"/>
          <w:szCs w:val="24"/>
        </w:rPr>
        <w:t>industrialization</w:t>
      </w:r>
      <w:r w:rsidR="00852F90" w:rsidRPr="00E000DA">
        <w:rPr>
          <w:rFonts w:ascii="Times New Roman" w:eastAsia="Times New Roman" w:hAnsi="Times New Roman" w:cs="Times New Roman"/>
          <w:color w:val="000000" w:themeColor="text1"/>
          <w:sz w:val="24"/>
          <w:szCs w:val="24"/>
        </w:rPr>
        <w:t xml:space="preserve"> and improvement in living standards are of major significance. Persistent challenges such as infrastructural inadequacies, </w:t>
      </w:r>
      <w:r w:rsidR="00852F90" w:rsidRPr="00E000DA">
        <w:rPr>
          <w:rFonts w:ascii="Times New Roman" w:eastAsia="Times New Roman" w:hAnsi="Times New Roman" w:cs="Times New Roman"/>
          <w:color w:val="000000" w:themeColor="text1"/>
          <w:sz w:val="24"/>
          <w:szCs w:val="24"/>
        </w:rPr>
        <w:lastRenderedPageBreak/>
        <w:t>macroeconomic instability, policy uncertainty and inadequate accumulation of capital are faced by developing countries, especially in making progress towards structural transformation (Chirwa &amp; Odhiambo, 2018). Gross capital formation plays a central role among the main factors of long-term growth, as it measures the increase in the supply of productive physical assets like machinery, equipment, transport infrastructure and buildings. These investments not only increase productive capacity but also enable the adoption of new technology and boost labour productivity, which is a crucial factor for output growth (World Bank, 2023).</w:t>
      </w:r>
    </w:p>
    <w:p w14:paraId="6AB51C6F" w14:textId="175168FF" w:rsidR="00852F90" w:rsidRPr="00E000DA" w:rsidRDefault="002E71D9" w:rsidP="0045397C">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4F33EB" w:rsidRPr="00E000DA">
        <w:rPr>
          <w:rFonts w:ascii="Times New Roman" w:eastAsia="Times New Roman" w:hAnsi="Times New Roman" w:cs="Times New Roman"/>
          <w:color w:val="000000" w:themeColor="text1"/>
          <w:sz w:val="24"/>
          <w:szCs w:val="24"/>
        </w:rPr>
        <w:t>C</w:t>
      </w:r>
      <w:r w:rsidR="00852F90" w:rsidRPr="00E000DA">
        <w:rPr>
          <w:rFonts w:ascii="Times New Roman" w:eastAsia="Times New Roman" w:hAnsi="Times New Roman" w:cs="Times New Roman"/>
          <w:color w:val="000000" w:themeColor="text1"/>
          <w:sz w:val="24"/>
          <w:szCs w:val="24"/>
        </w:rPr>
        <w:t xml:space="preserve">lassical economists </w:t>
      </w:r>
      <w:r w:rsidR="004F33EB" w:rsidRPr="00E000DA">
        <w:rPr>
          <w:rFonts w:ascii="Times New Roman" w:eastAsia="Times New Roman" w:hAnsi="Times New Roman" w:cs="Times New Roman"/>
          <w:color w:val="000000" w:themeColor="text1"/>
          <w:sz w:val="24"/>
          <w:szCs w:val="24"/>
        </w:rPr>
        <w:t xml:space="preserve">acknowledged </w:t>
      </w:r>
      <w:r w:rsidR="00852F90" w:rsidRPr="00E000DA">
        <w:rPr>
          <w:rFonts w:ascii="Times New Roman" w:eastAsia="Times New Roman" w:hAnsi="Times New Roman" w:cs="Times New Roman"/>
          <w:color w:val="000000" w:themeColor="text1"/>
          <w:sz w:val="24"/>
          <w:szCs w:val="24"/>
        </w:rPr>
        <w:t>the importance of</w:t>
      </w:r>
      <w:r w:rsidR="004F33EB" w:rsidRPr="00E000DA">
        <w:rPr>
          <w:rFonts w:ascii="Times New Roman" w:eastAsia="Times New Roman" w:hAnsi="Times New Roman" w:cs="Times New Roman"/>
          <w:color w:val="000000" w:themeColor="text1"/>
          <w:sz w:val="24"/>
          <w:szCs w:val="24"/>
        </w:rPr>
        <w:t xml:space="preserve"> capital accumulation</w:t>
      </w:r>
      <w:r w:rsidR="00852F90" w:rsidRPr="00E000DA">
        <w:rPr>
          <w:rFonts w:ascii="Times New Roman" w:eastAsia="Times New Roman" w:hAnsi="Times New Roman" w:cs="Times New Roman"/>
          <w:color w:val="000000" w:themeColor="text1"/>
          <w:sz w:val="24"/>
          <w:szCs w:val="24"/>
        </w:rPr>
        <w:t xml:space="preserve"> process </w:t>
      </w:r>
      <w:r w:rsidR="004F33EB" w:rsidRPr="00E000DA">
        <w:rPr>
          <w:rFonts w:ascii="Times New Roman" w:eastAsia="Times New Roman" w:hAnsi="Times New Roman" w:cs="Times New Roman"/>
          <w:color w:val="000000" w:themeColor="text1"/>
          <w:sz w:val="24"/>
          <w:szCs w:val="24"/>
        </w:rPr>
        <w:t xml:space="preserve">to economic growth. </w:t>
      </w:r>
      <w:r w:rsidR="00852F90" w:rsidRPr="00E000DA">
        <w:rPr>
          <w:rFonts w:ascii="Times New Roman" w:eastAsia="Times New Roman" w:hAnsi="Times New Roman" w:cs="Times New Roman"/>
          <w:color w:val="000000" w:themeColor="text1"/>
          <w:sz w:val="24"/>
          <w:szCs w:val="24"/>
        </w:rPr>
        <w:t xml:space="preserve">Smith (1776) held that economic </w:t>
      </w:r>
      <w:r w:rsidR="004F33EB" w:rsidRPr="00E000DA">
        <w:rPr>
          <w:rFonts w:ascii="Times New Roman" w:eastAsia="Times New Roman" w:hAnsi="Times New Roman" w:cs="Times New Roman"/>
          <w:color w:val="000000" w:themeColor="text1"/>
          <w:sz w:val="24"/>
          <w:szCs w:val="24"/>
        </w:rPr>
        <w:t xml:space="preserve">growth </w:t>
      </w:r>
      <w:r w:rsidR="00852F90" w:rsidRPr="00E000DA">
        <w:rPr>
          <w:rFonts w:ascii="Times New Roman" w:eastAsia="Times New Roman" w:hAnsi="Times New Roman" w:cs="Times New Roman"/>
          <w:color w:val="000000" w:themeColor="text1"/>
          <w:sz w:val="24"/>
          <w:szCs w:val="24"/>
        </w:rPr>
        <w:t>depends on saving, which then becomes productive investment, and Ricardo (1817) pointed out the relation</w:t>
      </w:r>
      <w:r w:rsidR="009D71AB" w:rsidRPr="00E000DA">
        <w:rPr>
          <w:rFonts w:ascii="Times New Roman" w:eastAsia="Times New Roman" w:hAnsi="Times New Roman" w:cs="Times New Roman"/>
          <w:color w:val="000000" w:themeColor="text1"/>
          <w:sz w:val="24"/>
          <w:szCs w:val="24"/>
        </w:rPr>
        <w:t xml:space="preserve">ship </w:t>
      </w:r>
      <w:r w:rsidR="00852F90" w:rsidRPr="00E000DA">
        <w:rPr>
          <w:rFonts w:ascii="Times New Roman" w:eastAsia="Times New Roman" w:hAnsi="Times New Roman" w:cs="Times New Roman"/>
          <w:color w:val="000000" w:themeColor="text1"/>
          <w:sz w:val="24"/>
          <w:szCs w:val="24"/>
        </w:rPr>
        <w:t xml:space="preserve">between </w:t>
      </w:r>
      <w:r w:rsidR="009D71AB" w:rsidRPr="00E000DA">
        <w:rPr>
          <w:rFonts w:ascii="Times New Roman" w:eastAsia="Times New Roman" w:hAnsi="Times New Roman" w:cs="Times New Roman"/>
          <w:color w:val="000000" w:themeColor="text1"/>
          <w:sz w:val="24"/>
          <w:szCs w:val="24"/>
        </w:rPr>
        <w:t xml:space="preserve">capital stock </w:t>
      </w:r>
      <w:r w:rsidR="00852F90" w:rsidRPr="00E000DA">
        <w:rPr>
          <w:rFonts w:ascii="Times New Roman" w:eastAsia="Times New Roman" w:hAnsi="Times New Roman" w:cs="Times New Roman"/>
          <w:color w:val="000000" w:themeColor="text1"/>
          <w:sz w:val="24"/>
          <w:szCs w:val="24"/>
        </w:rPr>
        <w:t>expansion and the volume of production possibilities and national income. As a consequence of these arguments, other positions</w:t>
      </w:r>
      <w:r w:rsidR="009D71AB" w:rsidRPr="00E000DA">
        <w:rPr>
          <w:rFonts w:ascii="Times New Roman" w:eastAsia="Times New Roman" w:hAnsi="Times New Roman" w:cs="Times New Roman"/>
          <w:color w:val="000000" w:themeColor="text1"/>
          <w:sz w:val="24"/>
          <w:szCs w:val="24"/>
        </w:rPr>
        <w:t xml:space="preserve"> held by Solow (1956) growth model</w:t>
      </w:r>
      <w:r w:rsidR="00852F90" w:rsidRPr="00E000DA">
        <w:rPr>
          <w:rFonts w:ascii="Times New Roman" w:eastAsia="Times New Roman" w:hAnsi="Times New Roman" w:cs="Times New Roman"/>
          <w:color w:val="000000" w:themeColor="text1"/>
          <w:sz w:val="24"/>
          <w:szCs w:val="24"/>
        </w:rPr>
        <w:t xml:space="preserve"> </w:t>
      </w:r>
      <w:r w:rsidRPr="00E000DA">
        <w:rPr>
          <w:rFonts w:ascii="Times New Roman" w:eastAsia="Times New Roman" w:hAnsi="Times New Roman" w:cs="Times New Roman"/>
          <w:color w:val="000000" w:themeColor="text1"/>
          <w:sz w:val="24"/>
          <w:szCs w:val="24"/>
        </w:rPr>
        <w:t>emphasized</w:t>
      </w:r>
      <w:r w:rsidR="00852F90" w:rsidRPr="00E000DA">
        <w:rPr>
          <w:rFonts w:ascii="Times New Roman" w:eastAsia="Times New Roman" w:hAnsi="Times New Roman" w:cs="Times New Roman"/>
          <w:color w:val="000000" w:themeColor="text1"/>
          <w:sz w:val="24"/>
          <w:szCs w:val="24"/>
        </w:rPr>
        <w:t xml:space="preserve"> the importance of the </w:t>
      </w:r>
      <w:r w:rsidR="009D71AB" w:rsidRPr="00E000DA">
        <w:rPr>
          <w:rFonts w:ascii="Times New Roman" w:eastAsia="Times New Roman" w:hAnsi="Times New Roman" w:cs="Times New Roman"/>
          <w:color w:val="000000" w:themeColor="text1"/>
          <w:sz w:val="24"/>
          <w:szCs w:val="24"/>
        </w:rPr>
        <w:t xml:space="preserve">capital </w:t>
      </w:r>
      <w:r w:rsidR="00852F90" w:rsidRPr="00E000DA">
        <w:rPr>
          <w:rFonts w:ascii="Times New Roman" w:eastAsia="Times New Roman" w:hAnsi="Times New Roman" w:cs="Times New Roman"/>
          <w:color w:val="000000" w:themeColor="text1"/>
          <w:sz w:val="24"/>
          <w:szCs w:val="24"/>
        </w:rPr>
        <w:t xml:space="preserve">accumulation as </w:t>
      </w:r>
      <w:r w:rsidR="009D71AB" w:rsidRPr="00E000DA">
        <w:rPr>
          <w:rFonts w:ascii="Times New Roman" w:eastAsia="Times New Roman" w:hAnsi="Times New Roman" w:cs="Times New Roman"/>
          <w:color w:val="000000" w:themeColor="text1"/>
          <w:sz w:val="24"/>
          <w:szCs w:val="24"/>
        </w:rPr>
        <w:t xml:space="preserve">crucial </w:t>
      </w:r>
      <w:r w:rsidR="00852F90" w:rsidRPr="00E000DA">
        <w:rPr>
          <w:rFonts w:ascii="Times New Roman" w:eastAsia="Times New Roman" w:hAnsi="Times New Roman" w:cs="Times New Roman"/>
          <w:color w:val="000000" w:themeColor="text1"/>
          <w:sz w:val="24"/>
          <w:szCs w:val="24"/>
        </w:rPr>
        <w:t>to the process of transitional growth in output to a steady state, with declining returns, gained popularity. Endogenous growth theorists, such as Romer (1986) and Lucas (1988), extended this idea by showing that long-run per capita growth can occur in the absence of exogenous technological progress if there are spillovers and increasing returns from sustained investment in physical and human capital. Capital formation is a path to creating future productive capacity and thus</w:t>
      </w:r>
      <w:r w:rsidR="009D71AB" w:rsidRPr="00E000DA">
        <w:rPr>
          <w:rFonts w:ascii="Times New Roman" w:eastAsia="Times New Roman" w:hAnsi="Times New Roman" w:cs="Times New Roman"/>
          <w:color w:val="000000" w:themeColor="text1"/>
          <w:sz w:val="24"/>
          <w:szCs w:val="24"/>
        </w:rPr>
        <w:t>,</w:t>
      </w:r>
      <w:r w:rsidR="00852F90" w:rsidRPr="00E000DA">
        <w:rPr>
          <w:rFonts w:ascii="Times New Roman" w:eastAsia="Times New Roman" w:hAnsi="Times New Roman" w:cs="Times New Roman"/>
          <w:color w:val="000000" w:themeColor="text1"/>
          <w:sz w:val="24"/>
          <w:szCs w:val="24"/>
        </w:rPr>
        <w:t xml:space="preserve"> sustainable development, whereas consumption expenditure is used to gain immediate utility (World Bank, 2023). Consequently, countries with a consistent investment in productive assets have higher economic growth rates than have countries with consistently low levels of investment in productive assets.</w:t>
      </w:r>
    </w:p>
    <w:p w14:paraId="4110BDAB" w14:textId="1C6F7F77" w:rsidR="00852F90" w:rsidRPr="00E000DA" w:rsidRDefault="002E71D9" w:rsidP="0045397C">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852F90" w:rsidRPr="00E000DA">
        <w:rPr>
          <w:rFonts w:ascii="Times New Roman" w:eastAsia="Times New Roman" w:hAnsi="Times New Roman" w:cs="Times New Roman"/>
          <w:color w:val="000000" w:themeColor="text1"/>
          <w:sz w:val="24"/>
          <w:szCs w:val="24"/>
        </w:rPr>
        <w:t xml:space="preserve">Nigeria is endowed with both natural and human resources and has long been </w:t>
      </w:r>
      <w:r w:rsidR="009D71AB" w:rsidRPr="00E000DA">
        <w:rPr>
          <w:rFonts w:ascii="Times New Roman" w:eastAsia="Times New Roman" w:hAnsi="Times New Roman" w:cs="Times New Roman"/>
          <w:color w:val="000000" w:themeColor="text1"/>
          <w:sz w:val="24"/>
          <w:szCs w:val="24"/>
        </w:rPr>
        <w:t xml:space="preserve">recognised </w:t>
      </w:r>
      <w:r w:rsidR="00852F90" w:rsidRPr="00E000DA">
        <w:rPr>
          <w:rFonts w:ascii="Times New Roman" w:eastAsia="Times New Roman" w:hAnsi="Times New Roman" w:cs="Times New Roman"/>
          <w:color w:val="000000" w:themeColor="text1"/>
          <w:sz w:val="24"/>
          <w:szCs w:val="24"/>
        </w:rPr>
        <w:t xml:space="preserve">the need to build up substantial capital accumulation to achieve its </w:t>
      </w:r>
      <w:r w:rsidR="009D71AB" w:rsidRPr="00E000DA">
        <w:rPr>
          <w:rFonts w:ascii="Times New Roman" w:eastAsia="Times New Roman" w:hAnsi="Times New Roman" w:cs="Times New Roman"/>
          <w:color w:val="000000" w:themeColor="text1"/>
          <w:sz w:val="24"/>
          <w:szCs w:val="24"/>
        </w:rPr>
        <w:t xml:space="preserve">growth and </w:t>
      </w:r>
      <w:r w:rsidR="00852F90" w:rsidRPr="00E000DA">
        <w:rPr>
          <w:rFonts w:ascii="Times New Roman" w:eastAsia="Times New Roman" w:hAnsi="Times New Roman" w:cs="Times New Roman"/>
          <w:color w:val="000000" w:themeColor="text1"/>
          <w:sz w:val="24"/>
          <w:szCs w:val="24"/>
        </w:rPr>
        <w:t>development goals. Over the years successive administrations have</w:t>
      </w:r>
      <w:r w:rsidR="00A115C6" w:rsidRPr="00E000DA">
        <w:rPr>
          <w:rFonts w:ascii="Times New Roman" w:eastAsia="Times New Roman" w:hAnsi="Times New Roman" w:cs="Times New Roman"/>
          <w:color w:val="000000" w:themeColor="text1"/>
          <w:sz w:val="24"/>
          <w:szCs w:val="24"/>
        </w:rPr>
        <w:t xml:space="preserve"> pursued </w:t>
      </w:r>
      <w:r w:rsidR="00852F90" w:rsidRPr="00E000DA">
        <w:rPr>
          <w:rFonts w:ascii="Times New Roman" w:eastAsia="Times New Roman" w:hAnsi="Times New Roman" w:cs="Times New Roman"/>
          <w:color w:val="000000" w:themeColor="text1"/>
          <w:sz w:val="24"/>
          <w:szCs w:val="24"/>
        </w:rPr>
        <w:t xml:space="preserve">policies specifically geared towards encouraging domestic capital formation and investment. These include </w:t>
      </w:r>
      <w:r w:rsidR="00A115C6" w:rsidRPr="00E000DA">
        <w:rPr>
          <w:rFonts w:ascii="Times New Roman" w:eastAsia="Times New Roman" w:hAnsi="Times New Roman" w:cs="Times New Roman"/>
          <w:color w:val="000000" w:themeColor="text1"/>
          <w:sz w:val="24"/>
          <w:szCs w:val="24"/>
        </w:rPr>
        <w:t xml:space="preserve">large scale infrastructural </w:t>
      </w:r>
      <w:r w:rsidR="00852F90" w:rsidRPr="00E000DA">
        <w:rPr>
          <w:rFonts w:ascii="Times New Roman" w:eastAsia="Times New Roman" w:hAnsi="Times New Roman" w:cs="Times New Roman"/>
          <w:color w:val="000000" w:themeColor="text1"/>
          <w:sz w:val="24"/>
          <w:szCs w:val="24"/>
        </w:rPr>
        <w:t>projects, the fiscal package of incentives for private investors, the Economic Recovery and Growth Plan (ERGP), the National Development Plan (2021-2025) and the specific intervention plans of the Central Bank of Nigeria and the Bank of Industry. These actions suggest overall consensus that there is a clear need to invest substantially in infrastructure, machines and complementary human capital to boost productive capacity and stimulate GDP growth (Onwiodiokit &amp; Otolorin, 2021).</w:t>
      </w:r>
    </w:p>
    <w:p w14:paraId="3A491FD0" w14:textId="253EC87A" w:rsidR="00852F90" w:rsidRPr="00E000DA" w:rsidRDefault="000E007E" w:rsidP="009F6ABA">
      <w:pPr>
        <w:pStyle w:val="ds-markdown-paragraph"/>
        <w:spacing w:line="360" w:lineRule="auto"/>
        <w:jc w:val="both"/>
      </w:pPr>
      <w:r>
        <w:lastRenderedPageBreak/>
        <w:t xml:space="preserve">   </w:t>
      </w:r>
      <w:r w:rsidR="00852F90" w:rsidRPr="00E000DA">
        <w:t xml:space="preserve">However, all these efforts have not yielded the desired result in terms of investment performance in Nigeria. </w:t>
      </w:r>
      <w:r w:rsidR="00A115C6" w:rsidRPr="00E000DA">
        <w:t xml:space="preserve">According Nweke, Odo, and Anoke (2017), </w:t>
      </w:r>
      <w:r w:rsidR="00852F90" w:rsidRPr="00E000DA">
        <w:t xml:space="preserve">gross fixed capital formation has been </w:t>
      </w:r>
      <w:r w:rsidR="00A115C6" w:rsidRPr="00E000DA">
        <w:t xml:space="preserve">considerably </w:t>
      </w:r>
      <w:r w:rsidR="00852F90" w:rsidRPr="00E000DA">
        <w:t xml:space="preserve">volatile, with an average of over 20% of GDP in the 1980s but dropping rapidly to below 15% by the mid-1990s and only </w:t>
      </w:r>
      <w:r w:rsidR="00A115C6" w:rsidRPr="00E000DA">
        <w:t xml:space="preserve">partially </w:t>
      </w:r>
      <w:r w:rsidR="00852F90" w:rsidRPr="00E000DA">
        <w:t>re</w:t>
      </w:r>
      <w:r w:rsidR="00A115C6" w:rsidRPr="00E000DA">
        <w:t xml:space="preserve">covering </w:t>
      </w:r>
      <w:r w:rsidR="00852F90" w:rsidRPr="00E000DA">
        <w:t>since then</w:t>
      </w:r>
      <w:r w:rsidR="00A115C6" w:rsidRPr="00E000DA">
        <w:t xml:space="preserve"> with the </w:t>
      </w:r>
      <w:r w:rsidR="00852F90" w:rsidRPr="00E000DA">
        <w:t>level remain</w:t>
      </w:r>
      <w:r w:rsidR="00A115C6" w:rsidRPr="00E000DA">
        <w:t xml:space="preserve">ing </w:t>
      </w:r>
      <w:r w:rsidR="00852F90" w:rsidRPr="00E000DA">
        <w:t>below what is necessary to achieve meanin</w:t>
      </w:r>
      <w:r w:rsidR="00A115C6" w:rsidRPr="00E000DA">
        <w:t>gful structural transformation</w:t>
      </w:r>
      <w:r w:rsidR="00852F90" w:rsidRPr="00E000DA">
        <w:t>. Public and private investment has been hindered by adverse factors, such as poor infrastructure, exchange-rate instability, insecurity, inflation, policy instability, corruption and access to long-term finance</w:t>
      </w:r>
      <w:r w:rsidR="00A115C6" w:rsidRPr="00E000DA">
        <w:t xml:space="preserve"> (</w:t>
      </w:r>
      <w:r w:rsidR="005B26CC" w:rsidRPr="00E000DA">
        <w:rPr>
          <w:color w:val="000000" w:themeColor="text1"/>
        </w:rPr>
        <w:t>Amaegberi and Krokeyi</w:t>
      </w:r>
      <w:r w:rsidR="00876BC2">
        <w:rPr>
          <w:rFonts w:ascii="Segoe UI" w:hAnsi="Segoe UI" w:cs="Segoe UI"/>
          <w:sz w:val="25"/>
          <w:szCs w:val="25"/>
        </w:rPr>
        <w:t xml:space="preserve"> </w:t>
      </w:r>
      <w:r w:rsidR="00A115C6" w:rsidRPr="000577D5">
        <w:rPr>
          <w:rFonts w:ascii="Segoe UI" w:hAnsi="Segoe UI" w:cs="Segoe UI"/>
          <w:sz w:val="25"/>
          <w:szCs w:val="25"/>
        </w:rPr>
        <w:t>2025</w:t>
      </w:r>
      <w:r w:rsidR="00A115C6" w:rsidRPr="00E000DA">
        <w:t>)</w:t>
      </w:r>
      <w:r w:rsidR="00852F90" w:rsidRPr="00E000DA">
        <w:t xml:space="preserve">. As a result, Nigeria's real GDP growth has been irregular and often sub-optimal, which has not been able to create the expected multiplier effect on output and employment. The periods of reform, like structural adjustment, </w:t>
      </w:r>
      <w:r w:rsidR="00487C37" w:rsidRPr="00E000DA">
        <w:t>privatization</w:t>
      </w:r>
      <w:r w:rsidR="00852F90" w:rsidRPr="00E000DA">
        <w:t xml:space="preserve"> and public-private partnerships, have not always been associated with long-lasting </w:t>
      </w:r>
      <w:r w:rsidR="00A115C6" w:rsidRPr="00E000DA">
        <w:t xml:space="preserve">increase </w:t>
      </w:r>
      <w:r w:rsidR="00852F90" w:rsidRPr="00E000DA">
        <w:t>of capital accumulation or growth, because of problems in implementation and institutional weaknesses.</w:t>
      </w:r>
    </w:p>
    <w:p w14:paraId="22564E79" w14:textId="2E9EE4C6" w:rsidR="00852F90" w:rsidRPr="00E000DA" w:rsidRDefault="009F6ABA" w:rsidP="0045397C">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852F90" w:rsidRPr="00E000DA">
        <w:rPr>
          <w:rFonts w:ascii="Times New Roman" w:eastAsia="Times New Roman" w:hAnsi="Times New Roman" w:cs="Times New Roman"/>
          <w:color w:val="000000" w:themeColor="text1"/>
          <w:sz w:val="24"/>
          <w:szCs w:val="24"/>
        </w:rPr>
        <w:t>The theoretical significance of investment is recognised in existing empirical literature, but results of this contribution in Nigeria are inconclusive. Other studies ha</w:t>
      </w:r>
      <w:r w:rsidR="00FF123D" w:rsidRPr="00E000DA">
        <w:rPr>
          <w:rFonts w:ascii="Times New Roman" w:eastAsia="Times New Roman" w:hAnsi="Times New Roman" w:cs="Times New Roman"/>
          <w:color w:val="000000" w:themeColor="text1"/>
          <w:sz w:val="24"/>
          <w:szCs w:val="24"/>
        </w:rPr>
        <w:t xml:space="preserve">ve had </w:t>
      </w:r>
      <w:r w:rsidR="00852F90" w:rsidRPr="00E000DA">
        <w:rPr>
          <w:rFonts w:ascii="Times New Roman" w:eastAsia="Times New Roman" w:hAnsi="Times New Roman" w:cs="Times New Roman"/>
          <w:color w:val="000000" w:themeColor="text1"/>
          <w:sz w:val="24"/>
          <w:szCs w:val="24"/>
        </w:rPr>
        <w:t xml:space="preserve">positive and significant long-run relationship between gross capital formation and economic growth, while others observed a weak, insignificant or even negative relationship, which could be driven by inefficient allocation, institutional weakness and macroeconomic instability (Onwiodiokit &amp; Otolorin, 2021; Amaegberi &amp; Krokeyi, 2025). Many of the previous analyses include many macroeconomic variables, </w:t>
      </w:r>
      <w:r w:rsidR="00FF123D" w:rsidRPr="00E000DA">
        <w:rPr>
          <w:rFonts w:ascii="Times New Roman" w:eastAsia="Times New Roman" w:hAnsi="Times New Roman" w:cs="Times New Roman"/>
          <w:color w:val="000000" w:themeColor="text1"/>
          <w:sz w:val="24"/>
          <w:szCs w:val="24"/>
        </w:rPr>
        <w:t>making i</w:t>
      </w:r>
      <w:r w:rsidR="00852F90" w:rsidRPr="00E000DA">
        <w:rPr>
          <w:rFonts w:ascii="Times New Roman" w:eastAsia="Times New Roman" w:hAnsi="Times New Roman" w:cs="Times New Roman"/>
          <w:color w:val="000000" w:themeColor="text1"/>
          <w:sz w:val="24"/>
          <w:szCs w:val="24"/>
        </w:rPr>
        <w:t xml:space="preserve">t is </w:t>
      </w:r>
      <w:r w:rsidR="00FF123D" w:rsidRPr="00E000DA">
        <w:rPr>
          <w:rFonts w:ascii="Times New Roman" w:eastAsia="Times New Roman" w:hAnsi="Times New Roman" w:cs="Times New Roman"/>
          <w:color w:val="000000" w:themeColor="text1"/>
          <w:sz w:val="24"/>
          <w:szCs w:val="24"/>
        </w:rPr>
        <w:t xml:space="preserve">difficult isolate the </w:t>
      </w:r>
      <w:r w:rsidR="00852F90" w:rsidRPr="00E000DA">
        <w:rPr>
          <w:rFonts w:ascii="Times New Roman" w:eastAsia="Times New Roman" w:hAnsi="Times New Roman" w:cs="Times New Roman"/>
          <w:color w:val="000000" w:themeColor="text1"/>
          <w:sz w:val="24"/>
          <w:szCs w:val="24"/>
        </w:rPr>
        <w:t>effect of capital accumulation. Furthermore, methodological differences and variations in the extent of data coverage have helped</w:t>
      </w:r>
      <w:r w:rsidR="00FF123D" w:rsidRPr="00E000DA">
        <w:rPr>
          <w:rFonts w:ascii="Times New Roman" w:eastAsia="Times New Roman" w:hAnsi="Times New Roman" w:cs="Times New Roman"/>
          <w:color w:val="000000" w:themeColor="text1"/>
          <w:sz w:val="24"/>
          <w:szCs w:val="24"/>
        </w:rPr>
        <w:t xml:space="preserve"> in</w:t>
      </w:r>
      <w:r w:rsidR="00852F90" w:rsidRPr="00E000DA">
        <w:rPr>
          <w:rFonts w:ascii="Times New Roman" w:eastAsia="Times New Roman" w:hAnsi="Times New Roman" w:cs="Times New Roman"/>
          <w:color w:val="000000" w:themeColor="text1"/>
          <w:sz w:val="24"/>
          <w:szCs w:val="24"/>
        </w:rPr>
        <w:t xml:space="preserve"> the observed ambiguity.</w:t>
      </w:r>
    </w:p>
    <w:p w14:paraId="640D3E9D" w14:textId="2F2C1952" w:rsidR="00A07FF0" w:rsidRPr="00E000DA" w:rsidRDefault="009F6ABA" w:rsidP="0045397C">
      <w:pPr>
        <w:spacing w:before="100" w:beforeAutospacing="1" w:after="100" w:afterAutospacing="1" w:line="360" w:lineRule="auto"/>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FF123D" w:rsidRPr="00E000DA">
        <w:rPr>
          <w:rFonts w:ascii="Times New Roman" w:eastAsia="Times New Roman" w:hAnsi="Times New Roman" w:cs="Times New Roman"/>
          <w:color w:val="000000" w:themeColor="text1"/>
          <w:sz w:val="24"/>
          <w:szCs w:val="24"/>
        </w:rPr>
        <w:t>T</w:t>
      </w:r>
      <w:r w:rsidR="00852F90" w:rsidRPr="00E000DA">
        <w:rPr>
          <w:rFonts w:ascii="Times New Roman" w:eastAsia="Times New Roman" w:hAnsi="Times New Roman" w:cs="Times New Roman"/>
          <w:color w:val="000000" w:themeColor="text1"/>
          <w:sz w:val="24"/>
          <w:szCs w:val="24"/>
        </w:rPr>
        <w:t xml:space="preserve">his study, therefore, focuses exclusively on gross capital formation as the sole explanatory variable and applies the Autoregressive Distributed Lag (ARDL) approach for more robust evidence to support the investment policy in Nigeria. The paper </w:t>
      </w:r>
      <w:r w:rsidR="00FF123D" w:rsidRPr="00E000DA">
        <w:rPr>
          <w:rFonts w:ascii="Times New Roman" w:eastAsia="Times New Roman" w:hAnsi="Times New Roman" w:cs="Times New Roman"/>
          <w:color w:val="000000" w:themeColor="text1"/>
          <w:sz w:val="24"/>
          <w:szCs w:val="24"/>
        </w:rPr>
        <w:t xml:space="preserve">contributes </w:t>
      </w:r>
      <w:r w:rsidR="00852F90" w:rsidRPr="00E000DA">
        <w:rPr>
          <w:rFonts w:ascii="Times New Roman" w:eastAsia="Times New Roman" w:hAnsi="Times New Roman" w:cs="Times New Roman"/>
          <w:color w:val="000000" w:themeColor="text1"/>
          <w:sz w:val="24"/>
          <w:szCs w:val="24"/>
        </w:rPr>
        <w:t xml:space="preserve">to the literature </w:t>
      </w:r>
      <w:r w:rsidR="00FF123D" w:rsidRPr="00E000DA">
        <w:rPr>
          <w:rFonts w:ascii="Times New Roman" w:eastAsia="Times New Roman" w:hAnsi="Times New Roman" w:cs="Times New Roman"/>
          <w:color w:val="000000" w:themeColor="text1"/>
          <w:sz w:val="24"/>
          <w:szCs w:val="24"/>
        </w:rPr>
        <w:t>as it</w:t>
      </w:r>
      <w:r w:rsidR="00852F90" w:rsidRPr="00E000DA">
        <w:rPr>
          <w:rFonts w:ascii="Times New Roman" w:eastAsia="Times New Roman" w:hAnsi="Times New Roman" w:cs="Times New Roman"/>
          <w:color w:val="000000" w:themeColor="text1"/>
          <w:sz w:val="24"/>
          <w:szCs w:val="24"/>
        </w:rPr>
        <w:t xml:space="preserve"> thoroughly </w:t>
      </w:r>
      <w:r w:rsidR="00554B98" w:rsidRPr="00E000DA">
        <w:rPr>
          <w:rFonts w:ascii="Times New Roman" w:eastAsia="Times New Roman" w:hAnsi="Times New Roman" w:cs="Times New Roman"/>
          <w:color w:val="000000" w:themeColor="text1"/>
          <w:sz w:val="24"/>
          <w:szCs w:val="24"/>
        </w:rPr>
        <w:t>analyze</w:t>
      </w:r>
      <w:r w:rsidR="00852F90" w:rsidRPr="00E000DA">
        <w:rPr>
          <w:rFonts w:ascii="Times New Roman" w:eastAsia="Times New Roman" w:hAnsi="Times New Roman" w:cs="Times New Roman"/>
          <w:color w:val="000000" w:themeColor="text1"/>
          <w:sz w:val="24"/>
          <w:szCs w:val="24"/>
        </w:rPr>
        <w:t xml:space="preserve"> the relationship between </w:t>
      </w:r>
      <w:r w:rsidR="00FF123D" w:rsidRPr="00E000DA">
        <w:rPr>
          <w:rFonts w:ascii="Times New Roman" w:eastAsia="Times New Roman" w:hAnsi="Times New Roman" w:cs="Times New Roman"/>
          <w:color w:val="000000" w:themeColor="text1"/>
          <w:sz w:val="24"/>
          <w:szCs w:val="24"/>
        </w:rPr>
        <w:t>gross capital formation</w:t>
      </w:r>
      <w:r w:rsidR="00852F90" w:rsidRPr="00E000DA">
        <w:rPr>
          <w:rFonts w:ascii="Times New Roman" w:eastAsia="Times New Roman" w:hAnsi="Times New Roman" w:cs="Times New Roman"/>
          <w:color w:val="000000" w:themeColor="text1"/>
          <w:sz w:val="24"/>
          <w:szCs w:val="24"/>
        </w:rPr>
        <w:t xml:space="preserve"> and economic gro</w:t>
      </w:r>
      <w:r w:rsidR="00FF123D" w:rsidRPr="00E000DA">
        <w:rPr>
          <w:rFonts w:ascii="Times New Roman" w:eastAsia="Times New Roman" w:hAnsi="Times New Roman" w:cs="Times New Roman"/>
          <w:color w:val="000000" w:themeColor="text1"/>
          <w:sz w:val="24"/>
          <w:szCs w:val="24"/>
        </w:rPr>
        <w:t>wth in Nigeria using recent data</w:t>
      </w:r>
      <w:r w:rsidR="00852F90" w:rsidRPr="00E000DA">
        <w:rPr>
          <w:rFonts w:ascii="Times New Roman" w:eastAsia="Times New Roman" w:hAnsi="Times New Roman" w:cs="Times New Roman"/>
          <w:color w:val="000000" w:themeColor="text1"/>
          <w:sz w:val="24"/>
          <w:szCs w:val="24"/>
        </w:rPr>
        <w:t xml:space="preserve">. It fills the </w:t>
      </w:r>
      <w:r w:rsidR="00FF123D" w:rsidRPr="00E000DA">
        <w:rPr>
          <w:rFonts w:ascii="Times New Roman" w:eastAsia="Times New Roman" w:hAnsi="Times New Roman" w:cs="Times New Roman"/>
          <w:color w:val="000000" w:themeColor="text1"/>
          <w:sz w:val="24"/>
          <w:szCs w:val="24"/>
        </w:rPr>
        <w:t xml:space="preserve">gaps </w:t>
      </w:r>
      <w:r w:rsidR="00852F90" w:rsidRPr="00E000DA">
        <w:rPr>
          <w:rFonts w:ascii="Times New Roman" w:eastAsia="Times New Roman" w:hAnsi="Times New Roman" w:cs="Times New Roman"/>
          <w:color w:val="000000" w:themeColor="text1"/>
          <w:sz w:val="24"/>
          <w:szCs w:val="24"/>
        </w:rPr>
        <w:t xml:space="preserve">of previous research </w:t>
      </w:r>
      <w:r w:rsidR="00FF123D" w:rsidRPr="00E000DA">
        <w:rPr>
          <w:rFonts w:ascii="Times New Roman" w:eastAsia="Times New Roman" w:hAnsi="Times New Roman" w:cs="Times New Roman"/>
          <w:color w:val="000000" w:themeColor="text1"/>
          <w:sz w:val="24"/>
          <w:szCs w:val="24"/>
        </w:rPr>
        <w:t xml:space="preserve">by </w:t>
      </w:r>
      <w:r w:rsidR="00852F90" w:rsidRPr="00E000DA">
        <w:rPr>
          <w:rFonts w:ascii="Times New Roman" w:eastAsia="Times New Roman" w:hAnsi="Times New Roman" w:cs="Times New Roman"/>
          <w:color w:val="000000" w:themeColor="text1"/>
          <w:sz w:val="24"/>
          <w:szCs w:val="24"/>
        </w:rPr>
        <w:t>explicit</w:t>
      </w:r>
      <w:r w:rsidR="00FF123D" w:rsidRPr="00E000DA">
        <w:rPr>
          <w:rFonts w:ascii="Times New Roman" w:eastAsia="Times New Roman" w:hAnsi="Times New Roman" w:cs="Times New Roman"/>
          <w:color w:val="000000" w:themeColor="text1"/>
          <w:sz w:val="24"/>
          <w:szCs w:val="24"/>
        </w:rPr>
        <w:t xml:space="preserve">ly modelling </w:t>
      </w:r>
      <w:r w:rsidR="00852F90" w:rsidRPr="00E000DA">
        <w:rPr>
          <w:rFonts w:ascii="Times New Roman" w:eastAsia="Times New Roman" w:hAnsi="Times New Roman" w:cs="Times New Roman"/>
          <w:color w:val="000000" w:themeColor="text1"/>
          <w:sz w:val="24"/>
          <w:szCs w:val="24"/>
        </w:rPr>
        <w:t xml:space="preserve">physical and human capital components </w:t>
      </w:r>
      <w:r w:rsidR="00FF123D" w:rsidRPr="00E000DA">
        <w:rPr>
          <w:rFonts w:ascii="Times New Roman" w:eastAsia="Times New Roman" w:hAnsi="Times New Roman" w:cs="Times New Roman"/>
          <w:color w:val="000000" w:themeColor="text1"/>
          <w:sz w:val="24"/>
          <w:szCs w:val="24"/>
        </w:rPr>
        <w:t xml:space="preserve">within the </w:t>
      </w:r>
      <w:r w:rsidR="00852F90" w:rsidRPr="00E000DA">
        <w:rPr>
          <w:rFonts w:ascii="Times New Roman" w:eastAsia="Times New Roman" w:hAnsi="Times New Roman" w:cs="Times New Roman"/>
          <w:color w:val="000000" w:themeColor="text1"/>
          <w:sz w:val="24"/>
          <w:szCs w:val="24"/>
        </w:rPr>
        <w:t>ARDL</w:t>
      </w:r>
      <w:r w:rsidR="00FF123D" w:rsidRPr="00E000DA">
        <w:rPr>
          <w:rFonts w:ascii="Times New Roman" w:eastAsia="Times New Roman" w:hAnsi="Times New Roman" w:cs="Times New Roman"/>
          <w:color w:val="000000" w:themeColor="text1"/>
          <w:sz w:val="24"/>
          <w:szCs w:val="24"/>
        </w:rPr>
        <w:t xml:space="preserve"> framework</w:t>
      </w:r>
      <w:r w:rsidR="00852F90" w:rsidRPr="00E000DA">
        <w:rPr>
          <w:rFonts w:ascii="Times New Roman" w:eastAsia="Times New Roman" w:hAnsi="Times New Roman" w:cs="Times New Roman"/>
          <w:color w:val="000000" w:themeColor="text1"/>
          <w:sz w:val="24"/>
          <w:szCs w:val="24"/>
        </w:rPr>
        <w:t>. The results w</w:t>
      </w:r>
      <w:r w:rsidR="00FF123D" w:rsidRPr="00E000DA">
        <w:rPr>
          <w:rFonts w:ascii="Times New Roman" w:eastAsia="Times New Roman" w:hAnsi="Times New Roman" w:cs="Times New Roman"/>
          <w:color w:val="000000" w:themeColor="text1"/>
          <w:sz w:val="24"/>
          <w:szCs w:val="24"/>
        </w:rPr>
        <w:t xml:space="preserve">ould </w:t>
      </w:r>
      <w:r w:rsidR="00852F90" w:rsidRPr="00E000DA">
        <w:rPr>
          <w:rFonts w:ascii="Times New Roman" w:eastAsia="Times New Roman" w:hAnsi="Times New Roman" w:cs="Times New Roman"/>
          <w:color w:val="000000" w:themeColor="text1"/>
          <w:sz w:val="24"/>
          <w:szCs w:val="24"/>
        </w:rPr>
        <w:t xml:space="preserve">help policymakers determine if the </w:t>
      </w:r>
      <w:r w:rsidR="00FF123D" w:rsidRPr="00E000DA">
        <w:rPr>
          <w:rFonts w:ascii="Times New Roman" w:eastAsia="Times New Roman" w:hAnsi="Times New Roman" w:cs="Times New Roman"/>
          <w:color w:val="000000" w:themeColor="text1"/>
          <w:sz w:val="24"/>
          <w:szCs w:val="24"/>
        </w:rPr>
        <w:t xml:space="preserve">improvement </w:t>
      </w:r>
      <w:r w:rsidR="00852F90" w:rsidRPr="00E000DA">
        <w:rPr>
          <w:rFonts w:ascii="Times New Roman" w:eastAsia="Times New Roman" w:hAnsi="Times New Roman" w:cs="Times New Roman"/>
          <w:color w:val="000000" w:themeColor="text1"/>
          <w:sz w:val="24"/>
          <w:szCs w:val="24"/>
        </w:rPr>
        <w:t xml:space="preserve">in capital accumulation </w:t>
      </w:r>
      <w:r w:rsidR="00FF123D" w:rsidRPr="00E000DA">
        <w:rPr>
          <w:rFonts w:ascii="Times New Roman" w:eastAsia="Times New Roman" w:hAnsi="Times New Roman" w:cs="Times New Roman"/>
          <w:color w:val="000000" w:themeColor="text1"/>
          <w:sz w:val="24"/>
          <w:szCs w:val="24"/>
        </w:rPr>
        <w:t xml:space="preserve">would results </w:t>
      </w:r>
      <w:r w:rsidR="00852F90" w:rsidRPr="00E000DA">
        <w:rPr>
          <w:rFonts w:ascii="Times New Roman" w:eastAsia="Times New Roman" w:hAnsi="Times New Roman" w:cs="Times New Roman"/>
          <w:color w:val="000000" w:themeColor="text1"/>
          <w:sz w:val="24"/>
          <w:szCs w:val="24"/>
        </w:rPr>
        <w:t xml:space="preserve">to an increase in </w:t>
      </w:r>
      <w:r w:rsidR="00FF123D" w:rsidRPr="00E000DA">
        <w:rPr>
          <w:rFonts w:ascii="Times New Roman" w:eastAsia="Times New Roman" w:hAnsi="Times New Roman" w:cs="Times New Roman"/>
          <w:color w:val="000000" w:themeColor="text1"/>
          <w:sz w:val="24"/>
          <w:szCs w:val="24"/>
        </w:rPr>
        <w:t xml:space="preserve">economic growth </w:t>
      </w:r>
      <w:r w:rsidR="00852F90" w:rsidRPr="00E000DA">
        <w:rPr>
          <w:rFonts w:ascii="Times New Roman" w:eastAsia="Times New Roman" w:hAnsi="Times New Roman" w:cs="Times New Roman"/>
          <w:color w:val="000000" w:themeColor="text1"/>
          <w:sz w:val="24"/>
          <w:szCs w:val="24"/>
        </w:rPr>
        <w:t xml:space="preserve">over time and thus affect fiscal and monetary policies. The rest of the paper is organized as follows. Section 2 covers the relevant theory and empirical research. Data, model and </w:t>
      </w:r>
      <w:r w:rsidR="00852F90" w:rsidRPr="00E000DA">
        <w:rPr>
          <w:rFonts w:ascii="Times New Roman" w:eastAsia="Times New Roman" w:hAnsi="Times New Roman" w:cs="Times New Roman"/>
          <w:color w:val="000000" w:themeColor="text1"/>
          <w:sz w:val="24"/>
          <w:szCs w:val="24"/>
        </w:rPr>
        <w:lastRenderedPageBreak/>
        <w:t xml:space="preserve">econometric methods are outlined in Section 3. The estimation results and discussion are presented in Section 4 and </w:t>
      </w:r>
      <w:r w:rsidR="00FF123D" w:rsidRPr="00E000DA">
        <w:rPr>
          <w:rFonts w:ascii="Times New Roman" w:eastAsia="Times New Roman" w:hAnsi="Times New Roman" w:cs="Times New Roman"/>
          <w:color w:val="000000" w:themeColor="text1"/>
          <w:sz w:val="24"/>
          <w:szCs w:val="24"/>
        </w:rPr>
        <w:t>implications for policy are</w:t>
      </w:r>
      <w:r w:rsidR="00852F90" w:rsidRPr="00E000DA">
        <w:rPr>
          <w:rFonts w:ascii="Times New Roman" w:eastAsia="Times New Roman" w:hAnsi="Times New Roman" w:cs="Times New Roman"/>
          <w:color w:val="000000" w:themeColor="text1"/>
          <w:sz w:val="24"/>
          <w:szCs w:val="24"/>
        </w:rPr>
        <w:t xml:space="preserve"> presented in Section 5.</w:t>
      </w:r>
    </w:p>
    <w:p w14:paraId="6B27F1E3" w14:textId="77777777" w:rsidR="000E1E53" w:rsidRPr="00E000DA" w:rsidRDefault="000E1E53" w:rsidP="005C72D2">
      <w:pPr>
        <w:pStyle w:val="Heading2"/>
        <w:spacing w:before="0" w:beforeAutospacing="0" w:after="0" w:afterAutospacing="0"/>
        <w:jc w:val="both"/>
        <w:rPr>
          <w:color w:val="000000" w:themeColor="text1"/>
          <w:sz w:val="24"/>
          <w:szCs w:val="24"/>
        </w:rPr>
      </w:pPr>
      <w:r w:rsidRPr="00E000DA">
        <w:rPr>
          <w:rStyle w:val="Strong"/>
          <w:b/>
          <w:bCs/>
          <w:color w:val="000000" w:themeColor="text1"/>
          <w:sz w:val="24"/>
          <w:szCs w:val="24"/>
        </w:rPr>
        <w:t>2.0 Literature Review</w:t>
      </w:r>
    </w:p>
    <w:p w14:paraId="76777E08" w14:textId="77777777" w:rsidR="000E1E53" w:rsidRPr="00E000DA" w:rsidRDefault="000E1E53" w:rsidP="005C72D2">
      <w:pPr>
        <w:pStyle w:val="Heading3"/>
        <w:spacing w:before="0" w:line="240" w:lineRule="auto"/>
        <w:jc w:val="both"/>
        <w:rPr>
          <w:rFonts w:ascii="Times New Roman" w:hAnsi="Times New Roman" w:cs="Times New Roman"/>
          <w:i/>
          <w:color w:val="000000" w:themeColor="text1"/>
          <w:sz w:val="24"/>
          <w:szCs w:val="24"/>
        </w:rPr>
      </w:pPr>
      <w:r w:rsidRPr="00E000DA">
        <w:rPr>
          <w:rStyle w:val="Strong"/>
          <w:rFonts w:ascii="Times New Roman" w:hAnsi="Times New Roman" w:cs="Times New Roman"/>
          <w:b/>
          <w:bCs/>
          <w:i/>
          <w:color w:val="000000" w:themeColor="text1"/>
          <w:sz w:val="24"/>
          <w:szCs w:val="24"/>
        </w:rPr>
        <w:t>2.1 Conceptual Review</w:t>
      </w:r>
    </w:p>
    <w:p w14:paraId="3C3DD38C" w14:textId="77777777" w:rsidR="00554B98" w:rsidRDefault="00554B98" w:rsidP="0045397C">
      <w:pPr>
        <w:pStyle w:val="Heading4"/>
        <w:spacing w:before="0" w:after="200" w:line="360" w:lineRule="auto"/>
        <w:jc w:val="both"/>
        <w:rPr>
          <w:rStyle w:val="Strong"/>
          <w:rFonts w:ascii="Times New Roman" w:hAnsi="Times New Roman" w:cs="Times New Roman"/>
          <w:b/>
          <w:bCs/>
          <w:color w:val="000000" w:themeColor="text1"/>
          <w:sz w:val="24"/>
          <w:szCs w:val="24"/>
        </w:rPr>
      </w:pPr>
    </w:p>
    <w:p w14:paraId="612B00C0" w14:textId="54257672" w:rsidR="000E1E53" w:rsidRPr="00E000DA" w:rsidRDefault="000E1E53" w:rsidP="0045397C">
      <w:pPr>
        <w:pStyle w:val="Heading4"/>
        <w:spacing w:before="0" w:after="200" w:line="360" w:lineRule="auto"/>
        <w:jc w:val="both"/>
        <w:rPr>
          <w:rFonts w:ascii="Times New Roman" w:hAnsi="Times New Roman" w:cs="Times New Roman"/>
          <w:color w:val="000000" w:themeColor="text1"/>
          <w:sz w:val="24"/>
          <w:szCs w:val="24"/>
        </w:rPr>
      </w:pPr>
      <w:r w:rsidRPr="00E000DA">
        <w:rPr>
          <w:rStyle w:val="Strong"/>
          <w:rFonts w:ascii="Times New Roman" w:hAnsi="Times New Roman" w:cs="Times New Roman"/>
          <w:b/>
          <w:bCs/>
          <w:color w:val="000000" w:themeColor="text1"/>
          <w:sz w:val="24"/>
          <w:szCs w:val="24"/>
        </w:rPr>
        <w:t>Capital Formation</w:t>
      </w:r>
    </w:p>
    <w:p w14:paraId="49C8ABBA" w14:textId="1C0ADB85" w:rsidR="00523501" w:rsidRPr="00E000DA" w:rsidRDefault="00554B98" w:rsidP="0045397C">
      <w:pPr>
        <w:pStyle w:val="NormalWeb"/>
        <w:spacing w:before="0" w:beforeAutospacing="0" w:after="200" w:afterAutospacing="0" w:line="360" w:lineRule="auto"/>
        <w:jc w:val="both"/>
        <w:rPr>
          <w:color w:val="000000" w:themeColor="text1"/>
        </w:rPr>
      </w:pPr>
      <w:r>
        <w:rPr>
          <w:color w:val="000000" w:themeColor="text1"/>
        </w:rPr>
        <w:t xml:space="preserve">  </w:t>
      </w:r>
      <w:r w:rsidR="00523501" w:rsidRPr="00E000DA">
        <w:rPr>
          <w:color w:val="000000" w:themeColor="text1"/>
        </w:rPr>
        <w:t>Gross capital formation is defined as the total investment in fixed assets and inventories of an economy over a period of time and is generally accepted as a key factor determining economic growth as it expands productive capacity, improves technological progress and stimulates the production of goods and services. The World Bank (2023) defines gross capital formation as outlays on additions to the economy's fixed assets and net changes in inventories, such as investment in machinery, equipment, transport facilities, buildings, infrastructure and other</w:t>
      </w:r>
      <w:r w:rsidR="0045397C" w:rsidRPr="00E000DA">
        <w:rPr>
          <w:color w:val="000000" w:themeColor="text1"/>
        </w:rPr>
        <w:t xml:space="preserve"> productive assets. Likewise,</w:t>
      </w:r>
      <w:r w:rsidR="00523501" w:rsidRPr="00E000DA">
        <w:rPr>
          <w:color w:val="000000" w:themeColor="text1"/>
        </w:rPr>
        <w:t xml:space="preserve"> </w:t>
      </w:r>
      <w:r w:rsidRPr="00E000DA">
        <w:rPr>
          <w:color w:val="000000" w:themeColor="text1"/>
        </w:rPr>
        <w:t>Organization</w:t>
      </w:r>
      <w:r w:rsidR="00523501" w:rsidRPr="00E000DA">
        <w:rPr>
          <w:color w:val="000000" w:themeColor="text1"/>
        </w:rPr>
        <w:t xml:space="preserve"> for Economic Co-operation and Development (OECD, 2022) definition of gross capital formation is the aggregate of spending on assets created by the economy that are used in production to increase its stock of physical capital. An increase in gross capital formation usually helps to boost economic growth, which can happen through better productivity, making </w:t>
      </w:r>
      <w:r w:rsidRPr="00E000DA">
        <w:rPr>
          <w:color w:val="000000" w:themeColor="text1"/>
        </w:rPr>
        <w:t>industrialization</w:t>
      </w:r>
      <w:r w:rsidR="00523501" w:rsidRPr="00E000DA">
        <w:rPr>
          <w:color w:val="000000" w:themeColor="text1"/>
        </w:rPr>
        <w:t xml:space="preserve"> possible, attracting domestic and foreign capital, and creating more jobs. In developing economies, lack of infrastructure, financial systems, policy uncertainty, macroeconomic instability, limited domestic savings, and institutional inefficiencies, however, can constrain investment performance and diminish the ability of capital accumulation to drive sustainable economic growth. Although Nigeria has tried different investment promotion policies since the inception of independence, these structural weaknesses remain a constraint to the contribution of gross capital formation to the growth of the Nigerian economy. Thus, the importance of creating an investment climate and improving the efficiency of capital allocation is crucial for sustainable economic development.</w:t>
      </w:r>
    </w:p>
    <w:p w14:paraId="3270E094" w14:textId="77777777" w:rsidR="000E1E53" w:rsidRPr="00E000DA" w:rsidRDefault="000E1E53" w:rsidP="0045397C">
      <w:pPr>
        <w:pStyle w:val="Heading3"/>
        <w:spacing w:before="0" w:after="200" w:line="360" w:lineRule="auto"/>
        <w:jc w:val="both"/>
        <w:rPr>
          <w:rFonts w:ascii="Times New Roman" w:hAnsi="Times New Roman" w:cs="Times New Roman"/>
          <w:i/>
          <w:color w:val="000000" w:themeColor="text1"/>
          <w:sz w:val="24"/>
          <w:szCs w:val="24"/>
        </w:rPr>
      </w:pPr>
      <w:r w:rsidRPr="00E000DA">
        <w:rPr>
          <w:rStyle w:val="Strong"/>
          <w:rFonts w:ascii="Times New Roman" w:hAnsi="Times New Roman" w:cs="Times New Roman"/>
          <w:b/>
          <w:bCs/>
          <w:i/>
          <w:color w:val="000000" w:themeColor="text1"/>
          <w:sz w:val="24"/>
          <w:szCs w:val="24"/>
        </w:rPr>
        <w:t>Economic Growth</w:t>
      </w:r>
    </w:p>
    <w:p w14:paraId="2F6457B9" w14:textId="514FA9B3" w:rsidR="000E1E53" w:rsidRPr="00E000DA" w:rsidRDefault="00554B98" w:rsidP="0045397C">
      <w:pPr>
        <w:pStyle w:val="NormalWeb"/>
        <w:spacing w:before="0" w:beforeAutospacing="0" w:after="200" w:afterAutospacing="0" w:line="360" w:lineRule="auto"/>
        <w:jc w:val="both"/>
        <w:rPr>
          <w:color w:val="000000" w:themeColor="text1"/>
        </w:rPr>
      </w:pPr>
      <w:r>
        <w:rPr>
          <w:color w:val="000000" w:themeColor="text1"/>
        </w:rPr>
        <w:t xml:space="preserve">   </w:t>
      </w:r>
      <w:r w:rsidR="00D900DB" w:rsidRPr="00E000DA">
        <w:rPr>
          <w:color w:val="000000" w:themeColor="text1"/>
        </w:rPr>
        <w:t xml:space="preserve">Economic growth is an economy's ability over time to produce more over time, as measured by increases in national output, income, employment and improvement in people's living standards (Haller, 2012; Todaro &amp; Smith, 2021). It is influenced by a number of related factors such as </w:t>
      </w:r>
      <w:r w:rsidR="00D900DB" w:rsidRPr="00E000DA">
        <w:rPr>
          <w:color w:val="000000" w:themeColor="text1"/>
        </w:rPr>
        <w:lastRenderedPageBreak/>
        <w:t>accumulation of capital, participation of the labour force, technological advances, human capital formation, quality of institutions and macroeconomic stability. The Solow Neoclassical Growth Theory and Endogenous Growth Theory all agree that capital accumulation and human capital formation are key factors in long-term economic growth, but the latter also places greater emphasis on innovation, knowledge creation and technological advancement as important factors to maintaining productivity growth (Romer, 1986; Lucas, 1988). The most widely accepted measure of economic performance is the annual growth rate of real Gross Domestic Product (GDP), which is used in empirical growth studies as an indicator of economic growth. Accordingly, an increase in real GDP is an indication of increases in productive efficiency, investment returns, and an economy's ability to produce more output and income over time.</w:t>
      </w:r>
    </w:p>
    <w:p w14:paraId="37861266" w14:textId="77777777" w:rsidR="000E1E53" w:rsidRPr="00E000DA" w:rsidRDefault="000E1E53" w:rsidP="0045397C">
      <w:pPr>
        <w:pStyle w:val="Heading2"/>
        <w:spacing w:before="0" w:beforeAutospacing="0" w:after="200" w:afterAutospacing="0" w:line="360" w:lineRule="auto"/>
        <w:jc w:val="both"/>
        <w:rPr>
          <w:i/>
          <w:color w:val="000000" w:themeColor="text1"/>
          <w:sz w:val="24"/>
          <w:szCs w:val="24"/>
        </w:rPr>
      </w:pPr>
      <w:r w:rsidRPr="00E000DA">
        <w:rPr>
          <w:rStyle w:val="Strong"/>
          <w:b/>
          <w:bCs/>
          <w:i/>
          <w:color w:val="000000" w:themeColor="text1"/>
          <w:sz w:val="24"/>
          <w:szCs w:val="24"/>
        </w:rPr>
        <w:t>2.2 Theoretical Framework</w:t>
      </w:r>
    </w:p>
    <w:p w14:paraId="2D7CA3C1" w14:textId="501FE53D" w:rsidR="00D900DB" w:rsidRPr="00E000DA" w:rsidRDefault="00554B98" w:rsidP="0045397C">
      <w:pPr>
        <w:pStyle w:val="NormalWeb"/>
        <w:spacing w:before="0" w:beforeAutospacing="0" w:after="200" w:afterAutospacing="0" w:line="360" w:lineRule="auto"/>
        <w:jc w:val="both"/>
        <w:rPr>
          <w:color w:val="000000" w:themeColor="text1"/>
        </w:rPr>
      </w:pPr>
      <w:r>
        <w:rPr>
          <w:color w:val="000000" w:themeColor="text1"/>
        </w:rPr>
        <w:t xml:space="preserve">   </w:t>
      </w:r>
      <w:r w:rsidR="00D900DB" w:rsidRPr="00E000DA">
        <w:rPr>
          <w:color w:val="000000" w:themeColor="text1"/>
        </w:rPr>
        <w:t>The theoretical framework of this study is based on the Solow neoclassical growth theory and the endogenous growth theory. Solow (1956) introduced the Solow Neoclassical Growth Theory, which argues that economic growth is largely a result of the accumulation of capital, growth of labour, and exogenous technological progress. The theory suggests that more savings and investment will bring about a rise in physical capital, and therefore in the productivity capacity of the nation and its output. But, as capital is subject to diminishing returns, long-run economic growth cannot be obtained by building up more capital without technological development. The strength of the Solow model is that of its analytical weight, which focuses on investment as a key factor in economic growth and is of particular relevance to this study, which investigates gross capital formation as the key explanatory variable and the labour force participation rate as a measure of productive labour input. The theory offers a solid foundation in understanding the relationship between greater investments in productive assets and greater output and economic performance in Nigeria.</w:t>
      </w:r>
    </w:p>
    <w:p w14:paraId="21A2EEA5" w14:textId="53687EE7" w:rsidR="00D900DB" w:rsidRPr="00E000DA" w:rsidRDefault="00554B98" w:rsidP="0045397C">
      <w:pPr>
        <w:pStyle w:val="NormalWeb"/>
        <w:spacing w:before="0" w:beforeAutospacing="0" w:after="200" w:afterAutospacing="0" w:line="360" w:lineRule="auto"/>
        <w:jc w:val="both"/>
        <w:rPr>
          <w:color w:val="000000" w:themeColor="text1"/>
        </w:rPr>
      </w:pPr>
      <w:r>
        <w:rPr>
          <w:color w:val="000000" w:themeColor="text1"/>
        </w:rPr>
        <w:t xml:space="preserve">  </w:t>
      </w:r>
      <w:r w:rsidR="00D900DB" w:rsidRPr="00E000DA">
        <w:rPr>
          <w:color w:val="000000" w:themeColor="text1"/>
        </w:rPr>
        <w:t xml:space="preserve">The endogenous growth theory, however, preceded by the main thrust of theories by Arrow (1962), Romer (1986), and Lucas (1988), challenged the exogenous nature of technological progress and the limitations of the Solow model by </w:t>
      </w:r>
      <w:r w:rsidRPr="00E000DA">
        <w:rPr>
          <w:color w:val="000000" w:themeColor="text1"/>
        </w:rPr>
        <w:t>emphasizing</w:t>
      </w:r>
      <w:r w:rsidR="00D900DB" w:rsidRPr="00E000DA">
        <w:rPr>
          <w:color w:val="000000" w:themeColor="text1"/>
        </w:rPr>
        <w:t xml:space="preserve"> the endogenous nature of economic growth. The theory focuses on the fact that continued investment in physical capital, human capital, innovation, research and development and knowledge accumulation leads to positive externalities that can lead to increasing returns to scale (Romer, 1994). In contrast to the </w:t>
      </w:r>
      <w:r w:rsidR="00D900DB" w:rsidRPr="00E000DA">
        <w:rPr>
          <w:color w:val="000000" w:themeColor="text1"/>
        </w:rPr>
        <w:lastRenderedPageBreak/>
        <w:t>neoclassical view, endogenous growth theory acknowledges that education and human capital can boost labour productivity, technological progress and innovation and thus provide a long-term economic growth path. Hence, the theory offers a compelling theoretical rationale for using literacy rate as an indicator of human capital development and labour force participation as a measure of productive capacity, in addition to gross capital formation, as a measure of economic growth.</w:t>
      </w:r>
    </w:p>
    <w:p w14:paraId="02A9E705" w14:textId="0789E690" w:rsidR="000E1E53" w:rsidRPr="00E000DA" w:rsidRDefault="00554B98" w:rsidP="0045397C">
      <w:pPr>
        <w:pStyle w:val="NormalWeb"/>
        <w:spacing w:before="0" w:beforeAutospacing="0" w:after="200" w:afterAutospacing="0" w:line="360" w:lineRule="auto"/>
        <w:jc w:val="both"/>
        <w:rPr>
          <w:color w:val="000000" w:themeColor="text1"/>
        </w:rPr>
      </w:pPr>
      <w:r>
        <w:rPr>
          <w:color w:val="000000" w:themeColor="text1"/>
        </w:rPr>
        <w:t xml:space="preserve">   </w:t>
      </w:r>
      <w:r w:rsidR="00D900DB" w:rsidRPr="00E000DA">
        <w:rPr>
          <w:color w:val="000000" w:themeColor="text1"/>
        </w:rPr>
        <w:t>The theories complement each other, giving a complete analytical framework which form</w:t>
      </w:r>
      <w:r w:rsidR="005C72D2" w:rsidRPr="00E000DA">
        <w:rPr>
          <w:color w:val="000000" w:themeColor="text1"/>
        </w:rPr>
        <w:t>s</w:t>
      </w:r>
      <w:r w:rsidR="00D900DB" w:rsidRPr="00E000DA">
        <w:rPr>
          <w:color w:val="000000" w:themeColor="text1"/>
        </w:rPr>
        <w:t xml:space="preserve"> the basis for understanding the relationship between the growth of gross capital formation and economic growth in Nigeria. The Solow neoclassical growth theory illustrates how growth can result from capital accumulation and </w:t>
      </w:r>
      <w:r w:rsidRPr="00E000DA">
        <w:rPr>
          <w:color w:val="000000" w:themeColor="text1"/>
        </w:rPr>
        <w:t>utilization</w:t>
      </w:r>
      <w:r w:rsidR="00D900DB" w:rsidRPr="00E000DA">
        <w:rPr>
          <w:color w:val="000000" w:themeColor="text1"/>
        </w:rPr>
        <w:t xml:space="preserve"> of labour, while the endogenous growth theory expands this analysis by showing that growth can also come from advancements in human capital, knowledge production and technological innovation. Both theories </w:t>
      </w:r>
      <w:r w:rsidRPr="00E000DA">
        <w:rPr>
          <w:color w:val="000000" w:themeColor="text1"/>
        </w:rPr>
        <w:t>emphasize</w:t>
      </w:r>
      <w:r w:rsidR="00D900DB" w:rsidRPr="00E000DA">
        <w:rPr>
          <w:color w:val="000000" w:themeColor="text1"/>
        </w:rPr>
        <w:t xml:space="preserve"> the need to invest productively, to use labour efficiently, and to develop human capital to promote long-run economic growth. Their application is especially suitable for Nigeria's economy, where the poor levels of infrastructure, allocation of capital resources, quality of institutional structures, and human capital are restricting investment's growth-enhancing impact. Taken as a whole, the theories offer a satisfying theoretical basis for understanding the relationship between gross capital formation, labour force participation, and the literacy rate and their contribution to the economic growth of Nigeria and serve as a basis for the policy recommendations proposed in this study.</w:t>
      </w:r>
    </w:p>
    <w:p w14:paraId="4B104B56" w14:textId="77777777" w:rsidR="000E1E53" w:rsidRPr="00E000DA" w:rsidRDefault="000E1E53" w:rsidP="0045397C">
      <w:pPr>
        <w:pStyle w:val="Heading2"/>
        <w:spacing w:before="0" w:beforeAutospacing="0" w:after="200" w:afterAutospacing="0" w:line="360" w:lineRule="auto"/>
        <w:jc w:val="both"/>
        <w:rPr>
          <w:i/>
          <w:color w:val="000000" w:themeColor="text1"/>
          <w:sz w:val="24"/>
          <w:szCs w:val="24"/>
        </w:rPr>
      </w:pPr>
      <w:r w:rsidRPr="00E000DA">
        <w:rPr>
          <w:rStyle w:val="Strong"/>
          <w:b/>
          <w:bCs/>
          <w:i/>
          <w:color w:val="000000" w:themeColor="text1"/>
          <w:sz w:val="24"/>
          <w:szCs w:val="24"/>
        </w:rPr>
        <w:t>2.3 Empirical Review</w:t>
      </w:r>
    </w:p>
    <w:p w14:paraId="4B26F5A4" w14:textId="06DAA622" w:rsidR="005C72D2" w:rsidRPr="00E000DA" w:rsidRDefault="000A3591" w:rsidP="0045397C">
      <w:pPr>
        <w:pStyle w:val="NormalWeb"/>
        <w:spacing w:before="0" w:beforeAutospacing="0" w:after="200" w:afterAutospacing="0" w:line="360" w:lineRule="auto"/>
        <w:jc w:val="both"/>
        <w:rPr>
          <w:color w:val="000000" w:themeColor="text1"/>
        </w:rPr>
      </w:pPr>
      <w:r>
        <w:rPr>
          <w:color w:val="000000" w:themeColor="text1"/>
        </w:rPr>
        <w:t xml:space="preserve">   </w:t>
      </w:r>
      <w:r w:rsidR="005C72D2" w:rsidRPr="00E000DA">
        <w:rPr>
          <w:color w:val="000000" w:themeColor="text1"/>
        </w:rPr>
        <w:t>Gross fixed capital formation effect on Nigerian economic growth was investigated using the annual time-series data from 1971 to 2023, and the Autoregressive Distributed Lag (ARDL) approach was used by Amaegberi and Krokeyi (2025). The findings indicated that gross fixed capital formation had a negative impact in the short period but a positive but statistically insignificant effect in the long period, which indicates that investment plays a positive role in the long period, but its role is reduced by the inefficiency in allocating and implementing investment.</w:t>
      </w:r>
    </w:p>
    <w:p w14:paraId="30AA656D" w14:textId="5A61101E" w:rsidR="005C72D2" w:rsidRPr="00E000DA" w:rsidRDefault="000A3591" w:rsidP="0045397C">
      <w:pPr>
        <w:pStyle w:val="NormalWeb"/>
        <w:spacing w:before="0" w:beforeAutospacing="0" w:after="200" w:afterAutospacing="0" w:line="360" w:lineRule="auto"/>
        <w:jc w:val="both"/>
        <w:rPr>
          <w:color w:val="000000" w:themeColor="text1"/>
        </w:rPr>
      </w:pPr>
      <w:r>
        <w:rPr>
          <w:color w:val="000000" w:themeColor="text1"/>
        </w:rPr>
        <w:t xml:space="preserve">   </w:t>
      </w:r>
      <w:r w:rsidR="005C72D2" w:rsidRPr="00E000DA">
        <w:rPr>
          <w:color w:val="000000" w:themeColor="text1"/>
        </w:rPr>
        <w:t>Economic growth and the relationship between deficit financing and economic growth in Nigeria were examined by Uremadu</w:t>
      </w:r>
      <w:r w:rsidR="0045397C" w:rsidRPr="00E000DA">
        <w:rPr>
          <w:color w:val="000000" w:themeColor="text1"/>
        </w:rPr>
        <w:t>, Umezurike and Onyele</w:t>
      </w:r>
      <w:r w:rsidR="005C72D2" w:rsidRPr="00E000DA">
        <w:rPr>
          <w:color w:val="000000" w:themeColor="text1"/>
        </w:rPr>
        <w:t xml:space="preserve"> (2024), employing the ARDL Bounds Testing approach with gross capital formation as one of the explanatory variables. The study not </w:t>
      </w:r>
      <w:r w:rsidR="005C72D2" w:rsidRPr="00E000DA">
        <w:rPr>
          <w:color w:val="000000" w:themeColor="text1"/>
        </w:rPr>
        <w:lastRenderedPageBreak/>
        <w:t>only confirmed that there was a long-run equilibrium relationship between the variables but also showed that gross capital formation had a strong positive effect on economic growth in the long run. According to the authors, productive investment is still an important pathway through which fiscal policies can boost sustainable economic growth.</w:t>
      </w:r>
    </w:p>
    <w:p w14:paraId="1401E011" w14:textId="2F6375CD" w:rsidR="005C72D2" w:rsidRPr="00E000DA" w:rsidRDefault="000A3591" w:rsidP="0045397C">
      <w:pPr>
        <w:pStyle w:val="NormalWeb"/>
        <w:spacing w:before="0" w:beforeAutospacing="0" w:after="200" w:afterAutospacing="0" w:line="360" w:lineRule="auto"/>
        <w:jc w:val="both"/>
        <w:rPr>
          <w:color w:val="000000" w:themeColor="text1"/>
        </w:rPr>
      </w:pPr>
      <w:r>
        <w:rPr>
          <w:color w:val="000000" w:themeColor="text1"/>
        </w:rPr>
        <w:t xml:space="preserve">  </w:t>
      </w:r>
      <w:r w:rsidR="005C72D2" w:rsidRPr="00E000DA">
        <w:rPr>
          <w:color w:val="000000" w:themeColor="text1"/>
        </w:rPr>
        <w:t>Anagun and Sokunbi (2024) examined the impact of physical and human capital accumulation on economic growth in Nigeria over the period of 1990 to 2021 using ARDL Bounds Testing technique. The study broke down the capital formation into physical capital (gross capital formation) and human capital (education and health expenditure). The results showed that both physical and human capital formation were found to positively and significantly affect economic growth in the long run, but gross capital formation in the short run was not statistically significant. The study found that continued investment in productive assets and human resources continues to be key to long-term economic growth.</w:t>
      </w:r>
    </w:p>
    <w:p w14:paraId="26FD9B02" w14:textId="2E51955B" w:rsidR="005C72D2" w:rsidRPr="00E000DA" w:rsidRDefault="000A3591" w:rsidP="0045397C">
      <w:pPr>
        <w:pStyle w:val="NormalWeb"/>
        <w:spacing w:before="0" w:beforeAutospacing="0" w:after="200" w:afterAutospacing="0" w:line="360" w:lineRule="auto"/>
        <w:jc w:val="both"/>
        <w:rPr>
          <w:color w:val="000000" w:themeColor="text1"/>
        </w:rPr>
      </w:pPr>
      <w:r>
        <w:rPr>
          <w:color w:val="000000" w:themeColor="text1"/>
        </w:rPr>
        <w:t xml:space="preserve">   </w:t>
      </w:r>
      <w:r w:rsidR="005C72D2" w:rsidRPr="00E000DA">
        <w:rPr>
          <w:color w:val="000000" w:themeColor="text1"/>
        </w:rPr>
        <w:t xml:space="preserve">World Bank (2023) </w:t>
      </w:r>
      <w:r w:rsidRPr="00E000DA">
        <w:rPr>
          <w:color w:val="000000" w:themeColor="text1"/>
        </w:rPr>
        <w:t>analyzed</w:t>
      </w:r>
      <w:r w:rsidR="005C72D2" w:rsidRPr="00E000DA">
        <w:rPr>
          <w:color w:val="000000" w:themeColor="text1"/>
        </w:rPr>
        <w:t xml:space="preserve"> investment characteristics in developing economies based on macroeconomic indicators and found that continued growth of gross capital formation is essential for continuing to grow productive capacity, </w:t>
      </w:r>
      <w:r w:rsidRPr="00E000DA">
        <w:rPr>
          <w:color w:val="000000" w:themeColor="text1"/>
        </w:rPr>
        <w:t>industrialize</w:t>
      </w:r>
      <w:r w:rsidR="005C72D2" w:rsidRPr="00E000DA">
        <w:rPr>
          <w:color w:val="000000" w:themeColor="text1"/>
        </w:rPr>
        <w:t xml:space="preserve"> and transform the economy in the long term. Likewise, the </w:t>
      </w:r>
      <w:r w:rsidRPr="00E000DA">
        <w:rPr>
          <w:color w:val="000000" w:themeColor="text1"/>
        </w:rPr>
        <w:t>Organization</w:t>
      </w:r>
      <w:r w:rsidR="005C72D2" w:rsidRPr="00E000DA">
        <w:rPr>
          <w:color w:val="000000" w:themeColor="text1"/>
        </w:rPr>
        <w:t xml:space="preserve"> for Economic Co-operation and Development (OECD, 2022) found that investments in productive assets play a significant role in improving productivity, competitiveness and sustainable economic growth and can help to increase the amount of capital available for future production.</w:t>
      </w:r>
    </w:p>
    <w:p w14:paraId="6A30635B" w14:textId="1972B9CB" w:rsidR="005C72D2" w:rsidRPr="00E000DA" w:rsidRDefault="00E15563" w:rsidP="0045397C">
      <w:pPr>
        <w:pStyle w:val="NormalWeb"/>
        <w:spacing w:before="0" w:beforeAutospacing="0" w:after="200" w:afterAutospacing="0" w:line="360" w:lineRule="auto"/>
        <w:jc w:val="both"/>
        <w:rPr>
          <w:color w:val="000000" w:themeColor="text1"/>
        </w:rPr>
      </w:pPr>
      <w:r>
        <w:rPr>
          <w:color w:val="000000" w:themeColor="text1"/>
        </w:rPr>
        <w:t xml:space="preserve">   </w:t>
      </w:r>
      <w:r w:rsidR="005C72D2" w:rsidRPr="00E000DA">
        <w:rPr>
          <w:color w:val="000000" w:themeColor="text1"/>
        </w:rPr>
        <w:t>This study reviewed the relationship between gross capital formation and economic growth in Nigeria for the period 1981 to 2018 with the Dynamic Ordinary Least Squares (DOLS) technique as advocated by Onwiodiokit and Otolorin (2021). The study found a negative and statistically significant effect of gross fixed capital formation on economic growth and a positive and statistically significant impact of investment in human capital on output. The</w:t>
      </w:r>
      <w:r w:rsidR="00F9030A" w:rsidRPr="00E000DA">
        <w:rPr>
          <w:color w:val="000000" w:themeColor="text1"/>
        </w:rPr>
        <w:t xml:space="preserve"> paper </w:t>
      </w:r>
      <w:r w:rsidR="005C72D2" w:rsidRPr="00E000DA">
        <w:rPr>
          <w:color w:val="000000" w:themeColor="text1"/>
        </w:rPr>
        <w:t>found that the lack of efficiency in investing, as well as the low level of institutional quality, limit the positive impact of physical capital investments on growth.</w:t>
      </w:r>
    </w:p>
    <w:p w14:paraId="5D608CC6" w14:textId="32C8D6F0" w:rsidR="005C72D2" w:rsidRPr="00E000DA" w:rsidRDefault="002E6010" w:rsidP="0045397C">
      <w:pPr>
        <w:pStyle w:val="NormalWeb"/>
        <w:spacing w:before="0" w:beforeAutospacing="0" w:after="200" w:afterAutospacing="0" w:line="360" w:lineRule="auto"/>
        <w:jc w:val="both"/>
        <w:rPr>
          <w:color w:val="000000" w:themeColor="text1"/>
        </w:rPr>
      </w:pPr>
      <w:r>
        <w:rPr>
          <w:color w:val="000000" w:themeColor="text1"/>
        </w:rPr>
        <w:t xml:space="preserve">   </w:t>
      </w:r>
      <w:r w:rsidR="005C72D2" w:rsidRPr="00E000DA">
        <w:rPr>
          <w:color w:val="000000" w:themeColor="text1"/>
        </w:rPr>
        <w:t xml:space="preserve">However, Nweke </w:t>
      </w:r>
      <w:r w:rsidR="005C72D2" w:rsidRPr="00E000DA">
        <w:rPr>
          <w:i/>
          <w:color w:val="000000" w:themeColor="text1"/>
        </w:rPr>
        <w:t>et al</w:t>
      </w:r>
      <w:r w:rsidR="0045397C" w:rsidRPr="00E000DA">
        <w:rPr>
          <w:color w:val="000000" w:themeColor="text1"/>
        </w:rPr>
        <w:t>.</w:t>
      </w:r>
      <w:r w:rsidR="005C72D2" w:rsidRPr="00E000DA">
        <w:rPr>
          <w:color w:val="000000" w:themeColor="text1"/>
        </w:rPr>
        <w:t xml:space="preserve"> (2017) examined the relationship between gross capital formation and economic growth for Nigeria over an annual time frame from 1981 to 2018 using cointegration and an error correction mechanism (ECM) model. The results indicated that the gross capital </w:t>
      </w:r>
      <w:r w:rsidR="005C72D2" w:rsidRPr="00E000DA">
        <w:rPr>
          <w:color w:val="000000" w:themeColor="text1"/>
        </w:rPr>
        <w:lastRenderedPageBreak/>
        <w:t>formation in the short run and long run was positive but not statistically significant with regard to real gross domestic product. The research also found that the relationship was bidirectional, meaning that capital formation and economic growth go hand in hand.</w:t>
      </w:r>
    </w:p>
    <w:p w14:paraId="5C05654A" w14:textId="532DE751" w:rsidR="005C72D2" w:rsidRPr="00E000DA" w:rsidRDefault="002E6010" w:rsidP="0045397C">
      <w:pPr>
        <w:pStyle w:val="NormalWeb"/>
        <w:spacing w:before="0" w:beforeAutospacing="0" w:after="200" w:afterAutospacing="0" w:line="360" w:lineRule="auto"/>
        <w:jc w:val="both"/>
        <w:rPr>
          <w:color w:val="000000" w:themeColor="text1"/>
        </w:rPr>
      </w:pPr>
      <w:r>
        <w:rPr>
          <w:color w:val="000000" w:themeColor="text1"/>
        </w:rPr>
        <w:t xml:space="preserve">   </w:t>
      </w:r>
      <w:r w:rsidR="005C72D2" w:rsidRPr="00E000DA">
        <w:rPr>
          <w:color w:val="000000" w:themeColor="text1"/>
        </w:rPr>
        <w:t xml:space="preserve">Adegboyega and Odusanya (2014) used the Ordinary Least Squares (OLS) estimation method to investigate the impact of gross capital formation on the economic growth of Nigeria. The results showed that gross capital formation has a positive and significant impact on economic growth, which in turn has led to the improvement of industrial productivity and increase in productive capacity. The research </w:t>
      </w:r>
      <w:r w:rsidR="00F9030A" w:rsidRPr="00E000DA">
        <w:rPr>
          <w:color w:val="000000" w:themeColor="text1"/>
        </w:rPr>
        <w:t xml:space="preserve">observed </w:t>
      </w:r>
      <w:r w:rsidR="005C72D2" w:rsidRPr="00E000DA">
        <w:rPr>
          <w:color w:val="000000" w:themeColor="text1"/>
        </w:rPr>
        <w:t>that continued investment is essential for long-term development.</w:t>
      </w:r>
    </w:p>
    <w:p w14:paraId="560BAE29" w14:textId="7BE526C4" w:rsidR="005C72D2" w:rsidRPr="00E000DA" w:rsidRDefault="00C43B6B" w:rsidP="0045397C">
      <w:pPr>
        <w:pStyle w:val="NormalWeb"/>
        <w:spacing w:before="0" w:beforeAutospacing="0" w:after="200" w:afterAutospacing="0" w:line="360" w:lineRule="auto"/>
        <w:jc w:val="both"/>
        <w:rPr>
          <w:color w:val="000000" w:themeColor="text1"/>
        </w:rPr>
      </w:pPr>
      <w:r>
        <w:rPr>
          <w:color w:val="000000" w:themeColor="text1"/>
        </w:rPr>
        <w:t xml:space="preserve">   </w:t>
      </w:r>
      <w:r w:rsidR="005C72D2" w:rsidRPr="00E000DA">
        <w:rPr>
          <w:color w:val="000000" w:themeColor="text1"/>
        </w:rPr>
        <w:t>Ugwuegbe and Urakpa (2013) examined the investment and economic growth relationship in Nigeria using the econometric estimation techniques. The results indicated that investment had a positive effect on economic growth, but the effect was limited by the lack of good infrastructure, macroeconomic instability, inefficient resource allocation, and weak institutional per</w:t>
      </w:r>
      <w:r w:rsidR="00F9030A" w:rsidRPr="00E000DA">
        <w:rPr>
          <w:color w:val="000000" w:themeColor="text1"/>
        </w:rPr>
        <w:t>formance.</w:t>
      </w:r>
    </w:p>
    <w:p w14:paraId="1925326A" w14:textId="33FFB379" w:rsidR="005C72D2" w:rsidRPr="00E000DA" w:rsidRDefault="00C43B6B" w:rsidP="0045397C">
      <w:pPr>
        <w:pStyle w:val="NormalWeb"/>
        <w:spacing w:before="0" w:beforeAutospacing="0" w:after="200" w:afterAutospacing="0" w:line="360" w:lineRule="auto"/>
        <w:jc w:val="both"/>
        <w:rPr>
          <w:color w:val="000000" w:themeColor="text1"/>
        </w:rPr>
      </w:pPr>
      <w:r>
        <w:rPr>
          <w:color w:val="000000" w:themeColor="text1"/>
        </w:rPr>
        <w:t xml:space="preserve">    </w:t>
      </w:r>
      <w:r w:rsidR="005C72D2" w:rsidRPr="00E000DA">
        <w:rPr>
          <w:color w:val="000000" w:themeColor="text1"/>
        </w:rPr>
        <w:t>With the Ordinary Least Squares (OLS) technique, Bakare (2011) examined the correlation between capital formation and economic growth in Nigeria. The results showed that gross capital formation is positively related to economic growth, which meant that economic growth will improve with a higher amount of investment to increase productive capacity and national output. The study found that strengthening domestic investment is still a key element in enhancing economic growth.</w:t>
      </w:r>
    </w:p>
    <w:p w14:paraId="430BC5FA" w14:textId="1F507D15" w:rsidR="000E1E53" w:rsidRPr="00E000DA" w:rsidRDefault="00B46767" w:rsidP="0045397C">
      <w:pPr>
        <w:pStyle w:val="NormalWeb"/>
        <w:spacing w:before="0" w:beforeAutospacing="0" w:after="200" w:afterAutospacing="0" w:line="360" w:lineRule="auto"/>
        <w:jc w:val="both"/>
        <w:rPr>
          <w:color w:val="000000" w:themeColor="text1"/>
        </w:rPr>
      </w:pPr>
      <w:r>
        <w:rPr>
          <w:color w:val="000000" w:themeColor="text1"/>
        </w:rPr>
        <w:t xml:space="preserve">   </w:t>
      </w:r>
      <w:r w:rsidR="005C72D2" w:rsidRPr="00E000DA">
        <w:rPr>
          <w:color w:val="000000" w:themeColor="text1"/>
        </w:rPr>
        <w:t xml:space="preserve">Most of the reviewed studies have found positive evidence that gross capital formation is associated with economic growth, but the evidence is inconclusive due to the variety of estimation methods, sample dates, model specifications, and capital investment measures. Some studies reported positive and significant effects of investment on economic growth, while others reported insignificant or even negative effects of investment on economic growth, especially when investment efficiency and institutional quality are low. In addition, the gross capital formation-economic growth relationship in Nigeria has been studied with only a few studies examining the relationship specifically with the Autoregressive Distributed Lag (ARDL) model and with the inclusion of literacy rate as control variables which this study deployed to fill this gap by using annual data and the ARDL bounds testing model to generate new evidence on the short run </w:t>
      </w:r>
      <w:r w:rsidR="00F9030A" w:rsidRPr="00E000DA">
        <w:rPr>
          <w:color w:val="000000" w:themeColor="text1"/>
        </w:rPr>
        <w:t>effect of gross capital formation on</w:t>
      </w:r>
      <w:r w:rsidR="005C72D2" w:rsidRPr="00E000DA">
        <w:rPr>
          <w:color w:val="000000" w:themeColor="text1"/>
        </w:rPr>
        <w:t xml:space="preserve"> economic growth in Nigeria.</w:t>
      </w:r>
    </w:p>
    <w:p w14:paraId="35B6EDE0" w14:textId="77777777" w:rsidR="00027AC1" w:rsidRPr="00E000DA" w:rsidRDefault="00027AC1" w:rsidP="0045397C">
      <w:pPr>
        <w:spacing w:line="360" w:lineRule="auto"/>
        <w:jc w:val="both"/>
        <w:outlineLvl w:val="1"/>
        <w:rPr>
          <w:rFonts w:ascii="Times New Roman" w:eastAsia="Times New Roman" w:hAnsi="Times New Roman" w:cs="Times New Roman"/>
          <w:b/>
          <w:bCs/>
          <w:color w:val="000000" w:themeColor="text1"/>
          <w:sz w:val="24"/>
          <w:szCs w:val="24"/>
        </w:rPr>
      </w:pPr>
      <w:r w:rsidRPr="00E000DA">
        <w:rPr>
          <w:rFonts w:ascii="Times New Roman" w:eastAsia="Times New Roman" w:hAnsi="Times New Roman" w:cs="Times New Roman"/>
          <w:b/>
          <w:bCs/>
          <w:color w:val="000000" w:themeColor="text1"/>
          <w:sz w:val="24"/>
          <w:szCs w:val="24"/>
        </w:rPr>
        <w:lastRenderedPageBreak/>
        <w:t>3.0 Methodology</w:t>
      </w:r>
    </w:p>
    <w:p w14:paraId="45D06CFC" w14:textId="79D3EBFD" w:rsidR="00027AC1" w:rsidRPr="00E000DA" w:rsidRDefault="00B46767" w:rsidP="0045397C">
      <w:pPr>
        <w:spacing w:line="360" w:lineRule="auto"/>
        <w:jc w:val="both"/>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836340" w:rsidRPr="00E000DA">
        <w:rPr>
          <w:rFonts w:ascii="Times New Roman" w:hAnsi="Times New Roman" w:cs="Times New Roman"/>
          <w:color w:val="000000" w:themeColor="text1"/>
          <w:sz w:val="24"/>
          <w:szCs w:val="24"/>
        </w:rPr>
        <w:t>The study had an ex-post facto research design with secondary data from trustworthy international databases such as World Development Indicators (WDI) of the World Bank. The nature of the variables investigated led to the use of the ex post facto design: the variables investigated are historical ones, macroeconomic time-series data that cannot be manipulated by the researcher. This study spanned the period 2004 – 2025, where Nigeria was witnessing a continued push for economic growth through higher public and private investment, introduction of several capital formation strategies, infrastructure development programmes, and reforms for improving productivity and economic diversification. The Nigerian economy experienced periods of economic expansion and recession, levels of investment, structural reforms and external shocks during this time, which all affected the relationship between capital accumulation and economic performance. Nigeria is a suitable case study as it has a lot of natural and human resources but still suffers from chronic problems of insufficient capital accumulation, poor infrastructure, low productivity, unemployment and erratic economic development. It is therefore important to analyse the role of gross capital formation in economic growth in the Nigerian economy to understand the relationship between investment and growth in the economy. Therefore, the functional form of the model is given as:</w:t>
      </w:r>
    </w:p>
    <w:p w14:paraId="67F1EBBE" w14:textId="77777777" w:rsidR="00410FB6" w:rsidRPr="00E000DA" w:rsidRDefault="00410FB6" w:rsidP="0045397C">
      <w:pPr>
        <w:spacing w:line="360" w:lineRule="auto"/>
        <w:jc w:val="both"/>
        <w:rPr>
          <w:rFonts w:ascii="Times New Roman" w:eastAsia="Times New Roman" w:hAnsi="Times New Roman" w:cs="Times New Roman"/>
          <w:color w:val="000000" w:themeColor="text1"/>
          <w:sz w:val="24"/>
          <w:szCs w:val="24"/>
        </w:rPr>
      </w:pPr>
      <m:oMathPara>
        <m:oMathParaPr>
          <m:jc m:val="left"/>
        </m:oMathParaPr>
        <m:oMath>
          <m:r>
            <m:rPr>
              <m:sty m:val="p"/>
            </m:rPr>
            <w:rPr>
              <w:rFonts w:ascii="Cambria Math" w:eastAsia="Times New Roman" w:hAnsi="Times New Roman" w:cs="Times New Roman"/>
              <w:color w:val="000000" w:themeColor="text1"/>
              <w:sz w:val="24"/>
              <w:szCs w:val="24"/>
            </w:rPr>
            <m:t>GR=f</m:t>
          </m:r>
          <m:d>
            <m:dPr>
              <m:ctrlPr>
                <w:rPr>
                  <w:rFonts w:ascii="Cambria Math" w:eastAsia="Times New Roman" w:hAnsi="Times New Roman" w:cs="Times New Roman"/>
                  <w:color w:val="000000" w:themeColor="text1"/>
                  <w:sz w:val="24"/>
                  <w:szCs w:val="24"/>
                </w:rPr>
              </m:ctrlPr>
            </m:dPr>
            <m:e>
              <m:r>
                <m:rPr>
                  <m:sty m:val="p"/>
                </m:rPr>
                <w:rPr>
                  <w:rFonts w:ascii="Cambria Math" w:eastAsia="Times New Roman" w:hAnsi="Times New Roman" w:cs="Times New Roman"/>
                  <w:color w:val="000000" w:themeColor="text1"/>
                  <w:sz w:val="24"/>
                  <w:szCs w:val="24"/>
                </w:rPr>
                <m:t>GCF, LTR</m:t>
              </m:r>
            </m:e>
          </m:d>
          <m:r>
            <m:rPr>
              <m:sty m:val="p"/>
            </m:rPr>
            <w:rPr>
              <w:rFonts w:ascii="Times New Roman" w:eastAsia="Times New Roman" w:hAnsi="Times New Roman" w:cs="Times New Roman"/>
              <w:color w:val="000000" w:themeColor="text1"/>
              <w:sz w:val="24"/>
              <w:szCs w:val="24"/>
            </w:rPr>
            <m:t>----------------------</m:t>
          </m:r>
          <m:r>
            <m:rPr>
              <m:sty m:val="p"/>
            </m:rPr>
            <w:rPr>
              <w:rFonts w:ascii="Cambria Math" w:eastAsia="Times New Roman" w:hAnsi="Times New Roman" w:cs="Times New Roman"/>
              <w:color w:val="000000" w:themeColor="text1"/>
              <w:sz w:val="24"/>
              <w:szCs w:val="24"/>
            </w:rPr>
            <m:t>(1)</m:t>
          </m:r>
        </m:oMath>
      </m:oMathPara>
    </w:p>
    <w:p w14:paraId="46EDBCF4" w14:textId="77777777" w:rsidR="00027AC1" w:rsidRPr="00E000DA" w:rsidRDefault="00027AC1" w:rsidP="0045397C">
      <w:pPr>
        <w:spacing w:line="360" w:lineRule="auto"/>
        <w:jc w:val="both"/>
        <w:rPr>
          <w:rFonts w:ascii="Times New Roman" w:eastAsia="Times New Roman" w:hAnsi="Times New Roman" w:cs="Times New Roman"/>
          <w:color w:val="000000" w:themeColor="text1"/>
          <w:sz w:val="24"/>
          <w:szCs w:val="24"/>
        </w:rPr>
      </w:pPr>
      <w:r w:rsidRPr="00E000DA">
        <w:rPr>
          <w:rFonts w:ascii="Times New Roman" w:eastAsia="Times New Roman" w:hAnsi="Times New Roman" w:cs="Times New Roman"/>
          <w:color w:val="000000" w:themeColor="text1"/>
          <w:sz w:val="24"/>
          <w:szCs w:val="24"/>
        </w:rPr>
        <w:t>Equation (1) is expressed econometrically as:</w:t>
      </w:r>
    </w:p>
    <w:p w14:paraId="2976A9D2" w14:textId="77777777" w:rsidR="00410FB6" w:rsidRPr="00E000DA" w:rsidRDefault="00410FB6" w:rsidP="0045397C">
      <w:pPr>
        <w:spacing w:line="360" w:lineRule="auto"/>
        <w:jc w:val="both"/>
        <w:rPr>
          <w:rFonts w:ascii="Times New Roman" w:eastAsia="Times New Roman" w:hAnsi="Times New Roman" w:cs="Times New Roman"/>
          <w:color w:val="000000" w:themeColor="text1"/>
          <w:sz w:val="24"/>
          <w:szCs w:val="24"/>
        </w:rPr>
      </w:pPr>
    </w:p>
    <w:p w14:paraId="485D9436" w14:textId="77777777" w:rsidR="00410FB6" w:rsidRPr="00E000DA" w:rsidRDefault="00410FB6" w:rsidP="0045397C">
      <w:pPr>
        <w:spacing w:line="360" w:lineRule="auto"/>
        <w:rPr>
          <w:rFonts w:ascii="Times New Roman" w:eastAsia="Times New Roman" w:hAnsi="Times New Roman" w:cs="Times New Roman"/>
          <w:color w:val="000000" w:themeColor="text1"/>
          <w:sz w:val="24"/>
          <w:szCs w:val="24"/>
        </w:rPr>
      </w:pPr>
      <m:oMath>
        <m:r>
          <m:rPr>
            <m:sty m:val="p"/>
          </m:rPr>
          <w:rPr>
            <w:rFonts w:ascii="Cambria Math" w:eastAsia="Times New Roman" w:hAnsi="Times New Roman" w:cs="Times New Roman"/>
            <w:color w:val="000000" w:themeColor="text1"/>
            <w:sz w:val="24"/>
            <w:szCs w:val="24"/>
          </w:rPr>
          <m:t>GR=</m:t>
        </m:r>
        <m:r>
          <m:rPr>
            <m:sty m:val="p"/>
          </m:rPr>
          <w:rPr>
            <w:rFonts w:ascii="Cambria Math" w:eastAsia="Times New Roman" w:hAnsi="Times New Roman" w:cs="Times New Roman"/>
            <w:color w:val="000000" w:themeColor="text1"/>
            <w:sz w:val="24"/>
            <w:szCs w:val="24"/>
          </w:rPr>
          <m:t>β</m:t>
        </m:r>
        <m:r>
          <m:rPr>
            <m:sty m:val="p"/>
          </m:rPr>
          <w:rPr>
            <w:rFonts w:ascii="Cambria Math" w:eastAsia="Times New Roman" w:hAnsi="Times New Roman" w:cs="Times New Roman"/>
            <w:color w:val="000000" w:themeColor="text1"/>
            <w:sz w:val="24"/>
            <w:szCs w:val="24"/>
          </w:rPr>
          <m:t>0+</m:t>
        </m:r>
        <m:r>
          <m:rPr>
            <m:sty m:val="p"/>
          </m:rPr>
          <w:rPr>
            <w:rFonts w:ascii="Cambria Math" w:eastAsia="Times New Roman" w:hAnsi="Times New Roman" w:cs="Times New Roman"/>
            <w:color w:val="000000" w:themeColor="text1"/>
            <w:sz w:val="24"/>
            <w:szCs w:val="24"/>
          </w:rPr>
          <m:t>β</m:t>
        </m:r>
        <m:r>
          <m:rPr>
            <m:sty m:val="p"/>
          </m:rPr>
          <w:rPr>
            <w:rFonts w:ascii="Cambria Math" w:eastAsia="Times New Roman" w:hAnsi="Times New Roman" w:cs="Times New Roman"/>
            <w:color w:val="000000" w:themeColor="text1"/>
            <w:sz w:val="24"/>
            <w:szCs w:val="24"/>
          </w:rPr>
          <m:t>1GCF+</m:t>
        </m:r>
        <m:r>
          <m:rPr>
            <m:sty m:val="p"/>
          </m:rPr>
          <w:rPr>
            <w:rFonts w:ascii="Cambria Math" w:eastAsia="Times New Roman" w:hAnsi="Times New Roman" w:cs="Times New Roman"/>
            <w:color w:val="000000" w:themeColor="text1"/>
            <w:sz w:val="24"/>
            <w:szCs w:val="24"/>
          </w:rPr>
          <m:t>β</m:t>
        </m:r>
        <m:r>
          <m:rPr>
            <m:sty m:val="p"/>
          </m:rPr>
          <w:rPr>
            <w:rFonts w:ascii="Cambria Math" w:eastAsia="Times New Roman" w:hAnsi="Times New Roman" w:cs="Times New Roman"/>
            <w:color w:val="000000" w:themeColor="text1"/>
            <w:sz w:val="24"/>
            <w:szCs w:val="24"/>
          </w:rPr>
          <m:t>2LTR +</m:t>
        </m:r>
        <m:r>
          <m:rPr>
            <m:sty m:val="p"/>
          </m:rPr>
          <w:rPr>
            <w:rFonts w:ascii="Cambria Math" w:eastAsia="Times New Roman" w:hAnsi="Times New Roman" w:cs="Times New Roman"/>
            <w:color w:val="000000" w:themeColor="text1"/>
            <w:sz w:val="24"/>
            <w:szCs w:val="24"/>
          </w:rPr>
          <m:t>ε</m:t>
        </m:r>
        <m:r>
          <m:rPr>
            <m:sty m:val="p"/>
          </m:rPr>
          <w:rPr>
            <w:rFonts w:ascii="Cambria Math" w:eastAsia="Times New Roman" w:hAnsi="Times New Roman" w:cs="Times New Roman"/>
            <w:color w:val="000000" w:themeColor="text1"/>
            <w:sz w:val="24"/>
            <w:szCs w:val="24"/>
          </w:rPr>
          <m:t>t</m:t>
        </m:r>
        <m:r>
          <m:rPr>
            <m:sty m:val="p"/>
          </m:rPr>
          <w:rPr>
            <w:rFonts w:ascii="Cambria Math" w:eastAsia="Times New Roman" w:hAnsi="Times New Roman" w:cs="Times New Roman"/>
            <w:color w:val="000000" w:themeColor="text1"/>
            <w:sz w:val="24"/>
            <w:szCs w:val="24"/>
          </w:rPr>
          <m:t>---------------</m:t>
        </m:r>
        <m:r>
          <m:rPr>
            <m:sty m:val="p"/>
          </m:rPr>
          <w:rPr>
            <w:rFonts w:ascii="Cambria Math" w:eastAsia="Times New Roman" w:hAnsi="Times New Roman" w:cs="Times New Roman"/>
            <w:color w:val="000000" w:themeColor="text1"/>
            <w:sz w:val="24"/>
            <w:szCs w:val="24"/>
          </w:rPr>
          <m:t>(2)</m:t>
        </m:r>
      </m:oMath>
      <w:r w:rsidRPr="00E000DA">
        <w:rPr>
          <w:rFonts w:ascii="Times New Roman" w:eastAsia="Times New Roman" w:hAnsi="Times New Roman" w:cs="Times New Roman"/>
          <w:color w:val="000000" w:themeColor="text1"/>
          <w:sz w:val="24"/>
          <w:szCs w:val="24"/>
        </w:rPr>
        <w:t xml:space="preserve"> </w:t>
      </w:r>
    </w:p>
    <w:p w14:paraId="490BBAED" w14:textId="77777777" w:rsidR="00410FB6" w:rsidRPr="00E000DA" w:rsidRDefault="004217E3" w:rsidP="0045397C">
      <w:pPr>
        <w:spacing w:line="360" w:lineRule="auto"/>
        <w:jc w:val="both"/>
        <w:rPr>
          <w:rFonts w:ascii="Times New Roman" w:eastAsia="Times New Roman" w:hAnsi="Times New Roman" w:cs="Times New Roman"/>
          <w:color w:val="000000" w:themeColor="text1"/>
          <w:sz w:val="24"/>
          <w:szCs w:val="24"/>
        </w:rPr>
      </w:pPr>
      <w:r w:rsidRPr="00E000DA">
        <w:rPr>
          <w:rFonts w:ascii="Times New Roman" w:eastAsia="Times New Roman" w:hAnsi="Times New Roman" w:cs="Times New Roman"/>
          <w:color w:val="000000" w:themeColor="text1"/>
          <w:sz w:val="24"/>
          <w:szCs w:val="24"/>
        </w:rPr>
        <w:t xml:space="preserve">Where: </w:t>
      </w:r>
      <w:r w:rsidRPr="00E000DA">
        <w:rPr>
          <w:rFonts w:ascii="Times New Roman" w:eastAsia="Times New Roman" w:hAnsi="Times New Roman" w:cs="Times New Roman"/>
          <w:bCs/>
          <w:color w:val="000000" w:themeColor="text1"/>
          <w:sz w:val="24"/>
          <w:szCs w:val="24"/>
        </w:rPr>
        <w:t>GR</w:t>
      </w:r>
      <w:r w:rsidRPr="00E000DA">
        <w:rPr>
          <w:rFonts w:ascii="Times New Roman" w:eastAsia="Times New Roman" w:hAnsi="Times New Roman" w:cs="Times New Roman"/>
          <w:color w:val="000000" w:themeColor="text1"/>
          <w:sz w:val="24"/>
          <w:szCs w:val="24"/>
        </w:rPr>
        <w:t xml:space="preserve"> = Economic growth rate measured by real Gross Domestic Product (GDP) growth rate; GCF = Gross capital formation;</w:t>
      </w:r>
      <w:r w:rsidRPr="00E000DA">
        <w:rPr>
          <w:rFonts w:ascii="Times New Roman" w:hAnsi="Times New Roman" w:cs="Times New Roman"/>
          <w:color w:val="000000" w:themeColor="text1"/>
          <w:sz w:val="24"/>
          <w:szCs w:val="24"/>
        </w:rPr>
        <w:t xml:space="preserve"> LTR = Literacy Rate; </w:t>
      </w:r>
      <w:r w:rsidRPr="00E000DA">
        <w:rPr>
          <w:rFonts w:ascii="Times New Roman" w:eastAsia="Times New Roman" w:hAnsi="Times New Roman" w:cs="Times New Roman"/>
          <w:bCs/>
          <w:color w:val="000000" w:themeColor="text1"/>
          <w:sz w:val="24"/>
          <w:szCs w:val="24"/>
        </w:rPr>
        <w:t>β</w:t>
      </w:r>
      <w:r w:rsidRPr="00E000DA">
        <w:rPr>
          <w:rFonts w:ascii="Cambria Math" w:eastAsia="Times New Roman" w:hAnsi="Cambria Math" w:cs="Times New Roman"/>
          <w:bCs/>
          <w:color w:val="000000" w:themeColor="text1"/>
          <w:sz w:val="24"/>
          <w:szCs w:val="24"/>
        </w:rPr>
        <w:t>₀</w:t>
      </w:r>
      <w:r w:rsidRPr="00E000DA">
        <w:rPr>
          <w:rFonts w:ascii="Times New Roman" w:eastAsia="Times New Roman" w:hAnsi="Times New Roman" w:cs="Times New Roman"/>
          <w:color w:val="000000" w:themeColor="text1"/>
          <w:sz w:val="24"/>
          <w:szCs w:val="24"/>
        </w:rPr>
        <w:t xml:space="preserve"> = Constant term; </w:t>
      </w:r>
      <w:r w:rsidRPr="00E000DA">
        <w:rPr>
          <w:rFonts w:ascii="Times New Roman" w:eastAsia="Times New Roman" w:hAnsi="Times New Roman" w:cs="Times New Roman"/>
          <w:bCs/>
          <w:color w:val="000000" w:themeColor="text1"/>
          <w:sz w:val="24"/>
          <w:szCs w:val="24"/>
        </w:rPr>
        <w:t>β</w:t>
      </w:r>
      <w:r w:rsidRPr="00E000DA">
        <w:rPr>
          <w:rFonts w:ascii="Cambria Math" w:eastAsia="Times New Roman" w:hAnsi="Cambria Math" w:cs="Times New Roman"/>
          <w:bCs/>
          <w:color w:val="000000" w:themeColor="text1"/>
          <w:sz w:val="24"/>
          <w:szCs w:val="24"/>
        </w:rPr>
        <w:t>₁</w:t>
      </w:r>
      <w:r w:rsidRPr="00E000DA">
        <w:rPr>
          <w:rFonts w:ascii="Times New Roman" w:eastAsia="Times New Roman" w:hAnsi="Times New Roman" w:cs="Times New Roman"/>
          <w:bCs/>
          <w:color w:val="000000" w:themeColor="text1"/>
          <w:sz w:val="24"/>
          <w:szCs w:val="24"/>
        </w:rPr>
        <w:softHyphen/>
        <w:t>- β</w:t>
      </w:r>
      <w:r w:rsidRPr="00E000DA">
        <w:rPr>
          <w:rFonts w:ascii="Times New Roman" w:eastAsia="Times New Roman" w:hAnsi="Times New Roman" w:cs="Times New Roman"/>
          <w:bCs/>
          <w:color w:val="000000" w:themeColor="text1"/>
          <w:sz w:val="24"/>
          <w:szCs w:val="24"/>
          <w:vertAlign w:val="subscript"/>
        </w:rPr>
        <w:t>3</w:t>
      </w:r>
      <w:r w:rsidRPr="00E000DA">
        <w:rPr>
          <w:rFonts w:ascii="Times New Roman" w:eastAsia="Times New Roman" w:hAnsi="Times New Roman" w:cs="Times New Roman"/>
          <w:color w:val="000000" w:themeColor="text1"/>
          <w:sz w:val="24"/>
          <w:szCs w:val="24"/>
        </w:rPr>
        <w:t xml:space="preserve"> = Parameter estimate; and εt = Stochastic error term</w:t>
      </w:r>
    </w:p>
    <w:p w14:paraId="620EF1BC" w14:textId="071C8811" w:rsidR="004217E3" w:rsidRPr="00E000DA" w:rsidRDefault="00B46767" w:rsidP="0045397C">
      <w:p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836340" w:rsidRPr="00E000DA">
        <w:rPr>
          <w:rFonts w:ascii="Times New Roman" w:eastAsia="Times New Roman" w:hAnsi="Times New Roman" w:cs="Times New Roman"/>
          <w:color w:val="000000" w:themeColor="text1"/>
          <w:sz w:val="24"/>
          <w:szCs w:val="24"/>
        </w:rPr>
        <w:t xml:space="preserve">The model was estimated using the autoregressive distributed lag (ARDL) bounds testing approach suggested by Pesaran, Shin and Smith (2001). The ARDL methodology was chosen for its ability to estimate both the short-run dynamics of the model and the long-run equilibrium relationships, without any restrictions, even if the variables are I(0) or I(1). Moreover, the method </w:t>
      </w:r>
      <w:r w:rsidR="00836340" w:rsidRPr="00E000DA">
        <w:rPr>
          <w:rFonts w:ascii="Times New Roman" w:eastAsia="Times New Roman" w:hAnsi="Times New Roman" w:cs="Times New Roman"/>
          <w:color w:val="000000" w:themeColor="text1"/>
          <w:sz w:val="24"/>
          <w:szCs w:val="24"/>
        </w:rPr>
        <w:lastRenderedPageBreak/>
        <w:t>is efficient and unbiased even in the use of relatively small sample sizes and is used to solve the endogeneity and serial correlation problems often encountered in time-series analysis for macroeconomic data. Thus, the unrestricted ARDL model estimated in the study is given by:</w:t>
      </w:r>
    </w:p>
    <w:p w14:paraId="725C98C1" w14:textId="77777777" w:rsidR="004217E3" w:rsidRPr="00E000DA" w:rsidRDefault="00000000" w:rsidP="0045397C">
      <w:pPr>
        <w:spacing w:line="360" w:lineRule="auto"/>
        <w:rPr>
          <w:rFonts w:ascii="Times New Roman" w:eastAsia="Times New Roman" w:hAnsi="Times New Roman" w:cs="Times New Roman"/>
          <w:color w:val="000000" w:themeColor="text1"/>
          <w:sz w:val="24"/>
          <w:szCs w:val="24"/>
        </w:rPr>
      </w:pPr>
      <m:oMathPara>
        <m:oMathParaPr>
          <m:jc m:val="left"/>
        </m:oMathParaPr>
        <m:oMath>
          <m:sSub>
            <m:sSubPr>
              <m:ctrlPr>
                <w:rPr>
                  <w:rFonts w:ascii="Cambria Math" w:eastAsia="Times New Roman" w:hAnsi="Times New Roman" w:cs="Times New Roman"/>
                  <w:color w:val="000000" w:themeColor="text1"/>
                  <w:sz w:val="24"/>
                  <w:szCs w:val="24"/>
                </w:rPr>
              </m:ctrlPr>
            </m:sSubPr>
            <m:e>
              <m:r>
                <m:rPr>
                  <m:sty m:val="p"/>
                </m:rPr>
                <w:rPr>
                  <w:rFonts w:ascii="Cambria Math" w:eastAsia="Times New Roman" w:hAnsi="Times New Roman" w:cs="Times New Roman"/>
                  <w:color w:val="000000" w:themeColor="text1"/>
                  <w:sz w:val="24"/>
                  <w:szCs w:val="24"/>
                </w:rPr>
                <m:t>Δ</m:t>
              </m:r>
              <m:r>
                <m:rPr>
                  <m:sty m:val="p"/>
                </m:rPr>
                <w:rPr>
                  <w:rFonts w:ascii="Cambria Math" w:eastAsia="Times New Roman" w:hAnsi="Times New Roman" w:cs="Times New Roman"/>
                  <w:color w:val="000000" w:themeColor="text1"/>
                  <w:sz w:val="24"/>
                  <w:szCs w:val="24"/>
                </w:rPr>
                <m:t>GR</m:t>
              </m:r>
            </m:e>
            <m:sub>
              <m:r>
                <m:rPr>
                  <m:sty m:val="p"/>
                </m:rPr>
                <w:rPr>
                  <w:rFonts w:ascii="Cambria Math" w:eastAsia="Times New Roman" w:hAnsi="Times New Roman" w:cs="Times New Roman"/>
                  <w:color w:val="000000" w:themeColor="text1"/>
                  <w:sz w:val="24"/>
                  <w:szCs w:val="24"/>
                </w:rPr>
                <m:t>t</m:t>
              </m:r>
            </m:sub>
          </m:sSub>
          <m:r>
            <m:rPr>
              <m:sty m:val="p"/>
            </m:rPr>
            <w:rPr>
              <w:rFonts w:ascii="Cambria Math" w:eastAsia="Times New Roman" w:hAnsi="Times New Roman" w:cs="Times New Roman"/>
              <w:color w:val="000000" w:themeColor="text1"/>
              <w:sz w:val="24"/>
              <w:szCs w:val="24"/>
            </w:rPr>
            <m:t>=</m:t>
          </m:r>
          <m:sSub>
            <m:sSubPr>
              <m:ctrlPr>
                <w:rPr>
                  <w:rFonts w:ascii="Cambria Math" w:eastAsia="Times New Roman" w:hAnsi="Times New Roman" w:cs="Times New Roman"/>
                  <w:i/>
                  <w:color w:val="000000" w:themeColor="text1"/>
                  <w:sz w:val="24"/>
                  <w:szCs w:val="24"/>
                </w:rPr>
              </m:ctrlPr>
            </m:sSubPr>
            <m:e>
              <m:r>
                <m:rPr>
                  <m:sty m:val="p"/>
                </m:rPr>
                <w:rPr>
                  <w:rFonts w:ascii="Cambria Math" w:eastAsia="Times New Roman" w:hAnsi="Times New Roman" w:cs="Times New Roman"/>
                  <w:color w:val="000000" w:themeColor="text1"/>
                  <w:sz w:val="24"/>
                  <w:szCs w:val="24"/>
                </w:rPr>
                <m:t>β</m:t>
              </m:r>
            </m:e>
            <m:sub>
              <m:r>
                <w:rPr>
                  <w:rFonts w:ascii="Cambria Math" w:eastAsia="Times New Roman" w:hAnsi="Times New Roman" w:cs="Times New Roman"/>
                  <w:color w:val="000000" w:themeColor="text1"/>
                  <w:sz w:val="24"/>
                  <w:szCs w:val="24"/>
                </w:rPr>
                <m:t>0</m:t>
              </m:r>
            </m:sub>
          </m:sSub>
          <m:r>
            <w:rPr>
              <w:rFonts w:ascii="Cambria Math" w:eastAsia="Times New Roman" w:hAnsi="Times New Roman" w:cs="Times New Roman"/>
              <w:color w:val="000000" w:themeColor="text1"/>
              <w:sz w:val="24"/>
              <w:szCs w:val="24"/>
            </w:rPr>
            <m:t>+</m:t>
          </m:r>
          <m:nary>
            <m:naryPr>
              <m:chr m:val="∑"/>
              <m:limLoc m:val="undOvr"/>
              <m:ctrlPr>
                <w:rPr>
                  <w:rFonts w:ascii="Cambria Math" w:eastAsia="Times New Roman" w:hAnsi="Times New Roman" w:cs="Times New Roman"/>
                  <w:i/>
                  <w:color w:val="000000" w:themeColor="text1"/>
                  <w:sz w:val="24"/>
                  <w:szCs w:val="24"/>
                </w:rPr>
              </m:ctrlPr>
            </m:naryPr>
            <m:sub>
              <m:r>
                <m:rPr>
                  <m:sty m:val="p"/>
                </m:rPr>
                <w:rPr>
                  <w:rFonts w:ascii="Cambria Math" w:eastAsia="Times New Roman" w:hAnsi="Times New Roman" w:cs="Times New Roman"/>
                  <w:color w:val="000000" w:themeColor="text1"/>
                  <w:sz w:val="24"/>
                  <w:szCs w:val="24"/>
                </w:rPr>
                <m:t>i=1</m:t>
              </m:r>
            </m:sub>
            <m:sup>
              <m:r>
                <w:rPr>
                  <w:rFonts w:ascii="Cambria Math" w:eastAsia="Times New Roman" w:hAnsi="Cambria Math" w:cs="Times New Roman"/>
                  <w:color w:val="000000" w:themeColor="text1"/>
                  <w:sz w:val="24"/>
                  <w:szCs w:val="24"/>
                </w:rPr>
                <m:t>p</m:t>
              </m:r>
            </m:sup>
            <m:e>
              <m:sSub>
                <m:sSubPr>
                  <m:ctrlPr>
                    <w:rPr>
                      <w:rFonts w:ascii="Cambria Math" w:eastAsia="Times New Roman" w:hAnsi="Times New Roman" w:cs="Times New Roman"/>
                      <w:i/>
                      <w:color w:val="000000" w:themeColor="text1"/>
                      <w:sz w:val="24"/>
                      <w:szCs w:val="24"/>
                    </w:rPr>
                  </m:ctrlPr>
                </m:sSubPr>
                <m:e>
                  <m:r>
                    <m:rPr>
                      <m:sty m:val="p"/>
                    </m:rPr>
                    <w:rPr>
                      <w:rFonts w:ascii="Cambria Math" w:eastAsia="Times New Roman" w:hAnsi="Times New Roman" w:cs="Times New Roman"/>
                      <w:color w:val="000000" w:themeColor="text1"/>
                      <w:sz w:val="24"/>
                      <w:szCs w:val="24"/>
                    </w:rPr>
                    <m:t>β</m:t>
                  </m:r>
                </m:e>
                <m:sub>
                  <m:r>
                    <w:rPr>
                      <w:rFonts w:ascii="Cambria Math" w:eastAsia="Times New Roman" w:hAnsi="Times New Roman" w:cs="Times New Roman"/>
                      <w:color w:val="000000" w:themeColor="text1"/>
                      <w:sz w:val="24"/>
                      <w:szCs w:val="24"/>
                    </w:rPr>
                    <m:t>1</m:t>
                  </m:r>
                </m:sub>
              </m:sSub>
              <m:sSub>
                <m:sSubPr>
                  <m:ctrlPr>
                    <w:rPr>
                      <w:rFonts w:ascii="Cambria Math" w:eastAsia="Times New Roman" w:hAnsi="Times New Roman" w:cs="Times New Roman"/>
                      <w:color w:val="000000" w:themeColor="text1"/>
                      <w:sz w:val="24"/>
                      <w:szCs w:val="24"/>
                    </w:rPr>
                  </m:ctrlPr>
                </m:sSubPr>
                <m:e>
                  <m:r>
                    <m:rPr>
                      <m:sty m:val="p"/>
                    </m:rPr>
                    <w:rPr>
                      <w:rFonts w:ascii="Cambria Math" w:eastAsia="Times New Roman" w:hAnsi="Times New Roman" w:cs="Times New Roman"/>
                      <w:color w:val="000000" w:themeColor="text1"/>
                      <w:sz w:val="24"/>
                      <w:szCs w:val="24"/>
                    </w:rPr>
                    <m:t>Δ</m:t>
                  </m:r>
                  <m:r>
                    <m:rPr>
                      <m:sty m:val="p"/>
                    </m:rPr>
                    <w:rPr>
                      <w:rFonts w:ascii="Cambria Math" w:eastAsia="Times New Roman" w:hAnsi="Times New Roman" w:cs="Times New Roman"/>
                      <w:color w:val="000000" w:themeColor="text1"/>
                      <w:sz w:val="24"/>
                      <w:szCs w:val="24"/>
                    </w:rPr>
                    <m:t>GR</m:t>
                  </m:r>
                </m:e>
                <m:sub>
                  <m:r>
                    <m:rPr>
                      <m:sty m:val="p"/>
                    </m:rPr>
                    <w:rPr>
                      <w:rFonts w:ascii="Cambria Math" w:eastAsia="Times New Roman" w:hAnsi="Times New Roman" w:cs="Times New Roman"/>
                      <w:color w:val="000000" w:themeColor="text1"/>
                      <w:sz w:val="24"/>
                      <w:szCs w:val="24"/>
                    </w:rPr>
                    <m:t>t</m:t>
                  </m:r>
                  <m:r>
                    <m:rPr>
                      <m:sty m:val="p"/>
                    </m:rPr>
                    <w:rPr>
                      <w:rFonts w:ascii="Cambria Math" w:eastAsia="Times New Roman" w:hAnsi="Times New Roman" w:cs="Times New Roman"/>
                      <w:color w:val="000000" w:themeColor="text1"/>
                      <w:sz w:val="24"/>
                      <w:szCs w:val="24"/>
                    </w:rPr>
                    <m:t>-</m:t>
                  </m:r>
                  <m:r>
                    <m:rPr>
                      <m:sty m:val="p"/>
                    </m:rPr>
                    <w:rPr>
                      <w:rFonts w:ascii="Cambria Math" w:eastAsia="Times New Roman" w:hAnsi="Times New Roman" w:cs="Times New Roman"/>
                      <w:color w:val="000000" w:themeColor="text1"/>
                      <w:sz w:val="24"/>
                      <w:szCs w:val="24"/>
                    </w:rPr>
                    <m:t>i</m:t>
                  </m:r>
                </m:sub>
              </m:sSub>
              <m:r>
                <w:rPr>
                  <w:rFonts w:ascii="Cambria Math" w:eastAsia="Times New Roman" w:hAnsi="Times New Roman" w:cs="Times New Roman"/>
                  <w:color w:val="000000" w:themeColor="text1"/>
                  <w:sz w:val="24"/>
                  <w:szCs w:val="24"/>
                </w:rPr>
                <m:t>+</m:t>
              </m:r>
            </m:e>
          </m:nary>
          <m:nary>
            <m:naryPr>
              <m:chr m:val="∑"/>
              <m:limLoc m:val="undOvr"/>
              <m:ctrlPr>
                <w:rPr>
                  <w:rFonts w:ascii="Cambria Math" w:eastAsia="Times New Roman" w:hAnsi="Times New Roman" w:cs="Times New Roman"/>
                  <w:i/>
                  <w:color w:val="000000" w:themeColor="text1"/>
                  <w:sz w:val="24"/>
                  <w:szCs w:val="24"/>
                </w:rPr>
              </m:ctrlPr>
            </m:naryPr>
            <m:sub>
              <m:r>
                <m:rPr>
                  <m:sty m:val="p"/>
                </m:rPr>
                <w:rPr>
                  <w:rFonts w:ascii="Cambria Math" w:eastAsia="Times New Roman" w:hAnsi="Times New Roman" w:cs="Times New Roman"/>
                  <w:color w:val="000000" w:themeColor="text1"/>
                  <w:sz w:val="24"/>
                  <w:szCs w:val="24"/>
                </w:rPr>
                <m:t>i=1</m:t>
              </m:r>
            </m:sub>
            <m:sup>
              <m:r>
                <w:rPr>
                  <w:rFonts w:ascii="Cambria Math" w:eastAsia="Times New Roman" w:hAnsi="Cambria Math" w:cs="Times New Roman"/>
                  <w:color w:val="000000" w:themeColor="text1"/>
                  <w:sz w:val="24"/>
                  <w:szCs w:val="24"/>
                </w:rPr>
                <m:t>p</m:t>
              </m:r>
            </m:sup>
            <m:e>
              <m:sSub>
                <m:sSubPr>
                  <m:ctrlPr>
                    <w:rPr>
                      <w:rFonts w:ascii="Cambria Math" w:eastAsia="Times New Roman" w:hAnsi="Times New Roman" w:cs="Times New Roman"/>
                      <w:i/>
                      <w:color w:val="000000" w:themeColor="text1"/>
                      <w:sz w:val="24"/>
                      <w:szCs w:val="24"/>
                    </w:rPr>
                  </m:ctrlPr>
                </m:sSubPr>
                <m:e>
                  <m:r>
                    <m:rPr>
                      <m:sty m:val="p"/>
                    </m:rPr>
                    <w:rPr>
                      <w:rFonts w:ascii="Cambria Math" w:eastAsia="Times New Roman" w:hAnsi="Times New Roman" w:cs="Times New Roman"/>
                      <w:color w:val="000000" w:themeColor="text1"/>
                      <w:sz w:val="24"/>
                      <w:szCs w:val="24"/>
                    </w:rPr>
                    <m:t>β</m:t>
                  </m:r>
                </m:e>
                <m:sub>
                  <m:r>
                    <w:rPr>
                      <w:rFonts w:ascii="Cambria Math" w:eastAsia="Times New Roman" w:hAnsi="Times New Roman" w:cs="Times New Roman"/>
                      <w:color w:val="000000" w:themeColor="text1"/>
                      <w:sz w:val="24"/>
                      <w:szCs w:val="24"/>
                    </w:rPr>
                    <m:t>2</m:t>
                  </m:r>
                </m:sub>
              </m:sSub>
              <m:sSub>
                <m:sSubPr>
                  <m:ctrlPr>
                    <w:rPr>
                      <w:rFonts w:ascii="Cambria Math" w:eastAsia="Times New Roman" w:hAnsi="Times New Roman" w:cs="Times New Roman"/>
                      <w:i/>
                      <w:color w:val="000000" w:themeColor="text1"/>
                      <w:sz w:val="24"/>
                      <w:szCs w:val="24"/>
                    </w:rPr>
                  </m:ctrlPr>
                </m:sSubPr>
                <m:e>
                  <m:r>
                    <m:rPr>
                      <m:sty m:val="p"/>
                    </m:rPr>
                    <w:rPr>
                      <w:rFonts w:ascii="Cambria Math" w:eastAsia="Times New Roman" w:hAnsi="Times New Roman" w:cs="Times New Roman"/>
                      <w:color w:val="000000" w:themeColor="text1"/>
                      <w:sz w:val="24"/>
                      <w:szCs w:val="24"/>
                    </w:rPr>
                    <m:t>Δ</m:t>
                  </m:r>
                  <m:r>
                    <m:rPr>
                      <m:sty m:val="p"/>
                    </m:rPr>
                    <w:rPr>
                      <w:rFonts w:ascii="Cambria Math" w:eastAsia="Times New Roman" w:hAnsi="Times New Roman" w:cs="Times New Roman"/>
                      <w:color w:val="000000" w:themeColor="text1"/>
                      <w:sz w:val="24"/>
                      <w:szCs w:val="24"/>
                    </w:rPr>
                    <m:t>GCF</m:t>
                  </m:r>
                </m:e>
                <m:sub>
                  <m:r>
                    <w:rPr>
                      <w:rFonts w:ascii="Cambria Math" w:eastAsia="Times New Roman" w:hAnsi="Cambria Math" w:cs="Times New Roman"/>
                      <w:color w:val="000000" w:themeColor="text1"/>
                      <w:sz w:val="24"/>
                      <w:szCs w:val="24"/>
                    </w:rPr>
                    <m:t>t</m:t>
                  </m:r>
                  <m:r>
                    <w:rPr>
                      <w:rFonts w:ascii="Cambria Math" w:eastAsia="Times New Roman" w:hAnsi="Times New Roman" w:cs="Times New Roman"/>
                      <w:color w:val="000000" w:themeColor="text1"/>
                      <w:sz w:val="24"/>
                      <w:szCs w:val="24"/>
                    </w:rPr>
                    <m:t>-</m:t>
                  </m:r>
                  <m:r>
                    <w:rPr>
                      <w:rFonts w:ascii="Cambria Math" w:eastAsia="Times New Roman" w:hAnsi="Cambria Math" w:cs="Times New Roman"/>
                      <w:color w:val="000000" w:themeColor="text1"/>
                      <w:sz w:val="24"/>
                      <w:szCs w:val="24"/>
                    </w:rPr>
                    <m:t>i</m:t>
                  </m:r>
                </m:sub>
              </m:sSub>
              <m:r>
                <w:rPr>
                  <w:rFonts w:ascii="Cambria Math" w:eastAsia="Times New Roman" w:hAnsi="Times New Roman" w:cs="Times New Roman"/>
                  <w:color w:val="000000" w:themeColor="text1"/>
                  <w:sz w:val="24"/>
                  <w:szCs w:val="24"/>
                </w:rPr>
                <m:t>+</m:t>
              </m:r>
            </m:e>
          </m:nary>
          <m:nary>
            <m:naryPr>
              <m:chr m:val="∑"/>
              <m:limLoc m:val="undOvr"/>
              <m:ctrlPr>
                <w:rPr>
                  <w:rFonts w:ascii="Cambria Math" w:eastAsia="Times New Roman" w:hAnsi="Times New Roman" w:cs="Times New Roman"/>
                  <w:i/>
                  <w:color w:val="000000" w:themeColor="text1"/>
                  <w:sz w:val="24"/>
                  <w:szCs w:val="24"/>
                </w:rPr>
              </m:ctrlPr>
            </m:naryPr>
            <m:sub>
              <m:r>
                <m:rPr>
                  <m:sty m:val="p"/>
                </m:rPr>
                <w:rPr>
                  <w:rFonts w:ascii="Cambria Math" w:eastAsia="Times New Roman" w:hAnsi="Times New Roman" w:cs="Times New Roman"/>
                  <w:color w:val="000000" w:themeColor="text1"/>
                  <w:sz w:val="24"/>
                  <w:szCs w:val="24"/>
                </w:rPr>
                <m:t>i=1</m:t>
              </m:r>
            </m:sub>
            <m:sup>
              <m:r>
                <w:rPr>
                  <w:rFonts w:ascii="Cambria Math" w:eastAsia="Times New Roman" w:hAnsi="Cambria Math" w:cs="Times New Roman"/>
                  <w:color w:val="000000" w:themeColor="text1"/>
                  <w:sz w:val="24"/>
                  <w:szCs w:val="24"/>
                </w:rPr>
                <m:t>p</m:t>
              </m:r>
            </m:sup>
            <m:e>
              <m:sSub>
                <m:sSubPr>
                  <m:ctrlPr>
                    <w:rPr>
                      <w:rFonts w:ascii="Cambria Math" w:eastAsia="Times New Roman" w:hAnsi="Times New Roman" w:cs="Times New Roman"/>
                      <w:i/>
                      <w:color w:val="000000" w:themeColor="text1"/>
                      <w:sz w:val="24"/>
                      <w:szCs w:val="24"/>
                    </w:rPr>
                  </m:ctrlPr>
                </m:sSubPr>
                <m:e>
                  <m:r>
                    <m:rPr>
                      <m:sty m:val="p"/>
                    </m:rPr>
                    <w:rPr>
                      <w:rFonts w:ascii="Cambria Math" w:eastAsia="Times New Roman" w:hAnsi="Times New Roman" w:cs="Times New Roman"/>
                      <w:color w:val="000000" w:themeColor="text1"/>
                      <w:sz w:val="24"/>
                      <w:szCs w:val="24"/>
                    </w:rPr>
                    <m:t>β</m:t>
                  </m:r>
                </m:e>
                <m:sub>
                  <m:r>
                    <w:rPr>
                      <w:rFonts w:ascii="Cambria Math" w:eastAsia="Times New Roman" w:hAnsi="Times New Roman" w:cs="Times New Roman"/>
                      <w:color w:val="000000" w:themeColor="text1"/>
                      <w:sz w:val="24"/>
                      <w:szCs w:val="24"/>
                    </w:rPr>
                    <m:t>3</m:t>
                  </m:r>
                </m:sub>
              </m:sSub>
              <m:sSub>
                <m:sSubPr>
                  <m:ctrlPr>
                    <w:rPr>
                      <w:rFonts w:ascii="Cambria Math" w:eastAsia="Times New Roman" w:hAnsi="Times New Roman" w:cs="Times New Roman"/>
                      <w:i/>
                      <w:color w:val="000000" w:themeColor="text1"/>
                      <w:sz w:val="24"/>
                      <w:szCs w:val="24"/>
                    </w:rPr>
                  </m:ctrlPr>
                </m:sSubPr>
                <m:e>
                  <m:r>
                    <m:rPr>
                      <m:sty m:val="p"/>
                    </m:rPr>
                    <w:rPr>
                      <w:rFonts w:ascii="Cambria Math" w:eastAsia="Times New Roman" w:hAnsi="Times New Roman" w:cs="Times New Roman"/>
                      <w:color w:val="000000" w:themeColor="text1"/>
                      <w:sz w:val="24"/>
                      <w:szCs w:val="24"/>
                    </w:rPr>
                    <m:t>Δ</m:t>
                  </m:r>
                  <m:r>
                    <m:rPr>
                      <m:sty m:val="p"/>
                    </m:rPr>
                    <w:rPr>
                      <w:rFonts w:ascii="Cambria Math" w:eastAsia="Times New Roman" w:hAnsi="Times New Roman" w:cs="Times New Roman"/>
                      <w:color w:val="000000" w:themeColor="text1"/>
                      <w:sz w:val="24"/>
                      <w:szCs w:val="24"/>
                    </w:rPr>
                    <m:t>LTR</m:t>
                  </m:r>
                </m:e>
                <m:sub>
                  <m:r>
                    <w:rPr>
                      <w:rFonts w:ascii="Cambria Math" w:eastAsia="Times New Roman" w:hAnsi="Cambria Math" w:cs="Times New Roman"/>
                      <w:color w:val="000000" w:themeColor="text1"/>
                      <w:sz w:val="24"/>
                      <w:szCs w:val="24"/>
                    </w:rPr>
                    <m:t>t</m:t>
                  </m:r>
                  <m:r>
                    <w:rPr>
                      <w:rFonts w:ascii="Cambria Math" w:eastAsia="Times New Roman" w:hAnsi="Times New Roman" w:cs="Times New Roman"/>
                      <w:color w:val="000000" w:themeColor="text1"/>
                      <w:sz w:val="24"/>
                      <w:szCs w:val="24"/>
                    </w:rPr>
                    <m:t>-</m:t>
                  </m:r>
                  <m:r>
                    <w:rPr>
                      <w:rFonts w:ascii="Cambria Math" w:eastAsia="Times New Roman" w:hAnsi="Cambria Math" w:cs="Times New Roman"/>
                      <w:color w:val="000000" w:themeColor="text1"/>
                      <w:sz w:val="24"/>
                      <w:szCs w:val="24"/>
                    </w:rPr>
                    <m:t>i</m:t>
                  </m:r>
                </m:sub>
              </m:sSub>
              <m:r>
                <w:rPr>
                  <w:rFonts w:ascii="Cambria Math" w:eastAsia="Times New Roman" w:hAnsi="Times New Roman" w:cs="Times New Roman"/>
                  <w:color w:val="000000" w:themeColor="text1"/>
                  <w:sz w:val="24"/>
                  <w:szCs w:val="24"/>
                </w:rPr>
                <m:t>+</m:t>
              </m:r>
            </m:e>
          </m:nary>
          <m:sSub>
            <m:sSubPr>
              <m:ctrlPr>
                <w:rPr>
                  <w:rFonts w:ascii="Cambria Math" w:eastAsia="Times New Roman" w:hAnsi="Times New Roman" w:cs="Times New Roman"/>
                  <w:color w:val="000000" w:themeColor="text1"/>
                  <w:sz w:val="24"/>
                  <w:szCs w:val="24"/>
                </w:rPr>
              </m:ctrlPr>
            </m:sSubPr>
            <m:e>
              <m:sSub>
                <m:sSubPr>
                  <m:ctrlPr>
                    <w:rPr>
                      <w:rFonts w:ascii="Cambria Math" w:eastAsia="Times New Roman" w:hAnsi="Times New Roman" w:cs="Times New Roman"/>
                      <w:i/>
                      <w:color w:val="000000" w:themeColor="text1"/>
                      <w:sz w:val="24"/>
                      <w:szCs w:val="24"/>
                    </w:rPr>
                  </m:ctrlPr>
                </m:sSubPr>
                <m:e>
                  <m:r>
                    <m:rPr>
                      <m:sty m:val="p"/>
                    </m:rPr>
                    <w:rPr>
                      <w:rFonts w:ascii="Cambria Math" w:eastAsia="Times New Roman" w:hAnsi="Times New Roman" w:cs="Times New Roman"/>
                      <w:color w:val="000000" w:themeColor="text1"/>
                      <w:sz w:val="24"/>
                      <w:szCs w:val="24"/>
                    </w:rPr>
                    <m:t>λ</m:t>
                  </m:r>
                </m:e>
                <m:sub>
                  <m:r>
                    <w:rPr>
                      <w:rFonts w:ascii="Cambria Math" w:eastAsia="Times New Roman" w:hAnsi="Times New Roman" w:cs="Times New Roman"/>
                      <w:color w:val="000000" w:themeColor="text1"/>
                      <w:sz w:val="24"/>
                      <w:szCs w:val="24"/>
                    </w:rPr>
                    <m:t>1</m:t>
                  </m:r>
                </m:sub>
              </m:sSub>
              <m:r>
                <m:rPr>
                  <m:sty m:val="p"/>
                </m:rPr>
                <w:rPr>
                  <w:rFonts w:ascii="Cambria Math" w:eastAsia="Times New Roman" w:hAnsi="Times New Roman" w:cs="Times New Roman"/>
                  <w:color w:val="000000" w:themeColor="text1"/>
                  <w:sz w:val="24"/>
                  <w:szCs w:val="24"/>
                </w:rPr>
                <m:t>Δ</m:t>
              </m:r>
              <m:r>
                <m:rPr>
                  <m:sty m:val="p"/>
                </m:rPr>
                <w:rPr>
                  <w:rFonts w:ascii="Cambria Math" w:eastAsia="Times New Roman" w:hAnsi="Times New Roman" w:cs="Times New Roman"/>
                  <w:color w:val="000000" w:themeColor="text1"/>
                  <w:sz w:val="24"/>
                  <w:szCs w:val="24"/>
                </w:rPr>
                <m:t>GR</m:t>
              </m:r>
            </m:e>
            <m:sub>
              <m:r>
                <m:rPr>
                  <m:sty m:val="p"/>
                </m:rPr>
                <w:rPr>
                  <w:rFonts w:ascii="Cambria Math" w:eastAsia="Times New Roman" w:hAnsi="Times New Roman" w:cs="Times New Roman"/>
                  <w:color w:val="000000" w:themeColor="text1"/>
                  <w:sz w:val="24"/>
                  <w:szCs w:val="24"/>
                </w:rPr>
                <m:t>t</m:t>
              </m:r>
              <m:r>
                <m:rPr>
                  <m:sty m:val="p"/>
                </m:rPr>
                <w:rPr>
                  <w:rFonts w:ascii="Cambria Math" w:eastAsia="Times New Roman" w:hAnsi="Times New Roman" w:cs="Times New Roman"/>
                  <w:color w:val="000000" w:themeColor="text1"/>
                  <w:sz w:val="24"/>
                  <w:szCs w:val="24"/>
                </w:rPr>
                <m:t>-</m:t>
              </m:r>
              <m:r>
                <m:rPr>
                  <m:sty m:val="p"/>
                </m:rPr>
                <w:rPr>
                  <w:rFonts w:ascii="Cambria Math" w:eastAsia="Times New Roman" w:hAnsi="Times New Roman" w:cs="Times New Roman"/>
                  <w:color w:val="000000" w:themeColor="text1"/>
                  <w:sz w:val="24"/>
                  <w:szCs w:val="24"/>
                </w:rPr>
                <m:t>1</m:t>
              </m:r>
            </m:sub>
          </m:sSub>
          <m:r>
            <m:rPr>
              <m:sty m:val="p"/>
            </m:rPr>
            <w:rPr>
              <w:rFonts w:ascii="Cambria Math" w:eastAsia="Times New Roman" w:hAnsi="Times New Roman" w:cs="Times New Roman"/>
              <w:color w:val="000000" w:themeColor="text1"/>
              <w:sz w:val="24"/>
              <w:szCs w:val="24"/>
            </w:rPr>
            <m:t>+</m:t>
          </m:r>
          <m:sSub>
            <m:sSubPr>
              <m:ctrlPr>
                <w:rPr>
                  <w:rFonts w:ascii="Cambria Math" w:eastAsia="Times New Roman" w:hAnsi="Times New Roman" w:cs="Times New Roman"/>
                  <w:color w:val="000000" w:themeColor="text1"/>
                  <w:sz w:val="24"/>
                  <w:szCs w:val="24"/>
                </w:rPr>
              </m:ctrlPr>
            </m:sSubPr>
            <m:e>
              <m:sSub>
                <m:sSubPr>
                  <m:ctrlPr>
                    <w:rPr>
                      <w:rFonts w:ascii="Cambria Math" w:eastAsia="Times New Roman" w:hAnsi="Times New Roman" w:cs="Times New Roman"/>
                      <w:i/>
                      <w:color w:val="000000" w:themeColor="text1"/>
                      <w:sz w:val="24"/>
                      <w:szCs w:val="24"/>
                    </w:rPr>
                  </m:ctrlPr>
                </m:sSubPr>
                <m:e>
                  <m:r>
                    <m:rPr>
                      <m:sty m:val="p"/>
                    </m:rPr>
                    <w:rPr>
                      <w:rFonts w:ascii="Cambria Math" w:eastAsia="Times New Roman" w:hAnsi="Times New Roman" w:cs="Times New Roman"/>
                      <w:color w:val="000000" w:themeColor="text1"/>
                      <w:sz w:val="24"/>
                      <w:szCs w:val="24"/>
                    </w:rPr>
                    <m:t>λ</m:t>
                  </m:r>
                </m:e>
                <m:sub>
                  <m:r>
                    <w:rPr>
                      <w:rFonts w:ascii="Cambria Math" w:eastAsia="Times New Roman" w:hAnsi="Times New Roman" w:cs="Times New Roman"/>
                      <w:color w:val="000000" w:themeColor="text1"/>
                      <w:sz w:val="24"/>
                      <w:szCs w:val="24"/>
                    </w:rPr>
                    <m:t>2</m:t>
                  </m:r>
                </m:sub>
              </m:sSub>
              <m:r>
                <m:rPr>
                  <m:sty m:val="p"/>
                </m:rPr>
                <w:rPr>
                  <w:rFonts w:ascii="Cambria Math" w:eastAsia="Times New Roman" w:hAnsi="Times New Roman" w:cs="Times New Roman"/>
                  <w:color w:val="000000" w:themeColor="text1"/>
                  <w:sz w:val="24"/>
                  <w:szCs w:val="24"/>
                </w:rPr>
                <m:t>Δ</m:t>
              </m:r>
              <m:r>
                <m:rPr>
                  <m:sty m:val="p"/>
                </m:rPr>
                <w:rPr>
                  <w:rFonts w:ascii="Cambria Math" w:eastAsia="Times New Roman" w:hAnsi="Times New Roman" w:cs="Times New Roman"/>
                  <w:color w:val="000000" w:themeColor="text1"/>
                  <w:sz w:val="24"/>
                  <w:szCs w:val="24"/>
                </w:rPr>
                <m:t>GCF</m:t>
              </m:r>
            </m:e>
            <m:sub>
              <m:r>
                <m:rPr>
                  <m:sty m:val="p"/>
                </m:rPr>
                <w:rPr>
                  <w:rFonts w:ascii="Cambria Math" w:eastAsia="Times New Roman" w:hAnsi="Times New Roman" w:cs="Times New Roman"/>
                  <w:color w:val="000000" w:themeColor="text1"/>
                  <w:sz w:val="24"/>
                  <w:szCs w:val="24"/>
                </w:rPr>
                <m:t>t</m:t>
              </m:r>
              <m:r>
                <m:rPr>
                  <m:sty m:val="p"/>
                </m:rPr>
                <w:rPr>
                  <w:rFonts w:ascii="Cambria Math" w:eastAsia="Times New Roman" w:hAnsi="Times New Roman" w:cs="Times New Roman"/>
                  <w:color w:val="000000" w:themeColor="text1"/>
                  <w:sz w:val="24"/>
                  <w:szCs w:val="24"/>
                </w:rPr>
                <m:t>-</m:t>
              </m:r>
              <m:r>
                <m:rPr>
                  <m:sty m:val="p"/>
                </m:rPr>
                <w:rPr>
                  <w:rFonts w:ascii="Cambria Math" w:eastAsia="Times New Roman" w:hAnsi="Times New Roman" w:cs="Times New Roman"/>
                  <w:color w:val="000000" w:themeColor="text1"/>
                  <w:sz w:val="24"/>
                  <w:szCs w:val="24"/>
                </w:rPr>
                <m:t>1</m:t>
              </m:r>
            </m:sub>
          </m:sSub>
          <m:r>
            <m:rPr>
              <m:sty m:val="p"/>
            </m:rPr>
            <w:rPr>
              <w:rFonts w:ascii="Cambria Math" w:eastAsia="Times New Roman" w:hAnsi="Times New Roman" w:cs="Times New Roman"/>
              <w:color w:val="000000" w:themeColor="text1"/>
              <w:sz w:val="24"/>
              <w:szCs w:val="24"/>
            </w:rPr>
            <m:t>+</m:t>
          </m:r>
          <m:sSub>
            <m:sSubPr>
              <m:ctrlPr>
                <w:rPr>
                  <w:rFonts w:ascii="Cambria Math" w:eastAsia="Times New Roman" w:hAnsi="Times New Roman" w:cs="Times New Roman"/>
                  <w:color w:val="000000" w:themeColor="text1"/>
                  <w:sz w:val="24"/>
                  <w:szCs w:val="24"/>
                </w:rPr>
              </m:ctrlPr>
            </m:sSubPr>
            <m:e>
              <m:sSub>
                <m:sSubPr>
                  <m:ctrlPr>
                    <w:rPr>
                      <w:rFonts w:ascii="Cambria Math" w:eastAsia="Times New Roman" w:hAnsi="Times New Roman" w:cs="Times New Roman"/>
                      <w:i/>
                      <w:color w:val="000000" w:themeColor="text1"/>
                      <w:sz w:val="24"/>
                      <w:szCs w:val="24"/>
                    </w:rPr>
                  </m:ctrlPr>
                </m:sSubPr>
                <m:e>
                  <m:r>
                    <m:rPr>
                      <m:sty m:val="p"/>
                    </m:rPr>
                    <w:rPr>
                      <w:rFonts w:ascii="Cambria Math" w:eastAsia="Times New Roman" w:hAnsi="Times New Roman" w:cs="Times New Roman"/>
                      <w:color w:val="000000" w:themeColor="text1"/>
                      <w:sz w:val="24"/>
                      <w:szCs w:val="24"/>
                    </w:rPr>
                    <m:t>λ</m:t>
                  </m:r>
                </m:e>
                <m:sub>
                  <m:r>
                    <w:rPr>
                      <w:rFonts w:ascii="Cambria Math" w:eastAsia="Times New Roman" w:hAnsi="Times New Roman" w:cs="Times New Roman"/>
                      <w:color w:val="000000" w:themeColor="text1"/>
                      <w:sz w:val="24"/>
                      <w:szCs w:val="24"/>
                    </w:rPr>
                    <m:t>3</m:t>
                  </m:r>
                </m:sub>
              </m:sSub>
              <m:r>
                <m:rPr>
                  <m:sty m:val="p"/>
                </m:rPr>
                <w:rPr>
                  <w:rFonts w:ascii="Cambria Math" w:eastAsia="Times New Roman" w:hAnsi="Times New Roman" w:cs="Times New Roman"/>
                  <w:color w:val="000000" w:themeColor="text1"/>
                  <w:sz w:val="24"/>
                  <w:szCs w:val="24"/>
                </w:rPr>
                <m:t>Δ</m:t>
              </m:r>
              <m:r>
                <m:rPr>
                  <m:sty m:val="p"/>
                </m:rPr>
                <w:rPr>
                  <w:rFonts w:ascii="Cambria Math" w:eastAsia="Times New Roman" w:hAnsi="Times New Roman" w:cs="Times New Roman"/>
                  <w:color w:val="000000" w:themeColor="text1"/>
                  <w:sz w:val="24"/>
                  <w:szCs w:val="24"/>
                </w:rPr>
                <m:t>LTR</m:t>
              </m:r>
            </m:e>
            <m:sub>
              <m:r>
                <m:rPr>
                  <m:sty m:val="p"/>
                </m:rPr>
                <w:rPr>
                  <w:rFonts w:ascii="Cambria Math" w:eastAsia="Times New Roman" w:hAnsi="Times New Roman" w:cs="Times New Roman"/>
                  <w:color w:val="000000" w:themeColor="text1"/>
                  <w:sz w:val="24"/>
                  <w:szCs w:val="24"/>
                </w:rPr>
                <m:t>t</m:t>
              </m:r>
              <m:r>
                <m:rPr>
                  <m:sty m:val="p"/>
                </m:rPr>
                <w:rPr>
                  <w:rFonts w:ascii="Cambria Math" w:eastAsia="Times New Roman" w:hAnsi="Times New Roman" w:cs="Times New Roman"/>
                  <w:color w:val="000000" w:themeColor="text1"/>
                  <w:sz w:val="24"/>
                  <w:szCs w:val="24"/>
                </w:rPr>
                <m:t>-</m:t>
              </m:r>
              <m:r>
                <m:rPr>
                  <m:sty m:val="p"/>
                </m:rPr>
                <w:rPr>
                  <w:rFonts w:ascii="Cambria Math" w:eastAsia="Times New Roman" w:hAnsi="Times New Roman" w:cs="Times New Roman"/>
                  <w:color w:val="000000" w:themeColor="text1"/>
                  <w:sz w:val="24"/>
                  <w:szCs w:val="24"/>
                </w:rPr>
                <m:t>1</m:t>
              </m:r>
            </m:sub>
          </m:sSub>
          <m:r>
            <m:rPr>
              <m:sty m:val="p"/>
            </m:rPr>
            <w:rPr>
              <w:rFonts w:ascii="Cambria Math" w:eastAsia="Times New Roman" w:hAnsi="Times New Roman" w:cs="Times New Roman"/>
              <w:color w:val="000000" w:themeColor="text1"/>
              <w:sz w:val="24"/>
              <w:szCs w:val="24"/>
            </w:rPr>
            <m:t>+</m:t>
          </m:r>
          <m:sSub>
            <m:sSubPr>
              <m:ctrlPr>
                <w:rPr>
                  <w:rFonts w:ascii="Cambria Math" w:eastAsia="Times New Roman" w:hAnsi="Times New Roman" w:cs="Times New Roman"/>
                  <w:color w:val="000000" w:themeColor="text1"/>
                  <w:sz w:val="24"/>
                  <w:szCs w:val="24"/>
                </w:rPr>
              </m:ctrlPr>
            </m:sSubPr>
            <m:e>
              <m:r>
                <m:rPr>
                  <m:sty m:val="p"/>
                </m:rPr>
                <w:rPr>
                  <w:rFonts w:ascii="Cambria Math" w:eastAsia="Times New Roman" w:hAnsi="Times New Roman" w:cs="Times New Roman"/>
                  <w:color w:val="000000" w:themeColor="text1"/>
                  <w:sz w:val="24"/>
                  <w:szCs w:val="24"/>
                </w:rPr>
                <m:t>ε</m:t>
              </m:r>
            </m:e>
            <m:sub>
              <m:r>
                <m:rPr>
                  <m:sty m:val="p"/>
                </m:rPr>
                <w:rPr>
                  <w:rFonts w:ascii="Cambria Math" w:eastAsia="Times New Roman" w:hAnsi="Times New Roman" w:cs="Times New Roman"/>
                  <w:color w:val="000000" w:themeColor="text1"/>
                  <w:sz w:val="24"/>
                  <w:szCs w:val="24"/>
                </w:rPr>
                <m:t>t</m:t>
              </m:r>
            </m:sub>
          </m:sSub>
          <m:r>
            <w:rPr>
              <w:rFonts w:ascii="Cambria Math" w:eastAsia="Times New Roman" w:hAnsi="Times New Roman" w:cs="Times New Roman"/>
              <w:color w:val="000000" w:themeColor="text1"/>
              <w:sz w:val="24"/>
              <w:szCs w:val="24"/>
            </w:rPr>
            <m:t>-------------</m:t>
          </m:r>
          <m:r>
            <w:rPr>
              <w:rFonts w:ascii="Cambria Math" w:eastAsia="Times New Roman" w:hAnsi="Times New Roman" w:cs="Times New Roman"/>
              <w:color w:val="000000" w:themeColor="text1"/>
              <w:sz w:val="24"/>
              <w:szCs w:val="24"/>
            </w:rPr>
            <m:t>(3)</m:t>
          </m:r>
        </m:oMath>
      </m:oMathPara>
    </w:p>
    <w:p w14:paraId="655D0DAF" w14:textId="77777777" w:rsidR="004217E3" w:rsidRPr="00E000DA" w:rsidRDefault="004217E3" w:rsidP="0045397C">
      <w:pPr>
        <w:spacing w:line="360" w:lineRule="auto"/>
        <w:jc w:val="both"/>
        <w:rPr>
          <w:rFonts w:ascii="Times New Roman" w:eastAsia="Times New Roman" w:hAnsi="Times New Roman" w:cs="Times New Roman"/>
          <w:color w:val="000000" w:themeColor="text1"/>
          <w:sz w:val="24"/>
          <w:szCs w:val="24"/>
        </w:rPr>
      </w:pPr>
      <w:r w:rsidRPr="00E000DA">
        <w:rPr>
          <w:rFonts w:ascii="Times New Roman" w:eastAsia="Times New Roman" w:hAnsi="Times New Roman" w:cs="Times New Roman"/>
          <w:color w:val="000000" w:themeColor="text1"/>
          <w:sz w:val="24"/>
          <w:szCs w:val="24"/>
        </w:rPr>
        <w:t xml:space="preserve">Where: </w:t>
      </w:r>
      <w:r w:rsidRPr="00E000DA">
        <w:rPr>
          <w:rFonts w:ascii="Times New Roman" w:eastAsia="Times New Roman" w:hAnsi="Times New Roman" w:cs="Times New Roman"/>
          <w:bCs/>
          <w:color w:val="000000" w:themeColor="text1"/>
          <w:sz w:val="24"/>
          <w:szCs w:val="24"/>
        </w:rPr>
        <w:t>Δ</w:t>
      </w:r>
      <w:r w:rsidRPr="00E000DA">
        <w:rPr>
          <w:rFonts w:ascii="Times New Roman" w:eastAsia="Times New Roman" w:hAnsi="Times New Roman" w:cs="Times New Roman"/>
          <w:color w:val="000000" w:themeColor="text1"/>
          <w:sz w:val="24"/>
          <w:szCs w:val="24"/>
        </w:rPr>
        <w:t xml:space="preserve"> = First difference operator</w:t>
      </w:r>
      <w:r w:rsidRPr="00E000DA">
        <w:rPr>
          <w:rFonts w:ascii="Times New Roman" w:eastAsia="Times New Roman" w:hAnsi="Times New Roman" w:cs="Times New Roman"/>
          <w:bCs/>
          <w:color w:val="000000" w:themeColor="text1"/>
          <w:sz w:val="24"/>
          <w:szCs w:val="24"/>
        </w:rPr>
        <w:t>; p</w:t>
      </w:r>
      <w:r w:rsidRPr="00E000DA">
        <w:rPr>
          <w:rFonts w:ascii="Times New Roman" w:eastAsia="Times New Roman" w:hAnsi="Times New Roman" w:cs="Times New Roman"/>
          <w:color w:val="000000" w:themeColor="text1"/>
          <w:sz w:val="24"/>
          <w:szCs w:val="24"/>
        </w:rPr>
        <w:t xml:space="preserve"> = Optimal lag length selected using the Akaike Information Criterion (AIC); </w:t>
      </w:r>
      <w:r w:rsidRPr="00E000DA">
        <w:rPr>
          <w:rFonts w:ascii="Times New Roman" w:eastAsia="Times New Roman" w:hAnsi="Times New Roman" w:cs="Times New Roman"/>
          <w:bCs/>
          <w:color w:val="000000" w:themeColor="text1"/>
          <w:sz w:val="24"/>
          <w:szCs w:val="24"/>
        </w:rPr>
        <w:t>β</w:t>
      </w:r>
      <w:r w:rsidRPr="00E000DA">
        <w:rPr>
          <w:rFonts w:ascii="Cambria Math" w:eastAsia="Times New Roman" w:hAnsi="Cambria Math" w:cs="Times New Roman"/>
          <w:bCs/>
          <w:color w:val="000000" w:themeColor="text1"/>
          <w:sz w:val="24"/>
          <w:szCs w:val="24"/>
        </w:rPr>
        <w:t>₀</w:t>
      </w:r>
      <w:r w:rsidRPr="00E000DA">
        <w:rPr>
          <w:rFonts w:ascii="Times New Roman" w:eastAsia="Times New Roman" w:hAnsi="Times New Roman" w:cs="Times New Roman"/>
          <w:color w:val="000000" w:themeColor="text1"/>
          <w:sz w:val="24"/>
          <w:szCs w:val="24"/>
        </w:rPr>
        <w:t xml:space="preserve"> = Intercept; </w:t>
      </w:r>
      <w:r w:rsidRPr="00E000DA">
        <w:rPr>
          <w:rFonts w:ascii="Times New Roman" w:eastAsia="Times New Roman" w:hAnsi="Times New Roman" w:cs="Times New Roman"/>
          <w:bCs/>
          <w:color w:val="000000" w:themeColor="text1"/>
          <w:sz w:val="24"/>
          <w:szCs w:val="24"/>
        </w:rPr>
        <w:t>β</w:t>
      </w:r>
      <w:r w:rsidRPr="00E000DA">
        <w:rPr>
          <w:rFonts w:ascii="Cambria Math" w:eastAsia="Times New Roman" w:hAnsi="Cambria Math" w:cs="Times New Roman"/>
          <w:bCs/>
          <w:color w:val="000000" w:themeColor="text1"/>
          <w:sz w:val="24"/>
          <w:szCs w:val="24"/>
        </w:rPr>
        <w:t>₁</w:t>
      </w:r>
      <w:r w:rsidRPr="00E000DA">
        <w:rPr>
          <w:rFonts w:ascii="Times New Roman" w:eastAsia="Times New Roman" w:hAnsi="Times New Roman" w:cs="Times New Roman"/>
          <w:bCs/>
          <w:color w:val="000000" w:themeColor="text1"/>
          <w:sz w:val="24"/>
          <w:szCs w:val="24"/>
        </w:rPr>
        <w:t>–β</w:t>
      </w:r>
      <w:r w:rsidRPr="00E000DA">
        <w:rPr>
          <w:rFonts w:ascii="Times New Roman" w:eastAsia="Times New Roman" w:hAnsi="Times New Roman" w:cs="Times New Roman"/>
          <w:bCs/>
          <w:color w:val="000000" w:themeColor="text1"/>
          <w:sz w:val="24"/>
          <w:szCs w:val="24"/>
          <w:vertAlign w:val="subscript"/>
        </w:rPr>
        <w:t>3</w:t>
      </w:r>
      <w:r w:rsidRPr="00E000DA">
        <w:rPr>
          <w:rFonts w:ascii="Times New Roman" w:eastAsia="Times New Roman" w:hAnsi="Times New Roman" w:cs="Times New Roman"/>
          <w:color w:val="000000" w:themeColor="text1"/>
          <w:sz w:val="24"/>
          <w:szCs w:val="24"/>
        </w:rPr>
        <w:t xml:space="preserve"> = Short-run dynamic coefficients; </w:t>
      </w:r>
      <w:r w:rsidRPr="00E000DA">
        <w:rPr>
          <w:rFonts w:ascii="Times New Roman" w:eastAsia="Times New Roman" w:hAnsi="Times New Roman" w:cs="Times New Roman"/>
          <w:bCs/>
          <w:color w:val="000000" w:themeColor="text1"/>
          <w:sz w:val="24"/>
          <w:szCs w:val="24"/>
        </w:rPr>
        <w:t>λ</w:t>
      </w:r>
      <w:r w:rsidRPr="00E000DA">
        <w:rPr>
          <w:rFonts w:ascii="Cambria Math" w:eastAsia="Times New Roman" w:hAnsi="Cambria Math" w:cs="Times New Roman"/>
          <w:bCs/>
          <w:color w:val="000000" w:themeColor="text1"/>
          <w:sz w:val="24"/>
          <w:szCs w:val="24"/>
        </w:rPr>
        <w:t>₁</w:t>
      </w:r>
      <w:r w:rsidRPr="00E000DA">
        <w:rPr>
          <w:rFonts w:ascii="Times New Roman" w:eastAsia="Times New Roman" w:hAnsi="Times New Roman" w:cs="Times New Roman"/>
          <w:bCs/>
          <w:color w:val="000000" w:themeColor="text1"/>
          <w:sz w:val="24"/>
          <w:szCs w:val="24"/>
        </w:rPr>
        <w:t>–λ</w:t>
      </w:r>
      <w:r w:rsidRPr="00E000DA">
        <w:rPr>
          <w:rFonts w:ascii="Cambria Math" w:eastAsia="Times New Roman" w:hAnsi="Cambria Math" w:cs="Times New Roman"/>
          <w:bCs/>
          <w:color w:val="000000" w:themeColor="text1"/>
          <w:sz w:val="24"/>
          <w:szCs w:val="24"/>
        </w:rPr>
        <w:t>₂</w:t>
      </w:r>
      <w:r w:rsidRPr="00E000DA">
        <w:rPr>
          <w:rFonts w:ascii="Times New Roman" w:eastAsia="Times New Roman" w:hAnsi="Times New Roman" w:cs="Times New Roman"/>
          <w:color w:val="000000" w:themeColor="text1"/>
          <w:sz w:val="24"/>
          <w:szCs w:val="24"/>
        </w:rPr>
        <w:t xml:space="preserve"> = Long-run coefficients; and </w:t>
      </w:r>
      <m:oMath>
        <m:sSub>
          <m:sSubPr>
            <m:ctrlPr>
              <w:rPr>
                <w:rFonts w:ascii="Cambria Math" w:eastAsia="Times New Roman" w:hAnsi="Times New Roman" w:cs="Times New Roman"/>
                <w:color w:val="000000" w:themeColor="text1"/>
                <w:sz w:val="24"/>
                <w:szCs w:val="24"/>
              </w:rPr>
            </m:ctrlPr>
          </m:sSubPr>
          <m:e>
            <m:r>
              <m:rPr>
                <m:sty m:val="p"/>
              </m:rPr>
              <w:rPr>
                <w:rFonts w:ascii="Times New Roman" w:eastAsia="Times New Roman" w:hAnsi="Times New Roman" w:cs="Times New Roman"/>
                <w:color w:val="000000" w:themeColor="text1"/>
                <w:sz w:val="24"/>
                <w:szCs w:val="24"/>
              </w:rPr>
              <m:t>ε</m:t>
            </m:r>
          </m:e>
          <m:sub>
            <m:r>
              <m:rPr>
                <m:sty m:val="p"/>
              </m:rPr>
              <w:rPr>
                <w:rFonts w:ascii="Cambria Math" w:eastAsia="Times New Roman" w:hAnsi="Times New Roman" w:cs="Times New Roman"/>
                <w:color w:val="000000" w:themeColor="text1"/>
                <w:sz w:val="24"/>
                <w:szCs w:val="24"/>
              </w:rPr>
              <m:t>t</m:t>
            </m:r>
          </m:sub>
        </m:sSub>
      </m:oMath>
      <w:r w:rsidRPr="00E000DA">
        <w:rPr>
          <w:rFonts w:ascii="Times New Roman" w:eastAsia="Times New Roman" w:hAnsi="Times New Roman" w:cs="Times New Roman"/>
          <w:color w:val="000000" w:themeColor="text1"/>
          <w:sz w:val="24"/>
          <w:szCs w:val="24"/>
        </w:rPr>
        <w:t xml:space="preserve"> = White-noise error term.</w:t>
      </w:r>
    </w:p>
    <w:p w14:paraId="3DE2F03B" w14:textId="6D935291" w:rsidR="00027AC1" w:rsidRPr="00E000DA" w:rsidRDefault="00B27E17" w:rsidP="0045397C">
      <w:p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836340" w:rsidRPr="00E000DA">
        <w:rPr>
          <w:rFonts w:ascii="Times New Roman" w:eastAsia="Times New Roman" w:hAnsi="Times New Roman" w:cs="Times New Roman"/>
          <w:color w:val="000000" w:themeColor="text1"/>
          <w:sz w:val="24"/>
          <w:szCs w:val="24"/>
        </w:rPr>
        <w:t xml:space="preserve">The </w:t>
      </w:r>
      <w:r w:rsidRPr="00E000DA">
        <w:rPr>
          <w:rFonts w:ascii="Times New Roman" w:eastAsia="Times New Roman" w:hAnsi="Times New Roman" w:cs="Times New Roman"/>
          <w:color w:val="000000" w:themeColor="text1"/>
          <w:sz w:val="24"/>
          <w:szCs w:val="24"/>
        </w:rPr>
        <w:t>stationary</w:t>
      </w:r>
      <w:r w:rsidR="00836340" w:rsidRPr="00E000DA">
        <w:rPr>
          <w:rFonts w:ascii="Times New Roman" w:eastAsia="Times New Roman" w:hAnsi="Times New Roman" w:cs="Times New Roman"/>
          <w:color w:val="000000" w:themeColor="text1"/>
          <w:sz w:val="24"/>
          <w:szCs w:val="24"/>
        </w:rPr>
        <w:t xml:space="preserve"> characteristics of the variables were first checked to determine that all the variables were not integrated more than the first order before estimating the ARDL model, with the help of the Augmented Dickey–Fuller (ADF) unit root test. Then, the ARDL bounds cointegration test was performed to check the existence of long-run cointegration between gross capital formation and economic growth. After confirming the cointegration, the long-run coefficients and the Error Correction Model (ECM) were estimated to estimate the long-run effect of gross capital formation and the speed of adjustment from short-run disturbances to equilibrium. </w:t>
      </w:r>
      <w:r w:rsidR="00727FE6" w:rsidRPr="00E000DA">
        <w:rPr>
          <w:rFonts w:ascii="Times New Roman" w:eastAsia="Times New Roman" w:hAnsi="Times New Roman" w:cs="Times New Roman"/>
          <w:color w:val="000000" w:themeColor="text1"/>
          <w:sz w:val="24"/>
          <w:szCs w:val="24"/>
        </w:rPr>
        <w:t>T</w:t>
      </w:r>
      <w:r w:rsidR="00836340" w:rsidRPr="00E000DA">
        <w:rPr>
          <w:rFonts w:ascii="Times New Roman" w:eastAsia="Times New Roman" w:hAnsi="Times New Roman" w:cs="Times New Roman"/>
          <w:color w:val="000000" w:themeColor="text1"/>
          <w:sz w:val="24"/>
          <w:szCs w:val="24"/>
        </w:rPr>
        <w:t>o ensure robustness and reliability of the estimated model, post-estimation diagnostic tests such as the Breusch–Godfrey Serial Correlation LM Test, Breusch–Pagan–Godfrey Heteroskedasticity Test, Jarque–Bera Normality Test and Ramsey RESET Specification Test were carried out.</w:t>
      </w:r>
    </w:p>
    <w:p w14:paraId="4626D25D" w14:textId="77777777" w:rsidR="00410FB6" w:rsidRPr="00E000DA" w:rsidRDefault="00410FB6" w:rsidP="00410FB6">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E000DA">
        <w:rPr>
          <w:rFonts w:ascii="Times New Roman" w:eastAsia="Times New Roman" w:hAnsi="Times New Roman" w:cs="Times New Roman"/>
          <w:b/>
          <w:color w:val="000000" w:themeColor="text1"/>
          <w:sz w:val="24"/>
          <w:szCs w:val="24"/>
        </w:rPr>
        <w:t>4.0 Results and Discussion</w:t>
      </w:r>
    </w:p>
    <w:p w14:paraId="5A6105D6" w14:textId="77777777" w:rsidR="00410FB6" w:rsidRPr="00E000DA" w:rsidRDefault="00410FB6" w:rsidP="00410FB6">
      <w:pPr>
        <w:pStyle w:val="Normal1"/>
        <w:spacing w:after="0" w:line="240" w:lineRule="auto"/>
        <w:ind w:left="0" w:right="982" w:firstLine="5"/>
        <w:jc w:val="left"/>
        <w:rPr>
          <w:color w:val="000000" w:themeColor="text1"/>
        </w:rPr>
      </w:pPr>
      <w:r w:rsidRPr="00E000DA">
        <w:rPr>
          <w:color w:val="000000" w:themeColor="text1"/>
        </w:rPr>
        <w:t xml:space="preserve">Table 1: Descriptive Statistics of the Variables </w:t>
      </w:r>
    </w:p>
    <w:tbl>
      <w:tblPr>
        <w:tblStyle w:val="LightShading1"/>
        <w:tblW w:w="5000" w:type="pct"/>
        <w:tblLook w:val="06A0" w:firstRow="1" w:lastRow="0" w:firstColumn="1" w:lastColumn="0" w:noHBand="1" w:noVBand="1"/>
      </w:tblPr>
      <w:tblGrid>
        <w:gridCol w:w="3001"/>
        <w:gridCol w:w="2263"/>
        <w:gridCol w:w="2261"/>
        <w:gridCol w:w="1835"/>
      </w:tblGrid>
      <w:tr w:rsidR="000950D8" w:rsidRPr="00E000DA" w14:paraId="40E48958" w14:textId="77777777" w:rsidTr="000950D8">
        <w:trPr>
          <w:cnfStyle w:val="100000000000" w:firstRow="1" w:lastRow="0" w:firstColumn="0" w:lastColumn="0" w:oddVBand="0" w:evenVBand="0" w:oddHBand="0"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1603" w:type="pct"/>
          </w:tcPr>
          <w:p w14:paraId="5729CA97" w14:textId="77777777" w:rsidR="000950D8" w:rsidRPr="00E000DA" w:rsidRDefault="000950D8" w:rsidP="00410FB6">
            <w:pPr>
              <w:pStyle w:val="Normal1"/>
              <w:spacing w:after="0" w:line="240" w:lineRule="auto"/>
              <w:ind w:left="0" w:right="103" w:firstLine="0"/>
              <w:jc w:val="center"/>
              <w:rPr>
                <w:b w:val="0"/>
                <w:color w:val="000000" w:themeColor="text1"/>
              </w:rPr>
            </w:pPr>
          </w:p>
        </w:tc>
        <w:tc>
          <w:tcPr>
            <w:tcW w:w="1209" w:type="pct"/>
          </w:tcPr>
          <w:p w14:paraId="794DF99D" w14:textId="77777777" w:rsidR="000950D8" w:rsidRPr="00E000DA" w:rsidRDefault="000950D8" w:rsidP="00410FB6">
            <w:pPr>
              <w:pStyle w:val="Normal1"/>
              <w:spacing w:after="0" w:line="240" w:lineRule="auto"/>
              <w:ind w:left="324" w:right="0" w:firstLine="0"/>
              <w:jc w:val="left"/>
              <w:cnfStyle w:val="100000000000" w:firstRow="1" w:lastRow="0" w:firstColumn="0" w:lastColumn="0" w:oddVBand="0" w:evenVBand="0" w:oddHBand="0" w:evenHBand="0" w:firstRowFirstColumn="0" w:firstRowLastColumn="0" w:lastRowFirstColumn="0" w:lastRowLastColumn="0"/>
              <w:rPr>
                <w:b w:val="0"/>
                <w:color w:val="000000" w:themeColor="text1"/>
              </w:rPr>
            </w:pPr>
            <w:r w:rsidRPr="00E000DA">
              <w:rPr>
                <w:b w:val="0"/>
                <w:color w:val="000000" w:themeColor="text1"/>
              </w:rPr>
              <w:t xml:space="preserve">GR </w:t>
            </w:r>
          </w:p>
        </w:tc>
        <w:tc>
          <w:tcPr>
            <w:tcW w:w="1208" w:type="pct"/>
          </w:tcPr>
          <w:p w14:paraId="3F6DF86B" w14:textId="77777777" w:rsidR="000950D8" w:rsidRPr="00E000DA" w:rsidRDefault="000950D8" w:rsidP="00410FB6">
            <w:pPr>
              <w:pStyle w:val="Normal1"/>
              <w:spacing w:after="0" w:line="240" w:lineRule="auto"/>
              <w:ind w:left="259" w:right="0" w:firstLine="0"/>
              <w:jc w:val="left"/>
              <w:cnfStyle w:val="100000000000" w:firstRow="1" w:lastRow="0" w:firstColumn="0" w:lastColumn="0" w:oddVBand="0" w:evenVBand="0" w:oddHBand="0" w:evenHBand="0" w:firstRowFirstColumn="0" w:firstRowLastColumn="0" w:lastRowFirstColumn="0" w:lastRowLastColumn="0"/>
              <w:rPr>
                <w:b w:val="0"/>
                <w:color w:val="000000" w:themeColor="text1"/>
              </w:rPr>
            </w:pPr>
            <w:r w:rsidRPr="00E000DA">
              <w:rPr>
                <w:b w:val="0"/>
                <w:color w:val="000000" w:themeColor="text1"/>
              </w:rPr>
              <w:t xml:space="preserve">GCF </w:t>
            </w:r>
          </w:p>
        </w:tc>
        <w:tc>
          <w:tcPr>
            <w:tcW w:w="980" w:type="pct"/>
          </w:tcPr>
          <w:p w14:paraId="78DFE86D" w14:textId="77777777" w:rsidR="000950D8" w:rsidRPr="00E000DA" w:rsidRDefault="000950D8" w:rsidP="00410FB6">
            <w:pPr>
              <w:pStyle w:val="Normal1"/>
              <w:spacing w:after="0" w:line="240" w:lineRule="auto"/>
              <w:ind w:left="248" w:right="0" w:firstLine="0"/>
              <w:jc w:val="left"/>
              <w:cnfStyle w:val="100000000000" w:firstRow="1" w:lastRow="0" w:firstColumn="0" w:lastColumn="0" w:oddVBand="0" w:evenVBand="0" w:oddHBand="0" w:evenHBand="0" w:firstRowFirstColumn="0" w:firstRowLastColumn="0" w:lastRowFirstColumn="0" w:lastRowLastColumn="0"/>
              <w:rPr>
                <w:b w:val="0"/>
                <w:color w:val="000000" w:themeColor="text1"/>
              </w:rPr>
            </w:pPr>
            <w:r w:rsidRPr="00E000DA">
              <w:rPr>
                <w:b w:val="0"/>
                <w:color w:val="000000" w:themeColor="text1"/>
              </w:rPr>
              <w:t xml:space="preserve">LTR </w:t>
            </w:r>
          </w:p>
        </w:tc>
      </w:tr>
      <w:tr w:rsidR="000950D8" w:rsidRPr="00E000DA" w14:paraId="6E2D3E54" w14:textId="77777777" w:rsidTr="000950D8">
        <w:trPr>
          <w:trHeight w:val="329"/>
        </w:trPr>
        <w:tc>
          <w:tcPr>
            <w:cnfStyle w:val="001000000000" w:firstRow="0" w:lastRow="0" w:firstColumn="1" w:lastColumn="0" w:oddVBand="0" w:evenVBand="0" w:oddHBand="0" w:evenHBand="0" w:firstRowFirstColumn="0" w:firstRowLastColumn="0" w:lastRowFirstColumn="0" w:lastRowLastColumn="0"/>
            <w:tcW w:w="1603" w:type="pct"/>
          </w:tcPr>
          <w:p w14:paraId="1A75D674" w14:textId="77777777" w:rsidR="000950D8" w:rsidRPr="00E000DA" w:rsidRDefault="000950D8" w:rsidP="00410FB6">
            <w:pPr>
              <w:pStyle w:val="Normal1"/>
              <w:spacing w:after="0" w:line="240" w:lineRule="auto"/>
              <w:ind w:left="122" w:right="0" w:firstLine="0"/>
              <w:jc w:val="left"/>
              <w:rPr>
                <w:b w:val="0"/>
                <w:color w:val="000000" w:themeColor="text1"/>
              </w:rPr>
            </w:pPr>
            <w:r w:rsidRPr="00E000DA">
              <w:rPr>
                <w:b w:val="0"/>
                <w:color w:val="000000" w:themeColor="text1"/>
              </w:rPr>
              <w:t xml:space="preserve"> Mean </w:t>
            </w:r>
          </w:p>
        </w:tc>
        <w:tc>
          <w:tcPr>
            <w:tcW w:w="1209" w:type="pct"/>
          </w:tcPr>
          <w:p w14:paraId="35B0DFAE" w14:textId="77777777" w:rsidR="000950D8" w:rsidRPr="00E000DA" w:rsidRDefault="000950D8" w:rsidP="00410FB6">
            <w:pPr>
              <w:pStyle w:val="Normal1"/>
              <w:spacing w:after="0" w:line="240" w:lineRule="auto"/>
              <w:ind w:left="8"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 5.304762 </w:t>
            </w:r>
          </w:p>
        </w:tc>
        <w:tc>
          <w:tcPr>
            <w:tcW w:w="1208" w:type="pct"/>
          </w:tcPr>
          <w:p w14:paraId="5D81F13F" w14:textId="77777777" w:rsidR="000950D8" w:rsidRPr="00E000DA" w:rsidRDefault="000950D8" w:rsidP="00410FB6">
            <w:pPr>
              <w:pStyle w:val="Normal1"/>
              <w:spacing w:after="0" w:line="240" w:lineRule="auto"/>
              <w:ind w:left="9"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 1.954249 </w:t>
            </w:r>
          </w:p>
        </w:tc>
        <w:tc>
          <w:tcPr>
            <w:tcW w:w="980" w:type="pct"/>
          </w:tcPr>
          <w:p w14:paraId="5D10F253" w14:textId="77777777" w:rsidR="000950D8" w:rsidRPr="00E000DA" w:rsidRDefault="000950D8" w:rsidP="00410FB6">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 91.36721 </w:t>
            </w:r>
          </w:p>
        </w:tc>
      </w:tr>
      <w:tr w:rsidR="000950D8" w:rsidRPr="00E000DA" w14:paraId="6B27B03D" w14:textId="77777777" w:rsidTr="000950D8">
        <w:trPr>
          <w:trHeight w:val="317"/>
        </w:trPr>
        <w:tc>
          <w:tcPr>
            <w:cnfStyle w:val="001000000000" w:firstRow="0" w:lastRow="0" w:firstColumn="1" w:lastColumn="0" w:oddVBand="0" w:evenVBand="0" w:oddHBand="0" w:evenHBand="0" w:firstRowFirstColumn="0" w:firstRowLastColumn="0" w:lastRowFirstColumn="0" w:lastRowLastColumn="0"/>
            <w:tcW w:w="1603" w:type="pct"/>
          </w:tcPr>
          <w:p w14:paraId="58BD1719" w14:textId="77777777" w:rsidR="000950D8" w:rsidRPr="00E000DA" w:rsidRDefault="000950D8" w:rsidP="00410FB6">
            <w:pPr>
              <w:pStyle w:val="Normal1"/>
              <w:spacing w:after="0" w:line="240" w:lineRule="auto"/>
              <w:ind w:left="122" w:right="0" w:firstLine="0"/>
              <w:jc w:val="left"/>
              <w:rPr>
                <w:b w:val="0"/>
                <w:color w:val="000000" w:themeColor="text1"/>
              </w:rPr>
            </w:pPr>
            <w:r w:rsidRPr="00E000DA">
              <w:rPr>
                <w:b w:val="0"/>
                <w:color w:val="000000" w:themeColor="text1"/>
              </w:rPr>
              <w:t xml:space="preserve"> Median </w:t>
            </w:r>
          </w:p>
        </w:tc>
        <w:tc>
          <w:tcPr>
            <w:tcW w:w="1209" w:type="pct"/>
          </w:tcPr>
          <w:p w14:paraId="692BFA36" w14:textId="77777777" w:rsidR="000950D8" w:rsidRPr="00E000DA" w:rsidRDefault="000950D8" w:rsidP="00410FB6">
            <w:pPr>
              <w:pStyle w:val="Normal1"/>
              <w:spacing w:after="0" w:line="240" w:lineRule="auto"/>
              <w:ind w:left="7"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 6.100000 </w:t>
            </w:r>
          </w:p>
        </w:tc>
        <w:tc>
          <w:tcPr>
            <w:tcW w:w="1208" w:type="pct"/>
          </w:tcPr>
          <w:p w14:paraId="572AEB8B" w14:textId="77777777" w:rsidR="000950D8" w:rsidRPr="00E000DA" w:rsidRDefault="000950D8" w:rsidP="00410FB6">
            <w:pPr>
              <w:pStyle w:val="Normal1"/>
              <w:spacing w:after="0" w:line="240" w:lineRule="auto"/>
              <w:ind w:left="9"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 3.359867 </w:t>
            </w:r>
          </w:p>
        </w:tc>
        <w:tc>
          <w:tcPr>
            <w:tcW w:w="980" w:type="pct"/>
          </w:tcPr>
          <w:p w14:paraId="249B0BFD" w14:textId="77777777" w:rsidR="000950D8" w:rsidRPr="00E000DA" w:rsidRDefault="000950D8" w:rsidP="00410FB6">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 92.92560 </w:t>
            </w:r>
          </w:p>
        </w:tc>
      </w:tr>
      <w:tr w:rsidR="000950D8" w:rsidRPr="00E000DA" w14:paraId="799B4CD3" w14:textId="77777777" w:rsidTr="000950D8">
        <w:trPr>
          <w:trHeight w:val="318"/>
        </w:trPr>
        <w:tc>
          <w:tcPr>
            <w:cnfStyle w:val="001000000000" w:firstRow="0" w:lastRow="0" w:firstColumn="1" w:lastColumn="0" w:oddVBand="0" w:evenVBand="0" w:oddHBand="0" w:evenHBand="0" w:firstRowFirstColumn="0" w:firstRowLastColumn="0" w:lastRowFirstColumn="0" w:lastRowLastColumn="0"/>
            <w:tcW w:w="1603" w:type="pct"/>
          </w:tcPr>
          <w:p w14:paraId="6CA1115D" w14:textId="77777777" w:rsidR="000950D8" w:rsidRPr="00E000DA" w:rsidRDefault="000950D8" w:rsidP="00410FB6">
            <w:pPr>
              <w:pStyle w:val="Normal1"/>
              <w:spacing w:after="0" w:line="240" w:lineRule="auto"/>
              <w:ind w:left="122" w:right="0" w:firstLine="0"/>
              <w:jc w:val="left"/>
              <w:rPr>
                <w:b w:val="0"/>
                <w:color w:val="000000" w:themeColor="text1"/>
              </w:rPr>
            </w:pPr>
            <w:r w:rsidRPr="00E000DA">
              <w:rPr>
                <w:b w:val="0"/>
                <w:color w:val="000000" w:themeColor="text1"/>
              </w:rPr>
              <w:t xml:space="preserve"> Maximum </w:t>
            </w:r>
          </w:p>
        </w:tc>
        <w:tc>
          <w:tcPr>
            <w:tcW w:w="1209" w:type="pct"/>
          </w:tcPr>
          <w:p w14:paraId="7A240AB4" w14:textId="77777777" w:rsidR="000950D8" w:rsidRPr="00E000DA" w:rsidRDefault="000950D8" w:rsidP="00410FB6">
            <w:pPr>
              <w:pStyle w:val="Normal1"/>
              <w:spacing w:after="0" w:line="240" w:lineRule="auto"/>
              <w:ind w:left="8"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 15.30000 </w:t>
            </w:r>
          </w:p>
        </w:tc>
        <w:tc>
          <w:tcPr>
            <w:tcW w:w="1208" w:type="pct"/>
          </w:tcPr>
          <w:p w14:paraId="53BB8736" w14:textId="77777777" w:rsidR="000950D8" w:rsidRPr="00E000DA" w:rsidRDefault="000950D8" w:rsidP="00410FB6">
            <w:pPr>
              <w:pStyle w:val="Normal1"/>
              <w:spacing w:after="0" w:line="240" w:lineRule="auto"/>
              <w:ind w:left="1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 40.74386 </w:t>
            </w:r>
          </w:p>
        </w:tc>
        <w:tc>
          <w:tcPr>
            <w:tcW w:w="980" w:type="pct"/>
          </w:tcPr>
          <w:p w14:paraId="5C3F0B24" w14:textId="77777777" w:rsidR="000950D8" w:rsidRPr="00E000DA" w:rsidRDefault="000950D8" w:rsidP="00410FB6">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 95.37991 </w:t>
            </w:r>
          </w:p>
        </w:tc>
      </w:tr>
      <w:tr w:rsidR="000950D8" w:rsidRPr="00E000DA" w14:paraId="7F112E25" w14:textId="77777777" w:rsidTr="000950D8">
        <w:trPr>
          <w:trHeight w:val="318"/>
        </w:trPr>
        <w:tc>
          <w:tcPr>
            <w:cnfStyle w:val="001000000000" w:firstRow="0" w:lastRow="0" w:firstColumn="1" w:lastColumn="0" w:oddVBand="0" w:evenVBand="0" w:oddHBand="0" w:evenHBand="0" w:firstRowFirstColumn="0" w:firstRowLastColumn="0" w:lastRowFirstColumn="0" w:lastRowLastColumn="0"/>
            <w:tcW w:w="1603" w:type="pct"/>
          </w:tcPr>
          <w:p w14:paraId="55DF384E" w14:textId="77777777" w:rsidR="000950D8" w:rsidRPr="00E000DA" w:rsidRDefault="000950D8" w:rsidP="00410FB6">
            <w:pPr>
              <w:pStyle w:val="Normal1"/>
              <w:spacing w:after="0" w:line="240" w:lineRule="auto"/>
              <w:ind w:left="122" w:right="0" w:firstLine="0"/>
              <w:jc w:val="left"/>
              <w:rPr>
                <w:b w:val="0"/>
                <w:color w:val="000000" w:themeColor="text1"/>
              </w:rPr>
            </w:pPr>
            <w:r w:rsidRPr="00E000DA">
              <w:rPr>
                <w:b w:val="0"/>
                <w:color w:val="000000" w:themeColor="text1"/>
              </w:rPr>
              <w:t xml:space="preserve"> Minimum </w:t>
            </w:r>
          </w:p>
        </w:tc>
        <w:tc>
          <w:tcPr>
            <w:tcW w:w="1209" w:type="pct"/>
          </w:tcPr>
          <w:p w14:paraId="6F7FF9B3" w14:textId="77777777" w:rsidR="000950D8" w:rsidRPr="00E000DA" w:rsidRDefault="000950D8" w:rsidP="00410FB6">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-1.800000 </w:t>
            </w:r>
          </w:p>
        </w:tc>
        <w:tc>
          <w:tcPr>
            <w:tcW w:w="1208" w:type="pct"/>
          </w:tcPr>
          <w:p w14:paraId="1B9B416A" w14:textId="77777777" w:rsidR="000950D8" w:rsidRPr="00E000DA" w:rsidRDefault="000950D8" w:rsidP="00410FB6">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-22.79282 </w:t>
            </w:r>
          </w:p>
        </w:tc>
        <w:tc>
          <w:tcPr>
            <w:tcW w:w="980" w:type="pct"/>
          </w:tcPr>
          <w:p w14:paraId="2E293CE0" w14:textId="77777777" w:rsidR="000950D8" w:rsidRPr="00E000DA" w:rsidRDefault="000950D8" w:rsidP="00410FB6">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 76.76000 </w:t>
            </w:r>
          </w:p>
        </w:tc>
      </w:tr>
      <w:tr w:rsidR="000950D8" w:rsidRPr="00E000DA" w14:paraId="6E312772" w14:textId="77777777" w:rsidTr="000950D8">
        <w:trPr>
          <w:trHeight w:val="317"/>
        </w:trPr>
        <w:tc>
          <w:tcPr>
            <w:cnfStyle w:val="001000000000" w:firstRow="0" w:lastRow="0" w:firstColumn="1" w:lastColumn="0" w:oddVBand="0" w:evenVBand="0" w:oddHBand="0" w:evenHBand="0" w:firstRowFirstColumn="0" w:firstRowLastColumn="0" w:lastRowFirstColumn="0" w:lastRowLastColumn="0"/>
            <w:tcW w:w="1603" w:type="pct"/>
          </w:tcPr>
          <w:p w14:paraId="51243A4D" w14:textId="77777777" w:rsidR="000950D8" w:rsidRPr="00E000DA" w:rsidRDefault="000950D8" w:rsidP="00410FB6">
            <w:pPr>
              <w:pStyle w:val="Normal1"/>
              <w:spacing w:after="0" w:line="240" w:lineRule="auto"/>
              <w:ind w:left="122" w:right="0" w:firstLine="0"/>
              <w:jc w:val="left"/>
              <w:rPr>
                <w:b w:val="0"/>
                <w:color w:val="000000" w:themeColor="text1"/>
              </w:rPr>
            </w:pPr>
            <w:r w:rsidRPr="00E000DA">
              <w:rPr>
                <w:b w:val="0"/>
                <w:color w:val="000000" w:themeColor="text1"/>
              </w:rPr>
              <w:t xml:space="preserve"> Std. Dev. </w:t>
            </w:r>
          </w:p>
        </w:tc>
        <w:tc>
          <w:tcPr>
            <w:tcW w:w="1209" w:type="pct"/>
          </w:tcPr>
          <w:p w14:paraId="75DD755C" w14:textId="77777777" w:rsidR="000950D8" w:rsidRPr="00E000DA" w:rsidRDefault="000950D8" w:rsidP="00410FB6">
            <w:pPr>
              <w:pStyle w:val="Normal1"/>
              <w:spacing w:after="0" w:line="240" w:lineRule="auto"/>
              <w:ind w:left="8"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 3.815688 </w:t>
            </w:r>
          </w:p>
        </w:tc>
        <w:tc>
          <w:tcPr>
            <w:tcW w:w="1208" w:type="pct"/>
          </w:tcPr>
          <w:p w14:paraId="4BEC3F03" w14:textId="77777777" w:rsidR="000950D8" w:rsidRPr="00E000DA" w:rsidRDefault="000950D8" w:rsidP="00410FB6">
            <w:pPr>
              <w:pStyle w:val="Normal1"/>
              <w:spacing w:after="0" w:line="240" w:lineRule="auto"/>
              <w:ind w:left="1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 14.71224 </w:t>
            </w:r>
          </w:p>
        </w:tc>
        <w:tc>
          <w:tcPr>
            <w:tcW w:w="980" w:type="pct"/>
          </w:tcPr>
          <w:p w14:paraId="413A21D8" w14:textId="77777777" w:rsidR="000950D8" w:rsidRPr="00E000DA" w:rsidRDefault="000950D8" w:rsidP="00410FB6">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 4.992210 </w:t>
            </w:r>
          </w:p>
        </w:tc>
      </w:tr>
    </w:tbl>
    <w:p w14:paraId="6EC3214B" w14:textId="77777777" w:rsidR="00410FB6" w:rsidRPr="00E000DA" w:rsidRDefault="00410FB6" w:rsidP="00410FB6">
      <w:pPr>
        <w:spacing w:after="0" w:line="480" w:lineRule="auto"/>
        <w:rPr>
          <w:rFonts w:ascii="Times New Roman" w:eastAsia="Times New Roman" w:hAnsi="Times New Roman" w:cs="Times New Roman"/>
          <w:i/>
          <w:color w:val="000000" w:themeColor="text1"/>
          <w:sz w:val="24"/>
          <w:szCs w:val="24"/>
        </w:rPr>
      </w:pPr>
      <w:r w:rsidRPr="00E000DA">
        <w:rPr>
          <w:rFonts w:ascii="Times New Roman" w:hAnsi="Times New Roman" w:cs="Times New Roman"/>
          <w:i/>
          <w:color w:val="000000" w:themeColor="text1"/>
          <w:sz w:val="24"/>
          <w:szCs w:val="24"/>
        </w:rPr>
        <w:t>Source: Author’s computation from EViews 10 (2026)</w:t>
      </w:r>
    </w:p>
    <w:p w14:paraId="4EE13534" w14:textId="3B33C6D8" w:rsidR="00410FB6" w:rsidRPr="00E000DA" w:rsidRDefault="00B27E17" w:rsidP="0045397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B40184" w:rsidRPr="00E000DA">
        <w:rPr>
          <w:rFonts w:ascii="Times New Roman" w:hAnsi="Times New Roman" w:cs="Times New Roman"/>
          <w:color w:val="000000" w:themeColor="text1"/>
          <w:sz w:val="24"/>
          <w:szCs w:val="24"/>
        </w:rPr>
        <w:t xml:space="preserve">The results presented in Table 1 showed that Nigeria's economic growth rate (GR) was the highest at 15.30% in 2006 and the lowest at −1.80% in 2009, with an average of 5.30% during the study period, which showed that Nigeria's economy experienced a high level of macroeconomic shocks both in its domestic economy and from the external sector. The economic growth was also relatively unstable, with a high standard deviation of 3.82. GCF exhibited a relatively high standard deviation of 14.71, indicating that the activity of investment was volatile, with a mean value of 1.95% ranging from −22.79% to 40.74%. The human capital development has improved gradually, with the mean literacy rate (LTR) of 91.37% ranging from 76.76% to 95.38% and a standard deviation of 4.99. Overall, the descriptive statistics show that the gross capital formation and economic growth were more variable than labour force participation and literacy rate, suggesting that there was variation sufficient for econometric estimation. The stationarity properties of the variables were then </w:t>
      </w:r>
      <w:r w:rsidR="00577278" w:rsidRPr="00E000DA">
        <w:rPr>
          <w:rFonts w:ascii="Times New Roman" w:hAnsi="Times New Roman" w:cs="Times New Roman"/>
          <w:color w:val="000000" w:themeColor="text1"/>
          <w:sz w:val="24"/>
          <w:szCs w:val="24"/>
        </w:rPr>
        <w:t>analyzed</w:t>
      </w:r>
      <w:r w:rsidR="00B40184" w:rsidRPr="00E000DA">
        <w:rPr>
          <w:rFonts w:ascii="Times New Roman" w:hAnsi="Times New Roman" w:cs="Times New Roman"/>
          <w:color w:val="000000" w:themeColor="text1"/>
          <w:sz w:val="24"/>
          <w:szCs w:val="24"/>
        </w:rPr>
        <w:t xml:space="preserve"> using the Augmented Dickey–Fuller (ADF) unit root test (Table 2).</w:t>
      </w:r>
    </w:p>
    <w:p w14:paraId="30C2E894" w14:textId="77777777" w:rsidR="00A13D53" w:rsidRPr="00E000DA" w:rsidRDefault="00410FB6" w:rsidP="00A13D53">
      <w:pPr>
        <w:pStyle w:val="Normal1"/>
        <w:spacing w:after="0" w:line="240" w:lineRule="auto"/>
        <w:ind w:left="0" w:right="982" w:firstLine="5"/>
        <w:jc w:val="left"/>
        <w:rPr>
          <w:color w:val="000000" w:themeColor="text1"/>
        </w:rPr>
      </w:pPr>
      <w:r w:rsidRPr="00E000DA">
        <w:rPr>
          <w:color w:val="000000" w:themeColor="text1"/>
        </w:rPr>
        <w:t xml:space="preserve">Table 2: Results of Augmented Dickey Fuller unit root test </w:t>
      </w:r>
    </w:p>
    <w:tbl>
      <w:tblPr>
        <w:tblStyle w:val="LightShading1"/>
        <w:tblW w:w="9420" w:type="dxa"/>
        <w:tblLayout w:type="fixed"/>
        <w:tblLook w:val="06A0" w:firstRow="1" w:lastRow="0" w:firstColumn="1" w:lastColumn="0" w:noHBand="1" w:noVBand="1"/>
      </w:tblPr>
      <w:tblGrid>
        <w:gridCol w:w="1640"/>
        <w:gridCol w:w="1366"/>
        <w:gridCol w:w="1289"/>
        <w:gridCol w:w="1426"/>
        <w:gridCol w:w="1299"/>
        <w:gridCol w:w="1008"/>
        <w:gridCol w:w="1392"/>
      </w:tblGrid>
      <w:tr w:rsidR="00A13D53" w:rsidRPr="00E000DA" w14:paraId="2B403A47" w14:textId="77777777" w:rsidTr="00A13D53">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640" w:type="dxa"/>
          </w:tcPr>
          <w:p w14:paraId="406143B1" w14:textId="77777777" w:rsidR="00A13D53" w:rsidRPr="00E000DA" w:rsidRDefault="00A13D53" w:rsidP="00A13D53">
            <w:pPr>
              <w:pStyle w:val="Normal1"/>
              <w:spacing w:after="0" w:line="240" w:lineRule="auto"/>
              <w:ind w:left="0" w:right="0" w:firstLine="0"/>
              <w:jc w:val="left"/>
              <w:rPr>
                <w:b w:val="0"/>
                <w:color w:val="000000" w:themeColor="text1"/>
              </w:rPr>
            </w:pPr>
            <w:r w:rsidRPr="00E000DA">
              <w:rPr>
                <w:b w:val="0"/>
                <w:color w:val="000000" w:themeColor="text1"/>
              </w:rPr>
              <w:t>Variable</w:t>
            </w:r>
          </w:p>
        </w:tc>
        <w:tc>
          <w:tcPr>
            <w:tcW w:w="1366" w:type="dxa"/>
          </w:tcPr>
          <w:p w14:paraId="6E6EB38A" w14:textId="77777777" w:rsidR="00A13D53" w:rsidRPr="00E000DA" w:rsidRDefault="00A13D53" w:rsidP="00A13D53">
            <w:pPr>
              <w:pStyle w:val="Normal1"/>
              <w:spacing w:after="0" w:line="240" w:lineRule="auto"/>
              <w:ind w:left="1" w:right="0" w:firstLine="0"/>
              <w:jc w:val="left"/>
              <w:cnfStyle w:val="100000000000" w:firstRow="1" w:lastRow="0" w:firstColumn="0" w:lastColumn="0" w:oddVBand="0" w:evenVBand="0" w:oddHBand="0" w:evenHBand="0" w:firstRowFirstColumn="0" w:firstRowLastColumn="0" w:lastRowFirstColumn="0" w:lastRowLastColumn="0"/>
              <w:rPr>
                <w:b w:val="0"/>
                <w:color w:val="000000" w:themeColor="text1"/>
              </w:rPr>
            </w:pPr>
            <w:r w:rsidRPr="00E000DA">
              <w:rPr>
                <w:b w:val="0"/>
                <w:color w:val="000000" w:themeColor="text1"/>
              </w:rPr>
              <w:t>Level</w:t>
            </w:r>
          </w:p>
        </w:tc>
        <w:tc>
          <w:tcPr>
            <w:tcW w:w="1289" w:type="dxa"/>
          </w:tcPr>
          <w:p w14:paraId="27EAB7F6" w14:textId="77777777" w:rsidR="00A13D53" w:rsidRPr="00E000DA" w:rsidRDefault="00A13D53" w:rsidP="00A13D53">
            <w:pPr>
              <w:pStyle w:val="Normal1"/>
              <w:spacing w:after="0" w:line="240" w:lineRule="auto"/>
              <w:ind w:left="0" w:right="0" w:firstLine="0"/>
              <w:jc w:val="left"/>
              <w:cnfStyle w:val="100000000000" w:firstRow="1" w:lastRow="0" w:firstColumn="0" w:lastColumn="0" w:oddVBand="0" w:evenVBand="0" w:oddHBand="0" w:evenHBand="0" w:firstRowFirstColumn="0" w:firstRowLastColumn="0" w:lastRowFirstColumn="0" w:lastRowLastColumn="0"/>
              <w:rPr>
                <w:b w:val="0"/>
                <w:color w:val="000000" w:themeColor="text1"/>
              </w:rPr>
            </w:pPr>
            <w:r w:rsidRPr="00E000DA">
              <w:rPr>
                <w:b w:val="0"/>
                <w:color w:val="000000" w:themeColor="text1"/>
              </w:rPr>
              <w:t>ADF critical value</w:t>
            </w:r>
          </w:p>
        </w:tc>
        <w:tc>
          <w:tcPr>
            <w:tcW w:w="1426" w:type="dxa"/>
          </w:tcPr>
          <w:p w14:paraId="72A01163" w14:textId="77777777" w:rsidR="00A13D53" w:rsidRPr="00E000DA" w:rsidRDefault="00A13D53" w:rsidP="00A13D53">
            <w:pPr>
              <w:pStyle w:val="Normal1"/>
              <w:spacing w:after="0" w:line="240" w:lineRule="auto"/>
              <w:ind w:left="2" w:right="0" w:firstLine="0"/>
              <w:jc w:val="left"/>
              <w:cnfStyle w:val="100000000000" w:firstRow="1" w:lastRow="0" w:firstColumn="0" w:lastColumn="0" w:oddVBand="0" w:evenVBand="0" w:oddHBand="0" w:evenHBand="0" w:firstRowFirstColumn="0" w:firstRowLastColumn="0" w:lastRowFirstColumn="0" w:lastRowLastColumn="0"/>
              <w:rPr>
                <w:b w:val="0"/>
                <w:color w:val="000000" w:themeColor="text1"/>
              </w:rPr>
            </w:pPr>
            <w:r w:rsidRPr="00E000DA">
              <w:rPr>
                <w:b w:val="0"/>
                <w:color w:val="000000" w:themeColor="text1"/>
              </w:rPr>
              <w:t>1</w:t>
            </w:r>
            <w:r w:rsidRPr="00E000DA">
              <w:rPr>
                <w:b w:val="0"/>
                <w:color w:val="000000" w:themeColor="text1"/>
                <w:vertAlign w:val="superscript"/>
              </w:rPr>
              <w:t>st</w:t>
            </w:r>
            <w:r w:rsidRPr="00E000DA">
              <w:rPr>
                <w:b w:val="0"/>
                <w:color w:val="000000" w:themeColor="text1"/>
              </w:rPr>
              <w:t xml:space="preserve"> difference critical value</w:t>
            </w:r>
          </w:p>
        </w:tc>
        <w:tc>
          <w:tcPr>
            <w:tcW w:w="1299" w:type="dxa"/>
          </w:tcPr>
          <w:p w14:paraId="01C7E593" w14:textId="77777777" w:rsidR="00A13D53" w:rsidRPr="00E000DA" w:rsidRDefault="00A13D53" w:rsidP="00A13D53">
            <w:pPr>
              <w:pStyle w:val="Normal1"/>
              <w:spacing w:after="0" w:line="240" w:lineRule="auto"/>
              <w:ind w:left="2" w:right="0" w:firstLine="0"/>
              <w:jc w:val="left"/>
              <w:cnfStyle w:val="100000000000" w:firstRow="1" w:lastRow="0" w:firstColumn="0" w:lastColumn="0" w:oddVBand="0" w:evenVBand="0" w:oddHBand="0" w:evenHBand="0" w:firstRowFirstColumn="0" w:firstRowLastColumn="0" w:lastRowFirstColumn="0" w:lastRowLastColumn="0"/>
              <w:rPr>
                <w:b w:val="0"/>
                <w:color w:val="000000" w:themeColor="text1"/>
              </w:rPr>
            </w:pPr>
            <w:r w:rsidRPr="00E000DA">
              <w:rPr>
                <w:b w:val="0"/>
                <w:color w:val="000000" w:themeColor="text1"/>
              </w:rPr>
              <w:t>ADF</w:t>
            </w:r>
          </w:p>
        </w:tc>
        <w:tc>
          <w:tcPr>
            <w:tcW w:w="1008" w:type="dxa"/>
          </w:tcPr>
          <w:p w14:paraId="6CBEED60" w14:textId="77777777" w:rsidR="00A13D53" w:rsidRPr="00E000DA" w:rsidRDefault="00A13D53" w:rsidP="00A13D53">
            <w:pPr>
              <w:pStyle w:val="Normal1"/>
              <w:spacing w:after="0" w:line="240" w:lineRule="auto"/>
              <w:ind w:left="0" w:right="0" w:firstLine="0"/>
              <w:jc w:val="left"/>
              <w:cnfStyle w:val="100000000000" w:firstRow="1" w:lastRow="0" w:firstColumn="0" w:lastColumn="0" w:oddVBand="0" w:evenVBand="0" w:oddHBand="0" w:evenHBand="0" w:firstRowFirstColumn="0" w:firstRowLastColumn="0" w:lastRowFirstColumn="0" w:lastRowLastColumn="0"/>
              <w:rPr>
                <w:b w:val="0"/>
                <w:color w:val="000000" w:themeColor="text1"/>
              </w:rPr>
            </w:pPr>
            <w:r w:rsidRPr="00E000DA">
              <w:rPr>
                <w:b w:val="0"/>
                <w:color w:val="000000" w:themeColor="text1"/>
              </w:rPr>
              <w:t>Order</w:t>
            </w:r>
          </w:p>
        </w:tc>
        <w:tc>
          <w:tcPr>
            <w:tcW w:w="1392" w:type="dxa"/>
          </w:tcPr>
          <w:p w14:paraId="73A565D3" w14:textId="77777777" w:rsidR="00A13D53" w:rsidRPr="00E000DA" w:rsidRDefault="00A13D53" w:rsidP="00A13D53">
            <w:pPr>
              <w:pStyle w:val="Normal1"/>
              <w:spacing w:after="0" w:line="240" w:lineRule="auto"/>
              <w:ind w:left="1" w:right="0" w:firstLine="0"/>
              <w:cnfStyle w:val="100000000000" w:firstRow="1" w:lastRow="0" w:firstColumn="0" w:lastColumn="0" w:oddVBand="0" w:evenVBand="0" w:oddHBand="0" w:evenHBand="0" w:firstRowFirstColumn="0" w:firstRowLastColumn="0" w:lastRowFirstColumn="0" w:lastRowLastColumn="0"/>
              <w:rPr>
                <w:b w:val="0"/>
                <w:color w:val="000000" w:themeColor="text1"/>
              </w:rPr>
            </w:pPr>
            <w:r w:rsidRPr="00E000DA">
              <w:rPr>
                <w:b w:val="0"/>
                <w:color w:val="000000" w:themeColor="text1"/>
              </w:rPr>
              <w:t>Remark</w:t>
            </w:r>
          </w:p>
        </w:tc>
      </w:tr>
      <w:tr w:rsidR="00A13D53" w:rsidRPr="00E000DA" w14:paraId="0F8DEC62" w14:textId="77777777" w:rsidTr="00A13D53">
        <w:trPr>
          <w:trHeight w:val="269"/>
        </w:trPr>
        <w:tc>
          <w:tcPr>
            <w:cnfStyle w:val="001000000000" w:firstRow="0" w:lastRow="0" w:firstColumn="1" w:lastColumn="0" w:oddVBand="0" w:evenVBand="0" w:oddHBand="0" w:evenHBand="0" w:firstRowFirstColumn="0" w:firstRowLastColumn="0" w:lastRowFirstColumn="0" w:lastRowLastColumn="0"/>
            <w:tcW w:w="1640" w:type="dxa"/>
          </w:tcPr>
          <w:p w14:paraId="5A087B8D" w14:textId="77777777" w:rsidR="00A13D53" w:rsidRPr="00E000DA" w:rsidRDefault="00A13D53" w:rsidP="00A13D53">
            <w:pPr>
              <w:pStyle w:val="Normal1"/>
              <w:spacing w:after="0" w:line="240" w:lineRule="auto"/>
              <w:ind w:left="0" w:right="0" w:firstLine="0"/>
              <w:jc w:val="left"/>
              <w:rPr>
                <w:b w:val="0"/>
                <w:color w:val="000000" w:themeColor="text1"/>
              </w:rPr>
            </w:pPr>
            <w:r w:rsidRPr="00E000DA">
              <w:rPr>
                <w:b w:val="0"/>
                <w:color w:val="000000" w:themeColor="text1"/>
              </w:rPr>
              <w:t xml:space="preserve">GR </w:t>
            </w:r>
          </w:p>
        </w:tc>
        <w:tc>
          <w:tcPr>
            <w:tcW w:w="1366" w:type="dxa"/>
          </w:tcPr>
          <w:p w14:paraId="1278AE30" w14:textId="77777777" w:rsidR="00A13D53" w:rsidRPr="00E000DA" w:rsidRDefault="00A13D53" w:rsidP="00A13D53">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0.251289 </w:t>
            </w:r>
          </w:p>
        </w:tc>
        <w:tc>
          <w:tcPr>
            <w:tcW w:w="1289" w:type="dxa"/>
          </w:tcPr>
          <w:p w14:paraId="3ABF125F" w14:textId="77777777" w:rsidR="00A13D53" w:rsidRPr="00E000DA" w:rsidRDefault="00A13D53" w:rsidP="00A13D53">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-3.052169 </w:t>
            </w:r>
          </w:p>
        </w:tc>
        <w:tc>
          <w:tcPr>
            <w:tcW w:w="1426" w:type="dxa"/>
          </w:tcPr>
          <w:p w14:paraId="4F30A36C" w14:textId="77777777" w:rsidR="00A13D53" w:rsidRPr="00E000DA" w:rsidRDefault="00A13D53" w:rsidP="00A13D53">
            <w:pPr>
              <w:pStyle w:val="Normal1"/>
              <w:spacing w:after="0" w:line="240" w:lineRule="auto"/>
              <w:ind w:left="2"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-3.999773 </w:t>
            </w:r>
          </w:p>
        </w:tc>
        <w:tc>
          <w:tcPr>
            <w:tcW w:w="1299" w:type="dxa"/>
          </w:tcPr>
          <w:p w14:paraId="17FA4911" w14:textId="77777777" w:rsidR="00A13D53" w:rsidRPr="00E000DA" w:rsidRDefault="00A13D53" w:rsidP="00A13D53">
            <w:pPr>
              <w:pStyle w:val="Normal1"/>
              <w:spacing w:after="0" w:line="240" w:lineRule="auto"/>
              <w:ind w:left="2"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-3.052169 </w:t>
            </w:r>
          </w:p>
        </w:tc>
        <w:tc>
          <w:tcPr>
            <w:tcW w:w="1008" w:type="dxa"/>
          </w:tcPr>
          <w:p w14:paraId="77D1DB0D" w14:textId="77777777" w:rsidR="00A13D53" w:rsidRPr="00E000DA" w:rsidRDefault="00A13D53" w:rsidP="00A13D53">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I(1) </w:t>
            </w:r>
          </w:p>
        </w:tc>
        <w:tc>
          <w:tcPr>
            <w:tcW w:w="1392" w:type="dxa"/>
          </w:tcPr>
          <w:p w14:paraId="48CD85AC" w14:textId="77777777" w:rsidR="00A13D53" w:rsidRPr="00E000DA" w:rsidRDefault="00A13D53" w:rsidP="00A13D53">
            <w:pPr>
              <w:pStyle w:val="Normal1"/>
              <w:spacing w:after="0" w:line="240" w:lineRule="auto"/>
              <w:ind w:left="1" w:right="0" w:firstLine="0"/>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Stationary </w:t>
            </w:r>
          </w:p>
        </w:tc>
      </w:tr>
      <w:tr w:rsidR="00A13D53" w:rsidRPr="00E000DA" w14:paraId="2821A32C" w14:textId="77777777" w:rsidTr="00A13D53">
        <w:trPr>
          <w:trHeight w:val="317"/>
        </w:trPr>
        <w:tc>
          <w:tcPr>
            <w:cnfStyle w:val="001000000000" w:firstRow="0" w:lastRow="0" w:firstColumn="1" w:lastColumn="0" w:oddVBand="0" w:evenVBand="0" w:oddHBand="0" w:evenHBand="0" w:firstRowFirstColumn="0" w:firstRowLastColumn="0" w:lastRowFirstColumn="0" w:lastRowLastColumn="0"/>
            <w:tcW w:w="1640" w:type="dxa"/>
          </w:tcPr>
          <w:p w14:paraId="52B2175C" w14:textId="77777777" w:rsidR="00A13D53" w:rsidRPr="00E000DA" w:rsidRDefault="00A13D53" w:rsidP="00A13D53">
            <w:pPr>
              <w:pStyle w:val="Normal1"/>
              <w:spacing w:after="0" w:line="240" w:lineRule="auto"/>
              <w:ind w:left="0" w:right="0" w:firstLine="0"/>
              <w:jc w:val="left"/>
              <w:rPr>
                <w:b w:val="0"/>
                <w:color w:val="000000" w:themeColor="text1"/>
              </w:rPr>
            </w:pPr>
            <w:r w:rsidRPr="00E000DA">
              <w:rPr>
                <w:b w:val="0"/>
                <w:color w:val="000000" w:themeColor="text1"/>
              </w:rPr>
              <w:t xml:space="preserve">GCF </w:t>
            </w:r>
          </w:p>
        </w:tc>
        <w:tc>
          <w:tcPr>
            <w:tcW w:w="1366" w:type="dxa"/>
          </w:tcPr>
          <w:p w14:paraId="15370143" w14:textId="77777777" w:rsidR="00A13D53" w:rsidRPr="00E000DA" w:rsidRDefault="00A13D53" w:rsidP="00A13D53">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-5.799085 </w:t>
            </w:r>
          </w:p>
        </w:tc>
        <w:tc>
          <w:tcPr>
            <w:tcW w:w="1289" w:type="dxa"/>
          </w:tcPr>
          <w:p w14:paraId="7A381CD6" w14:textId="77777777" w:rsidR="00A13D53" w:rsidRPr="00E000DA" w:rsidRDefault="00A13D53" w:rsidP="00A13D53">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-3.029970 </w:t>
            </w:r>
          </w:p>
        </w:tc>
        <w:tc>
          <w:tcPr>
            <w:tcW w:w="1426" w:type="dxa"/>
          </w:tcPr>
          <w:p w14:paraId="55B7321B" w14:textId="77777777" w:rsidR="00A13D53" w:rsidRPr="00E000DA" w:rsidRDefault="00A13D53" w:rsidP="00A13D53">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-9.086122 </w:t>
            </w:r>
          </w:p>
        </w:tc>
        <w:tc>
          <w:tcPr>
            <w:tcW w:w="1299" w:type="dxa"/>
          </w:tcPr>
          <w:p w14:paraId="700A1317" w14:textId="77777777" w:rsidR="00A13D53" w:rsidRPr="00E000DA" w:rsidRDefault="00A13D53" w:rsidP="00A13D53">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-3.052169 </w:t>
            </w:r>
          </w:p>
        </w:tc>
        <w:tc>
          <w:tcPr>
            <w:tcW w:w="1008" w:type="dxa"/>
          </w:tcPr>
          <w:p w14:paraId="4D8B5F07" w14:textId="77777777" w:rsidR="00A13D53" w:rsidRPr="00E000DA" w:rsidRDefault="00A13D53" w:rsidP="00A13D53">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I(0) </w:t>
            </w:r>
          </w:p>
        </w:tc>
        <w:tc>
          <w:tcPr>
            <w:tcW w:w="1392" w:type="dxa"/>
          </w:tcPr>
          <w:p w14:paraId="76C96B2D" w14:textId="77777777" w:rsidR="00A13D53" w:rsidRPr="00E000DA" w:rsidRDefault="00A13D53" w:rsidP="00A13D53">
            <w:pPr>
              <w:pStyle w:val="Normal1"/>
              <w:spacing w:after="0" w:line="240" w:lineRule="auto"/>
              <w:ind w:left="1" w:right="0" w:firstLine="0"/>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Stationary </w:t>
            </w:r>
          </w:p>
        </w:tc>
      </w:tr>
      <w:tr w:rsidR="00A13D53" w:rsidRPr="00E000DA" w14:paraId="045A24F1" w14:textId="77777777" w:rsidTr="00A13D53">
        <w:trPr>
          <w:trHeight w:val="267"/>
        </w:trPr>
        <w:tc>
          <w:tcPr>
            <w:cnfStyle w:val="001000000000" w:firstRow="0" w:lastRow="0" w:firstColumn="1" w:lastColumn="0" w:oddVBand="0" w:evenVBand="0" w:oddHBand="0" w:evenHBand="0" w:firstRowFirstColumn="0" w:firstRowLastColumn="0" w:lastRowFirstColumn="0" w:lastRowLastColumn="0"/>
            <w:tcW w:w="1640" w:type="dxa"/>
          </w:tcPr>
          <w:p w14:paraId="2D7D9232" w14:textId="77777777" w:rsidR="00A13D53" w:rsidRPr="00E000DA" w:rsidRDefault="00A13D53" w:rsidP="00A13D53">
            <w:pPr>
              <w:pStyle w:val="Normal1"/>
              <w:spacing w:after="0" w:line="240" w:lineRule="auto"/>
              <w:ind w:left="0" w:right="0" w:firstLine="0"/>
              <w:jc w:val="left"/>
              <w:rPr>
                <w:b w:val="0"/>
                <w:color w:val="000000" w:themeColor="text1"/>
              </w:rPr>
            </w:pPr>
            <w:r w:rsidRPr="00E000DA">
              <w:rPr>
                <w:b w:val="0"/>
                <w:color w:val="000000" w:themeColor="text1"/>
              </w:rPr>
              <w:t xml:space="preserve">LTR </w:t>
            </w:r>
          </w:p>
        </w:tc>
        <w:tc>
          <w:tcPr>
            <w:tcW w:w="1366" w:type="dxa"/>
          </w:tcPr>
          <w:p w14:paraId="455E5F61" w14:textId="77777777" w:rsidR="00A13D53" w:rsidRPr="00E000DA" w:rsidRDefault="00A13D53" w:rsidP="00A13D53">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-0.985543 </w:t>
            </w:r>
          </w:p>
        </w:tc>
        <w:tc>
          <w:tcPr>
            <w:tcW w:w="1289" w:type="dxa"/>
          </w:tcPr>
          <w:p w14:paraId="507DF690" w14:textId="77777777" w:rsidR="00A13D53" w:rsidRPr="00E000DA" w:rsidRDefault="00A13D53" w:rsidP="00A13D53">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-3.020686 </w:t>
            </w:r>
          </w:p>
        </w:tc>
        <w:tc>
          <w:tcPr>
            <w:tcW w:w="1426" w:type="dxa"/>
          </w:tcPr>
          <w:p w14:paraId="0B68C27D" w14:textId="77777777" w:rsidR="00A13D53" w:rsidRPr="00E000DA" w:rsidRDefault="00A13D53" w:rsidP="00A13D53">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-4.523820 </w:t>
            </w:r>
          </w:p>
        </w:tc>
        <w:tc>
          <w:tcPr>
            <w:tcW w:w="1299" w:type="dxa"/>
          </w:tcPr>
          <w:p w14:paraId="4CF9F686" w14:textId="77777777" w:rsidR="00A13D53" w:rsidRPr="00E000DA" w:rsidRDefault="00A13D53" w:rsidP="00A13D53">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-3.029970 </w:t>
            </w:r>
          </w:p>
        </w:tc>
        <w:tc>
          <w:tcPr>
            <w:tcW w:w="1008" w:type="dxa"/>
          </w:tcPr>
          <w:p w14:paraId="2C73469A" w14:textId="77777777" w:rsidR="00A13D53" w:rsidRPr="00E000DA" w:rsidRDefault="00A13D53" w:rsidP="00A13D53">
            <w:pPr>
              <w:pStyle w:val="Normal1"/>
              <w:spacing w:after="0" w:line="240" w:lineRule="auto"/>
              <w:ind w:left="36"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I(1) </w:t>
            </w:r>
          </w:p>
        </w:tc>
        <w:tc>
          <w:tcPr>
            <w:tcW w:w="1392" w:type="dxa"/>
          </w:tcPr>
          <w:p w14:paraId="5D684634" w14:textId="77777777" w:rsidR="00A13D53" w:rsidRPr="00E000DA" w:rsidRDefault="00A13D53" w:rsidP="00A13D53">
            <w:pPr>
              <w:pStyle w:val="Normal1"/>
              <w:spacing w:after="0" w:line="240" w:lineRule="auto"/>
              <w:ind w:left="35" w:right="0" w:firstLine="0"/>
              <w:cnfStyle w:val="000000000000" w:firstRow="0" w:lastRow="0" w:firstColumn="0" w:lastColumn="0" w:oddVBand="0" w:evenVBand="0" w:oddHBand="0" w:evenHBand="0" w:firstRowFirstColumn="0" w:firstRowLastColumn="0" w:lastRowFirstColumn="0" w:lastRowLastColumn="0"/>
              <w:rPr>
                <w:color w:val="000000" w:themeColor="text1"/>
              </w:rPr>
            </w:pPr>
            <w:r w:rsidRPr="00E000DA">
              <w:rPr>
                <w:color w:val="000000" w:themeColor="text1"/>
              </w:rPr>
              <w:t xml:space="preserve">Stationary </w:t>
            </w:r>
          </w:p>
        </w:tc>
      </w:tr>
    </w:tbl>
    <w:p w14:paraId="1147E22F" w14:textId="77777777" w:rsidR="00410FB6" w:rsidRPr="00E000DA" w:rsidRDefault="00410FB6" w:rsidP="00A13D53">
      <w:pPr>
        <w:pStyle w:val="Normal1"/>
        <w:spacing w:after="0" w:line="240" w:lineRule="auto"/>
        <w:ind w:left="0" w:right="1028" w:firstLine="5"/>
        <w:jc w:val="left"/>
        <w:rPr>
          <w:color w:val="000000" w:themeColor="text1"/>
        </w:rPr>
      </w:pPr>
      <w:r w:rsidRPr="00E000DA">
        <w:rPr>
          <w:color w:val="000000" w:themeColor="text1"/>
        </w:rPr>
        <w:t xml:space="preserve">Note: 5% critical value was used for ADF test  </w:t>
      </w:r>
    </w:p>
    <w:p w14:paraId="0DBCD422" w14:textId="77777777" w:rsidR="00410FB6" w:rsidRPr="00E000DA" w:rsidRDefault="00410FB6" w:rsidP="00A13D53">
      <w:pPr>
        <w:pStyle w:val="Normal1"/>
        <w:spacing w:after="0" w:line="240" w:lineRule="auto"/>
        <w:ind w:left="9" w:right="0" w:firstLine="4"/>
        <w:rPr>
          <w:color w:val="000000" w:themeColor="text1"/>
        </w:rPr>
      </w:pPr>
      <w:r w:rsidRPr="00E000DA">
        <w:rPr>
          <w:rStyle w:val="Emphasis"/>
          <w:color w:val="000000" w:themeColor="text1"/>
        </w:rPr>
        <w:t>Source: Author's Computation from EViews 10 (2026)</w:t>
      </w:r>
    </w:p>
    <w:p w14:paraId="2022D287" w14:textId="7541C75C" w:rsidR="00410FB6" w:rsidRPr="00E000DA" w:rsidRDefault="00577278" w:rsidP="0045397C">
      <w:pPr>
        <w:spacing w:before="100" w:beforeAutospacing="1" w:after="100" w:afterAutospacing="1"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9D27AE" w:rsidRPr="00E000DA">
        <w:rPr>
          <w:rFonts w:ascii="Times New Roman" w:hAnsi="Times New Roman" w:cs="Times New Roman"/>
          <w:color w:val="000000" w:themeColor="text1"/>
          <w:sz w:val="24"/>
          <w:szCs w:val="24"/>
        </w:rPr>
        <w:t>Table 2</w:t>
      </w:r>
      <w:r w:rsidR="00B15A8D" w:rsidRPr="00E000DA">
        <w:rPr>
          <w:rFonts w:ascii="Times New Roman" w:hAnsi="Times New Roman" w:cs="Times New Roman"/>
          <w:color w:val="000000" w:themeColor="text1"/>
          <w:sz w:val="24"/>
          <w:szCs w:val="24"/>
        </w:rPr>
        <w:t xml:space="preserve"> show</w:t>
      </w:r>
      <w:r w:rsidR="009D27AE" w:rsidRPr="00E000DA">
        <w:rPr>
          <w:rFonts w:ascii="Times New Roman" w:hAnsi="Times New Roman" w:cs="Times New Roman"/>
          <w:color w:val="000000" w:themeColor="text1"/>
          <w:sz w:val="24"/>
          <w:szCs w:val="24"/>
        </w:rPr>
        <w:t>ed</w:t>
      </w:r>
      <w:r w:rsidR="00B15A8D" w:rsidRPr="00E000DA">
        <w:rPr>
          <w:rFonts w:ascii="Times New Roman" w:hAnsi="Times New Roman" w:cs="Times New Roman"/>
          <w:color w:val="000000" w:themeColor="text1"/>
          <w:sz w:val="24"/>
          <w:szCs w:val="24"/>
        </w:rPr>
        <w:t xml:space="preserve"> that the ADF test statistic of the gross capital formation (GCF) is −5.799085, which is higher than the 5% critical value in absolute value (−3.029970). On the contrary, economic growth (GR) and literacy rate (LTR) were revealed as non-stationary at level 1, but they became stationary after first differencing, which means that they are integrated of order one I(1). The ADF statistics for GR (−3.999773) and LTR (−4.523820) were greater than their respective 5% critical value in absolute value, suggesting that they are stationary after differencing. The fundamental assumption of the application of the Autoregressive Distributed Lag (ARDL) Bounds Testing approach of Pesaran, Shin and Smith (2001) is held for the series because none of the variables are integrated of order two I(2). Based on the result of the unit root test, the ARDL method is suitable for analysing the short-run and long-run relationship among the variables under study, gross capital formation, labour force participation, literacy rate and economic growth in </w:t>
      </w:r>
      <w:r w:rsidR="00B15A8D" w:rsidRPr="00E000DA">
        <w:rPr>
          <w:rFonts w:ascii="Times New Roman" w:hAnsi="Times New Roman" w:cs="Times New Roman"/>
          <w:color w:val="000000" w:themeColor="text1"/>
          <w:sz w:val="24"/>
          <w:szCs w:val="24"/>
        </w:rPr>
        <w:lastRenderedPageBreak/>
        <w:t>Nigeria. After the stationarity test, the optimal lag k value was chosen by the Akaike Information Criterion (AIC), and the results are shown in Table 3.</w:t>
      </w:r>
    </w:p>
    <w:p w14:paraId="72F34507" w14:textId="77777777" w:rsidR="00410FB6" w:rsidRPr="00E000DA" w:rsidRDefault="00410FB6" w:rsidP="00410FB6">
      <w:pPr>
        <w:spacing w:after="0" w:line="240" w:lineRule="auto"/>
        <w:jc w:val="both"/>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Table 3 Lag Order Selection Criteria</w:t>
      </w:r>
    </w:p>
    <w:p w14:paraId="79AC2263" w14:textId="77777777" w:rsidR="000950D8" w:rsidRPr="000950D8" w:rsidRDefault="000950D8" w:rsidP="000950D8">
      <w:pPr>
        <w:autoSpaceDE w:val="0"/>
        <w:autoSpaceDN w:val="0"/>
        <w:adjustRightInd w:val="0"/>
        <w:spacing w:after="0" w:line="240" w:lineRule="auto"/>
        <w:rPr>
          <w:rFonts w:ascii="Times New Roman" w:hAnsi="Times New Roman" w:cs="Times New Roman"/>
          <w:color w:val="000000" w:themeColor="text1"/>
          <w:sz w:val="24"/>
          <w:szCs w:val="24"/>
        </w:rPr>
      </w:pPr>
    </w:p>
    <w:tbl>
      <w:tblPr>
        <w:tblStyle w:val="LightShading1"/>
        <w:tblW w:w="5000" w:type="pct"/>
        <w:tblLook w:val="06A0" w:firstRow="1" w:lastRow="0" w:firstColumn="1" w:lastColumn="0" w:noHBand="1" w:noVBand="1"/>
      </w:tblPr>
      <w:tblGrid>
        <w:gridCol w:w="1077"/>
        <w:gridCol w:w="1381"/>
        <w:gridCol w:w="1380"/>
        <w:gridCol w:w="1382"/>
        <w:gridCol w:w="1380"/>
        <w:gridCol w:w="1382"/>
        <w:gridCol w:w="1378"/>
      </w:tblGrid>
      <w:tr w:rsidR="000950D8" w:rsidRPr="000950D8" w14:paraId="516DB616" w14:textId="77777777" w:rsidTr="000950D8">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576" w:type="pct"/>
          </w:tcPr>
          <w:p w14:paraId="5BB0321D" w14:textId="77777777" w:rsidR="000950D8" w:rsidRPr="000950D8" w:rsidRDefault="000950D8" w:rsidP="000950D8">
            <w:pPr>
              <w:autoSpaceDE w:val="0"/>
              <w:autoSpaceDN w:val="0"/>
              <w:adjustRightInd w:val="0"/>
              <w:jc w:val="center"/>
              <w:rPr>
                <w:rFonts w:ascii="Times New Roman" w:hAnsi="Times New Roman" w:cs="Times New Roman"/>
                <w:b w:val="0"/>
                <w:color w:val="000000" w:themeColor="text1"/>
                <w:sz w:val="24"/>
                <w:szCs w:val="24"/>
              </w:rPr>
            </w:pPr>
            <w:r w:rsidRPr="000950D8">
              <w:rPr>
                <w:rFonts w:ascii="Times New Roman" w:hAnsi="Times New Roman" w:cs="Times New Roman"/>
                <w:b w:val="0"/>
                <w:color w:val="000000" w:themeColor="text1"/>
                <w:sz w:val="24"/>
                <w:szCs w:val="24"/>
              </w:rPr>
              <w:t> Lag</w:t>
            </w:r>
          </w:p>
        </w:tc>
        <w:tc>
          <w:tcPr>
            <w:tcW w:w="738" w:type="pct"/>
          </w:tcPr>
          <w:p w14:paraId="117F7002" w14:textId="77777777" w:rsidR="000950D8" w:rsidRPr="000950D8" w:rsidRDefault="000950D8" w:rsidP="000950D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0950D8">
              <w:rPr>
                <w:rFonts w:ascii="Times New Roman" w:hAnsi="Times New Roman" w:cs="Times New Roman"/>
                <w:b w:val="0"/>
                <w:color w:val="000000" w:themeColor="text1"/>
                <w:sz w:val="24"/>
                <w:szCs w:val="24"/>
              </w:rPr>
              <w:t>LogL</w:t>
            </w:r>
          </w:p>
        </w:tc>
        <w:tc>
          <w:tcPr>
            <w:tcW w:w="737" w:type="pct"/>
          </w:tcPr>
          <w:p w14:paraId="60F8BEA9" w14:textId="77777777" w:rsidR="000950D8" w:rsidRPr="000950D8" w:rsidRDefault="000950D8" w:rsidP="000950D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0950D8">
              <w:rPr>
                <w:rFonts w:ascii="Times New Roman" w:hAnsi="Times New Roman" w:cs="Times New Roman"/>
                <w:b w:val="0"/>
                <w:color w:val="000000" w:themeColor="text1"/>
                <w:sz w:val="24"/>
                <w:szCs w:val="24"/>
              </w:rPr>
              <w:t>LR</w:t>
            </w:r>
          </w:p>
        </w:tc>
        <w:tc>
          <w:tcPr>
            <w:tcW w:w="738" w:type="pct"/>
          </w:tcPr>
          <w:p w14:paraId="41B7539A" w14:textId="77777777" w:rsidR="000950D8" w:rsidRPr="000950D8" w:rsidRDefault="000950D8" w:rsidP="000950D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0950D8">
              <w:rPr>
                <w:rFonts w:ascii="Times New Roman" w:hAnsi="Times New Roman" w:cs="Times New Roman"/>
                <w:b w:val="0"/>
                <w:color w:val="000000" w:themeColor="text1"/>
                <w:sz w:val="24"/>
                <w:szCs w:val="24"/>
              </w:rPr>
              <w:t>FPE</w:t>
            </w:r>
          </w:p>
        </w:tc>
        <w:tc>
          <w:tcPr>
            <w:tcW w:w="737" w:type="pct"/>
          </w:tcPr>
          <w:p w14:paraId="310F1E9A" w14:textId="77777777" w:rsidR="000950D8" w:rsidRPr="000950D8" w:rsidRDefault="000950D8" w:rsidP="000950D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0950D8">
              <w:rPr>
                <w:rFonts w:ascii="Times New Roman" w:hAnsi="Times New Roman" w:cs="Times New Roman"/>
                <w:b w:val="0"/>
                <w:color w:val="000000" w:themeColor="text1"/>
                <w:sz w:val="24"/>
                <w:szCs w:val="24"/>
              </w:rPr>
              <w:t>AIC</w:t>
            </w:r>
          </w:p>
        </w:tc>
        <w:tc>
          <w:tcPr>
            <w:tcW w:w="738" w:type="pct"/>
          </w:tcPr>
          <w:p w14:paraId="2C15C3C0" w14:textId="77777777" w:rsidR="000950D8" w:rsidRPr="000950D8" w:rsidRDefault="000950D8" w:rsidP="000950D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0950D8">
              <w:rPr>
                <w:rFonts w:ascii="Times New Roman" w:hAnsi="Times New Roman" w:cs="Times New Roman"/>
                <w:b w:val="0"/>
                <w:color w:val="000000" w:themeColor="text1"/>
                <w:sz w:val="24"/>
                <w:szCs w:val="24"/>
              </w:rPr>
              <w:t>SC</w:t>
            </w:r>
          </w:p>
        </w:tc>
        <w:tc>
          <w:tcPr>
            <w:tcW w:w="737" w:type="pct"/>
          </w:tcPr>
          <w:p w14:paraId="5A03735E" w14:textId="77777777" w:rsidR="000950D8" w:rsidRPr="000950D8" w:rsidRDefault="000950D8" w:rsidP="000950D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0950D8">
              <w:rPr>
                <w:rFonts w:ascii="Times New Roman" w:hAnsi="Times New Roman" w:cs="Times New Roman"/>
                <w:b w:val="0"/>
                <w:color w:val="000000" w:themeColor="text1"/>
                <w:sz w:val="24"/>
                <w:szCs w:val="24"/>
              </w:rPr>
              <w:t>HQ</w:t>
            </w:r>
          </w:p>
        </w:tc>
      </w:tr>
      <w:tr w:rsidR="000950D8" w:rsidRPr="000950D8" w14:paraId="1B70CEDF" w14:textId="77777777" w:rsidTr="000950D8">
        <w:trPr>
          <w:trHeight w:val="225"/>
        </w:trPr>
        <w:tc>
          <w:tcPr>
            <w:cnfStyle w:val="001000000000" w:firstRow="0" w:lastRow="0" w:firstColumn="1" w:lastColumn="0" w:oddVBand="0" w:evenVBand="0" w:oddHBand="0" w:evenHBand="0" w:firstRowFirstColumn="0" w:firstRowLastColumn="0" w:lastRowFirstColumn="0" w:lastRowLastColumn="0"/>
            <w:tcW w:w="576" w:type="pct"/>
          </w:tcPr>
          <w:p w14:paraId="78EF5B21" w14:textId="77777777" w:rsidR="000950D8" w:rsidRPr="000950D8" w:rsidRDefault="000950D8" w:rsidP="000950D8">
            <w:pPr>
              <w:autoSpaceDE w:val="0"/>
              <w:autoSpaceDN w:val="0"/>
              <w:adjustRightInd w:val="0"/>
              <w:jc w:val="center"/>
              <w:rPr>
                <w:rFonts w:ascii="Times New Roman" w:hAnsi="Times New Roman" w:cs="Times New Roman"/>
                <w:b w:val="0"/>
                <w:color w:val="000000" w:themeColor="text1"/>
                <w:sz w:val="24"/>
                <w:szCs w:val="24"/>
              </w:rPr>
            </w:pPr>
            <w:r w:rsidRPr="000950D8">
              <w:rPr>
                <w:rFonts w:ascii="Times New Roman" w:hAnsi="Times New Roman" w:cs="Times New Roman"/>
                <w:b w:val="0"/>
                <w:color w:val="000000" w:themeColor="text1"/>
                <w:sz w:val="24"/>
                <w:szCs w:val="24"/>
              </w:rPr>
              <w:t>0</w:t>
            </w:r>
          </w:p>
        </w:tc>
        <w:tc>
          <w:tcPr>
            <w:tcW w:w="738" w:type="pct"/>
          </w:tcPr>
          <w:p w14:paraId="11880BD5" w14:textId="77777777" w:rsidR="000950D8" w:rsidRPr="000950D8"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950D8">
              <w:rPr>
                <w:rFonts w:ascii="Times New Roman" w:hAnsi="Times New Roman" w:cs="Times New Roman"/>
                <w:color w:val="000000" w:themeColor="text1"/>
                <w:sz w:val="24"/>
                <w:szCs w:val="24"/>
              </w:rPr>
              <w:t>-196.8362</w:t>
            </w:r>
          </w:p>
        </w:tc>
        <w:tc>
          <w:tcPr>
            <w:tcW w:w="737" w:type="pct"/>
          </w:tcPr>
          <w:p w14:paraId="2B3AB42F" w14:textId="77777777" w:rsidR="000950D8" w:rsidRPr="000950D8"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950D8">
              <w:rPr>
                <w:rFonts w:ascii="Times New Roman" w:hAnsi="Times New Roman" w:cs="Times New Roman"/>
                <w:color w:val="000000" w:themeColor="text1"/>
                <w:sz w:val="24"/>
                <w:szCs w:val="24"/>
              </w:rPr>
              <w:t>NA </w:t>
            </w:r>
          </w:p>
        </w:tc>
        <w:tc>
          <w:tcPr>
            <w:tcW w:w="738" w:type="pct"/>
          </w:tcPr>
          <w:p w14:paraId="061F45B2" w14:textId="77777777" w:rsidR="000950D8" w:rsidRPr="000950D8"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950D8">
              <w:rPr>
                <w:rFonts w:ascii="Times New Roman" w:hAnsi="Times New Roman" w:cs="Times New Roman"/>
                <w:color w:val="000000" w:themeColor="text1"/>
                <w:sz w:val="24"/>
                <w:szCs w:val="24"/>
              </w:rPr>
              <w:t> 95821.02</w:t>
            </w:r>
          </w:p>
        </w:tc>
        <w:tc>
          <w:tcPr>
            <w:tcW w:w="737" w:type="pct"/>
          </w:tcPr>
          <w:p w14:paraId="78C1703D" w14:textId="77777777" w:rsidR="000950D8" w:rsidRPr="000950D8"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950D8">
              <w:rPr>
                <w:rFonts w:ascii="Times New Roman" w:hAnsi="Times New Roman" w:cs="Times New Roman"/>
                <w:color w:val="000000" w:themeColor="text1"/>
                <w:sz w:val="24"/>
                <w:szCs w:val="24"/>
              </w:rPr>
              <w:t> 19.98362</w:t>
            </w:r>
          </w:p>
        </w:tc>
        <w:tc>
          <w:tcPr>
            <w:tcW w:w="738" w:type="pct"/>
          </w:tcPr>
          <w:p w14:paraId="2FFBC54E" w14:textId="77777777" w:rsidR="000950D8" w:rsidRPr="000950D8"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950D8">
              <w:rPr>
                <w:rFonts w:ascii="Times New Roman" w:hAnsi="Times New Roman" w:cs="Times New Roman"/>
                <w:color w:val="000000" w:themeColor="text1"/>
                <w:sz w:val="24"/>
                <w:szCs w:val="24"/>
              </w:rPr>
              <w:t>  20.13298*</w:t>
            </w:r>
          </w:p>
        </w:tc>
        <w:tc>
          <w:tcPr>
            <w:tcW w:w="737" w:type="pct"/>
          </w:tcPr>
          <w:p w14:paraId="68CCFF73" w14:textId="77777777" w:rsidR="000950D8" w:rsidRPr="000950D8"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950D8">
              <w:rPr>
                <w:rFonts w:ascii="Times New Roman" w:hAnsi="Times New Roman" w:cs="Times New Roman"/>
                <w:color w:val="000000" w:themeColor="text1"/>
                <w:sz w:val="24"/>
                <w:szCs w:val="24"/>
              </w:rPr>
              <w:t> 20.01277</w:t>
            </w:r>
          </w:p>
        </w:tc>
      </w:tr>
      <w:tr w:rsidR="000950D8" w:rsidRPr="000950D8" w14:paraId="6068C9BF" w14:textId="77777777" w:rsidTr="000950D8">
        <w:trPr>
          <w:trHeight w:val="225"/>
        </w:trPr>
        <w:tc>
          <w:tcPr>
            <w:cnfStyle w:val="001000000000" w:firstRow="0" w:lastRow="0" w:firstColumn="1" w:lastColumn="0" w:oddVBand="0" w:evenVBand="0" w:oddHBand="0" w:evenHBand="0" w:firstRowFirstColumn="0" w:firstRowLastColumn="0" w:lastRowFirstColumn="0" w:lastRowLastColumn="0"/>
            <w:tcW w:w="576" w:type="pct"/>
          </w:tcPr>
          <w:p w14:paraId="51BD10A9" w14:textId="77777777" w:rsidR="000950D8" w:rsidRPr="000950D8" w:rsidRDefault="000950D8" w:rsidP="000950D8">
            <w:pPr>
              <w:autoSpaceDE w:val="0"/>
              <w:autoSpaceDN w:val="0"/>
              <w:adjustRightInd w:val="0"/>
              <w:jc w:val="center"/>
              <w:rPr>
                <w:rFonts w:ascii="Times New Roman" w:hAnsi="Times New Roman" w:cs="Times New Roman"/>
                <w:b w:val="0"/>
                <w:color w:val="000000" w:themeColor="text1"/>
                <w:sz w:val="24"/>
                <w:szCs w:val="24"/>
              </w:rPr>
            </w:pPr>
            <w:r w:rsidRPr="000950D8">
              <w:rPr>
                <w:rFonts w:ascii="Times New Roman" w:hAnsi="Times New Roman" w:cs="Times New Roman"/>
                <w:b w:val="0"/>
                <w:color w:val="000000" w:themeColor="text1"/>
                <w:sz w:val="24"/>
                <w:szCs w:val="24"/>
              </w:rPr>
              <w:t>1</w:t>
            </w:r>
          </w:p>
        </w:tc>
        <w:tc>
          <w:tcPr>
            <w:tcW w:w="738" w:type="pct"/>
          </w:tcPr>
          <w:p w14:paraId="5D350074" w14:textId="77777777" w:rsidR="000950D8" w:rsidRPr="000950D8"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950D8">
              <w:rPr>
                <w:rFonts w:ascii="Times New Roman" w:hAnsi="Times New Roman" w:cs="Times New Roman"/>
                <w:color w:val="000000" w:themeColor="text1"/>
                <w:sz w:val="24"/>
                <w:szCs w:val="24"/>
              </w:rPr>
              <w:t>-185.0432</w:t>
            </w:r>
          </w:p>
        </w:tc>
        <w:tc>
          <w:tcPr>
            <w:tcW w:w="737" w:type="pct"/>
          </w:tcPr>
          <w:p w14:paraId="555F52E8" w14:textId="77777777" w:rsidR="000950D8" w:rsidRPr="000950D8"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950D8">
              <w:rPr>
                <w:rFonts w:ascii="Times New Roman" w:hAnsi="Times New Roman" w:cs="Times New Roman"/>
                <w:color w:val="000000" w:themeColor="text1"/>
                <w:sz w:val="24"/>
                <w:szCs w:val="24"/>
              </w:rPr>
              <w:t>  18.86881*</w:t>
            </w:r>
          </w:p>
        </w:tc>
        <w:tc>
          <w:tcPr>
            <w:tcW w:w="738" w:type="pct"/>
          </w:tcPr>
          <w:p w14:paraId="44FC7648" w14:textId="77777777" w:rsidR="000950D8" w:rsidRPr="000950D8"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950D8">
              <w:rPr>
                <w:rFonts w:ascii="Times New Roman" w:hAnsi="Times New Roman" w:cs="Times New Roman"/>
                <w:color w:val="000000" w:themeColor="text1"/>
                <w:sz w:val="24"/>
                <w:szCs w:val="24"/>
              </w:rPr>
              <w:t>  73650.18*</w:t>
            </w:r>
          </w:p>
        </w:tc>
        <w:tc>
          <w:tcPr>
            <w:tcW w:w="737" w:type="pct"/>
          </w:tcPr>
          <w:p w14:paraId="2452867E" w14:textId="77777777" w:rsidR="000950D8" w:rsidRPr="000950D8"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950D8">
              <w:rPr>
                <w:rFonts w:ascii="Times New Roman" w:hAnsi="Times New Roman" w:cs="Times New Roman"/>
                <w:color w:val="000000" w:themeColor="text1"/>
                <w:sz w:val="24"/>
                <w:szCs w:val="24"/>
              </w:rPr>
              <w:t>  19.70432*</w:t>
            </w:r>
          </w:p>
        </w:tc>
        <w:tc>
          <w:tcPr>
            <w:tcW w:w="738" w:type="pct"/>
          </w:tcPr>
          <w:p w14:paraId="0CFE5D8D" w14:textId="77777777" w:rsidR="000950D8" w:rsidRPr="000950D8"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950D8">
              <w:rPr>
                <w:rFonts w:ascii="Times New Roman" w:hAnsi="Times New Roman" w:cs="Times New Roman"/>
                <w:color w:val="000000" w:themeColor="text1"/>
                <w:sz w:val="24"/>
                <w:szCs w:val="24"/>
              </w:rPr>
              <w:t> 20.30176</w:t>
            </w:r>
          </w:p>
        </w:tc>
        <w:tc>
          <w:tcPr>
            <w:tcW w:w="737" w:type="pct"/>
          </w:tcPr>
          <w:p w14:paraId="1557B288" w14:textId="77777777" w:rsidR="000950D8" w:rsidRPr="000950D8"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950D8">
              <w:rPr>
                <w:rFonts w:ascii="Times New Roman" w:hAnsi="Times New Roman" w:cs="Times New Roman"/>
                <w:color w:val="000000" w:themeColor="text1"/>
                <w:sz w:val="24"/>
                <w:szCs w:val="24"/>
              </w:rPr>
              <w:t>  19.82094*</w:t>
            </w:r>
          </w:p>
        </w:tc>
      </w:tr>
    </w:tbl>
    <w:p w14:paraId="2F108306" w14:textId="77777777" w:rsidR="00410FB6" w:rsidRPr="00E000DA" w:rsidRDefault="00410FB6" w:rsidP="00410FB6">
      <w:pPr>
        <w:pStyle w:val="ds-markdown-paragraph"/>
        <w:shd w:val="clear" w:color="auto" w:fill="FFFFFF"/>
        <w:spacing w:before="0" w:beforeAutospacing="0" w:after="0" w:afterAutospacing="0"/>
        <w:rPr>
          <w:color w:val="000000" w:themeColor="text1"/>
        </w:rPr>
      </w:pPr>
      <w:r w:rsidRPr="00E000DA">
        <w:rPr>
          <w:rStyle w:val="Emphasis"/>
          <w:color w:val="000000" w:themeColor="text1"/>
        </w:rPr>
        <w:t>Source: Author's Computation from EViews 10 (2026)</w:t>
      </w:r>
    </w:p>
    <w:p w14:paraId="277F4078" w14:textId="5DDBF3B2" w:rsidR="00410FB6" w:rsidRPr="00E000DA" w:rsidRDefault="00577278" w:rsidP="0045397C">
      <w:pPr>
        <w:spacing w:before="100" w:beforeAutospacing="1" w:after="100" w:afterAutospacing="1" w:line="36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rPr>
        <w:t xml:space="preserve">   </w:t>
      </w:r>
      <w:r w:rsidR="009D27AE" w:rsidRPr="00E000DA">
        <w:rPr>
          <w:rFonts w:ascii="Times New Roman" w:hAnsi="Times New Roman" w:cs="Times New Roman"/>
          <w:color w:val="000000" w:themeColor="text1"/>
          <w:sz w:val="24"/>
          <w:szCs w:val="24"/>
        </w:rPr>
        <w:t xml:space="preserve">Based on the results of Table 3, it appeared that lag one (1) </w:t>
      </w:r>
      <w:r w:rsidR="008C1C66" w:rsidRPr="00E000DA">
        <w:rPr>
          <w:rFonts w:ascii="Times New Roman" w:hAnsi="Times New Roman" w:cs="Times New Roman"/>
          <w:color w:val="000000" w:themeColor="text1"/>
          <w:sz w:val="24"/>
          <w:szCs w:val="24"/>
        </w:rPr>
        <w:t>wa</w:t>
      </w:r>
      <w:r w:rsidR="009D27AE" w:rsidRPr="00E000DA">
        <w:rPr>
          <w:rFonts w:ascii="Times New Roman" w:hAnsi="Times New Roman" w:cs="Times New Roman"/>
          <w:color w:val="000000" w:themeColor="text1"/>
          <w:sz w:val="24"/>
          <w:szCs w:val="24"/>
        </w:rPr>
        <w:t>s used and the optimum lag length in the system, as it had the minimum value for all three criteria, that is, AIC, Hannan–Quinn (AICc) and Schwarz (BIC). The selection of the optimal lag length is crucial since it will ensure that the model estimated also reflects the dynamic relationship between the variables and will avoid over-</w:t>
      </w:r>
      <w:r w:rsidRPr="00E000DA">
        <w:rPr>
          <w:rFonts w:ascii="Times New Roman" w:hAnsi="Times New Roman" w:cs="Times New Roman"/>
          <w:color w:val="000000" w:themeColor="text1"/>
          <w:sz w:val="24"/>
          <w:szCs w:val="24"/>
        </w:rPr>
        <w:t>parameterization</w:t>
      </w:r>
      <w:r w:rsidR="009D27AE" w:rsidRPr="00E000DA">
        <w:rPr>
          <w:rFonts w:ascii="Times New Roman" w:hAnsi="Times New Roman" w:cs="Times New Roman"/>
          <w:color w:val="000000" w:themeColor="text1"/>
          <w:sz w:val="24"/>
          <w:szCs w:val="24"/>
        </w:rPr>
        <w:t xml:space="preserve"> and residual serial correlation problems. Thus, the choice of lag length 1 is a good basis for the next ARDL bounds cointegration analysis and the estimation of the short-run and long-run effects of new business density on economic growth in Nigeria. Hence, the series are I(0) and I(1), and the bound cointegration test is presented in Table 4</w:t>
      </w:r>
      <w:r w:rsidR="00410FB6" w:rsidRPr="00E000DA">
        <w:rPr>
          <w:rFonts w:ascii="Times New Roman" w:hAnsi="Times New Roman" w:cs="Times New Roman"/>
          <w:color w:val="000000" w:themeColor="text1"/>
          <w:sz w:val="24"/>
          <w:szCs w:val="24"/>
        </w:rPr>
        <w:t>.</w:t>
      </w:r>
    </w:p>
    <w:p w14:paraId="57D8F36A" w14:textId="77777777" w:rsidR="00410FB6" w:rsidRPr="00E000DA" w:rsidRDefault="00410FB6" w:rsidP="00410FB6">
      <w:pPr>
        <w:pStyle w:val="Normal1"/>
        <w:spacing w:after="0" w:line="240" w:lineRule="auto"/>
        <w:ind w:left="0" w:right="982" w:firstLine="5"/>
        <w:jc w:val="left"/>
        <w:rPr>
          <w:color w:val="000000" w:themeColor="text1"/>
        </w:rPr>
      </w:pPr>
      <w:r w:rsidRPr="00E000DA">
        <w:rPr>
          <w:color w:val="000000" w:themeColor="text1"/>
        </w:rPr>
        <w:t xml:space="preserve">Table 4: Co-integration Bound Test Result </w:t>
      </w:r>
    </w:p>
    <w:tbl>
      <w:tblPr>
        <w:tblW w:w="9590" w:type="dxa"/>
        <w:tblInd w:w="-118" w:type="dxa"/>
        <w:tblLayout w:type="fixed"/>
        <w:tblLook w:val="0400" w:firstRow="0" w:lastRow="0" w:firstColumn="0" w:lastColumn="0" w:noHBand="0" w:noVBand="1"/>
      </w:tblPr>
      <w:tblGrid>
        <w:gridCol w:w="2036"/>
        <w:gridCol w:w="4038"/>
        <w:gridCol w:w="3516"/>
      </w:tblGrid>
      <w:tr w:rsidR="00410FB6" w:rsidRPr="00E000DA" w14:paraId="3C5085CC" w14:textId="77777777" w:rsidTr="005011BF">
        <w:trPr>
          <w:cantSplit/>
          <w:trHeight w:val="338"/>
          <w:tblHeader/>
        </w:trPr>
        <w:tc>
          <w:tcPr>
            <w:tcW w:w="2036" w:type="dxa"/>
            <w:tcBorders>
              <w:top w:val="single" w:sz="8" w:space="0" w:color="000000"/>
              <w:left w:val="nil"/>
              <w:bottom w:val="single" w:sz="8" w:space="0" w:color="000000"/>
              <w:right w:val="nil"/>
            </w:tcBorders>
          </w:tcPr>
          <w:p w14:paraId="38FF0FB6" w14:textId="77777777" w:rsidR="00410FB6" w:rsidRPr="00E000DA" w:rsidRDefault="00410FB6" w:rsidP="005011BF">
            <w:pPr>
              <w:pStyle w:val="Normal1"/>
              <w:spacing w:after="0" w:line="240" w:lineRule="auto"/>
              <w:ind w:left="122" w:right="0" w:firstLine="0"/>
              <w:jc w:val="left"/>
              <w:rPr>
                <w:color w:val="000000" w:themeColor="text1"/>
              </w:rPr>
            </w:pPr>
            <w:r w:rsidRPr="00E000DA">
              <w:rPr>
                <w:color w:val="000000" w:themeColor="text1"/>
              </w:rPr>
              <w:t xml:space="preserve">Test Statistic </w:t>
            </w:r>
          </w:p>
        </w:tc>
        <w:tc>
          <w:tcPr>
            <w:tcW w:w="4038" w:type="dxa"/>
            <w:tcBorders>
              <w:top w:val="single" w:sz="8" w:space="0" w:color="000000"/>
              <w:left w:val="nil"/>
              <w:bottom w:val="single" w:sz="8" w:space="0" w:color="000000"/>
              <w:right w:val="nil"/>
            </w:tcBorders>
          </w:tcPr>
          <w:p w14:paraId="2C0A89AB" w14:textId="77777777" w:rsidR="00410FB6" w:rsidRPr="00E000DA" w:rsidRDefault="00410FB6" w:rsidP="005011BF">
            <w:pPr>
              <w:pStyle w:val="Normal1"/>
              <w:tabs>
                <w:tab w:val="center" w:pos="1916"/>
              </w:tabs>
              <w:spacing w:after="0" w:line="240" w:lineRule="auto"/>
              <w:ind w:left="0" w:right="0" w:firstLine="0"/>
              <w:jc w:val="left"/>
              <w:rPr>
                <w:color w:val="000000" w:themeColor="text1"/>
              </w:rPr>
            </w:pPr>
            <w:r w:rsidRPr="00E000DA">
              <w:rPr>
                <w:color w:val="000000" w:themeColor="text1"/>
              </w:rPr>
              <w:t>Value</w:t>
            </w:r>
            <w:r w:rsidRPr="00E000DA">
              <w:rPr>
                <w:color w:val="000000" w:themeColor="text1"/>
              </w:rPr>
              <w:tab/>
              <w:t xml:space="preserve"> </w:t>
            </w:r>
          </w:p>
        </w:tc>
        <w:tc>
          <w:tcPr>
            <w:tcW w:w="3516" w:type="dxa"/>
            <w:tcBorders>
              <w:top w:val="single" w:sz="8" w:space="0" w:color="000000"/>
              <w:left w:val="nil"/>
              <w:bottom w:val="single" w:sz="8" w:space="0" w:color="000000"/>
              <w:right w:val="nil"/>
            </w:tcBorders>
          </w:tcPr>
          <w:p w14:paraId="2B5022B7" w14:textId="77777777" w:rsidR="00410FB6" w:rsidRPr="00E000DA" w:rsidRDefault="00410FB6" w:rsidP="005011BF">
            <w:pPr>
              <w:pStyle w:val="Normal1"/>
              <w:spacing w:after="0" w:line="240" w:lineRule="auto"/>
              <w:ind w:left="206" w:right="0" w:firstLine="0"/>
              <w:jc w:val="center"/>
              <w:rPr>
                <w:color w:val="000000" w:themeColor="text1"/>
              </w:rPr>
            </w:pPr>
            <w:r w:rsidRPr="00E000DA">
              <w:rPr>
                <w:color w:val="000000" w:themeColor="text1"/>
              </w:rPr>
              <w:t xml:space="preserve">K </w:t>
            </w:r>
          </w:p>
        </w:tc>
      </w:tr>
      <w:tr w:rsidR="00410FB6" w:rsidRPr="00E000DA" w14:paraId="04595DE1" w14:textId="77777777" w:rsidTr="005011BF">
        <w:trPr>
          <w:cantSplit/>
          <w:trHeight w:val="646"/>
          <w:tblHeader/>
        </w:trPr>
        <w:tc>
          <w:tcPr>
            <w:tcW w:w="2036" w:type="dxa"/>
            <w:tcBorders>
              <w:top w:val="single" w:sz="8" w:space="0" w:color="000000"/>
              <w:left w:val="nil"/>
              <w:bottom w:val="nil"/>
              <w:right w:val="nil"/>
            </w:tcBorders>
          </w:tcPr>
          <w:p w14:paraId="7829A93D" w14:textId="77777777" w:rsidR="00410FB6" w:rsidRPr="00E000DA" w:rsidRDefault="00410FB6" w:rsidP="005011BF">
            <w:pPr>
              <w:pStyle w:val="Normal1"/>
              <w:spacing w:after="0" w:line="240" w:lineRule="auto"/>
              <w:ind w:left="122" w:right="0" w:firstLine="0"/>
              <w:jc w:val="left"/>
              <w:rPr>
                <w:color w:val="000000" w:themeColor="text1"/>
              </w:rPr>
            </w:pPr>
            <w:r w:rsidRPr="00E000DA">
              <w:rPr>
                <w:color w:val="000000" w:themeColor="text1"/>
              </w:rPr>
              <w:t xml:space="preserve">F-statistics </w:t>
            </w:r>
          </w:p>
        </w:tc>
        <w:tc>
          <w:tcPr>
            <w:tcW w:w="4038" w:type="dxa"/>
            <w:tcBorders>
              <w:top w:val="single" w:sz="8" w:space="0" w:color="000000"/>
              <w:left w:val="nil"/>
              <w:bottom w:val="nil"/>
              <w:right w:val="nil"/>
            </w:tcBorders>
          </w:tcPr>
          <w:p w14:paraId="714E89F6" w14:textId="77777777" w:rsidR="00410FB6" w:rsidRPr="00E000DA" w:rsidRDefault="00410FB6" w:rsidP="005011BF">
            <w:pPr>
              <w:pStyle w:val="Normal1"/>
              <w:tabs>
                <w:tab w:val="center" w:pos="1914"/>
              </w:tabs>
              <w:spacing w:after="0" w:line="240" w:lineRule="auto"/>
              <w:ind w:left="0" w:right="0" w:firstLine="0"/>
              <w:jc w:val="left"/>
              <w:rPr>
                <w:color w:val="000000" w:themeColor="text1"/>
              </w:rPr>
            </w:pPr>
            <w:r w:rsidRPr="00E000DA">
              <w:rPr>
                <w:color w:val="000000" w:themeColor="text1"/>
              </w:rPr>
              <w:t> </w:t>
            </w:r>
            <w:r w:rsidR="00DA7B0A" w:rsidRPr="00D55E28">
              <w:rPr>
                <w:color w:val="000000" w:themeColor="text1"/>
              </w:rPr>
              <w:t>2.008399</w:t>
            </w:r>
            <w:r w:rsidRPr="00E000DA">
              <w:rPr>
                <w:color w:val="000000" w:themeColor="text1"/>
              </w:rPr>
              <w:tab/>
              <w:t xml:space="preserve"> </w:t>
            </w:r>
          </w:p>
          <w:p w14:paraId="6D0F857F" w14:textId="77777777" w:rsidR="00410FB6" w:rsidRPr="00E000DA" w:rsidRDefault="00410FB6" w:rsidP="005011BF">
            <w:pPr>
              <w:pStyle w:val="Normal1"/>
              <w:spacing w:after="0" w:line="240" w:lineRule="auto"/>
              <w:ind w:left="0" w:right="73" w:firstLine="0"/>
              <w:jc w:val="right"/>
              <w:rPr>
                <w:color w:val="000000" w:themeColor="text1"/>
              </w:rPr>
            </w:pPr>
            <w:r w:rsidRPr="00E000DA">
              <w:rPr>
                <w:color w:val="000000" w:themeColor="text1"/>
              </w:rPr>
              <w:t xml:space="preserve">Critical Bounds Value </w:t>
            </w:r>
          </w:p>
        </w:tc>
        <w:tc>
          <w:tcPr>
            <w:tcW w:w="3516" w:type="dxa"/>
            <w:tcBorders>
              <w:top w:val="single" w:sz="8" w:space="0" w:color="000000"/>
              <w:left w:val="nil"/>
              <w:bottom w:val="nil"/>
              <w:right w:val="nil"/>
            </w:tcBorders>
          </w:tcPr>
          <w:p w14:paraId="07813EF8" w14:textId="77777777" w:rsidR="00410FB6" w:rsidRPr="00E000DA" w:rsidRDefault="00410FB6" w:rsidP="005011BF">
            <w:pPr>
              <w:pStyle w:val="Normal1"/>
              <w:spacing w:after="0" w:line="240" w:lineRule="auto"/>
              <w:ind w:left="148" w:right="0" w:firstLine="0"/>
              <w:jc w:val="center"/>
              <w:rPr>
                <w:color w:val="000000" w:themeColor="text1"/>
              </w:rPr>
            </w:pPr>
            <w:r w:rsidRPr="00E000DA">
              <w:rPr>
                <w:color w:val="000000" w:themeColor="text1"/>
              </w:rPr>
              <w:t xml:space="preserve">2 </w:t>
            </w:r>
          </w:p>
        </w:tc>
      </w:tr>
      <w:tr w:rsidR="00410FB6" w:rsidRPr="00E000DA" w14:paraId="17E146B9" w14:textId="77777777" w:rsidTr="005011BF">
        <w:trPr>
          <w:cantSplit/>
          <w:trHeight w:val="318"/>
          <w:tblHeader/>
        </w:trPr>
        <w:tc>
          <w:tcPr>
            <w:tcW w:w="2036" w:type="dxa"/>
            <w:tcBorders>
              <w:top w:val="nil"/>
              <w:left w:val="nil"/>
              <w:bottom w:val="nil"/>
              <w:right w:val="nil"/>
            </w:tcBorders>
          </w:tcPr>
          <w:p w14:paraId="73733389" w14:textId="77777777" w:rsidR="00410FB6" w:rsidRPr="00E000DA" w:rsidRDefault="00410FB6" w:rsidP="005011BF">
            <w:pPr>
              <w:pStyle w:val="Normal1"/>
              <w:spacing w:after="0" w:line="240" w:lineRule="auto"/>
              <w:ind w:left="122" w:right="0" w:firstLine="0"/>
              <w:jc w:val="left"/>
              <w:rPr>
                <w:color w:val="000000" w:themeColor="text1"/>
              </w:rPr>
            </w:pPr>
            <w:r w:rsidRPr="00E000DA">
              <w:rPr>
                <w:color w:val="000000" w:themeColor="text1"/>
              </w:rPr>
              <w:t xml:space="preserve">Significance level </w:t>
            </w:r>
          </w:p>
        </w:tc>
        <w:tc>
          <w:tcPr>
            <w:tcW w:w="4038" w:type="dxa"/>
            <w:tcBorders>
              <w:top w:val="nil"/>
              <w:left w:val="nil"/>
              <w:bottom w:val="nil"/>
              <w:right w:val="nil"/>
            </w:tcBorders>
          </w:tcPr>
          <w:p w14:paraId="258D14D1" w14:textId="77777777" w:rsidR="00410FB6" w:rsidRPr="00E000DA" w:rsidRDefault="00410FB6" w:rsidP="005011BF">
            <w:pPr>
              <w:pStyle w:val="Normal1"/>
              <w:spacing w:after="0" w:line="240" w:lineRule="auto"/>
              <w:ind w:left="620" w:right="0" w:firstLine="0"/>
              <w:jc w:val="center"/>
              <w:rPr>
                <w:color w:val="000000" w:themeColor="text1"/>
              </w:rPr>
            </w:pPr>
            <w:r w:rsidRPr="00E000DA">
              <w:rPr>
                <w:color w:val="000000" w:themeColor="text1"/>
              </w:rPr>
              <w:t>Lower bound I(0)</w:t>
            </w:r>
          </w:p>
        </w:tc>
        <w:tc>
          <w:tcPr>
            <w:tcW w:w="3516" w:type="dxa"/>
            <w:tcBorders>
              <w:top w:val="nil"/>
              <w:left w:val="nil"/>
              <w:bottom w:val="nil"/>
              <w:right w:val="nil"/>
            </w:tcBorders>
          </w:tcPr>
          <w:p w14:paraId="30646E1E" w14:textId="77777777" w:rsidR="00410FB6" w:rsidRPr="00E000DA" w:rsidRDefault="00410FB6" w:rsidP="005011BF">
            <w:pPr>
              <w:pStyle w:val="Normal1"/>
              <w:spacing w:after="0" w:line="240" w:lineRule="auto"/>
              <w:ind w:left="0" w:right="0" w:firstLine="0"/>
              <w:jc w:val="center"/>
              <w:rPr>
                <w:color w:val="000000" w:themeColor="text1"/>
              </w:rPr>
            </w:pPr>
            <w:r w:rsidRPr="00E000DA">
              <w:rPr>
                <w:color w:val="000000" w:themeColor="text1"/>
              </w:rPr>
              <w:t>Upper bound I(1)</w:t>
            </w:r>
          </w:p>
        </w:tc>
      </w:tr>
      <w:tr w:rsidR="00410FB6" w:rsidRPr="00E000DA" w14:paraId="6ED99D83" w14:textId="77777777" w:rsidTr="005011BF">
        <w:trPr>
          <w:cantSplit/>
          <w:trHeight w:val="318"/>
          <w:tblHeader/>
        </w:trPr>
        <w:tc>
          <w:tcPr>
            <w:tcW w:w="2036" w:type="dxa"/>
            <w:tcBorders>
              <w:top w:val="nil"/>
              <w:left w:val="nil"/>
              <w:bottom w:val="nil"/>
              <w:right w:val="nil"/>
            </w:tcBorders>
          </w:tcPr>
          <w:p w14:paraId="3862E82C" w14:textId="77777777" w:rsidR="00410FB6" w:rsidRPr="00E000DA" w:rsidRDefault="00410FB6" w:rsidP="005011BF">
            <w:pPr>
              <w:pStyle w:val="Normal1"/>
              <w:spacing w:after="0" w:line="240" w:lineRule="auto"/>
              <w:ind w:left="122" w:right="0" w:firstLine="0"/>
              <w:jc w:val="left"/>
              <w:rPr>
                <w:color w:val="000000" w:themeColor="text1"/>
              </w:rPr>
            </w:pPr>
            <w:r w:rsidRPr="00E000DA">
              <w:rPr>
                <w:color w:val="000000" w:themeColor="text1"/>
              </w:rPr>
              <w:t xml:space="preserve">10% </w:t>
            </w:r>
          </w:p>
        </w:tc>
        <w:tc>
          <w:tcPr>
            <w:tcW w:w="4038" w:type="dxa"/>
            <w:tcBorders>
              <w:top w:val="nil"/>
              <w:left w:val="nil"/>
              <w:bottom w:val="nil"/>
              <w:right w:val="nil"/>
            </w:tcBorders>
            <w:vAlign w:val="bottom"/>
          </w:tcPr>
          <w:p w14:paraId="4571A5F8" w14:textId="77777777" w:rsidR="00410FB6" w:rsidRPr="00E000DA" w:rsidRDefault="00410FB6" w:rsidP="005011BF">
            <w:pPr>
              <w:autoSpaceDE w:val="0"/>
              <w:autoSpaceDN w:val="0"/>
              <w:adjustRightInd w:val="0"/>
              <w:spacing w:after="0" w:line="240" w:lineRule="auto"/>
              <w:ind w:right="10"/>
              <w:jc w:val="center"/>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2.63</w:t>
            </w:r>
          </w:p>
        </w:tc>
        <w:tc>
          <w:tcPr>
            <w:tcW w:w="3516" w:type="dxa"/>
            <w:tcBorders>
              <w:top w:val="nil"/>
              <w:left w:val="nil"/>
              <w:bottom w:val="nil"/>
              <w:right w:val="nil"/>
            </w:tcBorders>
            <w:vAlign w:val="bottom"/>
          </w:tcPr>
          <w:p w14:paraId="33F8E799" w14:textId="77777777" w:rsidR="00410FB6" w:rsidRPr="00E000DA" w:rsidRDefault="00410FB6" w:rsidP="005011BF">
            <w:pPr>
              <w:autoSpaceDE w:val="0"/>
              <w:autoSpaceDN w:val="0"/>
              <w:adjustRightInd w:val="0"/>
              <w:spacing w:after="0" w:line="240" w:lineRule="auto"/>
              <w:ind w:right="10"/>
              <w:jc w:val="center"/>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3.35</w:t>
            </w:r>
          </w:p>
        </w:tc>
      </w:tr>
      <w:tr w:rsidR="00410FB6" w:rsidRPr="00E000DA" w14:paraId="0F541ED0" w14:textId="77777777" w:rsidTr="005011BF">
        <w:trPr>
          <w:cantSplit/>
          <w:trHeight w:val="317"/>
          <w:tblHeader/>
        </w:trPr>
        <w:tc>
          <w:tcPr>
            <w:tcW w:w="2036" w:type="dxa"/>
            <w:tcBorders>
              <w:top w:val="nil"/>
              <w:left w:val="nil"/>
              <w:bottom w:val="nil"/>
              <w:right w:val="nil"/>
            </w:tcBorders>
          </w:tcPr>
          <w:p w14:paraId="2D7CAEFD" w14:textId="77777777" w:rsidR="00410FB6" w:rsidRPr="00E000DA" w:rsidRDefault="00410FB6" w:rsidP="005011BF">
            <w:pPr>
              <w:pStyle w:val="Normal1"/>
              <w:spacing w:after="0" w:line="240" w:lineRule="auto"/>
              <w:ind w:left="122" w:right="0" w:firstLine="0"/>
              <w:jc w:val="left"/>
              <w:rPr>
                <w:color w:val="000000" w:themeColor="text1"/>
              </w:rPr>
            </w:pPr>
            <w:r w:rsidRPr="00E000DA">
              <w:rPr>
                <w:color w:val="000000" w:themeColor="text1"/>
              </w:rPr>
              <w:t xml:space="preserve">5% </w:t>
            </w:r>
          </w:p>
        </w:tc>
        <w:tc>
          <w:tcPr>
            <w:tcW w:w="4038" w:type="dxa"/>
            <w:tcBorders>
              <w:top w:val="nil"/>
              <w:left w:val="nil"/>
              <w:bottom w:val="nil"/>
              <w:right w:val="nil"/>
            </w:tcBorders>
            <w:vAlign w:val="bottom"/>
          </w:tcPr>
          <w:p w14:paraId="2351F841" w14:textId="77777777" w:rsidR="00410FB6" w:rsidRPr="00E000DA" w:rsidRDefault="00410FB6" w:rsidP="005011BF">
            <w:pPr>
              <w:autoSpaceDE w:val="0"/>
              <w:autoSpaceDN w:val="0"/>
              <w:adjustRightInd w:val="0"/>
              <w:spacing w:after="0" w:line="240" w:lineRule="auto"/>
              <w:ind w:right="10"/>
              <w:jc w:val="center"/>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3.1</w:t>
            </w:r>
          </w:p>
        </w:tc>
        <w:tc>
          <w:tcPr>
            <w:tcW w:w="3516" w:type="dxa"/>
            <w:tcBorders>
              <w:top w:val="nil"/>
              <w:left w:val="nil"/>
              <w:bottom w:val="nil"/>
              <w:right w:val="nil"/>
            </w:tcBorders>
            <w:vAlign w:val="bottom"/>
          </w:tcPr>
          <w:p w14:paraId="1AAD8F03" w14:textId="77777777" w:rsidR="00410FB6" w:rsidRPr="00E000DA" w:rsidRDefault="00410FB6" w:rsidP="005011BF">
            <w:pPr>
              <w:autoSpaceDE w:val="0"/>
              <w:autoSpaceDN w:val="0"/>
              <w:adjustRightInd w:val="0"/>
              <w:spacing w:after="0" w:line="240" w:lineRule="auto"/>
              <w:ind w:right="10"/>
              <w:jc w:val="center"/>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3.87</w:t>
            </w:r>
          </w:p>
        </w:tc>
      </w:tr>
      <w:tr w:rsidR="00410FB6" w:rsidRPr="00E000DA" w14:paraId="5CE168E8" w14:textId="77777777" w:rsidTr="005011BF">
        <w:trPr>
          <w:cantSplit/>
          <w:trHeight w:val="317"/>
          <w:tblHeader/>
        </w:trPr>
        <w:tc>
          <w:tcPr>
            <w:tcW w:w="2036" w:type="dxa"/>
            <w:tcBorders>
              <w:top w:val="nil"/>
              <w:left w:val="nil"/>
              <w:bottom w:val="nil"/>
              <w:right w:val="nil"/>
            </w:tcBorders>
          </w:tcPr>
          <w:p w14:paraId="292ED84C" w14:textId="77777777" w:rsidR="00410FB6" w:rsidRPr="00E000DA" w:rsidRDefault="00410FB6" w:rsidP="005011BF">
            <w:pPr>
              <w:pStyle w:val="Normal1"/>
              <w:spacing w:after="0" w:line="240" w:lineRule="auto"/>
              <w:ind w:left="122" w:right="0" w:firstLine="0"/>
              <w:jc w:val="left"/>
              <w:rPr>
                <w:color w:val="000000" w:themeColor="text1"/>
              </w:rPr>
            </w:pPr>
            <w:r w:rsidRPr="00E000DA">
              <w:rPr>
                <w:color w:val="000000" w:themeColor="text1"/>
              </w:rPr>
              <w:t xml:space="preserve">2.5% </w:t>
            </w:r>
          </w:p>
        </w:tc>
        <w:tc>
          <w:tcPr>
            <w:tcW w:w="4038" w:type="dxa"/>
            <w:tcBorders>
              <w:top w:val="nil"/>
              <w:left w:val="nil"/>
              <w:bottom w:val="nil"/>
              <w:right w:val="nil"/>
            </w:tcBorders>
            <w:vAlign w:val="bottom"/>
          </w:tcPr>
          <w:p w14:paraId="052CA112" w14:textId="77777777" w:rsidR="00410FB6" w:rsidRPr="00E000DA" w:rsidRDefault="00410FB6" w:rsidP="005011BF">
            <w:pPr>
              <w:autoSpaceDE w:val="0"/>
              <w:autoSpaceDN w:val="0"/>
              <w:adjustRightInd w:val="0"/>
              <w:spacing w:after="0" w:line="240" w:lineRule="auto"/>
              <w:ind w:right="10"/>
              <w:jc w:val="center"/>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3.55</w:t>
            </w:r>
          </w:p>
        </w:tc>
        <w:tc>
          <w:tcPr>
            <w:tcW w:w="3516" w:type="dxa"/>
            <w:tcBorders>
              <w:top w:val="nil"/>
              <w:left w:val="nil"/>
              <w:bottom w:val="nil"/>
              <w:right w:val="nil"/>
            </w:tcBorders>
            <w:vAlign w:val="bottom"/>
          </w:tcPr>
          <w:p w14:paraId="1C2BF1A1" w14:textId="77777777" w:rsidR="00410FB6" w:rsidRPr="00E000DA" w:rsidRDefault="00410FB6" w:rsidP="005011BF">
            <w:pPr>
              <w:autoSpaceDE w:val="0"/>
              <w:autoSpaceDN w:val="0"/>
              <w:adjustRightInd w:val="0"/>
              <w:spacing w:after="0" w:line="240" w:lineRule="auto"/>
              <w:ind w:right="10"/>
              <w:jc w:val="center"/>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4.38</w:t>
            </w:r>
          </w:p>
        </w:tc>
      </w:tr>
      <w:tr w:rsidR="00410FB6" w:rsidRPr="00E000DA" w14:paraId="23510677" w14:textId="77777777" w:rsidTr="005011BF">
        <w:trPr>
          <w:cantSplit/>
          <w:trHeight w:val="326"/>
          <w:tblHeader/>
        </w:trPr>
        <w:tc>
          <w:tcPr>
            <w:tcW w:w="2036" w:type="dxa"/>
            <w:tcBorders>
              <w:top w:val="nil"/>
              <w:left w:val="nil"/>
              <w:bottom w:val="single" w:sz="8" w:space="0" w:color="000000"/>
              <w:right w:val="nil"/>
            </w:tcBorders>
          </w:tcPr>
          <w:p w14:paraId="4E8267B1" w14:textId="77777777" w:rsidR="00410FB6" w:rsidRPr="00E000DA" w:rsidRDefault="00410FB6" w:rsidP="005011BF">
            <w:pPr>
              <w:pStyle w:val="Normal1"/>
              <w:spacing w:after="0" w:line="240" w:lineRule="auto"/>
              <w:ind w:left="122" w:right="0" w:firstLine="0"/>
              <w:jc w:val="left"/>
              <w:rPr>
                <w:color w:val="000000" w:themeColor="text1"/>
              </w:rPr>
            </w:pPr>
            <w:r w:rsidRPr="00E000DA">
              <w:rPr>
                <w:color w:val="000000" w:themeColor="text1"/>
              </w:rPr>
              <w:t xml:space="preserve">1% </w:t>
            </w:r>
          </w:p>
        </w:tc>
        <w:tc>
          <w:tcPr>
            <w:tcW w:w="4038" w:type="dxa"/>
            <w:tcBorders>
              <w:top w:val="nil"/>
              <w:left w:val="nil"/>
              <w:bottom w:val="single" w:sz="8" w:space="0" w:color="000000"/>
              <w:right w:val="nil"/>
            </w:tcBorders>
            <w:vAlign w:val="bottom"/>
          </w:tcPr>
          <w:p w14:paraId="7BD0E237" w14:textId="77777777" w:rsidR="00410FB6" w:rsidRPr="00E000DA" w:rsidRDefault="00410FB6" w:rsidP="005011BF">
            <w:pPr>
              <w:autoSpaceDE w:val="0"/>
              <w:autoSpaceDN w:val="0"/>
              <w:adjustRightInd w:val="0"/>
              <w:spacing w:after="0" w:line="240" w:lineRule="auto"/>
              <w:ind w:right="10"/>
              <w:jc w:val="center"/>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4.13</w:t>
            </w:r>
          </w:p>
        </w:tc>
        <w:tc>
          <w:tcPr>
            <w:tcW w:w="3516" w:type="dxa"/>
            <w:tcBorders>
              <w:top w:val="nil"/>
              <w:left w:val="nil"/>
              <w:bottom w:val="single" w:sz="8" w:space="0" w:color="000000"/>
              <w:right w:val="nil"/>
            </w:tcBorders>
            <w:vAlign w:val="bottom"/>
          </w:tcPr>
          <w:p w14:paraId="17834DEC" w14:textId="77777777" w:rsidR="00410FB6" w:rsidRPr="00E000DA" w:rsidRDefault="00410FB6" w:rsidP="005011BF">
            <w:pPr>
              <w:autoSpaceDE w:val="0"/>
              <w:autoSpaceDN w:val="0"/>
              <w:adjustRightInd w:val="0"/>
              <w:spacing w:after="0" w:line="240" w:lineRule="auto"/>
              <w:ind w:right="10"/>
              <w:jc w:val="center"/>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5</w:t>
            </w:r>
          </w:p>
        </w:tc>
      </w:tr>
    </w:tbl>
    <w:p w14:paraId="7671D1C1" w14:textId="77777777" w:rsidR="00410FB6" w:rsidRPr="00E000DA" w:rsidRDefault="00410FB6" w:rsidP="00410FB6">
      <w:pPr>
        <w:pStyle w:val="ds-markdown-paragraph"/>
        <w:shd w:val="clear" w:color="auto" w:fill="FFFFFF"/>
        <w:spacing w:before="0" w:beforeAutospacing="0" w:after="0" w:afterAutospacing="0"/>
        <w:rPr>
          <w:color w:val="000000" w:themeColor="text1"/>
        </w:rPr>
      </w:pPr>
      <w:r w:rsidRPr="00E000DA">
        <w:rPr>
          <w:rStyle w:val="Emphasis"/>
          <w:color w:val="000000" w:themeColor="text1"/>
        </w:rPr>
        <w:t>Note: K = Number of Variables</w:t>
      </w:r>
    </w:p>
    <w:p w14:paraId="0788C0BE" w14:textId="77777777" w:rsidR="003E2170" w:rsidRPr="00E000DA" w:rsidRDefault="00410FB6" w:rsidP="003E2170">
      <w:pPr>
        <w:pStyle w:val="ds-markdown-paragraph"/>
        <w:shd w:val="clear" w:color="auto" w:fill="FFFFFF"/>
        <w:spacing w:before="0" w:beforeAutospacing="0" w:after="0" w:afterAutospacing="0" w:line="480" w:lineRule="auto"/>
        <w:rPr>
          <w:rStyle w:val="Emphasis"/>
          <w:color w:val="000000" w:themeColor="text1"/>
        </w:rPr>
      </w:pPr>
      <w:r w:rsidRPr="00E000DA">
        <w:rPr>
          <w:rStyle w:val="Emphasis"/>
          <w:color w:val="000000" w:themeColor="text1"/>
        </w:rPr>
        <w:t>Source: Author's Computation from EViews 10 (2026)</w:t>
      </w:r>
    </w:p>
    <w:p w14:paraId="2456F498" w14:textId="561DD9C6" w:rsidR="00410FB6" w:rsidRPr="00E000DA" w:rsidRDefault="00577278" w:rsidP="003E2170">
      <w:pPr>
        <w:pStyle w:val="ds-markdown-paragraph"/>
        <w:shd w:val="clear" w:color="auto" w:fill="FFFFFF"/>
        <w:spacing w:before="0" w:beforeAutospacing="0" w:after="0" w:afterAutospacing="0" w:line="360" w:lineRule="auto"/>
        <w:jc w:val="both"/>
        <w:rPr>
          <w:color w:val="000000" w:themeColor="text1"/>
        </w:rPr>
      </w:pPr>
      <w:r>
        <w:rPr>
          <w:color w:val="000000" w:themeColor="text1"/>
        </w:rPr>
        <w:t xml:space="preserve">  </w:t>
      </w:r>
      <w:r w:rsidR="00CB56EB" w:rsidRPr="00E000DA">
        <w:rPr>
          <w:color w:val="000000" w:themeColor="text1"/>
        </w:rPr>
        <w:t xml:space="preserve">The outcome of the ARDL bounds cointegration test is displayed in Table 4. The estimated F-statistic (2.008399) is below the lower bound critical values at 10%, 5%, 2.5% and 1% significance levels. Hence, the null hypothesis of no long-run cointegration is not rejected, which means there is no evidence of a stable LR equilibrium relationship between economic growth, gross capital formation and literacy rate in Nigeria during the study period. This finding implies that the </w:t>
      </w:r>
      <w:r w:rsidR="00CB56EB" w:rsidRPr="00E000DA">
        <w:rPr>
          <w:color w:val="000000" w:themeColor="text1"/>
        </w:rPr>
        <w:lastRenderedPageBreak/>
        <w:t>variables do not move together in the long run, and therefore the long-run ARDL model and the related Error Correction Model (ECM) are not supported by the data. However, other post-estimation diagnostic tests were undertaken to evaluate the sufficiency and validity of the estimated model, which can be seen in Table 5.</w:t>
      </w:r>
    </w:p>
    <w:p w14:paraId="36F22E35" w14:textId="77777777" w:rsidR="00410FB6" w:rsidRPr="00E000DA" w:rsidRDefault="00410FB6" w:rsidP="00410FB6">
      <w:pPr>
        <w:shd w:val="clear" w:color="auto" w:fill="FFFFFF"/>
        <w:spacing w:after="0" w:line="240" w:lineRule="auto"/>
        <w:rPr>
          <w:rFonts w:ascii="Times New Roman" w:eastAsia="Times New Roman" w:hAnsi="Times New Roman" w:cs="Times New Roman"/>
          <w:color w:val="000000" w:themeColor="text1"/>
          <w:sz w:val="24"/>
          <w:szCs w:val="24"/>
        </w:rPr>
      </w:pPr>
      <w:r w:rsidRPr="00E000DA">
        <w:rPr>
          <w:rFonts w:ascii="Times New Roman" w:eastAsia="Times New Roman" w:hAnsi="Times New Roman" w:cs="Times New Roman"/>
          <w:bCs/>
          <w:color w:val="000000" w:themeColor="text1"/>
          <w:sz w:val="24"/>
          <w:szCs w:val="24"/>
        </w:rPr>
        <w:t>Table 5: Diagnostic Test Results</w:t>
      </w:r>
    </w:p>
    <w:tbl>
      <w:tblPr>
        <w:tblW w:w="5000" w:type="pct"/>
        <w:tblBorders>
          <w:top w:val="single" w:sz="8" w:space="0" w:color="000000"/>
          <w:bottom w:val="single" w:sz="8" w:space="0" w:color="000000"/>
        </w:tblBorders>
        <w:tblLook w:val="06A0" w:firstRow="1" w:lastRow="0" w:firstColumn="1" w:lastColumn="0" w:noHBand="1" w:noVBand="1"/>
      </w:tblPr>
      <w:tblGrid>
        <w:gridCol w:w="6011"/>
        <w:gridCol w:w="1923"/>
        <w:gridCol w:w="1426"/>
      </w:tblGrid>
      <w:tr w:rsidR="00410FB6" w:rsidRPr="00E000DA" w14:paraId="21A72167" w14:textId="77777777" w:rsidTr="005011BF">
        <w:tc>
          <w:tcPr>
            <w:tcW w:w="3211" w:type="pct"/>
            <w:tcBorders>
              <w:top w:val="single" w:sz="8" w:space="0" w:color="000000"/>
              <w:left w:val="nil"/>
              <w:bottom w:val="single" w:sz="8" w:space="0" w:color="000000"/>
              <w:right w:val="nil"/>
            </w:tcBorders>
            <w:hideMark/>
          </w:tcPr>
          <w:p w14:paraId="03E36992" w14:textId="77777777" w:rsidR="00410FB6" w:rsidRPr="00E000DA" w:rsidRDefault="00410FB6" w:rsidP="005011BF">
            <w:pPr>
              <w:spacing w:after="0" w:line="240" w:lineRule="auto"/>
              <w:rPr>
                <w:rFonts w:ascii="Times New Roman" w:eastAsia="Times New Roman" w:hAnsi="Times New Roman" w:cs="Times New Roman"/>
                <w:bCs/>
                <w:color w:val="000000" w:themeColor="text1"/>
                <w:sz w:val="24"/>
                <w:szCs w:val="24"/>
              </w:rPr>
            </w:pPr>
            <w:r w:rsidRPr="00E000DA">
              <w:rPr>
                <w:rFonts w:ascii="Times New Roman" w:eastAsia="Times New Roman" w:hAnsi="Times New Roman" w:cs="Times New Roman"/>
                <w:bCs/>
                <w:color w:val="000000" w:themeColor="text1"/>
                <w:sz w:val="24"/>
                <w:szCs w:val="24"/>
              </w:rPr>
              <w:t>Diagnostic Tests</w:t>
            </w:r>
          </w:p>
        </w:tc>
        <w:tc>
          <w:tcPr>
            <w:tcW w:w="1027" w:type="pct"/>
            <w:tcBorders>
              <w:top w:val="single" w:sz="8" w:space="0" w:color="000000"/>
              <w:left w:val="nil"/>
              <w:bottom w:val="single" w:sz="8" w:space="0" w:color="000000"/>
              <w:right w:val="nil"/>
            </w:tcBorders>
            <w:hideMark/>
          </w:tcPr>
          <w:p w14:paraId="4655B000" w14:textId="77777777" w:rsidR="00410FB6" w:rsidRPr="00E000DA" w:rsidRDefault="00410FB6" w:rsidP="005011BF">
            <w:pPr>
              <w:spacing w:after="0" w:line="240" w:lineRule="auto"/>
              <w:rPr>
                <w:rFonts w:ascii="Times New Roman" w:eastAsia="Times New Roman" w:hAnsi="Times New Roman" w:cs="Times New Roman"/>
                <w:bCs/>
                <w:color w:val="000000" w:themeColor="text1"/>
                <w:sz w:val="24"/>
                <w:szCs w:val="24"/>
              </w:rPr>
            </w:pPr>
            <w:r w:rsidRPr="00E000DA">
              <w:rPr>
                <w:rFonts w:ascii="Times New Roman" w:eastAsia="Times New Roman" w:hAnsi="Times New Roman" w:cs="Times New Roman"/>
                <w:bCs/>
                <w:color w:val="000000" w:themeColor="text1"/>
                <w:sz w:val="24"/>
                <w:szCs w:val="24"/>
              </w:rPr>
              <w:t>F-statistics</w:t>
            </w:r>
          </w:p>
        </w:tc>
        <w:tc>
          <w:tcPr>
            <w:tcW w:w="762" w:type="pct"/>
            <w:tcBorders>
              <w:top w:val="single" w:sz="8" w:space="0" w:color="000000"/>
              <w:left w:val="nil"/>
              <w:bottom w:val="single" w:sz="8" w:space="0" w:color="000000"/>
              <w:right w:val="nil"/>
            </w:tcBorders>
            <w:hideMark/>
          </w:tcPr>
          <w:p w14:paraId="604DBF0C" w14:textId="77777777" w:rsidR="00410FB6" w:rsidRPr="00E000DA" w:rsidRDefault="00410FB6" w:rsidP="005011BF">
            <w:pPr>
              <w:spacing w:after="0" w:line="240" w:lineRule="auto"/>
              <w:rPr>
                <w:rFonts w:ascii="Times New Roman" w:eastAsia="Times New Roman" w:hAnsi="Times New Roman" w:cs="Times New Roman"/>
                <w:bCs/>
                <w:color w:val="000000" w:themeColor="text1"/>
                <w:sz w:val="24"/>
                <w:szCs w:val="24"/>
              </w:rPr>
            </w:pPr>
            <w:r w:rsidRPr="00E000DA">
              <w:rPr>
                <w:rFonts w:ascii="Times New Roman" w:eastAsia="Times New Roman" w:hAnsi="Times New Roman" w:cs="Times New Roman"/>
                <w:bCs/>
                <w:color w:val="000000" w:themeColor="text1"/>
                <w:sz w:val="24"/>
                <w:szCs w:val="24"/>
              </w:rPr>
              <w:t>Probability</w:t>
            </w:r>
          </w:p>
        </w:tc>
      </w:tr>
      <w:tr w:rsidR="00410FB6" w:rsidRPr="00E000DA" w14:paraId="33361285" w14:textId="77777777" w:rsidTr="005011BF">
        <w:tc>
          <w:tcPr>
            <w:tcW w:w="3211" w:type="pct"/>
            <w:hideMark/>
          </w:tcPr>
          <w:p w14:paraId="23B9316E" w14:textId="77777777" w:rsidR="00410FB6" w:rsidRPr="00E000DA" w:rsidRDefault="00410FB6" w:rsidP="005011BF">
            <w:pPr>
              <w:spacing w:after="0" w:line="240" w:lineRule="auto"/>
              <w:rPr>
                <w:rFonts w:ascii="Times New Roman" w:eastAsia="Times New Roman" w:hAnsi="Times New Roman" w:cs="Times New Roman"/>
                <w:bCs/>
                <w:color w:val="000000" w:themeColor="text1"/>
                <w:sz w:val="24"/>
                <w:szCs w:val="24"/>
              </w:rPr>
            </w:pPr>
            <w:r w:rsidRPr="00E000DA">
              <w:rPr>
                <w:rFonts w:ascii="Times New Roman" w:eastAsia="Times New Roman" w:hAnsi="Times New Roman" w:cs="Times New Roman"/>
                <w:bCs/>
                <w:color w:val="000000" w:themeColor="text1"/>
                <w:sz w:val="24"/>
                <w:szCs w:val="24"/>
              </w:rPr>
              <w:t>Jarque-Bera</w:t>
            </w:r>
          </w:p>
        </w:tc>
        <w:tc>
          <w:tcPr>
            <w:tcW w:w="1027" w:type="pct"/>
            <w:hideMark/>
          </w:tcPr>
          <w:p w14:paraId="12AA079B" w14:textId="77777777" w:rsidR="00410FB6" w:rsidRPr="00E000DA" w:rsidRDefault="00410FB6" w:rsidP="00DA7B0A">
            <w:pPr>
              <w:spacing w:after="0" w:line="240" w:lineRule="auto"/>
              <w:rPr>
                <w:rFonts w:ascii="Times New Roman" w:eastAsia="Times New Roman" w:hAnsi="Times New Roman" w:cs="Times New Roman"/>
                <w:color w:val="000000" w:themeColor="text1"/>
                <w:sz w:val="24"/>
                <w:szCs w:val="24"/>
              </w:rPr>
            </w:pPr>
            <w:r w:rsidRPr="00E000DA">
              <w:rPr>
                <w:rFonts w:ascii="Times New Roman" w:eastAsia="Times New Roman" w:hAnsi="Times New Roman" w:cs="Times New Roman"/>
                <w:color w:val="000000" w:themeColor="text1"/>
                <w:sz w:val="24"/>
                <w:szCs w:val="24"/>
              </w:rPr>
              <w:t>0.</w:t>
            </w:r>
            <w:r w:rsidR="00DA7B0A" w:rsidRPr="00E000DA">
              <w:rPr>
                <w:rFonts w:ascii="Times New Roman" w:eastAsia="Times New Roman" w:hAnsi="Times New Roman" w:cs="Times New Roman"/>
                <w:color w:val="000000" w:themeColor="text1"/>
                <w:sz w:val="24"/>
                <w:szCs w:val="24"/>
              </w:rPr>
              <w:t>515261</w:t>
            </w:r>
          </w:p>
        </w:tc>
        <w:tc>
          <w:tcPr>
            <w:tcW w:w="762" w:type="pct"/>
            <w:hideMark/>
          </w:tcPr>
          <w:p w14:paraId="1FF27318" w14:textId="77777777" w:rsidR="00410FB6" w:rsidRPr="00E000DA" w:rsidRDefault="00410FB6" w:rsidP="00DA7B0A">
            <w:pPr>
              <w:spacing w:after="0" w:line="240" w:lineRule="auto"/>
              <w:rPr>
                <w:rFonts w:ascii="Times New Roman" w:eastAsia="Times New Roman" w:hAnsi="Times New Roman" w:cs="Times New Roman"/>
                <w:color w:val="000000" w:themeColor="text1"/>
                <w:sz w:val="24"/>
                <w:szCs w:val="24"/>
              </w:rPr>
            </w:pPr>
            <w:r w:rsidRPr="00E000DA">
              <w:rPr>
                <w:rFonts w:ascii="Times New Roman" w:eastAsia="Times New Roman" w:hAnsi="Times New Roman" w:cs="Times New Roman"/>
                <w:color w:val="000000" w:themeColor="text1"/>
                <w:sz w:val="24"/>
                <w:szCs w:val="24"/>
              </w:rPr>
              <w:t>0.7</w:t>
            </w:r>
            <w:r w:rsidR="00DA7B0A" w:rsidRPr="00E000DA">
              <w:rPr>
                <w:rFonts w:ascii="Times New Roman" w:eastAsia="Times New Roman" w:hAnsi="Times New Roman" w:cs="Times New Roman"/>
                <w:color w:val="000000" w:themeColor="text1"/>
                <w:sz w:val="24"/>
                <w:szCs w:val="24"/>
              </w:rPr>
              <w:t>728</w:t>
            </w:r>
          </w:p>
        </w:tc>
      </w:tr>
      <w:tr w:rsidR="00410FB6" w:rsidRPr="00E000DA" w14:paraId="24CB8633" w14:textId="77777777" w:rsidTr="005011BF">
        <w:tc>
          <w:tcPr>
            <w:tcW w:w="3211" w:type="pct"/>
            <w:hideMark/>
          </w:tcPr>
          <w:p w14:paraId="3C715800" w14:textId="77777777" w:rsidR="00410FB6" w:rsidRPr="00E000DA" w:rsidRDefault="00410FB6" w:rsidP="005011BF">
            <w:pPr>
              <w:spacing w:after="0" w:line="240" w:lineRule="auto"/>
              <w:rPr>
                <w:rFonts w:ascii="Times New Roman" w:eastAsia="Times New Roman" w:hAnsi="Times New Roman" w:cs="Times New Roman"/>
                <w:bCs/>
                <w:color w:val="000000" w:themeColor="text1"/>
                <w:sz w:val="24"/>
                <w:szCs w:val="24"/>
              </w:rPr>
            </w:pPr>
            <w:r w:rsidRPr="00E000DA">
              <w:rPr>
                <w:rFonts w:ascii="Times New Roman" w:eastAsia="Times New Roman" w:hAnsi="Times New Roman" w:cs="Times New Roman"/>
                <w:bCs/>
                <w:color w:val="000000" w:themeColor="text1"/>
                <w:sz w:val="24"/>
                <w:szCs w:val="24"/>
              </w:rPr>
              <w:t>Breusch-Godfrey Serial Correlation LM Test</w:t>
            </w:r>
          </w:p>
        </w:tc>
        <w:tc>
          <w:tcPr>
            <w:tcW w:w="1027" w:type="pct"/>
            <w:hideMark/>
          </w:tcPr>
          <w:p w14:paraId="6349D01D" w14:textId="77777777" w:rsidR="00410FB6" w:rsidRPr="00E000DA" w:rsidRDefault="00DA7B0A" w:rsidP="005011BF">
            <w:pPr>
              <w:spacing w:after="0" w:line="240" w:lineRule="auto"/>
              <w:rPr>
                <w:rFonts w:ascii="Times New Roman" w:eastAsia="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0.099568</w:t>
            </w:r>
          </w:p>
        </w:tc>
        <w:tc>
          <w:tcPr>
            <w:tcW w:w="762" w:type="pct"/>
            <w:hideMark/>
          </w:tcPr>
          <w:p w14:paraId="21C1D9C1" w14:textId="77777777" w:rsidR="00410FB6" w:rsidRPr="00E000DA" w:rsidRDefault="00410FB6" w:rsidP="00DA7B0A">
            <w:pPr>
              <w:spacing w:after="0" w:line="240" w:lineRule="auto"/>
              <w:rPr>
                <w:rFonts w:ascii="Times New Roman" w:eastAsia="Times New Roman" w:hAnsi="Times New Roman" w:cs="Times New Roman"/>
                <w:color w:val="000000" w:themeColor="text1"/>
                <w:sz w:val="24"/>
                <w:szCs w:val="24"/>
              </w:rPr>
            </w:pPr>
            <w:r w:rsidRPr="00E000DA">
              <w:rPr>
                <w:rFonts w:ascii="Times New Roman" w:eastAsia="Times New Roman" w:hAnsi="Times New Roman" w:cs="Times New Roman"/>
                <w:color w:val="000000" w:themeColor="text1"/>
                <w:sz w:val="24"/>
                <w:szCs w:val="24"/>
              </w:rPr>
              <w:t>0.</w:t>
            </w:r>
            <w:r w:rsidR="00DA7B0A" w:rsidRPr="00E000DA">
              <w:rPr>
                <w:rFonts w:ascii="Times New Roman" w:eastAsia="Times New Roman" w:hAnsi="Times New Roman" w:cs="Times New Roman"/>
                <w:color w:val="000000" w:themeColor="text1"/>
                <w:sz w:val="24"/>
                <w:szCs w:val="24"/>
              </w:rPr>
              <w:t>9063</w:t>
            </w:r>
          </w:p>
        </w:tc>
      </w:tr>
      <w:tr w:rsidR="00410FB6" w:rsidRPr="00E000DA" w14:paraId="225CF2B1" w14:textId="77777777" w:rsidTr="005011BF">
        <w:tc>
          <w:tcPr>
            <w:tcW w:w="3211" w:type="pct"/>
            <w:hideMark/>
          </w:tcPr>
          <w:p w14:paraId="2EE81823" w14:textId="77777777" w:rsidR="00410FB6" w:rsidRPr="00E000DA" w:rsidRDefault="00410FB6" w:rsidP="005011BF">
            <w:pPr>
              <w:spacing w:after="0" w:line="240" w:lineRule="auto"/>
              <w:rPr>
                <w:rFonts w:ascii="Times New Roman" w:eastAsia="Times New Roman" w:hAnsi="Times New Roman" w:cs="Times New Roman"/>
                <w:bCs/>
                <w:color w:val="000000" w:themeColor="text1"/>
                <w:sz w:val="24"/>
                <w:szCs w:val="24"/>
              </w:rPr>
            </w:pPr>
            <w:r w:rsidRPr="00E000DA">
              <w:rPr>
                <w:rFonts w:ascii="Times New Roman" w:eastAsia="Times New Roman" w:hAnsi="Times New Roman" w:cs="Times New Roman"/>
                <w:bCs/>
                <w:color w:val="000000" w:themeColor="text1"/>
                <w:sz w:val="24"/>
                <w:szCs w:val="24"/>
              </w:rPr>
              <w:t>Heteroskedasticity Test: Breusch-Pagan-Godfrey</w:t>
            </w:r>
          </w:p>
        </w:tc>
        <w:tc>
          <w:tcPr>
            <w:tcW w:w="1027" w:type="pct"/>
            <w:hideMark/>
          </w:tcPr>
          <w:p w14:paraId="18F2C6BE" w14:textId="77777777" w:rsidR="00410FB6" w:rsidRPr="00E000DA" w:rsidRDefault="00DA7B0A" w:rsidP="005011BF">
            <w:pPr>
              <w:spacing w:after="0" w:line="240" w:lineRule="auto"/>
              <w:rPr>
                <w:rFonts w:ascii="Times New Roman" w:eastAsia="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0.498866</w:t>
            </w:r>
          </w:p>
        </w:tc>
        <w:tc>
          <w:tcPr>
            <w:tcW w:w="762" w:type="pct"/>
            <w:hideMark/>
          </w:tcPr>
          <w:p w14:paraId="34BF1A33" w14:textId="77777777" w:rsidR="00410FB6" w:rsidRPr="00E000DA" w:rsidRDefault="00410FB6" w:rsidP="00DA7B0A">
            <w:pPr>
              <w:spacing w:after="0" w:line="240" w:lineRule="auto"/>
              <w:rPr>
                <w:rFonts w:ascii="Times New Roman" w:eastAsia="Times New Roman" w:hAnsi="Times New Roman" w:cs="Times New Roman"/>
                <w:color w:val="000000" w:themeColor="text1"/>
                <w:sz w:val="24"/>
                <w:szCs w:val="24"/>
              </w:rPr>
            </w:pPr>
            <w:r w:rsidRPr="00E000DA">
              <w:rPr>
                <w:rFonts w:ascii="Times New Roman" w:eastAsia="Times New Roman" w:hAnsi="Times New Roman" w:cs="Times New Roman"/>
                <w:color w:val="000000" w:themeColor="text1"/>
                <w:sz w:val="24"/>
                <w:szCs w:val="24"/>
              </w:rPr>
              <w:t>0.8</w:t>
            </w:r>
            <w:r w:rsidR="00DA7B0A" w:rsidRPr="00E000DA">
              <w:rPr>
                <w:rFonts w:ascii="Times New Roman" w:eastAsia="Times New Roman" w:hAnsi="Times New Roman" w:cs="Times New Roman"/>
                <w:color w:val="000000" w:themeColor="text1"/>
                <w:sz w:val="24"/>
                <w:szCs w:val="24"/>
              </w:rPr>
              <w:t>318</w:t>
            </w:r>
          </w:p>
        </w:tc>
      </w:tr>
      <w:tr w:rsidR="00410FB6" w:rsidRPr="00E000DA" w14:paraId="6B2471F4" w14:textId="77777777" w:rsidTr="005011BF">
        <w:tc>
          <w:tcPr>
            <w:tcW w:w="3211" w:type="pct"/>
            <w:hideMark/>
          </w:tcPr>
          <w:p w14:paraId="62D733CF" w14:textId="77777777" w:rsidR="00410FB6" w:rsidRPr="00E000DA" w:rsidRDefault="00410FB6" w:rsidP="005011BF">
            <w:pPr>
              <w:spacing w:after="0" w:line="240" w:lineRule="auto"/>
              <w:rPr>
                <w:rFonts w:ascii="Times New Roman" w:eastAsia="Times New Roman" w:hAnsi="Times New Roman" w:cs="Times New Roman"/>
                <w:bCs/>
                <w:color w:val="000000" w:themeColor="text1"/>
                <w:sz w:val="24"/>
                <w:szCs w:val="24"/>
              </w:rPr>
            </w:pPr>
            <w:r w:rsidRPr="00E000DA">
              <w:rPr>
                <w:rFonts w:ascii="Times New Roman" w:eastAsia="Times New Roman" w:hAnsi="Times New Roman" w:cs="Times New Roman"/>
                <w:bCs/>
                <w:color w:val="000000" w:themeColor="text1"/>
                <w:sz w:val="24"/>
                <w:szCs w:val="24"/>
              </w:rPr>
              <w:t>Ramsey RESET Test</w:t>
            </w:r>
          </w:p>
        </w:tc>
        <w:tc>
          <w:tcPr>
            <w:tcW w:w="1027" w:type="pct"/>
            <w:hideMark/>
          </w:tcPr>
          <w:p w14:paraId="74EB7F49" w14:textId="77777777" w:rsidR="00410FB6" w:rsidRPr="00E000DA" w:rsidRDefault="00DA7B0A" w:rsidP="005011BF">
            <w:pPr>
              <w:spacing w:after="0" w:line="240" w:lineRule="auto"/>
              <w:rPr>
                <w:rFonts w:ascii="Times New Roman" w:eastAsia="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0.622762</w:t>
            </w:r>
          </w:p>
        </w:tc>
        <w:tc>
          <w:tcPr>
            <w:tcW w:w="762" w:type="pct"/>
            <w:hideMark/>
          </w:tcPr>
          <w:p w14:paraId="097F13BA" w14:textId="77777777" w:rsidR="00410FB6" w:rsidRPr="00E000DA" w:rsidRDefault="00410FB6" w:rsidP="00DA7B0A">
            <w:pPr>
              <w:spacing w:after="0" w:line="240" w:lineRule="auto"/>
              <w:rPr>
                <w:rFonts w:ascii="Times New Roman" w:eastAsia="Times New Roman" w:hAnsi="Times New Roman" w:cs="Times New Roman"/>
                <w:color w:val="000000" w:themeColor="text1"/>
                <w:sz w:val="24"/>
                <w:szCs w:val="24"/>
              </w:rPr>
            </w:pPr>
            <w:r w:rsidRPr="00E000DA">
              <w:rPr>
                <w:rFonts w:ascii="Times New Roman" w:eastAsia="Times New Roman" w:hAnsi="Times New Roman" w:cs="Times New Roman"/>
                <w:color w:val="000000" w:themeColor="text1"/>
                <w:sz w:val="24"/>
                <w:szCs w:val="24"/>
              </w:rPr>
              <w:t>0.45</w:t>
            </w:r>
            <w:r w:rsidR="00DA7B0A" w:rsidRPr="00E000DA">
              <w:rPr>
                <w:rFonts w:ascii="Times New Roman" w:eastAsia="Times New Roman" w:hAnsi="Times New Roman" w:cs="Times New Roman"/>
                <w:color w:val="000000" w:themeColor="text1"/>
                <w:sz w:val="24"/>
                <w:szCs w:val="24"/>
              </w:rPr>
              <w:t>03</w:t>
            </w:r>
          </w:p>
        </w:tc>
      </w:tr>
    </w:tbl>
    <w:p w14:paraId="70347DFF" w14:textId="77777777" w:rsidR="00410FB6" w:rsidRPr="00E000DA" w:rsidRDefault="00410FB6" w:rsidP="00410FB6">
      <w:pPr>
        <w:shd w:val="clear" w:color="auto" w:fill="FFFFFF"/>
        <w:spacing w:after="0" w:line="240" w:lineRule="auto"/>
        <w:rPr>
          <w:rFonts w:ascii="Times New Roman" w:eastAsia="Times New Roman" w:hAnsi="Times New Roman" w:cs="Times New Roman"/>
          <w:color w:val="000000" w:themeColor="text1"/>
          <w:sz w:val="24"/>
          <w:szCs w:val="24"/>
        </w:rPr>
      </w:pPr>
      <w:r w:rsidRPr="00E000DA">
        <w:rPr>
          <w:rFonts w:ascii="Times New Roman" w:eastAsia="Times New Roman" w:hAnsi="Times New Roman" w:cs="Times New Roman"/>
          <w:i/>
          <w:iCs/>
          <w:color w:val="000000" w:themeColor="text1"/>
          <w:sz w:val="24"/>
          <w:szCs w:val="24"/>
        </w:rPr>
        <w:t>Source: Author's Computation from EViews 10 (2026)</w:t>
      </w:r>
    </w:p>
    <w:p w14:paraId="28D2901B" w14:textId="412DFCEA" w:rsidR="00410FB6" w:rsidRPr="00E000DA" w:rsidRDefault="00577278" w:rsidP="003E2170">
      <w:pPr>
        <w:spacing w:before="100" w:beforeAutospacing="1" w:after="100" w:afterAutospacing="1"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B56EB" w:rsidRPr="00E000DA">
        <w:rPr>
          <w:rFonts w:ascii="Times New Roman" w:hAnsi="Times New Roman" w:cs="Times New Roman"/>
          <w:color w:val="000000" w:themeColor="text1"/>
          <w:sz w:val="24"/>
          <w:szCs w:val="24"/>
        </w:rPr>
        <w:t xml:space="preserve">The results of the diagnostic test for the reliability of the estimated ARDL model are shown in Table 5. A Jarque–Bera test (Prob. = 0.7728) shows the residuals have a normal distribution, and a Breusch–Godfrey Serial Correlation LM Test (Prob. = 0.9063) suggests there is no serial correlation among the residuals. Likewise, the Breusch–Pagan–Godfrey test for heteroskedasticity (Prob. = 0.8318) shows that the residuals are homoskedastic, and the Ramsey RESET test (Prob. = 0.4503) indicates that the estimated model is sufficiently specified. </w:t>
      </w:r>
      <w:r w:rsidR="00091419" w:rsidRPr="00E000DA">
        <w:rPr>
          <w:rFonts w:ascii="Times New Roman" w:hAnsi="Times New Roman" w:cs="Times New Roman"/>
          <w:color w:val="000000" w:themeColor="text1"/>
          <w:sz w:val="24"/>
          <w:szCs w:val="24"/>
        </w:rPr>
        <w:t>T</w:t>
      </w:r>
      <w:r w:rsidR="00CB56EB" w:rsidRPr="00E000DA">
        <w:rPr>
          <w:rFonts w:ascii="Times New Roman" w:hAnsi="Times New Roman" w:cs="Times New Roman"/>
          <w:color w:val="000000" w:themeColor="text1"/>
          <w:sz w:val="24"/>
          <w:szCs w:val="24"/>
        </w:rPr>
        <w:t>hese diagnostic results validate the statistical robustness, reliability and validity of the estimated ARDL model for valid econometric inference. Table 6 shows the results of the ARDL estimates.</w:t>
      </w:r>
      <w:r w:rsidR="00410FB6" w:rsidRPr="00E000DA">
        <w:rPr>
          <w:rFonts w:ascii="Times New Roman" w:hAnsi="Times New Roman" w:cs="Times New Roman"/>
          <w:color w:val="000000" w:themeColor="text1"/>
          <w:sz w:val="24"/>
          <w:szCs w:val="24"/>
        </w:rPr>
        <w:t xml:space="preserve"> </w:t>
      </w:r>
    </w:p>
    <w:p w14:paraId="30EF2803" w14:textId="77777777" w:rsidR="00410FB6" w:rsidRPr="00E000DA" w:rsidRDefault="00410FB6" w:rsidP="00410FB6">
      <w:pPr>
        <w:spacing w:after="0" w:line="240" w:lineRule="auto"/>
        <w:jc w:val="both"/>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Table 6 ARDL Estimated Results</w:t>
      </w:r>
    </w:p>
    <w:tbl>
      <w:tblPr>
        <w:tblStyle w:val="LightShading1"/>
        <w:tblW w:w="5000" w:type="pct"/>
        <w:tblLook w:val="06A0" w:firstRow="1" w:lastRow="0" w:firstColumn="1" w:lastColumn="0" w:noHBand="1" w:noVBand="1"/>
      </w:tblPr>
      <w:tblGrid>
        <w:gridCol w:w="3094"/>
        <w:gridCol w:w="1531"/>
        <w:gridCol w:w="1675"/>
        <w:gridCol w:w="1677"/>
        <w:gridCol w:w="1383"/>
      </w:tblGrid>
      <w:tr w:rsidR="00DA7B0A" w:rsidRPr="00E000DA" w14:paraId="75438958" w14:textId="77777777" w:rsidTr="00DA7B0A">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52" w:type="pct"/>
          </w:tcPr>
          <w:p w14:paraId="61DECA83" w14:textId="77777777" w:rsidR="00DA7B0A" w:rsidRPr="00E000DA" w:rsidRDefault="00DA7B0A" w:rsidP="005011BF">
            <w:pPr>
              <w:autoSpaceDE w:val="0"/>
              <w:autoSpaceDN w:val="0"/>
              <w:adjustRightInd w:val="0"/>
              <w:jc w:val="center"/>
              <w:rPr>
                <w:rFonts w:ascii="Times New Roman" w:hAnsi="Times New Roman" w:cs="Times New Roman"/>
                <w:b w:val="0"/>
                <w:color w:val="000000" w:themeColor="text1"/>
                <w:sz w:val="24"/>
                <w:szCs w:val="24"/>
              </w:rPr>
            </w:pPr>
            <w:r w:rsidRPr="00E000DA">
              <w:rPr>
                <w:rFonts w:ascii="Times New Roman" w:hAnsi="Times New Roman" w:cs="Times New Roman"/>
                <w:b w:val="0"/>
                <w:color w:val="000000" w:themeColor="text1"/>
                <w:sz w:val="24"/>
                <w:szCs w:val="24"/>
              </w:rPr>
              <w:t>Variable</w:t>
            </w:r>
          </w:p>
        </w:tc>
        <w:tc>
          <w:tcPr>
            <w:tcW w:w="818" w:type="pct"/>
          </w:tcPr>
          <w:p w14:paraId="3B0BF21C" w14:textId="77777777" w:rsidR="00DA7B0A" w:rsidRPr="00E000DA" w:rsidRDefault="00DA7B0A" w:rsidP="005011BF">
            <w:pPr>
              <w:autoSpaceDE w:val="0"/>
              <w:autoSpaceDN w:val="0"/>
              <w:adjustRightInd w:val="0"/>
              <w:ind w:right="1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E000DA">
              <w:rPr>
                <w:rFonts w:ascii="Times New Roman" w:hAnsi="Times New Roman" w:cs="Times New Roman"/>
                <w:b w:val="0"/>
                <w:color w:val="000000" w:themeColor="text1"/>
                <w:sz w:val="24"/>
                <w:szCs w:val="24"/>
              </w:rPr>
              <w:t>Coefficient</w:t>
            </w:r>
          </w:p>
        </w:tc>
        <w:tc>
          <w:tcPr>
            <w:tcW w:w="895" w:type="pct"/>
          </w:tcPr>
          <w:p w14:paraId="5453F2F0" w14:textId="77777777" w:rsidR="00DA7B0A" w:rsidRPr="00E000DA" w:rsidRDefault="00DA7B0A" w:rsidP="005011BF">
            <w:pPr>
              <w:autoSpaceDE w:val="0"/>
              <w:autoSpaceDN w:val="0"/>
              <w:adjustRightInd w:val="0"/>
              <w:ind w:right="1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E000DA">
              <w:rPr>
                <w:rFonts w:ascii="Times New Roman" w:hAnsi="Times New Roman" w:cs="Times New Roman"/>
                <w:b w:val="0"/>
                <w:color w:val="000000" w:themeColor="text1"/>
                <w:sz w:val="24"/>
                <w:szCs w:val="24"/>
              </w:rPr>
              <w:t>Std. Error</w:t>
            </w:r>
          </w:p>
        </w:tc>
        <w:tc>
          <w:tcPr>
            <w:tcW w:w="896" w:type="pct"/>
          </w:tcPr>
          <w:p w14:paraId="339BC811" w14:textId="77777777" w:rsidR="00DA7B0A" w:rsidRPr="00E000DA" w:rsidRDefault="00DA7B0A" w:rsidP="005011BF">
            <w:pPr>
              <w:autoSpaceDE w:val="0"/>
              <w:autoSpaceDN w:val="0"/>
              <w:adjustRightInd w:val="0"/>
              <w:ind w:right="1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E000DA">
              <w:rPr>
                <w:rFonts w:ascii="Times New Roman" w:hAnsi="Times New Roman" w:cs="Times New Roman"/>
                <w:b w:val="0"/>
                <w:color w:val="000000" w:themeColor="text1"/>
                <w:sz w:val="24"/>
                <w:szCs w:val="24"/>
              </w:rPr>
              <w:t>t-Statistic</w:t>
            </w:r>
          </w:p>
        </w:tc>
        <w:tc>
          <w:tcPr>
            <w:tcW w:w="739" w:type="pct"/>
          </w:tcPr>
          <w:p w14:paraId="7A56F6B5" w14:textId="77777777" w:rsidR="00DA7B0A" w:rsidRPr="00E000DA" w:rsidRDefault="00DA7B0A" w:rsidP="005011BF">
            <w:pPr>
              <w:autoSpaceDE w:val="0"/>
              <w:autoSpaceDN w:val="0"/>
              <w:adjustRightInd w:val="0"/>
              <w:ind w:right="1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E000DA">
              <w:rPr>
                <w:rFonts w:ascii="Times New Roman" w:hAnsi="Times New Roman" w:cs="Times New Roman"/>
                <w:b w:val="0"/>
                <w:color w:val="000000" w:themeColor="text1"/>
                <w:sz w:val="24"/>
                <w:szCs w:val="24"/>
              </w:rPr>
              <w:t>Prob.   </w:t>
            </w:r>
          </w:p>
        </w:tc>
      </w:tr>
      <w:tr w:rsidR="00DA7B0A" w:rsidRPr="00E000DA" w14:paraId="056396EE" w14:textId="77777777" w:rsidTr="00DA7B0A">
        <w:trPr>
          <w:trHeight w:val="225"/>
        </w:trPr>
        <w:tc>
          <w:tcPr>
            <w:cnfStyle w:val="001000000000" w:firstRow="0" w:lastRow="0" w:firstColumn="1" w:lastColumn="0" w:oddVBand="0" w:evenVBand="0" w:oddHBand="0" w:evenHBand="0" w:firstRowFirstColumn="0" w:firstRowLastColumn="0" w:lastRowFirstColumn="0" w:lastRowLastColumn="0"/>
            <w:tcW w:w="1652" w:type="pct"/>
          </w:tcPr>
          <w:p w14:paraId="3AF8DE18" w14:textId="77777777" w:rsidR="00DA7B0A" w:rsidRPr="00E000DA" w:rsidRDefault="00DA7B0A" w:rsidP="005011BF">
            <w:pPr>
              <w:autoSpaceDE w:val="0"/>
              <w:autoSpaceDN w:val="0"/>
              <w:adjustRightInd w:val="0"/>
              <w:jc w:val="center"/>
              <w:rPr>
                <w:rFonts w:ascii="Times New Roman" w:hAnsi="Times New Roman" w:cs="Times New Roman"/>
                <w:b w:val="0"/>
                <w:color w:val="000000" w:themeColor="text1"/>
                <w:sz w:val="24"/>
                <w:szCs w:val="24"/>
              </w:rPr>
            </w:pPr>
            <w:r w:rsidRPr="00E000DA">
              <w:rPr>
                <w:rFonts w:ascii="Times New Roman" w:hAnsi="Times New Roman" w:cs="Times New Roman"/>
                <w:b w:val="0"/>
                <w:color w:val="000000" w:themeColor="text1"/>
                <w:sz w:val="24"/>
                <w:szCs w:val="24"/>
              </w:rPr>
              <w:t>D(GR(-1))</w:t>
            </w:r>
          </w:p>
        </w:tc>
        <w:tc>
          <w:tcPr>
            <w:tcW w:w="818" w:type="pct"/>
          </w:tcPr>
          <w:p w14:paraId="786D128F"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0.132559</w:t>
            </w:r>
          </w:p>
        </w:tc>
        <w:tc>
          <w:tcPr>
            <w:tcW w:w="895" w:type="pct"/>
          </w:tcPr>
          <w:p w14:paraId="0B6E01F8"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0.262964</w:t>
            </w:r>
          </w:p>
        </w:tc>
        <w:tc>
          <w:tcPr>
            <w:tcW w:w="896" w:type="pct"/>
          </w:tcPr>
          <w:p w14:paraId="164E50E7"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0.504095</w:t>
            </w:r>
          </w:p>
        </w:tc>
        <w:tc>
          <w:tcPr>
            <w:tcW w:w="739" w:type="pct"/>
          </w:tcPr>
          <w:p w14:paraId="55825E2C"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0.6251</w:t>
            </w:r>
          </w:p>
        </w:tc>
      </w:tr>
      <w:tr w:rsidR="00DA7B0A" w:rsidRPr="00E000DA" w14:paraId="5D8E49FF" w14:textId="77777777" w:rsidTr="00DA7B0A">
        <w:trPr>
          <w:trHeight w:val="225"/>
        </w:trPr>
        <w:tc>
          <w:tcPr>
            <w:cnfStyle w:val="001000000000" w:firstRow="0" w:lastRow="0" w:firstColumn="1" w:lastColumn="0" w:oddVBand="0" w:evenVBand="0" w:oddHBand="0" w:evenHBand="0" w:firstRowFirstColumn="0" w:firstRowLastColumn="0" w:lastRowFirstColumn="0" w:lastRowLastColumn="0"/>
            <w:tcW w:w="1652" w:type="pct"/>
          </w:tcPr>
          <w:p w14:paraId="58A1CCE0" w14:textId="77777777" w:rsidR="00DA7B0A" w:rsidRPr="00E000DA" w:rsidRDefault="00DA7B0A" w:rsidP="005011BF">
            <w:pPr>
              <w:autoSpaceDE w:val="0"/>
              <w:autoSpaceDN w:val="0"/>
              <w:adjustRightInd w:val="0"/>
              <w:jc w:val="center"/>
              <w:rPr>
                <w:rFonts w:ascii="Times New Roman" w:hAnsi="Times New Roman" w:cs="Times New Roman"/>
                <w:b w:val="0"/>
                <w:color w:val="000000" w:themeColor="text1"/>
                <w:sz w:val="24"/>
                <w:szCs w:val="24"/>
              </w:rPr>
            </w:pPr>
            <w:r w:rsidRPr="00E000DA">
              <w:rPr>
                <w:rFonts w:ascii="Times New Roman" w:hAnsi="Times New Roman" w:cs="Times New Roman"/>
                <w:b w:val="0"/>
                <w:color w:val="000000" w:themeColor="text1"/>
                <w:sz w:val="24"/>
                <w:szCs w:val="24"/>
              </w:rPr>
              <w:t>D(GCF)</w:t>
            </w:r>
          </w:p>
        </w:tc>
        <w:tc>
          <w:tcPr>
            <w:tcW w:w="818" w:type="pct"/>
          </w:tcPr>
          <w:p w14:paraId="523D91DA"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-0.059613</w:t>
            </w:r>
          </w:p>
        </w:tc>
        <w:tc>
          <w:tcPr>
            <w:tcW w:w="895" w:type="pct"/>
          </w:tcPr>
          <w:p w14:paraId="1F11484A"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0.043538</w:t>
            </w:r>
          </w:p>
        </w:tc>
        <w:tc>
          <w:tcPr>
            <w:tcW w:w="896" w:type="pct"/>
          </w:tcPr>
          <w:p w14:paraId="750F0E87"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-1.369215</w:t>
            </w:r>
          </w:p>
        </w:tc>
        <w:tc>
          <w:tcPr>
            <w:tcW w:w="739" w:type="pct"/>
          </w:tcPr>
          <w:p w14:paraId="5DAD5477"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0.2009</w:t>
            </w:r>
          </w:p>
        </w:tc>
      </w:tr>
      <w:tr w:rsidR="00DA7B0A" w:rsidRPr="00E000DA" w14:paraId="575C5444" w14:textId="77777777" w:rsidTr="00DA7B0A">
        <w:trPr>
          <w:trHeight w:val="225"/>
        </w:trPr>
        <w:tc>
          <w:tcPr>
            <w:cnfStyle w:val="001000000000" w:firstRow="0" w:lastRow="0" w:firstColumn="1" w:lastColumn="0" w:oddVBand="0" w:evenVBand="0" w:oddHBand="0" w:evenHBand="0" w:firstRowFirstColumn="0" w:firstRowLastColumn="0" w:lastRowFirstColumn="0" w:lastRowLastColumn="0"/>
            <w:tcW w:w="1652" w:type="pct"/>
          </w:tcPr>
          <w:p w14:paraId="36B9A3A3" w14:textId="77777777" w:rsidR="00DA7B0A" w:rsidRPr="00E000DA" w:rsidRDefault="00DA7B0A" w:rsidP="005011BF">
            <w:pPr>
              <w:autoSpaceDE w:val="0"/>
              <w:autoSpaceDN w:val="0"/>
              <w:adjustRightInd w:val="0"/>
              <w:jc w:val="center"/>
              <w:rPr>
                <w:rFonts w:ascii="Times New Roman" w:hAnsi="Times New Roman" w:cs="Times New Roman"/>
                <w:b w:val="0"/>
                <w:color w:val="000000" w:themeColor="text1"/>
                <w:sz w:val="24"/>
                <w:szCs w:val="24"/>
              </w:rPr>
            </w:pPr>
            <w:r w:rsidRPr="00E000DA">
              <w:rPr>
                <w:rFonts w:ascii="Times New Roman" w:hAnsi="Times New Roman" w:cs="Times New Roman"/>
                <w:b w:val="0"/>
                <w:color w:val="000000" w:themeColor="text1"/>
                <w:sz w:val="24"/>
                <w:szCs w:val="24"/>
              </w:rPr>
              <w:t>D(GCF(-1))</w:t>
            </w:r>
          </w:p>
        </w:tc>
        <w:tc>
          <w:tcPr>
            <w:tcW w:w="818" w:type="pct"/>
          </w:tcPr>
          <w:p w14:paraId="0AC7828E"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0.059965</w:t>
            </w:r>
          </w:p>
        </w:tc>
        <w:tc>
          <w:tcPr>
            <w:tcW w:w="895" w:type="pct"/>
          </w:tcPr>
          <w:p w14:paraId="22E82900"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0.037548</w:t>
            </w:r>
          </w:p>
        </w:tc>
        <w:tc>
          <w:tcPr>
            <w:tcW w:w="896" w:type="pct"/>
          </w:tcPr>
          <w:p w14:paraId="3F79AD4E"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1.597019</w:t>
            </w:r>
          </w:p>
        </w:tc>
        <w:tc>
          <w:tcPr>
            <w:tcW w:w="739" w:type="pct"/>
          </w:tcPr>
          <w:p w14:paraId="39FA6E0A"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0.1413</w:t>
            </w:r>
          </w:p>
        </w:tc>
      </w:tr>
      <w:tr w:rsidR="00DA7B0A" w:rsidRPr="00E000DA" w14:paraId="2F7624F3" w14:textId="77777777" w:rsidTr="00DA7B0A">
        <w:trPr>
          <w:trHeight w:val="225"/>
        </w:trPr>
        <w:tc>
          <w:tcPr>
            <w:cnfStyle w:val="001000000000" w:firstRow="0" w:lastRow="0" w:firstColumn="1" w:lastColumn="0" w:oddVBand="0" w:evenVBand="0" w:oddHBand="0" w:evenHBand="0" w:firstRowFirstColumn="0" w:firstRowLastColumn="0" w:lastRowFirstColumn="0" w:lastRowLastColumn="0"/>
            <w:tcW w:w="1652" w:type="pct"/>
          </w:tcPr>
          <w:p w14:paraId="0C199E5B" w14:textId="77777777" w:rsidR="00DA7B0A" w:rsidRPr="00E000DA" w:rsidRDefault="00DA7B0A" w:rsidP="00DA7B0A">
            <w:pPr>
              <w:autoSpaceDE w:val="0"/>
              <w:autoSpaceDN w:val="0"/>
              <w:adjustRightInd w:val="0"/>
              <w:jc w:val="center"/>
              <w:rPr>
                <w:rFonts w:ascii="Times New Roman" w:hAnsi="Times New Roman" w:cs="Times New Roman"/>
                <w:b w:val="0"/>
                <w:color w:val="000000" w:themeColor="text1"/>
                <w:sz w:val="24"/>
                <w:szCs w:val="24"/>
              </w:rPr>
            </w:pPr>
            <w:r w:rsidRPr="00E000DA">
              <w:rPr>
                <w:rFonts w:ascii="Times New Roman" w:hAnsi="Times New Roman" w:cs="Times New Roman"/>
                <w:b w:val="0"/>
                <w:color w:val="000000" w:themeColor="text1"/>
                <w:sz w:val="24"/>
                <w:szCs w:val="24"/>
              </w:rPr>
              <w:t>D(LTR)</w:t>
            </w:r>
          </w:p>
        </w:tc>
        <w:tc>
          <w:tcPr>
            <w:tcW w:w="818" w:type="pct"/>
          </w:tcPr>
          <w:p w14:paraId="4DDCC0E1"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-0.042499</w:t>
            </w:r>
          </w:p>
        </w:tc>
        <w:tc>
          <w:tcPr>
            <w:tcW w:w="895" w:type="pct"/>
          </w:tcPr>
          <w:p w14:paraId="28E05DF1"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0.149471</w:t>
            </w:r>
          </w:p>
        </w:tc>
        <w:tc>
          <w:tcPr>
            <w:tcW w:w="896" w:type="pct"/>
          </w:tcPr>
          <w:p w14:paraId="4280B719"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-0.284328</w:t>
            </w:r>
          </w:p>
        </w:tc>
        <w:tc>
          <w:tcPr>
            <w:tcW w:w="739" w:type="pct"/>
          </w:tcPr>
          <w:p w14:paraId="5EFD1E09"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0.7820</w:t>
            </w:r>
          </w:p>
        </w:tc>
      </w:tr>
      <w:tr w:rsidR="00DA7B0A" w:rsidRPr="00E000DA" w14:paraId="151CD463" w14:textId="77777777" w:rsidTr="00DA7B0A">
        <w:trPr>
          <w:trHeight w:val="225"/>
        </w:trPr>
        <w:tc>
          <w:tcPr>
            <w:cnfStyle w:val="001000000000" w:firstRow="0" w:lastRow="0" w:firstColumn="1" w:lastColumn="0" w:oddVBand="0" w:evenVBand="0" w:oddHBand="0" w:evenHBand="0" w:firstRowFirstColumn="0" w:firstRowLastColumn="0" w:lastRowFirstColumn="0" w:lastRowLastColumn="0"/>
            <w:tcW w:w="1652" w:type="pct"/>
          </w:tcPr>
          <w:p w14:paraId="62744469" w14:textId="77777777" w:rsidR="00DA7B0A" w:rsidRPr="00E000DA" w:rsidRDefault="00DA7B0A" w:rsidP="005011BF">
            <w:pPr>
              <w:autoSpaceDE w:val="0"/>
              <w:autoSpaceDN w:val="0"/>
              <w:adjustRightInd w:val="0"/>
              <w:jc w:val="center"/>
              <w:rPr>
                <w:rFonts w:ascii="Times New Roman" w:hAnsi="Times New Roman" w:cs="Times New Roman"/>
                <w:b w:val="0"/>
                <w:color w:val="000000" w:themeColor="text1"/>
                <w:sz w:val="24"/>
                <w:szCs w:val="24"/>
              </w:rPr>
            </w:pPr>
            <w:r w:rsidRPr="00E000DA">
              <w:rPr>
                <w:rFonts w:ascii="Times New Roman" w:hAnsi="Times New Roman" w:cs="Times New Roman"/>
                <w:b w:val="0"/>
                <w:color w:val="000000" w:themeColor="text1"/>
                <w:sz w:val="24"/>
                <w:szCs w:val="24"/>
              </w:rPr>
              <w:t>D(LTR(-1))</w:t>
            </w:r>
          </w:p>
        </w:tc>
        <w:tc>
          <w:tcPr>
            <w:tcW w:w="818" w:type="pct"/>
          </w:tcPr>
          <w:p w14:paraId="21714A96"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1.915897</w:t>
            </w:r>
          </w:p>
        </w:tc>
        <w:tc>
          <w:tcPr>
            <w:tcW w:w="895" w:type="pct"/>
          </w:tcPr>
          <w:p w14:paraId="12471930"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0.564082</w:t>
            </w:r>
          </w:p>
        </w:tc>
        <w:tc>
          <w:tcPr>
            <w:tcW w:w="896" w:type="pct"/>
          </w:tcPr>
          <w:p w14:paraId="4C9DFEDC"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3.396487</w:t>
            </w:r>
          </w:p>
        </w:tc>
        <w:tc>
          <w:tcPr>
            <w:tcW w:w="739" w:type="pct"/>
          </w:tcPr>
          <w:p w14:paraId="64470F24"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0.0068</w:t>
            </w:r>
          </w:p>
        </w:tc>
      </w:tr>
      <w:tr w:rsidR="00DA7B0A" w:rsidRPr="00E000DA" w14:paraId="688F9F3E" w14:textId="77777777" w:rsidTr="00DA7B0A">
        <w:trPr>
          <w:trHeight w:val="225"/>
        </w:trPr>
        <w:tc>
          <w:tcPr>
            <w:cnfStyle w:val="001000000000" w:firstRow="0" w:lastRow="0" w:firstColumn="1" w:lastColumn="0" w:oddVBand="0" w:evenVBand="0" w:oddHBand="0" w:evenHBand="0" w:firstRowFirstColumn="0" w:firstRowLastColumn="0" w:lastRowFirstColumn="0" w:lastRowLastColumn="0"/>
            <w:tcW w:w="1652" w:type="pct"/>
          </w:tcPr>
          <w:p w14:paraId="0E0C9A8E" w14:textId="77777777" w:rsidR="00DA7B0A" w:rsidRPr="00E000DA" w:rsidRDefault="00DA7B0A" w:rsidP="005011BF">
            <w:pPr>
              <w:autoSpaceDE w:val="0"/>
              <w:autoSpaceDN w:val="0"/>
              <w:adjustRightInd w:val="0"/>
              <w:jc w:val="center"/>
              <w:rPr>
                <w:rFonts w:ascii="Times New Roman" w:hAnsi="Times New Roman" w:cs="Times New Roman"/>
                <w:b w:val="0"/>
                <w:color w:val="000000" w:themeColor="text1"/>
                <w:sz w:val="24"/>
                <w:szCs w:val="24"/>
              </w:rPr>
            </w:pPr>
            <w:r w:rsidRPr="00E000DA">
              <w:rPr>
                <w:rFonts w:ascii="Times New Roman" w:hAnsi="Times New Roman" w:cs="Times New Roman"/>
                <w:b w:val="0"/>
                <w:color w:val="000000" w:themeColor="text1"/>
                <w:sz w:val="24"/>
                <w:szCs w:val="24"/>
              </w:rPr>
              <w:t>CointEq(-1)*</w:t>
            </w:r>
          </w:p>
        </w:tc>
        <w:tc>
          <w:tcPr>
            <w:tcW w:w="818" w:type="pct"/>
          </w:tcPr>
          <w:p w14:paraId="14920318"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-1.018267</w:t>
            </w:r>
          </w:p>
        </w:tc>
        <w:tc>
          <w:tcPr>
            <w:tcW w:w="895" w:type="pct"/>
          </w:tcPr>
          <w:p w14:paraId="408D6A76"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0.315090</w:t>
            </w:r>
          </w:p>
        </w:tc>
        <w:tc>
          <w:tcPr>
            <w:tcW w:w="896" w:type="pct"/>
          </w:tcPr>
          <w:p w14:paraId="0C3A1A4B"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-3.231667</w:t>
            </w:r>
          </w:p>
        </w:tc>
        <w:tc>
          <w:tcPr>
            <w:tcW w:w="739" w:type="pct"/>
          </w:tcPr>
          <w:p w14:paraId="2C0F7887" w14:textId="77777777" w:rsidR="00DA7B0A" w:rsidRPr="00E000DA"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000DA">
              <w:rPr>
                <w:rFonts w:ascii="Times New Roman" w:hAnsi="Times New Roman" w:cs="Times New Roman"/>
                <w:color w:val="000000" w:themeColor="text1"/>
                <w:sz w:val="24"/>
                <w:szCs w:val="24"/>
              </w:rPr>
              <w:t>0.0090</w:t>
            </w:r>
          </w:p>
        </w:tc>
      </w:tr>
    </w:tbl>
    <w:p w14:paraId="68DD034F" w14:textId="77777777" w:rsidR="00410FB6" w:rsidRPr="00E000DA" w:rsidRDefault="00410FB6" w:rsidP="00410FB6">
      <w:pPr>
        <w:shd w:val="clear" w:color="auto" w:fill="FFFFFF"/>
        <w:spacing w:after="0" w:line="480" w:lineRule="auto"/>
        <w:rPr>
          <w:rFonts w:ascii="Times New Roman" w:eastAsia="Times New Roman" w:hAnsi="Times New Roman" w:cs="Times New Roman"/>
          <w:iCs/>
          <w:color w:val="000000" w:themeColor="text1"/>
          <w:sz w:val="24"/>
          <w:szCs w:val="24"/>
        </w:rPr>
      </w:pPr>
      <w:r w:rsidRPr="00E000DA">
        <w:rPr>
          <w:rFonts w:ascii="Times New Roman" w:eastAsia="Times New Roman" w:hAnsi="Times New Roman" w:cs="Times New Roman"/>
          <w:i/>
          <w:iCs/>
          <w:color w:val="000000" w:themeColor="text1"/>
          <w:sz w:val="24"/>
          <w:szCs w:val="24"/>
        </w:rPr>
        <w:t>Source: Author's Computation from EViews 10 (2026)</w:t>
      </w:r>
    </w:p>
    <w:p w14:paraId="01D4DC39" w14:textId="3C653EE9" w:rsidR="00D900DB" w:rsidRPr="00E000DA" w:rsidRDefault="00577278" w:rsidP="003E2170">
      <w:pPr>
        <w:pStyle w:val="isselectedend"/>
        <w:spacing w:line="360" w:lineRule="auto"/>
        <w:jc w:val="both"/>
        <w:rPr>
          <w:color w:val="000000" w:themeColor="text1"/>
        </w:rPr>
      </w:pPr>
      <w:r>
        <w:rPr>
          <w:color w:val="000000" w:themeColor="text1"/>
        </w:rPr>
        <w:t xml:space="preserve">   </w:t>
      </w:r>
      <w:r w:rsidR="00926671" w:rsidRPr="00E000DA">
        <w:rPr>
          <w:color w:val="000000" w:themeColor="text1"/>
        </w:rPr>
        <w:t xml:space="preserve">The results showed that the error correction coefficient is negative and statistically significant, with a value of β = −1.0183 and p = 0.0090, which means that the short-run deviations are quickly corrected towards the long-run equilibrium path. The coefficient indicates that about 101.8% of the deviations from equilibrium are remedied in one period, indicating a very short period of adjustment after the short-run economic shocks. The negative and significant error correction term </w:t>
      </w:r>
      <w:r w:rsidR="00926671" w:rsidRPr="00E000DA">
        <w:rPr>
          <w:color w:val="000000" w:themeColor="text1"/>
        </w:rPr>
        <w:lastRenderedPageBreak/>
        <w:t>verifies the presence of a meaningful error correction mechanism in the estimated ARDL model and suggests that the economy rapidly realigns itself with the equilibrium path when faced with short-run disturbances.</w:t>
      </w:r>
    </w:p>
    <w:p w14:paraId="5E11271C" w14:textId="121AB8F9" w:rsidR="00D900DB" w:rsidRPr="00E000DA" w:rsidRDefault="00577278" w:rsidP="003E2170">
      <w:pPr>
        <w:pStyle w:val="isselectedend"/>
        <w:spacing w:line="360" w:lineRule="auto"/>
        <w:jc w:val="both"/>
        <w:rPr>
          <w:color w:val="000000" w:themeColor="text1"/>
        </w:rPr>
      </w:pPr>
      <w:r>
        <w:rPr>
          <w:color w:val="000000" w:themeColor="text1"/>
        </w:rPr>
        <w:t xml:space="preserve">   </w:t>
      </w:r>
      <w:r w:rsidR="00926671" w:rsidRPr="00E000DA">
        <w:rPr>
          <w:color w:val="000000" w:themeColor="text1"/>
        </w:rPr>
        <w:t xml:space="preserve">The results in Table 6 indicated that the short-run effect of gross capital formation (GCF) on economic growth in Nigeria is negative but statistically insignificant (β = −0.0596, p = 0.2009). This implies that higher investment spending does not necessarily lead to an immediate rise in output growth, which may be because capital investment takes a long time to become productive. This discovery suggests that delays in the implementation, poor infrastructure, policy uncertainties, inflation, and allocation inefficiencies can lead to a reduced impact of investment on economic growth. The result is in line with Nweke, Odo and Anoke (2017), which found that an increase in gross capital formation in both the short and long run had a positive but statistically insignificant effect on real GDP. Likewise, Amaegberi and Krokeyi (2025) concluded that gross fixed capital formation had a short-run negative effect on economic growth, indicating that the adjustment costs of investment can lead to a temporary decline in economic activity before productive effects are realised. This contradicts the work of Bakare (2011) and Adegboyega and Odusanya (2014), who found a positive and statistically significant relationship between capital formation </w:t>
      </w:r>
      <w:r w:rsidR="00D900DB" w:rsidRPr="00E000DA">
        <w:rPr>
          <w:color w:val="000000" w:themeColor="text1"/>
        </w:rPr>
        <w:t>and economic growth in Nigeria.</w:t>
      </w:r>
    </w:p>
    <w:p w14:paraId="5316440D" w14:textId="7B6426F6" w:rsidR="00926671" w:rsidRPr="00E000DA" w:rsidRDefault="00577278" w:rsidP="003E2170">
      <w:pPr>
        <w:pStyle w:val="isselectedend"/>
        <w:spacing w:line="360" w:lineRule="auto"/>
        <w:jc w:val="both"/>
        <w:rPr>
          <w:color w:val="000000" w:themeColor="text1"/>
        </w:rPr>
      </w:pPr>
      <w:r>
        <w:rPr>
          <w:color w:val="000000" w:themeColor="text1"/>
        </w:rPr>
        <w:t xml:space="preserve">   </w:t>
      </w:r>
      <w:r w:rsidR="00926671" w:rsidRPr="00E000DA">
        <w:rPr>
          <w:color w:val="000000" w:themeColor="text1"/>
        </w:rPr>
        <w:t>Previous investment is statistically insignificant, and the lagged value of gross capital formation D(GCF(-1)) is positive (β = 0.0600, p = 0.1413), suggesting that past investments support the economic activity, but the effect is not large enough to be statistically significant within the period of the study. This has been found to be the case for the Solow Neoclassical Growth theory, which suggests that capital can increase productive capacity and output but only if other factors are present, such as technological progress, efficient use of resources, and institutional quality. The outcome further echoes Ugwuegbe and Urakpa (2013), who noted that while investments have the potential to boost growth, it is frequently limited due to poor infrastructure and macroeconomic conditions. This result contrasts with those of Anagun and Sokunbi (2024), who used the ARDL model and concluded that disaggregated physical capital formation positively influenced Nigeria's long-run economic growth significantly, while gross capital formation had a strong influence on output in the long run, as reported by Uremadu et al. (2024).</w:t>
      </w:r>
    </w:p>
    <w:p w14:paraId="183D8044" w14:textId="18A078AC" w:rsidR="00926671" w:rsidRPr="00E000DA" w:rsidRDefault="00577278" w:rsidP="003E2170">
      <w:pPr>
        <w:pStyle w:val="isselectedend"/>
        <w:spacing w:line="360" w:lineRule="auto"/>
        <w:jc w:val="both"/>
        <w:rPr>
          <w:color w:val="000000" w:themeColor="text1"/>
        </w:rPr>
      </w:pPr>
      <w:r>
        <w:rPr>
          <w:color w:val="000000" w:themeColor="text1"/>
        </w:rPr>
        <w:lastRenderedPageBreak/>
        <w:t xml:space="preserve">    </w:t>
      </w:r>
      <w:r w:rsidR="00926671" w:rsidRPr="00E000DA">
        <w:rPr>
          <w:color w:val="000000" w:themeColor="text1"/>
        </w:rPr>
        <w:t>The coefficient for the contemporaneous literacy rate (LTR) is negative and not statistically significant (β = −0.0425, p = 0.7820), meaning that there is no immediate positive relationship between an improvement in literacy and an increase in economic growth. This result may be due to the fact that education alone is not enough to boost productivity unless there are skills, technologies, entrepreneurship and a conducive business climate. The finding is, therefore, partly in agreement with the endogenous growth theory that focuses on the role of human capital in growth, specifically its ability to produce knowledge, innovate, and enhance productivity, not just in terms of education alone. The finding is also consistent with the result obtained by Amaegberi and Krokeyi (2025), which concluded that government spending on education did not have a positive immediate impact on economic growth.</w:t>
      </w:r>
    </w:p>
    <w:p w14:paraId="0A6E6681" w14:textId="5E31AA80" w:rsidR="00836340" w:rsidRPr="00E000DA" w:rsidRDefault="00577278" w:rsidP="003E2170">
      <w:pPr>
        <w:pStyle w:val="isselectedend"/>
        <w:spacing w:line="360" w:lineRule="auto"/>
        <w:jc w:val="both"/>
        <w:rPr>
          <w:color w:val="000000" w:themeColor="text1"/>
        </w:rPr>
      </w:pPr>
      <w:r>
        <w:rPr>
          <w:color w:val="000000" w:themeColor="text1"/>
        </w:rPr>
        <w:t xml:space="preserve">   </w:t>
      </w:r>
      <w:r w:rsidR="00926671" w:rsidRPr="00E000DA">
        <w:rPr>
          <w:color w:val="000000" w:themeColor="text1"/>
        </w:rPr>
        <w:t xml:space="preserve">The lagged literacy rate D(LTR(-1)), on the other hand, has a statistically significant and positive influence on economic growth (β = 1.9159, p = 0.0068). This means that the payoffs of human capital </w:t>
      </w:r>
      <w:r w:rsidRPr="00E000DA">
        <w:rPr>
          <w:color w:val="000000" w:themeColor="text1"/>
        </w:rPr>
        <w:t>utilization</w:t>
      </w:r>
      <w:r w:rsidR="00926671" w:rsidRPr="00E000DA">
        <w:rPr>
          <w:color w:val="000000" w:themeColor="text1"/>
        </w:rPr>
        <w:t xml:space="preserve"> are not immediate but taken over time as a rise in literacy levels slowly increases labour productivity, innovation capacity, technological adoption and the overall efficiency of production. The result supports the endogenous growth theory proposed by Romer (1986) and Lucas (1988) that sustained investment in human capital can lead to knowledge spillovers and increasing returns that can foster long-run economic growth. This finding also corroborates that of Onwiodiokit and Otolorin (2021), who reported a positive influence of human capital formation on economic growth in Nigeria, with gross capital formation reporting a lesser or negative result. The results thus highlight the need to ensure that investments are not only accompanied by continuous investment in human capital but also with institutional strengthening, infrastructure development, and macroeconomic stability for a shift in capital accumulation to sustainable economic growth.</w:t>
      </w:r>
    </w:p>
    <w:p w14:paraId="485F2660" w14:textId="77777777" w:rsidR="00836340" w:rsidRPr="00836340" w:rsidRDefault="00836340" w:rsidP="003E2170">
      <w:pPr>
        <w:spacing w:before="100" w:beforeAutospacing="1" w:after="100" w:afterAutospacing="1" w:line="360" w:lineRule="auto"/>
        <w:outlineLvl w:val="1"/>
        <w:rPr>
          <w:rFonts w:ascii="Times New Roman" w:eastAsia="Times New Roman" w:hAnsi="Times New Roman" w:cs="Times New Roman"/>
          <w:b/>
          <w:bCs/>
          <w:color w:val="000000" w:themeColor="text1"/>
          <w:sz w:val="24"/>
          <w:szCs w:val="24"/>
        </w:rPr>
      </w:pPr>
      <w:r w:rsidRPr="00E000DA">
        <w:rPr>
          <w:rFonts w:ascii="Times New Roman" w:eastAsia="Times New Roman" w:hAnsi="Times New Roman" w:cs="Times New Roman"/>
          <w:b/>
          <w:bCs/>
          <w:color w:val="000000" w:themeColor="text1"/>
          <w:sz w:val="24"/>
          <w:szCs w:val="24"/>
        </w:rPr>
        <w:t>5.0 Conclusion and Recommendations</w:t>
      </w:r>
    </w:p>
    <w:p w14:paraId="054FFD9B" w14:textId="6EAD3C2B" w:rsidR="00AB32C5" w:rsidRPr="00E000DA" w:rsidRDefault="00577278" w:rsidP="003E2170">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8C4CF5" w:rsidRPr="00E000DA">
        <w:rPr>
          <w:rFonts w:ascii="Times New Roman" w:eastAsia="Times New Roman" w:hAnsi="Times New Roman" w:cs="Times New Roman"/>
          <w:color w:val="000000" w:themeColor="text1"/>
          <w:sz w:val="24"/>
          <w:szCs w:val="24"/>
        </w:rPr>
        <w:t xml:space="preserve">In Nigeria, gross capital formation had a negative but insignificant contemporaneous effect and a positive but insignificant lagged effect on economic growth; thus, the study confirmed that capital accumulation is still an important factor in determining economic growth, but capital formation has not been translated to economic performance. This could be explained by the inefficiency of the investment resource allocation, lack of infrastructure, poor institutional quality </w:t>
      </w:r>
      <w:r w:rsidR="008C4CF5" w:rsidRPr="00E000DA">
        <w:rPr>
          <w:rFonts w:ascii="Times New Roman" w:eastAsia="Times New Roman" w:hAnsi="Times New Roman" w:cs="Times New Roman"/>
          <w:color w:val="000000" w:themeColor="text1"/>
          <w:sz w:val="24"/>
          <w:szCs w:val="24"/>
        </w:rPr>
        <w:lastRenderedPageBreak/>
        <w:t xml:space="preserve">and the low productivity rate of public and private investments. In addition, the contemporaneous and lagged literacy rates were found to have insignificant negative and positive impacts on economic growth, respectively, suggesting that investments in education and human capital take time to </w:t>
      </w:r>
      <w:r w:rsidR="00AB32C5" w:rsidRPr="00E000DA">
        <w:rPr>
          <w:rFonts w:ascii="Times New Roman" w:eastAsia="Times New Roman" w:hAnsi="Times New Roman" w:cs="Times New Roman"/>
          <w:color w:val="000000" w:themeColor="text1"/>
          <w:sz w:val="24"/>
          <w:szCs w:val="24"/>
        </w:rPr>
        <w:t>yield</w:t>
      </w:r>
      <w:r w:rsidR="008C4CF5" w:rsidRPr="00E000DA">
        <w:rPr>
          <w:rFonts w:ascii="Times New Roman" w:eastAsia="Times New Roman" w:hAnsi="Times New Roman" w:cs="Times New Roman"/>
          <w:color w:val="000000" w:themeColor="text1"/>
          <w:sz w:val="24"/>
          <w:szCs w:val="24"/>
        </w:rPr>
        <w:t xml:space="preserve"> productivity and economic growth. The findings indicate that, while there is a need to push for a higher level of investment in Nigeria, it is also crucial to boost efficiency of capital </w:t>
      </w:r>
      <w:r w:rsidRPr="00E000DA">
        <w:rPr>
          <w:rFonts w:ascii="Times New Roman" w:eastAsia="Times New Roman" w:hAnsi="Times New Roman" w:cs="Times New Roman"/>
          <w:color w:val="000000" w:themeColor="text1"/>
          <w:sz w:val="24"/>
          <w:szCs w:val="24"/>
        </w:rPr>
        <w:t>utilization</w:t>
      </w:r>
      <w:r w:rsidR="008C4CF5" w:rsidRPr="00E000DA">
        <w:rPr>
          <w:rFonts w:ascii="Times New Roman" w:eastAsia="Times New Roman" w:hAnsi="Times New Roman" w:cs="Times New Roman"/>
          <w:color w:val="000000" w:themeColor="text1"/>
          <w:sz w:val="24"/>
          <w:szCs w:val="24"/>
        </w:rPr>
        <w:t xml:space="preserve"> and support human capital development to boost productivity for sustainable economic growth. </w:t>
      </w:r>
      <w:r w:rsidR="00AB32C5" w:rsidRPr="00E000DA">
        <w:rPr>
          <w:rFonts w:ascii="Times New Roman" w:eastAsia="Times New Roman" w:hAnsi="Times New Roman" w:cs="Times New Roman"/>
          <w:color w:val="000000" w:themeColor="text1"/>
          <w:sz w:val="24"/>
          <w:szCs w:val="24"/>
        </w:rPr>
        <w:t xml:space="preserve">Given this, the </w:t>
      </w:r>
      <w:r w:rsidR="008C4CF5" w:rsidRPr="00E000DA">
        <w:rPr>
          <w:rFonts w:ascii="Times New Roman" w:eastAsia="Times New Roman" w:hAnsi="Times New Roman" w:cs="Times New Roman"/>
          <w:color w:val="000000" w:themeColor="text1"/>
          <w:sz w:val="24"/>
          <w:szCs w:val="24"/>
        </w:rPr>
        <w:t xml:space="preserve">study concludes that gross capital formation and human capital development </w:t>
      </w:r>
      <w:r w:rsidR="00AB32C5" w:rsidRPr="00E000DA">
        <w:rPr>
          <w:rFonts w:ascii="Times New Roman" w:eastAsia="Times New Roman" w:hAnsi="Times New Roman" w:cs="Times New Roman"/>
          <w:color w:val="000000" w:themeColor="text1"/>
          <w:sz w:val="24"/>
          <w:szCs w:val="24"/>
        </w:rPr>
        <w:t>rem</w:t>
      </w:r>
      <w:r w:rsidR="008C4CF5" w:rsidRPr="00E000DA">
        <w:rPr>
          <w:rFonts w:ascii="Times New Roman" w:eastAsia="Times New Roman" w:hAnsi="Times New Roman" w:cs="Times New Roman"/>
          <w:color w:val="000000" w:themeColor="text1"/>
          <w:sz w:val="24"/>
          <w:szCs w:val="24"/>
        </w:rPr>
        <w:t>a</w:t>
      </w:r>
      <w:r w:rsidR="00AB32C5" w:rsidRPr="00E000DA">
        <w:rPr>
          <w:rFonts w:ascii="Times New Roman" w:eastAsia="Times New Roman" w:hAnsi="Times New Roman" w:cs="Times New Roman"/>
          <w:color w:val="000000" w:themeColor="text1"/>
          <w:sz w:val="24"/>
          <w:szCs w:val="24"/>
        </w:rPr>
        <w:t xml:space="preserve">ins significant </w:t>
      </w:r>
      <w:r w:rsidR="008C4CF5" w:rsidRPr="00E000DA">
        <w:rPr>
          <w:rFonts w:ascii="Times New Roman" w:eastAsia="Times New Roman" w:hAnsi="Times New Roman" w:cs="Times New Roman"/>
          <w:color w:val="000000" w:themeColor="text1"/>
          <w:sz w:val="24"/>
          <w:szCs w:val="24"/>
        </w:rPr>
        <w:t>contributors to economic growth if they are backed by good macroeconomic policies, good institutions and efficient implementation of investment programmes. The study suggests that the following should be done:</w:t>
      </w:r>
    </w:p>
    <w:p w14:paraId="68C0D6C8" w14:textId="77777777" w:rsidR="00AB32C5" w:rsidRPr="00E000DA" w:rsidRDefault="008C4CF5" w:rsidP="003E2170">
      <w:pPr>
        <w:pStyle w:val="ListParagraph"/>
        <w:numPr>
          <w:ilvl w:val="0"/>
          <w:numId w:val="2"/>
        </w:num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sidRPr="00E000DA">
        <w:rPr>
          <w:rFonts w:ascii="Times New Roman" w:eastAsia="Times New Roman" w:hAnsi="Times New Roman" w:cs="Times New Roman"/>
          <w:color w:val="000000" w:themeColor="text1"/>
          <w:sz w:val="24"/>
          <w:szCs w:val="24"/>
        </w:rPr>
        <w:t>The Federal Ministry of Finance, Federal Ministry of Budget and Economic Planning, Central Bank of Nigeria (CBN), and Nigerian Investment Promotion Commission (NIPC) should strengthen policies to promote productive public and private investment through improvement of infrastructure, efficient allocation of capital expenditure, improvement of the investment climate and provision of incentives for domestic and foreign investment in productive sectors of the economy. This will facilitate the efficiency of gross capital formation and increase its effect on sustainable economic growth.</w:t>
      </w:r>
    </w:p>
    <w:p w14:paraId="75B8C45F" w14:textId="44BF7C82" w:rsidR="00B15DBD" w:rsidRDefault="008C4CF5" w:rsidP="00B15DBD">
      <w:pPr>
        <w:pStyle w:val="ListParagraph"/>
        <w:numPr>
          <w:ilvl w:val="0"/>
          <w:numId w:val="2"/>
        </w:num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sidRPr="00E000DA">
        <w:rPr>
          <w:rFonts w:ascii="Times New Roman" w:eastAsia="Times New Roman" w:hAnsi="Times New Roman" w:cs="Times New Roman"/>
          <w:color w:val="000000" w:themeColor="text1"/>
          <w:sz w:val="24"/>
          <w:szCs w:val="24"/>
        </w:rPr>
        <w:t>The Federal Ministry of Education (FME), National Universities Commission (NUC), National Board for Technical Education (NBTE), National Commission for Colleges of Education (NCCE) and the National Board for Arabic and Islamic Studies (NBAIS) should continue to upgrade the quality of education by enhancing education for the acquisition of technical, vocational, digital and innovation skills in education systems and training systems and align educational curricula with the needs of the labour market. This will help to ensure that the gains achieved in literacy lead to increased labour productivity, technological innovations and continued economic growth in Nigeria.</w:t>
      </w:r>
    </w:p>
    <w:p w14:paraId="1971E412" w14:textId="77777777" w:rsidR="00AD2FA3" w:rsidRPr="00965719" w:rsidRDefault="00AD2FA3" w:rsidP="00965719">
      <w:pPr>
        <w:spacing w:after="0" w:line="240" w:lineRule="auto"/>
        <w:ind w:left="360"/>
        <w:rPr>
          <w:rFonts w:ascii="Times New Roman" w:hAnsi="Times New Roman" w:cs="Times New Roman"/>
          <w:b/>
        </w:rPr>
      </w:pPr>
      <w:bookmarkStart w:id="0" w:name="_Hlk234486585"/>
      <w:bookmarkStart w:id="1" w:name="_Hlk234075571"/>
      <w:bookmarkStart w:id="2" w:name="_Hlk232755622"/>
      <w:r w:rsidRPr="00965719">
        <w:rPr>
          <w:rFonts w:ascii="Times New Roman" w:hAnsi="Times New Roman" w:cs="Times New Roman"/>
          <w:b/>
        </w:rPr>
        <w:t>Declaration of AI Use</w:t>
      </w:r>
    </w:p>
    <w:p w14:paraId="4147591C" w14:textId="77777777" w:rsidR="00AD2FA3" w:rsidRPr="00965719" w:rsidRDefault="00AD2FA3" w:rsidP="00965719">
      <w:pPr>
        <w:spacing w:after="0" w:line="240" w:lineRule="auto"/>
        <w:ind w:left="360"/>
        <w:rPr>
          <w:rFonts w:ascii="Times New Roman" w:hAnsi="Times New Roman" w:cs="Times New Roman"/>
        </w:rPr>
      </w:pPr>
      <w:bookmarkStart w:id="3" w:name="_Hlk234486575"/>
      <w:bookmarkEnd w:id="0"/>
    </w:p>
    <w:p w14:paraId="69326774" w14:textId="77777777" w:rsidR="00AD2FA3" w:rsidRPr="00965719" w:rsidRDefault="00AD2FA3" w:rsidP="00965719">
      <w:pPr>
        <w:spacing w:after="0" w:line="240" w:lineRule="auto"/>
        <w:ind w:left="360"/>
        <w:jc w:val="both"/>
        <w:rPr>
          <w:rFonts w:ascii="Times New Roman" w:hAnsi="Times New Roman" w:cs="Times New Roman"/>
        </w:rPr>
      </w:pPr>
      <w:r w:rsidRPr="00965719">
        <w:rPr>
          <w:rFonts w:ascii="Times New Roman" w:hAnsi="Times New Roman" w:cs="Times New Roman"/>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w:t>
      </w:r>
      <w:r w:rsidRPr="00965719">
        <w:rPr>
          <w:rFonts w:ascii="Times New Roman" w:hAnsi="Times New Roman" w:cs="Times New Roman"/>
        </w:rPr>
        <w:lastRenderedPageBreak/>
        <w:t>and approved by the author(s). The author(s) accept full responsibility for the accuracy, integrity, and final content of the manuscript</w:t>
      </w:r>
      <w:bookmarkEnd w:id="1"/>
      <w:r w:rsidRPr="00965719">
        <w:rPr>
          <w:rFonts w:ascii="Times New Roman" w:hAnsi="Times New Roman" w:cs="Times New Roman"/>
        </w:rPr>
        <w:t>.</w:t>
      </w:r>
    </w:p>
    <w:bookmarkEnd w:id="2"/>
    <w:bookmarkEnd w:id="3"/>
    <w:p w14:paraId="011863EB" w14:textId="77777777" w:rsidR="00AD2FA3" w:rsidRPr="00AD2FA3" w:rsidRDefault="00AD2FA3" w:rsidP="00AD2FA3">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p>
    <w:p w14:paraId="4C526B18" w14:textId="77777777" w:rsidR="00B15DBD" w:rsidRPr="00E000DA" w:rsidRDefault="00B15DBD" w:rsidP="00B15DBD">
      <w:pPr>
        <w:spacing w:before="100" w:beforeAutospacing="1" w:after="100" w:afterAutospacing="1" w:line="360" w:lineRule="auto"/>
        <w:jc w:val="center"/>
        <w:rPr>
          <w:rFonts w:ascii="Times New Roman" w:eastAsia="Times New Roman" w:hAnsi="Times New Roman" w:cs="Times New Roman"/>
          <w:color w:val="000000" w:themeColor="text1"/>
          <w:sz w:val="24"/>
          <w:szCs w:val="24"/>
        </w:rPr>
      </w:pPr>
      <w:r w:rsidRPr="00E000DA">
        <w:rPr>
          <w:rFonts w:ascii="Times New Roman" w:eastAsia="Times New Roman" w:hAnsi="Times New Roman" w:cs="Times New Roman"/>
          <w:b/>
          <w:color w:val="000000" w:themeColor="text1"/>
          <w:sz w:val="24"/>
          <w:szCs w:val="24"/>
        </w:rPr>
        <w:t>REFERENCES</w:t>
      </w:r>
    </w:p>
    <w:p w14:paraId="10E357DB"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Abdulkarim, Y. (2023). A systematic review of investment indicators and economic growth in Nigeria. </w:t>
      </w:r>
      <w:r w:rsidRPr="00E000DA">
        <w:rPr>
          <w:rStyle w:val="Emphasis"/>
          <w:color w:val="000000" w:themeColor="text1"/>
        </w:rPr>
        <w:t>Humanities and Social Sciences Communications, 10</w:t>
      </w:r>
      <w:r w:rsidRPr="00E000DA">
        <w:rPr>
          <w:color w:val="000000" w:themeColor="text1"/>
        </w:rPr>
        <w:t xml:space="preserve">, Article 500. </w:t>
      </w:r>
    </w:p>
    <w:p w14:paraId="7CAE21C1"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Adegboyega, S. B., Odusanya, I. A., &amp; Popoola, R. O. (2020). Trade, capital flow and economic growth in Nigeria. </w:t>
      </w:r>
      <w:r w:rsidRPr="00E000DA">
        <w:rPr>
          <w:rStyle w:val="Emphasis"/>
          <w:color w:val="000000" w:themeColor="text1"/>
        </w:rPr>
        <w:t>Journal of Economics and Policy Analysis, 5</w:t>
      </w:r>
      <w:r w:rsidRPr="00E000DA">
        <w:rPr>
          <w:color w:val="000000" w:themeColor="text1"/>
        </w:rPr>
        <w:t xml:space="preserve">(1), 1–22. </w:t>
      </w:r>
    </w:p>
    <w:p w14:paraId="3F51E7F8"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Amaegberi, M., &amp; Krokeyi, W. S. (2025). Capital formation and economic growth in Nigeria. </w:t>
      </w:r>
      <w:r w:rsidRPr="00E000DA">
        <w:rPr>
          <w:i/>
          <w:color w:val="000000" w:themeColor="text1"/>
        </w:rPr>
        <w:t>International Journal of Innovative Research in Education, Technology &amp; Social Strategies, 12</w:t>
      </w:r>
      <w:r w:rsidRPr="00E000DA">
        <w:rPr>
          <w:color w:val="000000" w:themeColor="text1"/>
        </w:rPr>
        <w:t>(2), 153–171. https://doi.org/10.48028/iiprds/ijiretss.v12.i2.12</w:t>
      </w:r>
    </w:p>
    <w:p w14:paraId="443CDC80"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Anagun, A. M., &amp; Sokunbi, G. M. (2024). A disaggregated ARDL analysis of capital formation on economic growth in Nigeria: Evidence from the endogenous growth model. </w:t>
      </w:r>
      <w:r w:rsidRPr="00E000DA">
        <w:rPr>
          <w:i/>
          <w:color w:val="000000" w:themeColor="text1"/>
        </w:rPr>
        <w:t>Ekonomika a Spoločnosť, 25</w:t>
      </w:r>
      <w:r w:rsidRPr="00E000DA">
        <w:rPr>
          <w:color w:val="000000" w:themeColor="text1"/>
        </w:rPr>
        <w:t>(2), 5–24. https://doi.org/10.24040/eas.2024.25.2.5-24</w:t>
      </w:r>
    </w:p>
    <w:p w14:paraId="6DE3F84F" w14:textId="77777777" w:rsidR="00B15DBD" w:rsidRPr="00E000DA" w:rsidRDefault="00B15DBD" w:rsidP="00B15DBD">
      <w:pPr>
        <w:pStyle w:val="pdq2pgselectionanchorcontainer"/>
        <w:ind w:left="720" w:hanging="720"/>
        <w:jc w:val="both"/>
        <w:rPr>
          <w:color w:val="000000" w:themeColor="text1"/>
        </w:rPr>
      </w:pPr>
      <w:r w:rsidRPr="00E000DA">
        <w:rPr>
          <w:color w:val="000000" w:themeColor="text1"/>
        </w:rPr>
        <w:t xml:space="preserve">Arrow, K. J. (1962). The economic implications of learning by doing. </w:t>
      </w:r>
      <w:r w:rsidRPr="00E000DA">
        <w:rPr>
          <w:rStyle w:val="Emphasis"/>
          <w:color w:val="000000" w:themeColor="text1"/>
        </w:rPr>
        <w:t>The Review of Economic Studies, 29</w:t>
      </w:r>
      <w:r w:rsidRPr="00E000DA">
        <w:rPr>
          <w:color w:val="000000" w:themeColor="text1"/>
        </w:rPr>
        <w:t xml:space="preserve">(3), 155–173. </w:t>
      </w:r>
      <w:hyperlink r:id="rId7" w:tgtFrame="_new" w:history="1">
        <w:r w:rsidRPr="00E000DA">
          <w:rPr>
            <w:rStyle w:val="Hyperlink"/>
            <w:color w:val="000000" w:themeColor="text1"/>
            <w:u w:val="none"/>
          </w:rPr>
          <w:t>https://doi.org/10.2307/2295952</w:t>
        </w:r>
      </w:hyperlink>
    </w:p>
    <w:p w14:paraId="5DB9D86C" w14:textId="77777777" w:rsidR="00B15DBD" w:rsidRPr="00E000DA" w:rsidRDefault="00B15DBD" w:rsidP="00B15DBD">
      <w:pPr>
        <w:pStyle w:val="pdq2pgselectionanchorcontainer"/>
        <w:ind w:left="720" w:hanging="720"/>
        <w:jc w:val="both"/>
        <w:rPr>
          <w:color w:val="000000" w:themeColor="text1"/>
        </w:rPr>
      </w:pPr>
      <w:r w:rsidRPr="00E000DA">
        <w:rPr>
          <w:color w:val="000000" w:themeColor="text1"/>
        </w:rPr>
        <w:t xml:space="preserve">Aschauer, D. A. (1989). Is public expenditure productive? </w:t>
      </w:r>
      <w:r w:rsidRPr="00E000DA">
        <w:rPr>
          <w:rStyle w:val="Emphasis"/>
          <w:color w:val="000000" w:themeColor="text1"/>
        </w:rPr>
        <w:t>Journal of Monetary Economics, 23</w:t>
      </w:r>
      <w:r w:rsidRPr="00E000DA">
        <w:rPr>
          <w:color w:val="000000" w:themeColor="text1"/>
        </w:rPr>
        <w:t>(2), 177–200.</w:t>
      </w:r>
    </w:p>
    <w:p w14:paraId="3DB08C77"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Bakare, A. S. (2011). Financial sector liberalization and economic growth in Nigeria: An empirical study. </w:t>
      </w:r>
      <w:r w:rsidRPr="00E000DA">
        <w:rPr>
          <w:rStyle w:val="Emphasis"/>
          <w:color w:val="000000" w:themeColor="text1"/>
        </w:rPr>
        <w:t>Economics and Finance Review, 1</w:t>
      </w:r>
      <w:r w:rsidRPr="00E000DA">
        <w:rPr>
          <w:color w:val="000000" w:themeColor="text1"/>
        </w:rPr>
        <w:t>(4), 8–16.</w:t>
      </w:r>
    </w:p>
    <w:p w14:paraId="390973EB"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Barro, R. J. (1991). Economic growth in a cross section of countries. </w:t>
      </w:r>
      <w:r w:rsidRPr="00E000DA">
        <w:rPr>
          <w:rStyle w:val="Emphasis"/>
          <w:color w:val="000000" w:themeColor="text1"/>
        </w:rPr>
        <w:t>The Quarterly Journal of Economics, 106</w:t>
      </w:r>
      <w:r w:rsidRPr="00E000DA">
        <w:rPr>
          <w:color w:val="000000" w:themeColor="text1"/>
        </w:rPr>
        <w:t>(2), 407–443.</w:t>
      </w:r>
    </w:p>
    <w:p w14:paraId="3AB0CB2C"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Chirwa, T. G., &amp; Odhiambo, N. M. (2018). Exogenous and endogenous growth models: A critical review. </w:t>
      </w:r>
      <w:r w:rsidRPr="00E000DA">
        <w:rPr>
          <w:i/>
          <w:color w:val="000000" w:themeColor="text1"/>
        </w:rPr>
        <w:t>Comparative Economic Research, 21</w:t>
      </w:r>
      <w:r w:rsidRPr="00E000DA">
        <w:rPr>
          <w:color w:val="000000" w:themeColor="text1"/>
        </w:rPr>
        <w:t>(4), 63–84. https://doi.org/10.2478/cer-2018-0027</w:t>
      </w:r>
    </w:p>
    <w:p w14:paraId="2B6F37CB"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Haller, A. P. (2012). Concepts of economic growth and development. Challenges of crisis and knowledge. </w:t>
      </w:r>
      <w:r w:rsidRPr="00E000DA">
        <w:rPr>
          <w:rStyle w:val="Emphasis"/>
          <w:color w:val="000000" w:themeColor="text1"/>
        </w:rPr>
        <w:t>Economy Transdisciplinarity Cognition, 15</w:t>
      </w:r>
      <w:r w:rsidRPr="00E000DA">
        <w:rPr>
          <w:color w:val="000000" w:themeColor="text1"/>
        </w:rPr>
        <w:t>(1), 66–71.</w:t>
      </w:r>
    </w:p>
    <w:p w14:paraId="64BC344C"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Lucas, R. E., Jr. (1988). On the mechanics of economic development. </w:t>
      </w:r>
      <w:r w:rsidRPr="00E000DA">
        <w:rPr>
          <w:rStyle w:val="Emphasis"/>
          <w:color w:val="000000" w:themeColor="text1"/>
        </w:rPr>
        <w:t>Journal of Monetary Economics, 22</w:t>
      </w:r>
      <w:r w:rsidRPr="00E000DA">
        <w:rPr>
          <w:color w:val="000000" w:themeColor="text1"/>
        </w:rPr>
        <w:t>(1), 3–42.</w:t>
      </w:r>
    </w:p>
    <w:p w14:paraId="232F2160" w14:textId="77777777" w:rsidR="00B15DBD" w:rsidRPr="00E000DA" w:rsidRDefault="00B15DBD" w:rsidP="00B15DBD">
      <w:pPr>
        <w:pStyle w:val="NormalWeb"/>
        <w:ind w:left="720" w:hanging="720"/>
        <w:jc w:val="both"/>
        <w:rPr>
          <w:color w:val="000000" w:themeColor="text1"/>
        </w:rPr>
      </w:pPr>
      <w:r w:rsidRPr="00E000DA">
        <w:rPr>
          <w:color w:val="000000" w:themeColor="text1"/>
        </w:rPr>
        <w:lastRenderedPageBreak/>
        <w:t xml:space="preserve">Nweke, G. O., Odo, S. I., &amp; Anoke, C. I. (2017). Effect of capital formation on economic growth in Nigeria. </w:t>
      </w:r>
      <w:r w:rsidRPr="00E000DA">
        <w:rPr>
          <w:i/>
          <w:color w:val="000000" w:themeColor="text1"/>
        </w:rPr>
        <w:t>Asian Journal of Economics, Business and Accounting, 5</w:t>
      </w:r>
      <w:r w:rsidRPr="00E000DA">
        <w:rPr>
          <w:color w:val="000000" w:themeColor="text1"/>
        </w:rPr>
        <w:t>(1), 1–16. https://doi.org/10.9734/AJEBA/2017/36075</w:t>
      </w:r>
    </w:p>
    <w:p w14:paraId="62202A94" w14:textId="77777777" w:rsidR="00B15DBD" w:rsidRPr="00E000DA" w:rsidRDefault="00B15DBD" w:rsidP="00B15DBD">
      <w:pPr>
        <w:pStyle w:val="NormalWeb"/>
        <w:ind w:left="720" w:hanging="720"/>
        <w:jc w:val="both"/>
        <w:rPr>
          <w:color w:val="000000" w:themeColor="text1"/>
        </w:rPr>
      </w:pPr>
      <w:r w:rsidRPr="00E000DA">
        <w:rPr>
          <w:color w:val="000000" w:themeColor="text1"/>
        </w:rPr>
        <w:t>Onwiodiokit, E. A., &amp; Otolorin, G. E. (2021). Capital formation and economic growth in Nigeria: An empirical re-examination. Bullion, 45(2), 58–72. https://doi.org/10.33429/0331-7919.1493</w:t>
      </w:r>
    </w:p>
    <w:p w14:paraId="070E4D48"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Organisation for Economic Co-operation and Development. (2022). </w:t>
      </w:r>
      <w:r w:rsidRPr="00E000DA">
        <w:rPr>
          <w:rStyle w:val="Emphasis"/>
          <w:color w:val="000000" w:themeColor="text1"/>
        </w:rPr>
        <w:t>National accounts at a glance 2022</w:t>
      </w:r>
      <w:r w:rsidRPr="00E000DA">
        <w:rPr>
          <w:color w:val="000000" w:themeColor="text1"/>
        </w:rPr>
        <w:t xml:space="preserve">. Paris, France: OECD Publishing. </w:t>
      </w:r>
      <w:hyperlink r:id="rId8" w:history="1">
        <w:r w:rsidRPr="00E000DA">
          <w:rPr>
            <w:rStyle w:val="Hyperlink"/>
            <w:color w:val="000000" w:themeColor="text1"/>
            <w:u w:val="none"/>
          </w:rPr>
          <w:t>https://doi.org/10.1787/22200444</w:t>
        </w:r>
      </w:hyperlink>
    </w:p>
    <w:p w14:paraId="4AB76AA5" w14:textId="77777777" w:rsidR="00B15DBD" w:rsidRPr="00E000DA" w:rsidRDefault="00B15DBD" w:rsidP="00B15DBD">
      <w:pPr>
        <w:pStyle w:val="NormalWeb"/>
        <w:ind w:left="720" w:hanging="720"/>
        <w:jc w:val="both"/>
        <w:rPr>
          <w:color w:val="000000" w:themeColor="text1"/>
        </w:rPr>
      </w:pPr>
      <w:r w:rsidRPr="00E000DA">
        <w:rPr>
          <w:color w:val="000000" w:themeColor="text1"/>
        </w:rPr>
        <w:t>Pesaran, M. H., Shin, Y., &amp; Smith, R. J. (2001). Bounds testing approaches to the analysis of level relationships. </w:t>
      </w:r>
      <w:r w:rsidRPr="00E000DA">
        <w:rPr>
          <w:i/>
          <w:color w:val="000000" w:themeColor="text1"/>
        </w:rPr>
        <w:t>Journal of Applied Econometrics, 16</w:t>
      </w:r>
      <w:r w:rsidRPr="00E000DA">
        <w:rPr>
          <w:color w:val="000000" w:themeColor="text1"/>
        </w:rPr>
        <w:t>(3), 289–326. https://doi.org/10.1002/jae.616</w:t>
      </w:r>
    </w:p>
    <w:p w14:paraId="79830B36"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Ricardo, D. (1817). </w:t>
      </w:r>
      <w:r w:rsidRPr="00E000DA">
        <w:rPr>
          <w:rStyle w:val="Emphasis"/>
          <w:color w:val="000000" w:themeColor="text1"/>
        </w:rPr>
        <w:t>On the principles of political economy and taxation</w:t>
      </w:r>
      <w:r w:rsidRPr="00E000DA">
        <w:rPr>
          <w:color w:val="000000" w:themeColor="text1"/>
        </w:rPr>
        <w:t>. London, England: John Murray.</w:t>
      </w:r>
    </w:p>
    <w:p w14:paraId="33521D90"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Romer, P. M. (1986). Increasing returns and long-run growth. </w:t>
      </w:r>
      <w:r w:rsidRPr="00E000DA">
        <w:rPr>
          <w:rStyle w:val="Emphasis"/>
          <w:color w:val="000000" w:themeColor="text1"/>
        </w:rPr>
        <w:t>Journal of Political Economy, 94</w:t>
      </w:r>
      <w:r w:rsidRPr="00E000DA">
        <w:rPr>
          <w:color w:val="000000" w:themeColor="text1"/>
        </w:rPr>
        <w:t>(5), 1002–1037.</w:t>
      </w:r>
    </w:p>
    <w:p w14:paraId="7044FC65"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Romer, P. M. (1994). The origins of endogenous growth. </w:t>
      </w:r>
      <w:r w:rsidRPr="00E000DA">
        <w:rPr>
          <w:rStyle w:val="Emphasis"/>
          <w:color w:val="000000" w:themeColor="text1"/>
        </w:rPr>
        <w:t>Journal of Economic Perspectives, 8</w:t>
      </w:r>
      <w:r w:rsidRPr="00E000DA">
        <w:rPr>
          <w:color w:val="000000" w:themeColor="text1"/>
        </w:rPr>
        <w:t xml:space="preserve">(1), 3–22. </w:t>
      </w:r>
      <w:hyperlink r:id="rId9" w:tgtFrame="_new" w:history="1">
        <w:r w:rsidRPr="00E000DA">
          <w:rPr>
            <w:rStyle w:val="Hyperlink"/>
            <w:color w:val="000000" w:themeColor="text1"/>
            <w:u w:val="none"/>
          </w:rPr>
          <w:t>https://doi.org/10.1257/jep.8.1.3</w:t>
        </w:r>
      </w:hyperlink>
    </w:p>
    <w:p w14:paraId="21939BCA"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Smith, A. (1776). </w:t>
      </w:r>
      <w:r w:rsidRPr="00E000DA">
        <w:rPr>
          <w:rStyle w:val="Emphasis"/>
          <w:color w:val="000000" w:themeColor="text1"/>
        </w:rPr>
        <w:t>An inquiry into the nature and causes of the wealth of nations</w:t>
      </w:r>
      <w:r w:rsidRPr="00E000DA">
        <w:rPr>
          <w:color w:val="000000" w:themeColor="text1"/>
        </w:rPr>
        <w:t>. London: W. Strahan and T. Cadell.</w:t>
      </w:r>
    </w:p>
    <w:p w14:paraId="36CC59D8"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Solow, R. M. (1956). A contribution to the theory of economic growth. </w:t>
      </w:r>
      <w:r w:rsidRPr="00E000DA">
        <w:rPr>
          <w:rStyle w:val="Emphasis"/>
          <w:color w:val="000000" w:themeColor="text1"/>
        </w:rPr>
        <w:t>Quarterly Journal of Economics, 70</w:t>
      </w:r>
      <w:r w:rsidRPr="00E000DA">
        <w:rPr>
          <w:color w:val="000000" w:themeColor="text1"/>
        </w:rPr>
        <w:t>(1), 65–94.</w:t>
      </w:r>
    </w:p>
    <w:p w14:paraId="589F758E"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Todaro, M. P., &amp; Smith, S. C. (2021). </w:t>
      </w:r>
      <w:r w:rsidRPr="00E000DA">
        <w:rPr>
          <w:rStyle w:val="Emphasis"/>
          <w:color w:val="000000" w:themeColor="text1"/>
        </w:rPr>
        <w:t>Economic development</w:t>
      </w:r>
      <w:r w:rsidRPr="00E000DA">
        <w:rPr>
          <w:color w:val="000000" w:themeColor="text1"/>
        </w:rPr>
        <w:t xml:space="preserve"> (13th ed.). Harlow, England: Pearson Education.</w:t>
      </w:r>
    </w:p>
    <w:p w14:paraId="786DAA5D"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Ugwuegbe, S. U., &amp; Urakpa, E. N. (2013). The impact of capital formation on the growth of the Nigerian economy. </w:t>
      </w:r>
      <w:r w:rsidRPr="00E000DA">
        <w:rPr>
          <w:rStyle w:val="Emphasis"/>
          <w:color w:val="000000" w:themeColor="text1"/>
        </w:rPr>
        <w:t>Research Journal of Finance and Accounting, 4</w:t>
      </w:r>
      <w:r w:rsidRPr="00E000DA">
        <w:rPr>
          <w:color w:val="000000" w:themeColor="text1"/>
        </w:rPr>
        <w:t>(9), 36–42.</w:t>
      </w:r>
    </w:p>
    <w:p w14:paraId="222DB390"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Uremadu, S. O., Umezurike, I. N., &amp; Onyele, K. O. (2024). Effects of budget deficit financing on the economy of Nigeria. </w:t>
      </w:r>
      <w:r w:rsidRPr="00E000DA">
        <w:rPr>
          <w:i/>
          <w:color w:val="000000" w:themeColor="text1"/>
        </w:rPr>
        <w:t>AKSU Journal of Administration and Corporate Governance (AKSUJACOG), 4</w:t>
      </w:r>
      <w:r w:rsidRPr="00E000DA">
        <w:rPr>
          <w:color w:val="000000" w:themeColor="text1"/>
        </w:rPr>
        <w:t>(2), 166–190. </w:t>
      </w:r>
      <w:hyperlink r:id="rId10" w:history="1">
        <w:r w:rsidRPr="00E000DA">
          <w:rPr>
            <w:rStyle w:val="Hyperlink"/>
            <w:color w:val="000000" w:themeColor="text1"/>
            <w:u w:val="none"/>
          </w:rPr>
          <w:t>https://doi.org/10.61090/aksujacog.2024.028</w:t>
        </w:r>
      </w:hyperlink>
    </w:p>
    <w:p w14:paraId="4E4E65DE" w14:textId="77777777" w:rsidR="00B15DBD" w:rsidRPr="00E000DA" w:rsidRDefault="00B15DBD" w:rsidP="00B15DBD">
      <w:pPr>
        <w:pStyle w:val="NormalWeb"/>
        <w:ind w:left="720" w:hanging="720"/>
        <w:jc w:val="both"/>
        <w:rPr>
          <w:color w:val="000000" w:themeColor="text1"/>
        </w:rPr>
      </w:pPr>
      <w:r w:rsidRPr="00E000DA">
        <w:rPr>
          <w:color w:val="000000" w:themeColor="text1"/>
        </w:rPr>
        <w:t xml:space="preserve">World Bank. (2024). </w:t>
      </w:r>
      <w:r w:rsidRPr="00E000DA">
        <w:rPr>
          <w:rStyle w:val="Emphasis"/>
          <w:color w:val="000000" w:themeColor="text1"/>
        </w:rPr>
        <w:t>World development indicators</w:t>
      </w:r>
      <w:r w:rsidRPr="00E000DA">
        <w:rPr>
          <w:color w:val="000000" w:themeColor="text1"/>
        </w:rPr>
        <w:t xml:space="preserve">. Washington, DC: World Bank. Retrieved from </w:t>
      </w:r>
      <w:hyperlink r:id="rId11" w:tgtFrame="_new" w:history="1">
        <w:r w:rsidRPr="00E000DA">
          <w:rPr>
            <w:rStyle w:val="Hyperlink"/>
            <w:color w:val="000000" w:themeColor="text1"/>
            <w:u w:val="none"/>
          </w:rPr>
          <w:t>https://databank.worldbank.org/source/world-development-indicators</w:t>
        </w:r>
      </w:hyperlink>
    </w:p>
    <w:sectPr w:rsidR="00B15DBD" w:rsidRPr="00E000DA" w:rsidSect="001E7D18">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0B89E" w14:textId="77777777" w:rsidR="00523083" w:rsidRDefault="00523083" w:rsidP="00D73C8D">
      <w:pPr>
        <w:spacing w:after="0" w:line="240" w:lineRule="auto"/>
      </w:pPr>
      <w:r>
        <w:separator/>
      </w:r>
    </w:p>
  </w:endnote>
  <w:endnote w:type="continuationSeparator" w:id="0">
    <w:p w14:paraId="77648859" w14:textId="77777777" w:rsidR="00523083" w:rsidRDefault="00523083" w:rsidP="00D73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C564F" w14:textId="77777777" w:rsidR="00D73C8D" w:rsidRDefault="00D73C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AE5C" w14:textId="77777777" w:rsidR="00D73C8D" w:rsidRDefault="00D73C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2D93A" w14:textId="77777777" w:rsidR="00D73C8D" w:rsidRDefault="00D73C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A0F9B" w14:textId="77777777" w:rsidR="00523083" w:rsidRDefault="00523083" w:rsidP="00D73C8D">
      <w:pPr>
        <w:spacing w:after="0" w:line="240" w:lineRule="auto"/>
      </w:pPr>
      <w:r>
        <w:separator/>
      </w:r>
    </w:p>
  </w:footnote>
  <w:footnote w:type="continuationSeparator" w:id="0">
    <w:p w14:paraId="02A9872F" w14:textId="77777777" w:rsidR="00523083" w:rsidRDefault="00523083" w:rsidP="00D73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FDCAE" w14:textId="33081C51" w:rsidR="00D73C8D" w:rsidRDefault="00D73C8D">
    <w:pPr>
      <w:pStyle w:val="Header"/>
    </w:pPr>
    <w:r>
      <w:rPr>
        <w:noProof/>
      </w:rPr>
      <w:pict w14:anchorId="13A4C4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45787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EC8FC" w14:textId="39C2380B" w:rsidR="00D73C8D" w:rsidRDefault="00D73C8D">
    <w:pPr>
      <w:pStyle w:val="Header"/>
    </w:pPr>
    <w:r>
      <w:rPr>
        <w:noProof/>
      </w:rPr>
      <w:pict w14:anchorId="3C9BA2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45787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A4224" w14:textId="1ED438A2" w:rsidR="00D73C8D" w:rsidRDefault="00D73C8D">
    <w:pPr>
      <w:pStyle w:val="Header"/>
    </w:pPr>
    <w:r>
      <w:rPr>
        <w:noProof/>
      </w:rPr>
      <w:pict w14:anchorId="22D6A0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45787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7D6BDB"/>
    <w:multiLevelType w:val="hybridMultilevel"/>
    <w:tmpl w:val="E0D013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78567B"/>
    <w:multiLevelType w:val="hybridMultilevel"/>
    <w:tmpl w:val="E54C29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0949424">
    <w:abstractNumId w:val="1"/>
  </w:num>
  <w:num w:numId="2" w16cid:durableId="240991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ocumentProtection w:edit="readOnly"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85D"/>
    <w:rsid w:val="00027AC1"/>
    <w:rsid w:val="00037314"/>
    <w:rsid w:val="0004703C"/>
    <w:rsid w:val="00047AD9"/>
    <w:rsid w:val="00075F6D"/>
    <w:rsid w:val="00091419"/>
    <w:rsid w:val="000950D8"/>
    <w:rsid w:val="000A3591"/>
    <w:rsid w:val="000D033F"/>
    <w:rsid w:val="000E007E"/>
    <w:rsid w:val="000E1E53"/>
    <w:rsid w:val="000E2DFB"/>
    <w:rsid w:val="000E3699"/>
    <w:rsid w:val="00116894"/>
    <w:rsid w:val="0012185D"/>
    <w:rsid w:val="00175C90"/>
    <w:rsid w:val="001C607D"/>
    <w:rsid w:val="001E7D18"/>
    <w:rsid w:val="00222619"/>
    <w:rsid w:val="00244B19"/>
    <w:rsid w:val="002A3C7F"/>
    <w:rsid w:val="002E6010"/>
    <w:rsid w:val="002E71D9"/>
    <w:rsid w:val="003051FA"/>
    <w:rsid w:val="00344440"/>
    <w:rsid w:val="00352172"/>
    <w:rsid w:val="003D2B83"/>
    <w:rsid w:val="003E2170"/>
    <w:rsid w:val="003F5724"/>
    <w:rsid w:val="00410FB6"/>
    <w:rsid w:val="004217E3"/>
    <w:rsid w:val="0045397C"/>
    <w:rsid w:val="004664F9"/>
    <w:rsid w:val="00482BD1"/>
    <w:rsid w:val="00487C37"/>
    <w:rsid w:val="004F33EB"/>
    <w:rsid w:val="0051200F"/>
    <w:rsid w:val="00523083"/>
    <w:rsid w:val="00523501"/>
    <w:rsid w:val="005419D8"/>
    <w:rsid w:val="00554B98"/>
    <w:rsid w:val="00570D26"/>
    <w:rsid w:val="00577278"/>
    <w:rsid w:val="005B26CC"/>
    <w:rsid w:val="005B3A64"/>
    <w:rsid w:val="005C72D2"/>
    <w:rsid w:val="006010BA"/>
    <w:rsid w:val="00602178"/>
    <w:rsid w:val="006078A4"/>
    <w:rsid w:val="00624054"/>
    <w:rsid w:val="0065266B"/>
    <w:rsid w:val="006E76E5"/>
    <w:rsid w:val="007028DB"/>
    <w:rsid w:val="00714D77"/>
    <w:rsid w:val="00716F34"/>
    <w:rsid w:val="00727FE6"/>
    <w:rsid w:val="007A54AB"/>
    <w:rsid w:val="007E4680"/>
    <w:rsid w:val="007F21D9"/>
    <w:rsid w:val="00823AB2"/>
    <w:rsid w:val="00830BE4"/>
    <w:rsid w:val="00836340"/>
    <w:rsid w:val="00846723"/>
    <w:rsid w:val="00852F90"/>
    <w:rsid w:val="00876BC2"/>
    <w:rsid w:val="00883733"/>
    <w:rsid w:val="008A54AD"/>
    <w:rsid w:val="008C1C66"/>
    <w:rsid w:val="008C4CF5"/>
    <w:rsid w:val="00900F60"/>
    <w:rsid w:val="00926671"/>
    <w:rsid w:val="00965719"/>
    <w:rsid w:val="009B6E9A"/>
    <w:rsid w:val="009C1B83"/>
    <w:rsid w:val="009D27AE"/>
    <w:rsid w:val="009D71AB"/>
    <w:rsid w:val="009F4EC8"/>
    <w:rsid w:val="009F6ABA"/>
    <w:rsid w:val="00A07FF0"/>
    <w:rsid w:val="00A115C6"/>
    <w:rsid w:val="00A13D53"/>
    <w:rsid w:val="00A3325C"/>
    <w:rsid w:val="00A51D55"/>
    <w:rsid w:val="00A71CE0"/>
    <w:rsid w:val="00AB32C5"/>
    <w:rsid w:val="00AD2FA3"/>
    <w:rsid w:val="00B114C7"/>
    <w:rsid w:val="00B15A8D"/>
    <w:rsid w:val="00B15DBD"/>
    <w:rsid w:val="00B27E17"/>
    <w:rsid w:val="00B40184"/>
    <w:rsid w:val="00B46767"/>
    <w:rsid w:val="00BA5658"/>
    <w:rsid w:val="00BB676A"/>
    <w:rsid w:val="00C43B6B"/>
    <w:rsid w:val="00C97043"/>
    <w:rsid w:val="00CA3326"/>
    <w:rsid w:val="00CB56EB"/>
    <w:rsid w:val="00CC36F6"/>
    <w:rsid w:val="00D112A4"/>
    <w:rsid w:val="00D606D3"/>
    <w:rsid w:val="00D73C8D"/>
    <w:rsid w:val="00D770B7"/>
    <w:rsid w:val="00D86261"/>
    <w:rsid w:val="00D900DB"/>
    <w:rsid w:val="00DA7B0A"/>
    <w:rsid w:val="00E000DA"/>
    <w:rsid w:val="00E15563"/>
    <w:rsid w:val="00E26612"/>
    <w:rsid w:val="00F5218E"/>
    <w:rsid w:val="00F9030A"/>
    <w:rsid w:val="00FE05B6"/>
    <w:rsid w:val="00FF1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F702E"/>
  <w15:docId w15:val="{432049FD-74A2-BD45-8C9D-8752B70E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D18"/>
  </w:style>
  <w:style w:type="paragraph" w:styleId="Heading1">
    <w:name w:val="heading 1"/>
    <w:basedOn w:val="Normal"/>
    <w:link w:val="Heading1Char"/>
    <w:uiPriority w:val="9"/>
    <w:qFormat/>
    <w:rsid w:val="0012185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2185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0E1E5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E1E5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qFormat/>
    <w:rsid w:val="0065266B"/>
    <w:rPr>
      <w:rFonts w:ascii="Times New Roman" w:hAnsi="Times New Roman"/>
      <w:sz w:val="22"/>
      <w:vertAlign w:val="superscript"/>
    </w:rPr>
  </w:style>
  <w:style w:type="character" w:customStyle="1" w:styleId="Heading1Char">
    <w:name w:val="Heading 1 Char"/>
    <w:basedOn w:val="DefaultParagraphFont"/>
    <w:link w:val="Heading1"/>
    <w:uiPriority w:val="9"/>
    <w:rsid w:val="0012185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2185D"/>
    <w:rPr>
      <w:rFonts w:ascii="Times New Roman" w:eastAsia="Times New Roman" w:hAnsi="Times New Roman" w:cs="Times New Roman"/>
      <w:b/>
      <w:bCs/>
      <w:sz w:val="36"/>
      <w:szCs w:val="36"/>
    </w:rPr>
  </w:style>
  <w:style w:type="character" w:styleId="Strong">
    <w:name w:val="Strong"/>
    <w:basedOn w:val="DefaultParagraphFont"/>
    <w:uiPriority w:val="22"/>
    <w:qFormat/>
    <w:rsid w:val="0012185D"/>
    <w:rPr>
      <w:b/>
      <w:bCs/>
    </w:rPr>
  </w:style>
  <w:style w:type="paragraph" w:styleId="NormalWeb">
    <w:name w:val="Normal (Web)"/>
    <w:basedOn w:val="Normal"/>
    <w:uiPriority w:val="99"/>
    <w:unhideWhenUsed/>
    <w:rsid w:val="001218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0E1E5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E1E53"/>
    <w:rPr>
      <w:rFonts w:asciiTheme="majorHAnsi" w:eastAsiaTheme="majorEastAsia" w:hAnsiTheme="majorHAnsi" w:cstheme="majorBidi"/>
      <w:b/>
      <w:bCs/>
      <w:i/>
      <w:iCs/>
      <w:color w:val="4F81BD" w:themeColor="accent1"/>
    </w:rPr>
  </w:style>
  <w:style w:type="character" w:customStyle="1" w:styleId="katex-mathml">
    <w:name w:val="katex-mathml"/>
    <w:basedOn w:val="DefaultParagraphFont"/>
    <w:rsid w:val="00027AC1"/>
  </w:style>
  <w:style w:type="character" w:customStyle="1" w:styleId="mord">
    <w:name w:val="mord"/>
    <w:basedOn w:val="DefaultParagraphFont"/>
    <w:rsid w:val="00027AC1"/>
  </w:style>
  <w:style w:type="character" w:customStyle="1" w:styleId="mrel">
    <w:name w:val="mrel"/>
    <w:basedOn w:val="DefaultParagraphFont"/>
    <w:rsid w:val="00027AC1"/>
  </w:style>
  <w:style w:type="character" w:customStyle="1" w:styleId="mopen">
    <w:name w:val="mopen"/>
    <w:basedOn w:val="DefaultParagraphFont"/>
    <w:rsid w:val="00027AC1"/>
  </w:style>
  <w:style w:type="character" w:customStyle="1" w:styleId="mclose">
    <w:name w:val="mclose"/>
    <w:basedOn w:val="DefaultParagraphFont"/>
    <w:rsid w:val="00027AC1"/>
  </w:style>
  <w:style w:type="character" w:customStyle="1" w:styleId="vlist-s">
    <w:name w:val="vlist-s"/>
    <w:basedOn w:val="DefaultParagraphFont"/>
    <w:rsid w:val="00027AC1"/>
  </w:style>
  <w:style w:type="character" w:customStyle="1" w:styleId="mbin">
    <w:name w:val="mbin"/>
    <w:basedOn w:val="DefaultParagraphFont"/>
    <w:rsid w:val="00027AC1"/>
  </w:style>
  <w:style w:type="character" w:customStyle="1" w:styleId="mop">
    <w:name w:val="mop"/>
    <w:basedOn w:val="DefaultParagraphFont"/>
    <w:rsid w:val="00027AC1"/>
  </w:style>
  <w:style w:type="character" w:styleId="Emphasis">
    <w:name w:val="Emphasis"/>
    <w:basedOn w:val="DefaultParagraphFont"/>
    <w:uiPriority w:val="20"/>
    <w:qFormat/>
    <w:rsid w:val="00027AC1"/>
    <w:rPr>
      <w:i/>
      <w:iCs/>
    </w:rPr>
  </w:style>
  <w:style w:type="paragraph" w:customStyle="1" w:styleId="Normal1">
    <w:name w:val="Normal1"/>
    <w:rsid w:val="00410FB6"/>
    <w:pPr>
      <w:spacing w:after="195" w:line="483" w:lineRule="auto"/>
      <w:ind w:left="15" w:right="1450" w:hanging="10"/>
      <w:jc w:val="both"/>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410F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markdown-paragraph">
    <w:name w:val="ds-markdown-paragraph"/>
    <w:basedOn w:val="Normal"/>
    <w:rsid w:val="00410FB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ightShading1">
    <w:name w:val="Light Shading1"/>
    <w:basedOn w:val="TableNormal"/>
    <w:uiPriority w:val="60"/>
    <w:rsid w:val="00410FB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410FB6"/>
    <w:rPr>
      <w:color w:val="808080"/>
    </w:rPr>
  </w:style>
  <w:style w:type="paragraph" w:styleId="BalloonText">
    <w:name w:val="Balloon Text"/>
    <w:basedOn w:val="Normal"/>
    <w:link w:val="BalloonTextChar"/>
    <w:uiPriority w:val="99"/>
    <w:semiHidden/>
    <w:unhideWhenUsed/>
    <w:rsid w:val="00410F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FB6"/>
    <w:rPr>
      <w:rFonts w:ascii="Tahoma" w:hAnsi="Tahoma" w:cs="Tahoma"/>
      <w:sz w:val="16"/>
      <w:szCs w:val="16"/>
    </w:rPr>
  </w:style>
  <w:style w:type="paragraph" w:customStyle="1" w:styleId="isselectedend">
    <w:name w:val="isselectedend"/>
    <w:basedOn w:val="Normal"/>
    <w:rsid w:val="0083634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B32C5"/>
    <w:pPr>
      <w:ind w:left="720"/>
      <w:contextualSpacing/>
    </w:pPr>
  </w:style>
  <w:style w:type="character" w:styleId="Hyperlink">
    <w:name w:val="Hyperlink"/>
    <w:basedOn w:val="DefaultParagraphFont"/>
    <w:uiPriority w:val="99"/>
    <w:unhideWhenUsed/>
    <w:rsid w:val="00B15DBD"/>
    <w:rPr>
      <w:color w:val="0000FF"/>
      <w:u w:val="single"/>
    </w:rPr>
  </w:style>
  <w:style w:type="character" w:styleId="UnresolvedMention">
    <w:name w:val="Unresolved Mention"/>
    <w:basedOn w:val="DefaultParagraphFont"/>
    <w:uiPriority w:val="99"/>
    <w:semiHidden/>
    <w:unhideWhenUsed/>
    <w:rsid w:val="003F5724"/>
    <w:rPr>
      <w:color w:val="605E5C"/>
      <w:shd w:val="clear" w:color="auto" w:fill="E1DFDD"/>
    </w:rPr>
  </w:style>
  <w:style w:type="paragraph" w:styleId="Header">
    <w:name w:val="header"/>
    <w:basedOn w:val="Normal"/>
    <w:link w:val="HeaderChar"/>
    <w:uiPriority w:val="99"/>
    <w:unhideWhenUsed/>
    <w:rsid w:val="00D73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C8D"/>
  </w:style>
  <w:style w:type="paragraph" w:styleId="Footer">
    <w:name w:val="footer"/>
    <w:basedOn w:val="Normal"/>
    <w:link w:val="FooterChar"/>
    <w:uiPriority w:val="99"/>
    <w:unhideWhenUsed/>
    <w:rsid w:val="00D73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430677">
      <w:bodyDiv w:val="1"/>
      <w:marLeft w:val="0"/>
      <w:marRight w:val="0"/>
      <w:marTop w:val="0"/>
      <w:marBottom w:val="0"/>
      <w:divBdr>
        <w:top w:val="none" w:sz="0" w:space="0" w:color="auto"/>
        <w:left w:val="none" w:sz="0" w:space="0" w:color="auto"/>
        <w:bottom w:val="none" w:sz="0" w:space="0" w:color="auto"/>
        <w:right w:val="none" w:sz="0" w:space="0" w:color="auto"/>
      </w:divBdr>
    </w:div>
    <w:div w:id="269051394">
      <w:bodyDiv w:val="1"/>
      <w:marLeft w:val="0"/>
      <w:marRight w:val="0"/>
      <w:marTop w:val="0"/>
      <w:marBottom w:val="0"/>
      <w:divBdr>
        <w:top w:val="none" w:sz="0" w:space="0" w:color="auto"/>
        <w:left w:val="none" w:sz="0" w:space="0" w:color="auto"/>
        <w:bottom w:val="none" w:sz="0" w:space="0" w:color="auto"/>
        <w:right w:val="none" w:sz="0" w:space="0" w:color="auto"/>
      </w:divBdr>
    </w:div>
    <w:div w:id="290746101">
      <w:bodyDiv w:val="1"/>
      <w:marLeft w:val="0"/>
      <w:marRight w:val="0"/>
      <w:marTop w:val="0"/>
      <w:marBottom w:val="0"/>
      <w:divBdr>
        <w:top w:val="none" w:sz="0" w:space="0" w:color="auto"/>
        <w:left w:val="none" w:sz="0" w:space="0" w:color="auto"/>
        <w:bottom w:val="none" w:sz="0" w:space="0" w:color="auto"/>
        <w:right w:val="none" w:sz="0" w:space="0" w:color="auto"/>
      </w:divBdr>
      <w:divsChild>
        <w:div w:id="898441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5783086">
      <w:bodyDiv w:val="1"/>
      <w:marLeft w:val="0"/>
      <w:marRight w:val="0"/>
      <w:marTop w:val="0"/>
      <w:marBottom w:val="0"/>
      <w:divBdr>
        <w:top w:val="none" w:sz="0" w:space="0" w:color="auto"/>
        <w:left w:val="none" w:sz="0" w:space="0" w:color="auto"/>
        <w:bottom w:val="none" w:sz="0" w:space="0" w:color="auto"/>
        <w:right w:val="none" w:sz="0" w:space="0" w:color="auto"/>
      </w:divBdr>
    </w:div>
    <w:div w:id="946158942">
      <w:bodyDiv w:val="1"/>
      <w:marLeft w:val="0"/>
      <w:marRight w:val="0"/>
      <w:marTop w:val="0"/>
      <w:marBottom w:val="0"/>
      <w:divBdr>
        <w:top w:val="none" w:sz="0" w:space="0" w:color="auto"/>
        <w:left w:val="none" w:sz="0" w:space="0" w:color="auto"/>
        <w:bottom w:val="none" w:sz="0" w:space="0" w:color="auto"/>
        <w:right w:val="none" w:sz="0" w:space="0" w:color="auto"/>
      </w:divBdr>
    </w:div>
    <w:div w:id="1034423561">
      <w:bodyDiv w:val="1"/>
      <w:marLeft w:val="0"/>
      <w:marRight w:val="0"/>
      <w:marTop w:val="0"/>
      <w:marBottom w:val="0"/>
      <w:divBdr>
        <w:top w:val="none" w:sz="0" w:space="0" w:color="auto"/>
        <w:left w:val="none" w:sz="0" w:space="0" w:color="auto"/>
        <w:bottom w:val="none" w:sz="0" w:space="0" w:color="auto"/>
        <w:right w:val="none" w:sz="0" w:space="0" w:color="auto"/>
      </w:divBdr>
    </w:div>
    <w:div w:id="1112480319">
      <w:bodyDiv w:val="1"/>
      <w:marLeft w:val="0"/>
      <w:marRight w:val="0"/>
      <w:marTop w:val="0"/>
      <w:marBottom w:val="0"/>
      <w:divBdr>
        <w:top w:val="none" w:sz="0" w:space="0" w:color="auto"/>
        <w:left w:val="none" w:sz="0" w:space="0" w:color="auto"/>
        <w:bottom w:val="none" w:sz="0" w:space="0" w:color="auto"/>
        <w:right w:val="none" w:sz="0" w:space="0" w:color="auto"/>
      </w:divBdr>
    </w:div>
    <w:div w:id="1231575360">
      <w:bodyDiv w:val="1"/>
      <w:marLeft w:val="0"/>
      <w:marRight w:val="0"/>
      <w:marTop w:val="0"/>
      <w:marBottom w:val="0"/>
      <w:divBdr>
        <w:top w:val="none" w:sz="0" w:space="0" w:color="auto"/>
        <w:left w:val="none" w:sz="0" w:space="0" w:color="auto"/>
        <w:bottom w:val="none" w:sz="0" w:space="0" w:color="auto"/>
        <w:right w:val="none" w:sz="0" w:space="0" w:color="auto"/>
      </w:divBdr>
    </w:div>
    <w:div w:id="1442064598">
      <w:bodyDiv w:val="1"/>
      <w:marLeft w:val="0"/>
      <w:marRight w:val="0"/>
      <w:marTop w:val="0"/>
      <w:marBottom w:val="0"/>
      <w:divBdr>
        <w:top w:val="none" w:sz="0" w:space="0" w:color="auto"/>
        <w:left w:val="none" w:sz="0" w:space="0" w:color="auto"/>
        <w:bottom w:val="none" w:sz="0" w:space="0" w:color="auto"/>
        <w:right w:val="none" w:sz="0" w:space="0" w:color="auto"/>
      </w:divBdr>
    </w:div>
    <w:div w:id="1491747755">
      <w:bodyDiv w:val="1"/>
      <w:marLeft w:val="0"/>
      <w:marRight w:val="0"/>
      <w:marTop w:val="0"/>
      <w:marBottom w:val="0"/>
      <w:divBdr>
        <w:top w:val="none" w:sz="0" w:space="0" w:color="auto"/>
        <w:left w:val="none" w:sz="0" w:space="0" w:color="auto"/>
        <w:bottom w:val="none" w:sz="0" w:space="0" w:color="auto"/>
        <w:right w:val="none" w:sz="0" w:space="0" w:color="auto"/>
      </w:divBdr>
    </w:div>
    <w:div w:id="1608078464">
      <w:bodyDiv w:val="1"/>
      <w:marLeft w:val="0"/>
      <w:marRight w:val="0"/>
      <w:marTop w:val="0"/>
      <w:marBottom w:val="0"/>
      <w:divBdr>
        <w:top w:val="none" w:sz="0" w:space="0" w:color="auto"/>
        <w:left w:val="none" w:sz="0" w:space="0" w:color="auto"/>
        <w:bottom w:val="none" w:sz="0" w:space="0" w:color="auto"/>
        <w:right w:val="none" w:sz="0" w:space="0" w:color="auto"/>
      </w:divBdr>
    </w:div>
    <w:div w:id="1701205386">
      <w:bodyDiv w:val="1"/>
      <w:marLeft w:val="0"/>
      <w:marRight w:val="0"/>
      <w:marTop w:val="0"/>
      <w:marBottom w:val="0"/>
      <w:divBdr>
        <w:top w:val="none" w:sz="0" w:space="0" w:color="auto"/>
        <w:left w:val="none" w:sz="0" w:space="0" w:color="auto"/>
        <w:bottom w:val="none" w:sz="0" w:space="0" w:color="auto"/>
        <w:right w:val="none" w:sz="0" w:space="0" w:color="auto"/>
      </w:divBdr>
    </w:div>
    <w:div w:id="1735008153">
      <w:bodyDiv w:val="1"/>
      <w:marLeft w:val="0"/>
      <w:marRight w:val="0"/>
      <w:marTop w:val="0"/>
      <w:marBottom w:val="0"/>
      <w:divBdr>
        <w:top w:val="none" w:sz="0" w:space="0" w:color="auto"/>
        <w:left w:val="none" w:sz="0" w:space="0" w:color="auto"/>
        <w:bottom w:val="none" w:sz="0" w:space="0" w:color="auto"/>
        <w:right w:val="none" w:sz="0" w:space="0" w:color="auto"/>
      </w:divBdr>
    </w:div>
    <w:div w:id="195207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787/22200444"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2307/2295952"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tabank.worldbank.org/source/world-development-indicator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oi.org/10.61090/aksujacog.2024.02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257/jep.8.1.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6621</Words>
  <Characters>37745</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1084</cp:lastModifiedBy>
  <cp:revision>6</cp:revision>
  <dcterms:created xsi:type="dcterms:W3CDTF">2026-07-27T16:46:00Z</dcterms:created>
  <dcterms:modified xsi:type="dcterms:W3CDTF">2026-07-28T13:47:00Z</dcterms:modified>
</cp:coreProperties>
</file>