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AC831" w14:textId="77777777" w:rsidR="00DD45D6" w:rsidRDefault="00285655">
      <w:pPr>
        <w:spacing w:before="200" w:after="320"/>
        <w:jc w:val="center"/>
        <w:rPr>
          <w:rFonts w:eastAsia="Times New Roman"/>
          <w:b/>
          <w:color w:val="1F3758"/>
          <w:sz w:val="32"/>
        </w:rPr>
      </w:pPr>
      <w:r>
        <w:rPr>
          <w:rFonts w:eastAsia="Times New Roman"/>
          <w:b/>
          <w:color w:val="1F3758"/>
          <w:sz w:val="32"/>
        </w:rPr>
        <w:t xml:space="preserve">Modern Network Security Architectures: A Critical Review of Networking and Cyber </w:t>
      </w:r>
      <w:proofErr w:type="spellStart"/>
      <w:r>
        <w:rPr>
          <w:rFonts w:eastAsia="Times New Roman"/>
          <w:b/>
          <w:color w:val="1F3758"/>
          <w:sz w:val="32"/>
        </w:rPr>
        <w:t>Defence</w:t>
      </w:r>
      <w:proofErr w:type="spellEnd"/>
      <w:r>
        <w:rPr>
          <w:rFonts w:eastAsia="Times New Roman"/>
          <w:b/>
          <w:color w:val="1F3758"/>
          <w:sz w:val="32"/>
        </w:rPr>
        <w:t xml:space="preserve"> Strategies</w:t>
      </w:r>
    </w:p>
    <w:p w14:paraId="41B415CB" w14:textId="77777777" w:rsidR="00BB01CE" w:rsidRDefault="00BB01CE">
      <w:pPr>
        <w:spacing w:before="200" w:after="320"/>
        <w:jc w:val="center"/>
      </w:pPr>
    </w:p>
    <w:p w14:paraId="45CEC662" w14:textId="77777777" w:rsidR="00DD45D6" w:rsidRDefault="00285655">
      <w:pPr>
        <w:keepNext/>
        <w:spacing w:after="100"/>
      </w:pPr>
      <w:r>
        <w:rPr>
          <w:rFonts w:eastAsia="Times New Roman"/>
          <w:b/>
          <w:color w:val="1F3758"/>
          <w:sz w:val="25"/>
        </w:rPr>
        <w:t>Abstract</w:t>
      </w:r>
    </w:p>
    <w:p w14:paraId="289D7B7D" w14:textId="77777777" w:rsidR="00DD45D6" w:rsidRDefault="00285655">
      <w:r>
        <w:rPr>
          <w:rFonts w:eastAsia="Times New Roman"/>
        </w:rPr>
        <w:t>Network security architecture is being reshaped by cloud computing, remote and hybrid access, software-defined infrastructure, microservices, encryption, Internet of Things deployments and increasingly adaptive adversaries. These changes have weakened assumptions that a trusted internal network can be protected principally through perimeter controls, while simultaneously creating new dependencies on identity systems, policy engines, telemetry, orchestration and external security services. This critical narrative review evaluates how modern architectural families address these conditions and where their evidence remains incomplete. Literature published from 1 January 2010 to 27 June 2026 was considered, with earlier foundational studies retained where necessary. The synthesis integrates evidence on zero trust architecture, zero trust network access, microsegmentation, secure access service edge, software-defined networking, network function virtualisation, cloud-native and service-mesh security, intrusion and network detection, encrypted-traffic analytics, distributed denial-of-service defence, routing security, moving-target defence and cyber deception. The evidence supports a transition from location-based trust towards resource-, identity- and context-centred policy, but does not support treating any single architecture as a complete security solution. Zero trust is conceptually mature yet still has limited comparative evidence on enterprise outcomes and cost-effectiveness. Programmable networks improve enforcement agility and observability but concentrate control and introduce software and orchestration attack surfaces. Cloud-native controls strengthen service-to-service policy while shifting risk towards workload identity, certificate lifecycle, configuration correctness and supply-chain integrity. Machine-learning-based detection can augment analysis, particularly when payload visibility is constrained, but performance remains sensitive to dataset realism, protocol drift and deployment context. Resilience against denial-of-service, routing attacks and adaptive adversaries requires layered mechanisms extending beyond access control. The strongest architectural position is therefore compositional: identity assurance, least-privilege segmentation, programmable policy enforcement, trustworthy telemetry, resilient routing and availability controls, and carefully governed automation should reinforce one another without creating unexamined central points of failure.</w:t>
      </w:r>
    </w:p>
    <w:p w14:paraId="3C9734BD" w14:textId="77777777" w:rsidR="00DD45D6" w:rsidRDefault="00285655">
      <w:pPr>
        <w:spacing w:after="180"/>
        <w:ind w:firstLine="0"/>
        <w:jc w:val="left"/>
      </w:pPr>
      <w:r>
        <w:rPr>
          <w:rFonts w:eastAsia="Times New Roman"/>
          <w:b/>
          <w:sz w:val="21"/>
        </w:rPr>
        <w:t>Keywords:</w:t>
      </w:r>
      <w:r>
        <w:rPr>
          <w:rFonts w:eastAsia="Times New Roman"/>
          <w:sz w:val="21"/>
        </w:rPr>
        <w:t xml:space="preserve"> zero trust; software-defined networking; network function virtualisation; secure access service edge; microsegmentation; cloud-native security; intrusion detection; cyber resilience</w:t>
      </w:r>
    </w:p>
    <w:p w14:paraId="0FCF17B2" w14:textId="77777777" w:rsidR="00DD45D6" w:rsidRDefault="00285655">
      <w:pPr>
        <w:pStyle w:val="Heading1"/>
      </w:pPr>
      <w:r>
        <w:t>1. Introduction</w:t>
      </w:r>
    </w:p>
    <w:p w14:paraId="16CCC3C2" w14:textId="77777777" w:rsidR="00DD45D6" w:rsidRDefault="00285655">
      <w:pPr>
        <w:ind w:firstLine="0"/>
      </w:pPr>
      <w:r>
        <w:rPr>
          <w:rFonts w:eastAsia="Times New Roman"/>
        </w:rPr>
        <w:t xml:space="preserve">Enterprise networking has moved far beyond the comparatively stable model in which users, servers and applications were concentrated within managed premises and remote access was exceptional. Contemporary environments combine public and private cloud services, software-as-a-service applications, mobile workforces, branch and edge computing, Internet of Things (IoT) devices, application programming interfaces (APIs), containers, microservices and third-party platforms. Traffic paths increasingly bypass traditional enterprise chokepoints, while east-west communication among workloads has become as important as north-south communication at the organisational boundary. Encryption protects confidentiality but also removes visibility from inspection methods that depended on plaintext payloads. At the same time, software-defined networking (SDN), network function virtualisation (NFV) and cloud orchestration have made the network more programmable. The result is not simply a larger perimeter; it is a </w:t>
      </w:r>
      <w:r>
        <w:rPr>
          <w:rFonts w:eastAsia="Times New Roman"/>
        </w:rPr>
        <w:lastRenderedPageBreak/>
        <w:t>different security problem in which identity, policy, software supply chains, control planes and telemetry are themselves critical parts of the attack surface (Chandramouli, 2022; Kreutz et al., 2015; Sultan et al., 2019).</w:t>
      </w:r>
    </w:p>
    <w:p w14:paraId="487EB6E1" w14:textId="77777777" w:rsidR="00DD45D6" w:rsidRDefault="00285655">
      <w:r>
        <w:rPr>
          <w:rFonts w:eastAsia="Times New Roman"/>
        </w:rPr>
        <w:t>The long-standing defence-in-depth principle remains relevant, but the historical equation of internal location with relative trust is increasingly untenable. Zero Trust Architecture (ZTA) formalises the rejection of implicit trust based solely on network location and centres access decisions on resources, identities and contextual policy (Rose et al., 2020). This change is important, but it is often overstated as a replacement for network security rather than a reorganisation of its trust assumptions. Firewalls, segmentation, routing controls, denial-of-service protection, endpoint enforcement and monitoring remain necessary because identity-aware policy cannot by itself preserve availability, prevent all lateral movement, secure routing, or distinguish every malicious action performed with valid credentials. Reviews of zero trust have likewise found that research is comparatively rich in conceptual and technical discussion but thinner in empirical measurement of organisational benefits, costs and user effects (Buck et al., 2021; Gambo &amp; Almulhem, 2026; Syed et al., 2022).</w:t>
      </w:r>
    </w:p>
    <w:p w14:paraId="403AA191" w14:textId="77777777" w:rsidR="00DD45D6" w:rsidRDefault="00285655">
      <w:r>
        <w:rPr>
          <w:rFonts w:eastAsia="Times New Roman"/>
        </w:rPr>
        <w:t>A parallel transformation has occurred in the control architecture of networks. SDN separates and centralises aspects of the control plane, enabling security policy to be expressed and updated programmatically. NFV moves functions that were historically delivered through dedicated appliances into software instances that can be instantiated, chained and relocated. These capabilities support dynamic segmentation, traffic steering, automated mitigation and security service chaining, but they also make controller compromise, application privilege, orchestration correctness and management-plane availability first-order security concerns (Ahmad et al., 2015; Mijumbi et al., 2016; Scott-Hayward et al., 2016). The important architectural question is therefore dual: how can programmability improve cyber defence, and how should the programmable substrate itself be defended?</w:t>
      </w:r>
    </w:p>
    <w:p w14:paraId="24550AA0" w14:textId="77777777" w:rsidR="00DD45D6" w:rsidRDefault="00285655">
      <w:r>
        <w:rPr>
          <w:rFonts w:eastAsia="Times New Roman"/>
        </w:rPr>
        <w:t>Cloud-native systems sharpen this duality. Containers and microservices reduce the relevance of protecting a relatively small number of long-lived hosts because workloads can be short-lived, replicated and dynamically scheduled. Service meshes and workload identity systems provide fine-grained service-to-service authentication and policy enforcement, including across multiple clouds, but they introduce new proxies, certificate-management processes, policy stores and control planes whose failure can propagate widely (Chandramouli &amp; Butcher, 2020, 2023). Containerisation also does not eliminate traditional isolation, image, registry, runtime and host risks; in several respects, shared-kernel and orchestration dependencies create security conditions distinct from virtual machines (Combe et al., 2016; Souppaya et al., 2017; Sultan et al., 2019).</w:t>
      </w:r>
    </w:p>
    <w:p w14:paraId="6D855285" w14:textId="77777777" w:rsidR="00DD45D6" w:rsidRDefault="00285655">
      <w:r>
        <w:rPr>
          <w:rFonts w:eastAsia="Times New Roman"/>
        </w:rPr>
        <w:t>Detection has changed alongside prevention. Classical intrusion detection systems (IDSs) continue to provide useful signatures and anomaly indicators, while machine learning has been proposed to identify complex and previously unseen patterns. Yet the transfer from benchmark accuracy to operational value is difficult. Closed-world datasets, class imbalance, stale attack distributions, feature leakage, changing applications and adversarial adaptation can produce apparently strong experimental results that do not generalise to production networks (Buczak &amp; Guven, 2016; Ring et al., 2019; Sommer &amp; Paxson, 2010). The growth of encrypted traffic increases the importance of flow metadata, timing and learned representations, but it also intensifies questions about generalisation, privacy and explainability (Rezaei &amp; Liu, 2019; Shen et al., 2023).</w:t>
      </w:r>
    </w:p>
    <w:p w14:paraId="2EBBB393" w14:textId="77777777" w:rsidR="00DD45D6" w:rsidRDefault="00285655">
      <w:r>
        <w:rPr>
          <w:rFonts w:eastAsia="Times New Roman"/>
        </w:rPr>
        <w:t xml:space="preserve">Modern network architecture must also be judged by resilience rather than prevention alone. Distributed denial-of-service (DDoS) attacks exploit capacity, protocol state and application resources, often through geographically distributed botnets, and therefore require controls at several locations rather than a single policy boundary (Kolias et al., 2017; Zargar et al., 2013). Interdomain routing security presents a different form of distributed dependency: mechanisms such as the Resource Public Key Infrastructure (RPKI) can improve route-origin validation, but security benefits depend on adoption and correct operational behaviour across autonomous systems (Chung et al., 2019; Lychev et al., 2013). Moving-target defence and deception extend the architectural repertoire by attempting to reduce </w:t>
      </w:r>
      <w:r>
        <w:rPr>
          <w:rFonts w:eastAsia="Times New Roman"/>
        </w:rPr>
        <w:lastRenderedPageBreak/>
        <w:t>adversary certainty or manipulate attacker decisions, although much of this evidence remains based on models, simulations and constrained testbeds (Cho et al., 2020; Pawlick et al., 2019).</w:t>
      </w:r>
    </w:p>
    <w:p w14:paraId="71E4E099" w14:textId="77777777" w:rsidR="00DD45D6" w:rsidRDefault="00285655">
      <w:r>
        <w:rPr>
          <w:rFonts w:eastAsia="Times New Roman"/>
        </w:rPr>
        <w:t>Existing literature has consequently become highly specialised. Zero trust reviews focus on trust engines, identity and migration; SDN reviews concentrate on controller and application security or on programmable defence; intrusion-detection reviews emphasise algorithms and datasets; DDoS and routing studies examine availability and interdomain threats; cloud-native guidance concentrates on workload isolation and service identity. Secure access service edge (SASE) seeks to converge networking and security delivery, but the scholarly evidence base remains small compared with the intensity of industry adoption and discourse (Islam et al., 2021; van der Walt &amp; Venter, 2022). The central unresolved problem is therefore architectural integration: which security properties each family actually contributes, which dependencies it introduces, how evidence quality differs across domains, and how controls can be composed without converting convenience and centralisation into systemic fragility.</w:t>
      </w:r>
    </w:p>
    <w:p w14:paraId="74893162" w14:textId="77777777" w:rsidR="00DD45D6" w:rsidRDefault="00285655">
      <w:pPr>
        <w:pStyle w:val="Heading2"/>
      </w:pPr>
      <w:r>
        <w:t>1.1 Scope, Research Gap and Objectives</w:t>
      </w:r>
    </w:p>
    <w:p w14:paraId="4E387AB5" w14:textId="77777777" w:rsidR="00DD45D6" w:rsidRDefault="00285655">
      <w:pPr>
        <w:ind w:firstLine="0"/>
      </w:pPr>
      <w:r>
        <w:rPr>
          <w:rFonts w:eastAsia="Times New Roman"/>
        </w:rPr>
        <w:t>This review examines modern network security architectures at the level of trust assumptions, enforcement locations, control mechanisms, observability and resilience. Its scope includes zero trust and zero trust network access, microsegmentation, SASE, SDN, NFV, cloud-native networking and service meshes, network detection and response concepts, encrypted-traffic analytics, DDoS defence, routing security, moving-target defence and cyber deception. Endpoint security and application security are considered where they materially interact with network architecture, but detailed malware taxonomy, secure software-development practice, cryptographic algorithm design and purely physical security are outside the principal scope.</w:t>
      </w:r>
    </w:p>
    <w:p w14:paraId="67C84034" w14:textId="77777777" w:rsidR="00DD45D6" w:rsidRDefault="00285655">
      <w:r>
        <w:rPr>
          <w:rFonts w:eastAsia="Times New Roman"/>
        </w:rPr>
        <w:t>The review addresses a gap created by the predominantly siloed treatment of these technologies. It asks not whether one architecture supersedes another, but how different architectural families redistribute trust, visibility, enforcement and failure. The objectives are to compare their security assumptions and evidence bases; identify recurring architectural dependencies and failure modes; assess the difference between experimental capability and operationally validated benefit; explain how encryption, cloud-native computing and programmable networks alter cyber-defence practice; and develop a defensible integrated strategy for layered network defence. Particular attention is given to centralisation risk, policy correctness, identity assurance, telemetry integrity, deployment heterogeneity and the limits of benchmark-driven evidence.</w:t>
      </w:r>
    </w:p>
    <w:p w14:paraId="0853EB8D" w14:textId="77777777" w:rsidR="00DD45D6" w:rsidRDefault="00285655">
      <w:pPr>
        <w:pStyle w:val="Heading1"/>
      </w:pPr>
      <w:r>
        <w:t>2. Methods for Literature Selection</w:t>
      </w:r>
    </w:p>
    <w:p w14:paraId="16803FD7" w14:textId="77777777" w:rsidR="00DD45D6" w:rsidRDefault="00285655">
      <w:pPr>
        <w:pStyle w:val="Heading2"/>
        <w:ind w:firstLine="0"/>
      </w:pPr>
      <w:r>
        <w:t>2.1 Review Design and Rationale</w:t>
      </w:r>
    </w:p>
    <w:p w14:paraId="511DD6BF" w14:textId="77777777" w:rsidR="00DD45D6" w:rsidRDefault="00285655">
      <w:pPr>
        <w:ind w:firstLine="0"/>
      </w:pPr>
      <w:r>
        <w:rPr>
          <w:rFonts w:eastAsia="Times New Roman"/>
        </w:rPr>
        <w:t>A critical narrative review design was selected because the topic spans architectural standards, systems research, security engineering, empirical detection studies, networking protocols and operational guidance that cannot be meaningfully reduced to a single intervention-outcome model. A systematic review or meta-analysis would require substantially narrower questions and commensurable outcome measures, whereas the present purpose is to compare security assumptions, mechanisms, evidence maturity and cross-architectural trade-offs. Narrative methodology nevertheless requires transparent literature selection, explicit critical appraisal and evidence-calibrated synthesis. The review was therefore structured around principles associated with high-quality narrative reviews, including an articulated importance of the topic, a stated purpose, a reproducible description of literature selection, appropriate referencing and scientific reasoning (Baethge et al., 2019).</w:t>
      </w:r>
    </w:p>
    <w:p w14:paraId="00C44DB5" w14:textId="77777777" w:rsidR="00DD45D6" w:rsidRDefault="00285655">
      <w:r>
        <w:rPr>
          <w:rFonts w:eastAsia="Times New Roman"/>
        </w:rPr>
        <w:t xml:space="preserve">The unit of analysis was the architectural claim rather than the individual publication. Studies and guidance were used to examine whether a proposed architecture changes trust decisions, enforcement placement, attack exposure, detection capability or resilience, and whether those claimed changes have been demonstrated under realistic conditions. This approach permitted mature standards and foundational conceptual studies to be considered alongside </w:t>
      </w:r>
      <w:r>
        <w:rPr>
          <w:rFonts w:eastAsia="Times New Roman"/>
        </w:rPr>
        <w:lastRenderedPageBreak/>
        <w:t>newer prototypes and surveys while avoiding the assumption that all evidence types offer equivalent support. Conceptual coherence, methodological adequacy, operational relevance and independent corroboration were therefore weighted more heavily than citation count alone.</w:t>
      </w:r>
    </w:p>
    <w:p w14:paraId="05E5D6F3" w14:textId="77777777" w:rsidR="00DD45D6" w:rsidRDefault="00285655">
      <w:pPr>
        <w:pStyle w:val="Heading2"/>
      </w:pPr>
      <w:r>
        <w:t>2.2 Information Sources</w:t>
      </w:r>
    </w:p>
    <w:p w14:paraId="5D73D29D" w14:textId="77777777" w:rsidR="00DD45D6" w:rsidRDefault="00285655">
      <w:pPr>
        <w:ind w:firstLine="0"/>
      </w:pPr>
      <w:r>
        <w:rPr>
          <w:rFonts w:eastAsia="Times New Roman"/>
        </w:rPr>
        <w:t>Literature discovery used DBLP, OpenAlex, Semantic Scholar, OpenAIRE, CORE, the Directory of Open Access Journals (DOAJ), Google Scholar and IEEE Xplore. These sources were selected to cover computer science, networking, cybersecurity, open-access scholarship and bibliographic verification. Searches were supplemented by backward and forward citation chasing, related-article searching and verification through Crossref and DOI landing records. Authoritative institutional guidance from the National Institute of Standards and Technology (NIST) was consulted where it defined architectural concepts or implementation patterns relevant to zero trust, secure enterprise networking, container security and cloud-native service identity.</w:t>
      </w:r>
    </w:p>
    <w:p w14:paraId="3F63A80F" w14:textId="77777777" w:rsidR="00DD45D6" w:rsidRDefault="00285655">
      <w:r>
        <w:rPr>
          <w:rFonts w:eastAsia="Times New Roman"/>
        </w:rPr>
        <w:t>The review did not treat vendor white papers, product documentation or marketing material as evidence of effectiveness. Such sources can describe implementation features but are susceptible to commercial framing and inconsistent methodological disclosure. Where an architectural term such as SASE is widely used in industry but comparatively sparsely evaluated in peer-reviewed literature, this imbalance was treated as an evidence limitation rather than filled by promotional claims. Conference papers were retained selectively when they represented influential systems or networking contributions for which peer-reviewed conference publication is a normal research channel, particularly in SDN, routing security and security policy enforcement.</w:t>
      </w:r>
    </w:p>
    <w:p w14:paraId="6D332BED" w14:textId="77777777" w:rsidR="00DD45D6" w:rsidRDefault="00285655">
      <w:pPr>
        <w:pStyle w:val="Heading2"/>
      </w:pPr>
      <w:r>
        <w:t>2.3 Search Strategy and Search Period</w:t>
      </w:r>
    </w:p>
    <w:p w14:paraId="5F291330" w14:textId="77777777" w:rsidR="00DD45D6" w:rsidRDefault="00285655">
      <w:pPr>
        <w:ind w:firstLine="0"/>
      </w:pPr>
      <w:r>
        <w:rPr>
          <w:rFonts w:eastAsia="Times New Roman"/>
        </w:rPr>
        <w:t>The main literature period was 1 January 2010 to 27 June 2026. Earlier work was included selectively when it remained foundational to the interpretation of later research, particularly for DDoS taxonomy and defence. Search concepts were constructed around architecture, mechanism and outcome rather than a single generic cybersecurity term. Representative combinations included ("network security architecture" OR "enterprise network security") AND ("zero trust" OR ZTNA OR SASE OR microsegmentation); ("software-defined networking" OR SDN OR NFV OR "network function virtualisation") AND (security OR "cyber defence" OR "policy enforcement"); and ("cloud-native" OR microservices OR container OR "service mesh") AND ("network security" OR "workload identity" OR segmentation).</w:t>
      </w:r>
    </w:p>
    <w:p w14:paraId="45D20E73" w14:textId="77777777" w:rsidR="00DD45D6" w:rsidRDefault="00285655">
      <w:r>
        <w:rPr>
          <w:rFonts w:eastAsia="Times New Roman"/>
        </w:rPr>
        <w:t>Detection-oriented searches combined ("intrusion detection" OR "network detection" OR "encrypted traffic") with ("machine learning" OR anomaly OR telemetry), while resilience searches combined (DDoS OR "routing security" OR RPKI OR "moving target defence" OR deception) with (mitigation OR resilience OR "cyber defence"). Searches were iteratively expanded with terms concerning implementation, migration, legacy infrastructure, governance, scalability, robustness, datasets and evaluation when these concepts emerged as recurring limitations. Bibliographic verification was repeated for selected studies before final inclusion, with DOI metadata compared against authoritative registry or source records where available.</w:t>
      </w:r>
    </w:p>
    <w:p w14:paraId="26812ED7" w14:textId="77777777" w:rsidR="00DD45D6" w:rsidRDefault="00285655">
      <w:pPr>
        <w:pStyle w:val="Heading2"/>
      </w:pPr>
      <w:r>
        <w:t>2.4 Eligibility Criteria</w:t>
      </w:r>
    </w:p>
    <w:p w14:paraId="44EEB882" w14:textId="77777777" w:rsidR="00DD45D6" w:rsidRDefault="00285655">
      <w:pPr>
        <w:ind w:firstLine="0"/>
      </w:pPr>
      <w:r>
        <w:rPr>
          <w:rFonts w:eastAsia="Times New Roman"/>
        </w:rPr>
        <w:t>Eligible evidence included peer-reviewed journal articles, rigorous review articles, selected peer-reviewed conference papers central to the architecture or security mechanism under discussion, and authoritative NIST publications. Publications had to address network security architecture, networked cyber defence, enforcement, trust, detection, segmentation, routing, resilience or closely related implementation problems. English-language publications were prioritised because sufficient metadata and substantive interpretation were required for claim-level verification. Studies were retained when their design or conceptual contribution was sufficiently transparent to assess the security claim being made.</w:t>
      </w:r>
    </w:p>
    <w:p w14:paraId="15293B3B" w14:textId="77777777" w:rsidR="00DD45D6" w:rsidRDefault="00285655">
      <w:r>
        <w:rPr>
          <w:rFonts w:eastAsia="Times New Roman"/>
        </w:rPr>
        <w:lastRenderedPageBreak/>
        <w:t>Exclusions comprised unverifiable publications, sources with incomplete or inconsistent bibliographic identity that could not be resolved, retracted work unless relevant to a retraction-specific point, patents, anonymous webpages, promotional material and low-quality opinion pieces. Preprints were not used where peer-reviewed evidence was available. Studies whose only connection to the topic was the generic use of machine learning or cloud computing without a network-security outcome were excluded. Evaluation papers were interpreted according to their experimental context; laboratory or simulation results were not treated as equivalent to evidence of enterprise-scale effectiveness.</w:t>
      </w:r>
    </w:p>
    <w:p w14:paraId="69D1FE67" w14:textId="77777777" w:rsidR="00DD45D6" w:rsidRDefault="00285655">
      <w:pPr>
        <w:pStyle w:val="Heading2"/>
      </w:pPr>
      <w:r>
        <w:t>2.5 Screening, Duplicate Handling and Study Selection</w:t>
      </w:r>
    </w:p>
    <w:p w14:paraId="3819A98F" w14:textId="77777777" w:rsidR="00DD45D6" w:rsidRDefault="00285655">
      <w:pPr>
        <w:ind w:firstLine="0"/>
      </w:pPr>
      <w:r>
        <w:rPr>
          <w:rFonts w:eastAsia="Times New Roman"/>
        </w:rPr>
        <w:t>Titles and abstracts were first assessed for direct relevance to one or more of the review's analytical domains. Full texts or sufficiently detailed source records were then examined when necessary to determine the security mechanism, evaluation context and limitations. Duplicate records were reconciled using DOI, title and author-year identity. Where the same work appeared through several indexes, the most authoritative bibliographic record was used for metadata while the substantive claim was checked against the article or its reliable abstract and source description.</w:t>
      </w:r>
    </w:p>
    <w:p w14:paraId="4B8A9B41" w14:textId="77777777" w:rsidR="00DD45D6" w:rsidRDefault="00285655">
      <w:r>
        <w:rPr>
          <w:rFonts w:eastAsia="Times New Roman"/>
        </w:rPr>
        <w:t>Selection favoured evidence that contributed to comparison rather than merely repeating established terminology. For example, a zero trust source was more informative when it evaluated migration, maturity, cost, implementation or a concrete architecture than when it only restated least privilege. Likewise, an intrusion-detection paper was prioritised when it illuminated dataset validity, operational generalisation or encrypted traffic rather than presenting an isolated classifier without architectural implications. Inaccessible or unverifiable sources were not used to support claims that required details beyond the available record. No record-count or PRISMA-style flow was generated because the review was designed as a critical narrative synthesis rather than a systematic evidence inventory.</w:t>
      </w:r>
    </w:p>
    <w:p w14:paraId="1F72F152" w14:textId="77777777" w:rsidR="00DD45D6" w:rsidRDefault="00285655">
      <w:pPr>
        <w:pStyle w:val="Heading2"/>
      </w:pPr>
      <w:r>
        <w:t>2.6 Critical Appraisal and Evidence Synthesis</w:t>
      </w:r>
    </w:p>
    <w:p w14:paraId="17A08F10" w14:textId="77777777" w:rsidR="00DD45D6" w:rsidRDefault="00285655">
      <w:pPr>
        <w:ind w:firstLine="0"/>
      </w:pPr>
      <w:r>
        <w:rPr>
          <w:rFonts w:eastAsia="Times New Roman"/>
        </w:rPr>
        <w:t>Evidence was appraised according to criteria appropriate to computer and network security research: realism of the deployment or test environment; representativeness and age of datasets; quality of baselines; relevance of evaluation metrics; transparency of architecture and threat assumptions; scalability and performance costs; resilience to adversarial adaptation; reproducibility; external validity; and explicit treatment of failure modes. For architectural frameworks, additional attention was given to dependency concentration, policy correctness, identity and certificate lifecycle, control-plane exposure, telemetry integrity and the practical feasibility of migration from legacy environments.</w:t>
      </w:r>
    </w:p>
    <w:p w14:paraId="059D1C1A" w14:textId="77777777" w:rsidR="00DD45D6" w:rsidRDefault="00285655">
      <w:r>
        <w:rPr>
          <w:rFonts w:eastAsia="Times New Roman"/>
        </w:rPr>
        <w:t>The synthesis was thematic. Findings were organised around changes in trust, programmability, cloud-native east-west security, detection under constrained visibility, resilience against availability and routing threats, and cross-architectural governance. Conflicting findings were interpreted through differences in threat models, datasets, deployment scale, control placement and maturity of implementation. Evidence confidence was therefore calibrated to the type of support available. Standards and frameworks were treated as strong sources for definitions and design principles but not as proof of effectiveness; testbed experiments were treated as demonstrations of feasibility rather than universal performance evidence; and reviews were used to identify recurring patterns and gaps but not as substitutes for primary findings where implementation claims were at issue.</w:t>
      </w:r>
    </w:p>
    <w:p w14:paraId="774BC944" w14:textId="77777777" w:rsidR="00DD45D6" w:rsidRDefault="00285655">
      <w:pPr>
        <w:pStyle w:val="Heading1"/>
      </w:pPr>
      <w:r>
        <w:t>3. From Perimeter-Centred Security to Identity- and Context-Centred Architectures</w:t>
      </w:r>
    </w:p>
    <w:p w14:paraId="31751BE8" w14:textId="77777777" w:rsidR="00DD45D6" w:rsidRDefault="00285655">
      <w:pPr>
        <w:pStyle w:val="Heading2"/>
        <w:ind w:firstLine="0"/>
      </w:pPr>
      <w:r>
        <w:t>3.1 Enduring Role and Limits of Perimeter and Defence-in-Depth Models</w:t>
      </w:r>
    </w:p>
    <w:p w14:paraId="74BC63D4" w14:textId="77777777" w:rsidR="00DD45D6" w:rsidRDefault="00285655">
      <w:pPr>
        <w:ind w:firstLine="0"/>
      </w:pPr>
      <w:r>
        <w:rPr>
          <w:rFonts w:eastAsia="Times New Roman"/>
        </w:rPr>
        <w:t xml:space="preserve">Traditional enterprise network security placed substantial defensive weight at boundaries. Firewalls, virtual private networks, proxy gateways and demilitarised zones were intended to mediate traffic between zones with different trust levels. This model was never synonymous with complete trust inside the network, but operational practice often gave </w:t>
      </w:r>
      <w:r>
        <w:rPr>
          <w:rFonts w:eastAsia="Times New Roman"/>
        </w:rPr>
        <w:lastRenderedPageBreak/>
        <w:t>internal addresses, managed subnets or VPN presence greater implicit confidence. That arrangement is increasingly mismatched with distributed applications and users because a device can be logically "inside" while compromised, a user can access enterprise resources without traversing a central perimeter, and a cloud workload may have no enduring relationship to an enterprise campus network (Chandramouli, 2022; Rose et al., 2020).</w:t>
      </w:r>
    </w:p>
    <w:p w14:paraId="7A4E9FF7" w14:textId="77777777" w:rsidR="00DD45D6" w:rsidRDefault="00285655">
      <w:r>
        <w:rPr>
          <w:rFonts w:eastAsia="Times New Roman"/>
        </w:rPr>
        <w:t>It would nevertheless be incorrect to interpret this shift as evidence that perimeter controls have become obsolete. Boundary filtering still constrains reachable services, limits attack traffic, supports denial-of-service engineering and provides policy enforcement at aggregation points. Defence in depth remains valuable precisely because every modern trust signal can fail. Identity systems can be compromised; endpoint posture can be falsified; telemetry can be delayed; policy engines can be misconfigured; and authorised sessions can be abused after admission. The architectural change is therefore a reduction in the authority of location as a trust signal, not the disappearance of network topology from security reasoning. Modern designs work best when boundary controls become one layer within a richer policy system rather than the sole determinant of trust.</w:t>
      </w:r>
    </w:p>
    <w:p w14:paraId="355BD2EC" w14:textId="77777777" w:rsidR="00DD45D6" w:rsidRDefault="00285655">
      <w:pPr>
        <w:pStyle w:val="Heading2"/>
      </w:pPr>
      <w:r>
        <w:t>3.2 Zero Trust, Zero Trust Network Access and Microsegmentation</w:t>
      </w:r>
    </w:p>
    <w:p w14:paraId="1EB77BE2" w14:textId="77777777" w:rsidR="00DD45D6" w:rsidRDefault="00285655">
      <w:pPr>
        <w:ind w:firstLine="0"/>
      </w:pPr>
      <w:r>
        <w:rPr>
          <w:rFonts w:eastAsia="Times New Roman"/>
        </w:rPr>
        <w:t>ZTA provides the clearest formal rejection of location-based implicit trust. NIST defines zero trust around resource protection and explicit authentication and authorisation decisions rather than confidence derived from network location (Rose et al., 2020). Research surveys similarly describe zero trust as a combination of least privilege, continuous or repeated evaluation, strong identity, device context, segmentation and policy-based access rather than a single product or protocol (Syed et al., 2022; Teerakanok et al., 2021). This distinction matters because architectural benefit depends on the quality of the decision inputs. A nominal zero trust deployment with weak identity proofing, coarse application entitlements or incomplete asset inventory can preserve the label while failing to achieve the intended reduction in implicit trust.</w:t>
      </w:r>
    </w:p>
    <w:p w14:paraId="00183FE8" w14:textId="77777777" w:rsidR="00DD45D6" w:rsidRDefault="00285655">
      <w:r>
        <w:rPr>
          <w:rFonts w:eastAsia="Times New Roman"/>
        </w:rPr>
        <w:t>The literature provides increasing implementation guidance but less decisive enterprise-outcome evidence. Buck et al. (2021) found that zero trust research had concentrated on conceptual and technical questions while empirical analysis of benefits, drawbacks, economics and user implications remained limited. Later work has attempted to operationalise these gaps. Adahman et al. (2022) modelled organisational security and cost effects, while Yeoh et al. (2023) used an expert Delphi process to identify success factors and dimensions for maturity assessment. These studies make zero trust more measurable, but their evidential roles differ. A cost model is sensitive to assumptions about incident likelihood, controls and asset value, whereas an expert-consensus maturity framework establishes structured judgement rather than causal evidence that higher maturity necessarily produces proportional risk reduction.</w:t>
      </w:r>
    </w:p>
    <w:p w14:paraId="3D58609A" w14:textId="77777777" w:rsidR="00DD45D6" w:rsidRDefault="00285655">
      <w:r>
        <w:rPr>
          <w:rFonts w:eastAsia="Times New Roman"/>
        </w:rPr>
        <w:t>Migration is also a major determinant of effectiveness. Phiayura and Teerakanok (2023) emphasise staged migration because real organisations contain legacy protocols, unmanaged devices, heterogeneous applications and operational dependencies that cannot be converted simultaneously. Fernandez and Brazhuk (2024) similarly caution that zero trust implementations can become complex and that conceptual claims require careful translation into concrete policy and infrastructure. In IoT environments, the difficulty is greater because devices may have limited identity capabilities, long replacement cycles and specialised communication patterns. Surveys and implementation studies indicate that zero trust can support IoT segmentation and context-aware access, but device constraints and heterogeneous trust signals remain substantial obstacles (Azad et al., 2024; Liu et al., 2024).</w:t>
      </w:r>
    </w:p>
    <w:p w14:paraId="027ECC11" w14:textId="77777777" w:rsidR="00DD45D6" w:rsidRDefault="00285655">
      <w:r>
        <w:rPr>
          <w:rFonts w:eastAsia="Times New Roman"/>
        </w:rPr>
        <w:t xml:space="preserve">Microsegmentation is one of the most consequential network mechanisms associated with zero trust because it can reduce the set of reachable services after an initial compromise. Its value is strongest when policy follows workload or service identity rather than relying on static subnet boundaries. Evaluation frameworks based on attack graphs and exposure metrics offer useful ways to quantify whether segmentation reduces reachable attack paths, but such measures are proxies for security benefit and depend on the accuracy of the model and assumed attacker capabilities (Basta et al., 2022). An IIoT prototype combining microsegmentation with SDN demonstrates how </w:t>
      </w:r>
      <w:r>
        <w:rPr>
          <w:rFonts w:eastAsia="Times New Roman"/>
        </w:rPr>
        <w:lastRenderedPageBreak/>
        <w:t>enforcement can be made more dynamic, but the constrained environment limits confidence that identical performance and manageability will hold across large heterogeneous enterprises (Zanasi et al., 2024).</w:t>
      </w:r>
    </w:p>
    <w:p w14:paraId="55675A4D" w14:textId="77777777" w:rsidR="00DD45D6" w:rsidRDefault="00285655">
      <w:r>
        <w:rPr>
          <w:rFonts w:eastAsia="Times New Roman"/>
        </w:rPr>
        <w:t>Federated and artificial-intelligence-assisted zero trust proposals extend policy reasoning across domains, especially where devices and organisations cannot share a single trust authority. These approaches are conceptually attractive because local evidence can inform broader trust decisions without centralising all raw data, but much of the literature remains at the architecture or early evaluation stage. Hussain et al. (2024), for example, frame federated artificial intelligence as a way to support distributed zero trust decisions, yet this direction adds model integrity, poisoning, privacy and coordination questions to an already demanding identity and policy problem. Such work is best treated as a research trajectory rather than established enterprise practice.</w:t>
      </w:r>
    </w:p>
    <w:p w14:paraId="790029AB" w14:textId="77777777" w:rsidR="00DD45D6" w:rsidRDefault="00285655">
      <w:pPr>
        <w:pStyle w:val="Heading2"/>
      </w:pPr>
      <w:r>
        <w:t>3.3 SASE and Service-Delivered Convergence</w:t>
      </w:r>
    </w:p>
    <w:p w14:paraId="164B72F8" w14:textId="77777777" w:rsidR="00DD45D6" w:rsidRDefault="00285655">
      <w:pPr>
        <w:ind w:firstLine="0"/>
      </w:pPr>
      <w:r>
        <w:rPr>
          <w:rFonts w:eastAsia="Times New Roman"/>
        </w:rPr>
        <w:t>SASE attempts to converge wide-area networking and security functions into a cloud-delivered architecture, combining connectivity with controls such as secure web gateways, cloud access security brokers, firewalling and zero trust access. The attraction is architectural rather than merely commercial: users and applications are distributed, so a security service located closer to the user or cloud resource may provide more consistent policy than backhauling all traffic through a corporate data centre. NIST's secure enterprise landscape treats SASE, software-defined wide-area networking and zero trust access as parts of an evolving portfolio rather than mutually exclusive replacements (Chandramouli, 2022).</w:t>
      </w:r>
    </w:p>
    <w:p w14:paraId="678652A8" w14:textId="77777777" w:rsidR="00DD45D6" w:rsidRDefault="00285655">
      <w:r>
        <w:rPr>
          <w:rFonts w:eastAsia="Times New Roman"/>
        </w:rPr>
        <w:t>The academic evidence remains less mature than the implementation momentum implied by the term. Islam et al. (2021) found limited scholarly attention and highlighted integration with legacy environments as an important issue. van der Walt and Venter (2022) likewise identified substantial research gaps, indicating that many assertions about SASE rely more on architectural reasoning and industry experience than on independent comparative evaluation. The model can reduce fragmented policy administration, but concentration in a service-delivery layer may create dependencies on provider reachability, points of presence, identity integration and consistent policy translation. Latency and regulatory constraints may also vary by geography and application. Consequently, SASE should be evaluated as a delivery and convergence model whose security depends on the quality and resilience of its constituent controls rather than as an intrinsic security guarantee.</w:t>
      </w:r>
    </w:p>
    <w:p w14:paraId="271DEA93" w14:textId="77777777" w:rsidR="00DD45D6" w:rsidRDefault="00285655">
      <w:r>
        <w:rPr>
          <w:rFonts w:eastAsia="Times New Roman"/>
        </w:rPr>
        <w:t>Taken together, these architectures represent a movement from coarse location-based trust towards explicit resource access, finer segmentation and distributed policy delivery. Table 1 summarises their contrasting trust assumptions, enforcement loci and principal dependencies. The comparison shows that architectural modernisation redistributes rather than eliminates risk: zero trust concentrates reliance on identity and policy decision systems; microsegmentation raises the cost of policy lifecycle and asset mapping; and SASE can exchange appliance sprawl for dependency on distributed service infrastructure. A defensible design therefore combines these mechanisms selectively and retains independent controls for availability and containment.</w:t>
      </w:r>
    </w:p>
    <w:p w14:paraId="41BCC053" w14:textId="77777777" w:rsidR="00DD45D6" w:rsidRDefault="00285655">
      <w:pPr>
        <w:keepNext/>
        <w:spacing w:before="140" w:after="100"/>
      </w:pPr>
      <w:r>
        <w:rPr>
          <w:rFonts w:eastAsia="Times New Roman"/>
          <w:b/>
          <w:sz w:val="21"/>
        </w:rPr>
        <w:t>Table 1. Comparative security logic of major modern network-security architectural families</w:t>
      </w:r>
    </w:p>
    <w:tbl>
      <w:tblPr>
        <w:tblStyle w:val="TableGrid"/>
        <w:tblW w:w="0" w:type="auto"/>
        <w:jc w:val="center"/>
        <w:tblLayout w:type="fixed"/>
        <w:tblLook w:val="04A0" w:firstRow="1" w:lastRow="0" w:firstColumn="1" w:lastColumn="0" w:noHBand="0" w:noVBand="1"/>
      </w:tblPr>
      <w:tblGrid>
        <w:gridCol w:w="1296"/>
        <w:gridCol w:w="1728"/>
        <w:gridCol w:w="1728"/>
        <w:gridCol w:w="2088"/>
        <w:gridCol w:w="1944"/>
        <w:gridCol w:w="1584"/>
      </w:tblGrid>
      <w:tr w:rsidR="00DD45D6" w14:paraId="6EEE6C8D" w14:textId="77777777">
        <w:trPr>
          <w:tblHeader/>
          <w:jc w:val="center"/>
        </w:trPr>
        <w:tc>
          <w:tcPr>
            <w:tcW w:w="1296" w:type="dxa"/>
            <w:shd w:val="clear" w:color="auto" w:fill="D9E1F2"/>
            <w:tcMar>
              <w:top w:w="85" w:type="dxa"/>
              <w:left w:w="85" w:type="dxa"/>
              <w:bottom w:w="85" w:type="dxa"/>
              <w:right w:w="85" w:type="dxa"/>
            </w:tcMar>
            <w:vAlign w:val="center"/>
          </w:tcPr>
          <w:p w14:paraId="012B0F77" w14:textId="77777777" w:rsidR="00DD45D6" w:rsidRDefault="00285655">
            <w:pPr>
              <w:spacing w:after="0"/>
              <w:jc w:val="center"/>
            </w:pPr>
            <w:r>
              <w:rPr>
                <w:rFonts w:eastAsia="Times New Roman"/>
                <w:b/>
                <w:sz w:val="15"/>
              </w:rPr>
              <w:t>Architecture or pattern</w:t>
            </w:r>
          </w:p>
        </w:tc>
        <w:tc>
          <w:tcPr>
            <w:tcW w:w="1728" w:type="dxa"/>
            <w:shd w:val="clear" w:color="auto" w:fill="D9E1F2"/>
            <w:tcMar>
              <w:top w:w="85" w:type="dxa"/>
              <w:left w:w="85" w:type="dxa"/>
              <w:bottom w:w="85" w:type="dxa"/>
              <w:right w:w="85" w:type="dxa"/>
            </w:tcMar>
            <w:vAlign w:val="center"/>
          </w:tcPr>
          <w:p w14:paraId="6BFCFD81" w14:textId="77777777" w:rsidR="00DD45D6" w:rsidRDefault="00285655">
            <w:pPr>
              <w:spacing w:after="0"/>
              <w:jc w:val="center"/>
            </w:pPr>
            <w:r>
              <w:rPr>
                <w:rFonts w:eastAsia="Times New Roman"/>
                <w:b/>
                <w:sz w:val="15"/>
              </w:rPr>
              <w:t>Security logic</w:t>
            </w:r>
          </w:p>
        </w:tc>
        <w:tc>
          <w:tcPr>
            <w:tcW w:w="1728" w:type="dxa"/>
            <w:shd w:val="clear" w:color="auto" w:fill="D9E1F2"/>
            <w:tcMar>
              <w:top w:w="85" w:type="dxa"/>
              <w:left w:w="85" w:type="dxa"/>
              <w:bottom w:w="85" w:type="dxa"/>
              <w:right w:w="85" w:type="dxa"/>
            </w:tcMar>
            <w:vAlign w:val="center"/>
          </w:tcPr>
          <w:p w14:paraId="63961D52" w14:textId="77777777" w:rsidR="00DD45D6" w:rsidRDefault="00285655">
            <w:pPr>
              <w:spacing w:after="0"/>
              <w:jc w:val="center"/>
            </w:pPr>
            <w:r>
              <w:rPr>
                <w:rFonts w:eastAsia="Times New Roman"/>
                <w:b/>
                <w:sz w:val="15"/>
              </w:rPr>
              <w:t>Primary enforcement locus</w:t>
            </w:r>
          </w:p>
        </w:tc>
        <w:tc>
          <w:tcPr>
            <w:tcW w:w="2088" w:type="dxa"/>
            <w:shd w:val="clear" w:color="auto" w:fill="D9E1F2"/>
            <w:tcMar>
              <w:top w:w="85" w:type="dxa"/>
              <w:left w:w="85" w:type="dxa"/>
              <w:bottom w:w="85" w:type="dxa"/>
              <w:right w:w="85" w:type="dxa"/>
            </w:tcMar>
            <w:vAlign w:val="center"/>
          </w:tcPr>
          <w:p w14:paraId="10EFC7E8" w14:textId="77777777" w:rsidR="00DD45D6" w:rsidRDefault="00285655">
            <w:pPr>
              <w:spacing w:after="0"/>
              <w:jc w:val="center"/>
            </w:pPr>
            <w:r>
              <w:rPr>
                <w:rFonts w:eastAsia="Times New Roman"/>
                <w:b/>
                <w:sz w:val="15"/>
              </w:rPr>
              <w:t>Main security contribution</w:t>
            </w:r>
          </w:p>
        </w:tc>
        <w:tc>
          <w:tcPr>
            <w:tcW w:w="1944" w:type="dxa"/>
            <w:shd w:val="clear" w:color="auto" w:fill="D9E1F2"/>
            <w:tcMar>
              <w:top w:w="85" w:type="dxa"/>
              <w:left w:w="85" w:type="dxa"/>
              <w:bottom w:w="85" w:type="dxa"/>
              <w:right w:w="85" w:type="dxa"/>
            </w:tcMar>
            <w:vAlign w:val="center"/>
          </w:tcPr>
          <w:p w14:paraId="59D4BF16" w14:textId="77777777" w:rsidR="00DD45D6" w:rsidRDefault="00285655">
            <w:pPr>
              <w:spacing w:after="0"/>
              <w:jc w:val="center"/>
            </w:pPr>
            <w:r>
              <w:rPr>
                <w:rFonts w:eastAsia="Times New Roman"/>
                <w:b/>
                <w:sz w:val="15"/>
              </w:rPr>
              <w:t>Critical limitation and evidence maturity</w:t>
            </w:r>
          </w:p>
        </w:tc>
        <w:tc>
          <w:tcPr>
            <w:tcW w:w="1584" w:type="dxa"/>
            <w:shd w:val="clear" w:color="auto" w:fill="D9E1F2"/>
            <w:tcMar>
              <w:top w:w="85" w:type="dxa"/>
              <w:left w:w="85" w:type="dxa"/>
              <w:bottom w:w="85" w:type="dxa"/>
              <w:right w:w="85" w:type="dxa"/>
            </w:tcMar>
            <w:vAlign w:val="center"/>
          </w:tcPr>
          <w:p w14:paraId="51B3847C" w14:textId="77777777" w:rsidR="00DD45D6" w:rsidRDefault="00285655">
            <w:pPr>
              <w:spacing w:after="0"/>
              <w:jc w:val="center"/>
            </w:pPr>
            <w:r>
              <w:rPr>
                <w:rFonts w:eastAsia="Times New Roman"/>
                <w:b/>
                <w:sz w:val="15"/>
              </w:rPr>
              <w:t>Supporting references</w:t>
            </w:r>
          </w:p>
        </w:tc>
      </w:tr>
      <w:tr w:rsidR="00DD45D6" w14:paraId="6BCEBD16" w14:textId="77777777">
        <w:trPr>
          <w:cantSplit/>
          <w:jc w:val="center"/>
        </w:trPr>
        <w:tc>
          <w:tcPr>
            <w:tcW w:w="1296" w:type="dxa"/>
            <w:tcMar>
              <w:top w:w="80" w:type="dxa"/>
              <w:left w:w="85" w:type="dxa"/>
              <w:bottom w:w="80" w:type="dxa"/>
              <w:right w:w="85" w:type="dxa"/>
            </w:tcMar>
            <w:vAlign w:val="center"/>
          </w:tcPr>
          <w:p w14:paraId="4BC73F74" w14:textId="77777777" w:rsidR="00DD45D6" w:rsidRDefault="00285655">
            <w:pPr>
              <w:spacing w:after="0"/>
              <w:jc w:val="left"/>
            </w:pPr>
            <w:r>
              <w:rPr>
                <w:rFonts w:eastAsia="Times New Roman"/>
                <w:sz w:val="15"/>
              </w:rPr>
              <w:t>Perimeter and defence in depth</w:t>
            </w:r>
          </w:p>
        </w:tc>
        <w:tc>
          <w:tcPr>
            <w:tcW w:w="1728" w:type="dxa"/>
            <w:tcMar>
              <w:top w:w="80" w:type="dxa"/>
              <w:left w:w="85" w:type="dxa"/>
              <w:bottom w:w="80" w:type="dxa"/>
              <w:right w:w="85" w:type="dxa"/>
            </w:tcMar>
            <w:vAlign w:val="center"/>
          </w:tcPr>
          <w:p w14:paraId="35DA2413" w14:textId="77777777" w:rsidR="00DD45D6" w:rsidRDefault="00285655">
            <w:pPr>
              <w:spacing w:after="0"/>
              <w:jc w:val="left"/>
            </w:pPr>
            <w:r>
              <w:rPr>
                <w:rFonts w:eastAsia="Times New Roman"/>
                <w:sz w:val="15"/>
              </w:rPr>
              <w:t>Zones and boundaries constrain traffic; internal location may still carry residual trust.</w:t>
            </w:r>
          </w:p>
        </w:tc>
        <w:tc>
          <w:tcPr>
            <w:tcW w:w="1728" w:type="dxa"/>
            <w:tcMar>
              <w:top w:w="80" w:type="dxa"/>
              <w:left w:w="85" w:type="dxa"/>
              <w:bottom w:w="80" w:type="dxa"/>
              <w:right w:w="85" w:type="dxa"/>
            </w:tcMar>
            <w:vAlign w:val="center"/>
          </w:tcPr>
          <w:p w14:paraId="0CA6CC11" w14:textId="77777777" w:rsidR="00DD45D6" w:rsidRDefault="00285655">
            <w:pPr>
              <w:spacing w:after="0"/>
              <w:jc w:val="left"/>
            </w:pPr>
            <w:r>
              <w:rPr>
                <w:rFonts w:eastAsia="Times New Roman"/>
                <w:sz w:val="15"/>
              </w:rPr>
              <w:t>Firewalls, gateways, VPN concentrators and network boundaries.</w:t>
            </w:r>
          </w:p>
        </w:tc>
        <w:tc>
          <w:tcPr>
            <w:tcW w:w="2088" w:type="dxa"/>
            <w:tcMar>
              <w:top w:w="80" w:type="dxa"/>
              <w:left w:w="85" w:type="dxa"/>
              <w:bottom w:w="80" w:type="dxa"/>
              <w:right w:w="85" w:type="dxa"/>
            </w:tcMar>
            <w:vAlign w:val="center"/>
          </w:tcPr>
          <w:p w14:paraId="75EF4F83" w14:textId="77777777" w:rsidR="00DD45D6" w:rsidRDefault="00285655">
            <w:pPr>
              <w:spacing w:after="0"/>
              <w:jc w:val="left"/>
            </w:pPr>
            <w:r>
              <w:rPr>
                <w:rFonts w:eastAsia="Times New Roman"/>
                <w:sz w:val="15"/>
              </w:rPr>
              <w:t>Mature traffic control, boundary reduction and a useful independent containment layer.</w:t>
            </w:r>
          </w:p>
        </w:tc>
        <w:tc>
          <w:tcPr>
            <w:tcW w:w="1944" w:type="dxa"/>
            <w:tcMar>
              <w:top w:w="80" w:type="dxa"/>
              <w:left w:w="85" w:type="dxa"/>
              <w:bottom w:w="80" w:type="dxa"/>
              <w:right w:w="85" w:type="dxa"/>
            </w:tcMar>
            <w:vAlign w:val="center"/>
          </w:tcPr>
          <w:p w14:paraId="78CA3C4A" w14:textId="77777777" w:rsidR="00DD45D6" w:rsidRDefault="00285655">
            <w:pPr>
              <w:spacing w:after="0"/>
              <w:jc w:val="left"/>
            </w:pPr>
            <w:r>
              <w:rPr>
                <w:rFonts w:eastAsia="Times New Roman"/>
                <w:sz w:val="15"/>
              </w:rPr>
              <w:t>Insufficient when users, workloads and services bypass stable boundaries; does not by itself prevent trusted-session abuse.</w:t>
            </w:r>
          </w:p>
        </w:tc>
        <w:tc>
          <w:tcPr>
            <w:tcW w:w="1584" w:type="dxa"/>
            <w:tcMar>
              <w:top w:w="80" w:type="dxa"/>
              <w:left w:w="85" w:type="dxa"/>
              <w:bottom w:w="80" w:type="dxa"/>
              <w:right w:w="85" w:type="dxa"/>
            </w:tcMar>
            <w:vAlign w:val="center"/>
          </w:tcPr>
          <w:p w14:paraId="0177CBB6" w14:textId="77777777" w:rsidR="00DD45D6" w:rsidRDefault="00285655">
            <w:pPr>
              <w:spacing w:after="0"/>
              <w:jc w:val="left"/>
            </w:pPr>
            <w:r>
              <w:rPr>
                <w:rFonts w:eastAsia="Times New Roman"/>
                <w:sz w:val="15"/>
              </w:rPr>
              <w:t>(Chandramouli, 2022; Rose et al., 2020)</w:t>
            </w:r>
          </w:p>
        </w:tc>
      </w:tr>
      <w:tr w:rsidR="00DD45D6" w14:paraId="293AAC28" w14:textId="77777777">
        <w:trPr>
          <w:cantSplit/>
          <w:jc w:val="center"/>
        </w:trPr>
        <w:tc>
          <w:tcPr>
            <w:tcW w:w="1296" w:type="dxa"/>
            <w:tcMar>
              <w:top w:w="80" w:type="dxa"/>
              <w:left w:w="85" w:type="dxa"/>
              <w:bottom w:w="80" w:type="dxa"/>
              <w:right w:w="85" w:type="dxa"/>
            </w:tcMar>
            <w:vAlign w:val="center"/>
          </w:tcPr>
          <w:p w14:paraId="7538E921" w14:textId="77777777" w:rsidR="00DD45D6" w:rsidRDefault="00285655">
            <w:pPr>
              <w:spacing w:after="0"/>
              <w:jc w:val="left"/>
            </w:pPr>
            <w:r>
              <w:rPr>
                <w:rFonts w:eastAsia="Times New Roman"/>
                <w:sz w:val="15"/>
              </w:rPr>
              <w:t>Zero Trust Architecture / ZTNA</w:t>
            </w:r>
          </w:p>
        </w:tc>
        <w:tc>
          <w:tcPr>
            <w:tcW w:w="1728" w:type="dxa"/>
            <w:tcMar>
              <w:top w:w="80" w:type="dxa"/>
              <w:left w:w="85" w:type="dxa"/>
              <w:bottom w:w="80" w:type="dxa"/>
              <w:right w:w="85" w:type="dxa"/>
            </w:tcMar>
            <w:vAlign w:val="center"/>
          </w:tcPr>
          <w:p w14:paraId="23549133" w14:textId="77777777" w:rsidR="00DD45D6" w:rsidRDefault="00285655">
            <w:pPr>
              <w:spacing w:after="0"/>
              <w:jc w:val="left"/>
            </w:pPr>
            <w:r>
              <w:rPr>
                <w:rFonts w:eastAsia="Times New Roman"/>
                <w:sz w:val="15"/>
              </w:rPr>
              <w:t>No implicit trust from network location; access is resource-, identity- and context-centred.</w:t>
            </w:r>
          </w:p>
        </w:tc>
        <w:tc>
          <w:tcPr>
            <w:tcW w:w="1728" w:type="dxa"/>
            <w:tcMar>
              <w:top w:w="80" w:type="dxa"/>
              <w:left w:w="85" w:type="dxa"/>
              <w:bottom w:w="80" w:type="dxa"/>
              <w:right w:w="85" w:type="dxa"/>
            </w:tcMar>
            <w:vAlign w:val="center"/>
          </w:tcPr>
          <w:p w14:paraId="7E530EE4" w14:textId="77777777" w:rsidR="00DD45D6" w:rsidRDefault="00285655">
            <w:pPr>
              <w:spacing w:after="0"/>
              <w:jc w:val="left"/>
            </w:pPr>
            <w:r>
              <w:rPr>
                <w:rFonts w:eastAsia="Times New Roman"/>
                <w:sz w:val="15"/>
              </w:rPr>
              <w:t>Policy decision and enforcement points near users, applications or resources.</w:t>
            </w:r>
          </w:p>
        </w:tc>
        <w:tc>
          <w:tcPr>
            <w:tcW w:w="2088" w:type="dxa"/>
            <w:tcMar>
              <w:top w:w="80" w:type="dxa"/>
              <w:left w:w="85" w:type="dxa"/>
              <w:bottom w:w="80" w:type="dxa"/>
              <w:right w:w="85" w:type="dxa"/>
            </w:tcMar>
            <w:vAlign w:val="center"/>
          </w:tcPr>
          <w:p w14:paraId="536F37F7" w14:textId="77777777" w:rsidR="00DD45D6" w:rsidRDefault="00285655">
            <w:pPr>
              <w:spacing w:after="0"/>
              <w:jc w:val="left"/>
            </w:pPr>
            <w:r>
              <w:rPr>
                <w:rFonts w:eastAsia="Times New Roman"/>
                <w:sz w:val="15"/>
              </w:rPr>
              <w:t>Reduces implicit trust and supports least privilege and repeated access evaluation.</w:t>
            </w:r>
          </w:p>
        </w:tc>
        <w:tc>
          <w:tcPr>
            <w:tcW w:w="1944" w:type="dxa"/>
            <w:tcMar>
              <w:top w:w="80" w:type="dxa"/>
              <w:left w:w="85" w:type="dxa"/>
              <w:bottom w:w="80" w:type="dxa"/>
              <w:right w:w="85" w:type="dxa"/>
            </w:tcMar>
            <w:vAlign w:val="center"/>
          </w:tcPr>
          <w:p w14:paraId="6CC2D160" w14:textId="77777777" w:rsidR="00DD45D6" w:rsidRDefault="00285655">
            <w:pPr>
              <w:spacing w:after="0"/>
              <w:jc w:val="left"/>
            </w:pPr>
            <w:r>
              <w:rPr>
                <w:rFonts w:eastAsia="Times New Roman"/>
                <w:sz w:val="15"/>
              </w:rPr>
              <w:t>Strong conceptual guidance, but comparative enterprise outcomes, economic effects and user impacts remain less mature.</w:t>
            </w:r>
          </w:p>
        </w:tc>
        <w:tc>
          <w:tcPr>
            <w:tcW w:w="1584" w:type="dxa"/>
            <w:tcMar>
              <w:top w:w="80" w:type="dxa"/>
              <w:left w:w="85" w:type="dxa"/>
              <w:bottom w:w="80" w:type="dxa"/>
              <w:right w:w="85" w:type="dxa"/>
            </w:tcMar>
            <w:vAlign w:val="center"/>
          </w:tcPr>
          <w:p w14:paraId="08E73721" w14:textId="77777777" w:rsidR="00DD45D6" w:rsidRDefault="00285655">
            <w:pPr>
              <w:spacing w:after="0"/>
              <w:jc w:val="left"/>
            </w:pPr>
            <w:r>
              <w:rPr>
                <w:rFonts w:eastAsia="Times New Roman"/>
                <w:sz w:val="15"/>
              </w:rPr>
              <w:t>(Buck et al., 2021; Gambo &amp; Almulhem, 2026; Rose et al., 2020; Syed et al., 2022)</w:t>
            </w:r>
          </w:p>
        </w:tc>
      </w:tr>
      <w:tr w:rsidR="00DD45D6" w14:paraId="5B51703F" w14:textId="77777777">
        <w:trPr>
          <w:cantSplit/>
          <w:jc w:val="center"/>
        </w:trPr>
        <w:tc>
          <w:tcPr>
            <w:tcW w:w="1296" w:type="dxa"/>
            <w:tcMar>
              <w:top w:w="80" w:type="dxa"/>
              <w:left w:w="85" w:type="dxa"/>
              <w:bottom w:w="80" w:type="dxa"/>
              <w:right w:w="85" w:type="dxa"/>
            </w:tcMar>
            <w:vAlign w:val="center"/>
          </w:tcPr>
          <w:p w14:paraId="4AEB32BA" w14:textId="77777777" w:rsidR="00DD45D6" w:rsidRDefault="00285655">
            <w:pPr>
              <w:spacing w:after="0"/>
              <w:jc w:val="left"/>
            </w:pPr>
            <w:r>
              <w:rPr>
                <w:rFonts w:eastAsia="Times New Roman"/>
                <w:sz w:val="15"/>
              </w:rPr>
              <w:lastRenderedPageBreak/>
              <w:t>Microsegmentation</w:t>
            </w:r>
          </w:p>
        </w:tc>
        <w:tc>
          <w:tcPr>
            <w:tcW w:w="1728" w:type="dxa"/>
            <w:tcMar>
              <w:top w:w="80" w:type="dxa"/>
              <w:left w:w="85" w:type="dxa"/>
              <w:bottom w:w="80" w:type="dxa"/>
              <w:right w:w="85" w:type="dxa"/>
            </w:tcMar>
            <w:vAlign w:val="center"/>
          </w:tcPr>
          <w:p w14:paraId="3C05EC40" w14:textId="77777777" w:rsidR="00DD45D6" w:rsidRDefault="00285655">
            <w:pPr>
              <w:spacing w:after="0"/>
              <w:jc w:val="left"/>
            </w:pPr>
            <w:r>
              <w:rPr>
                <w:rFonts w:eastAsia="Times New Roman"/>
                <w:sz w:val="15"/>
              </w:rPr>
              <w:t>Workloads are not assumed trustworthy merely because they share an internal network.</w:t>
            </w:r>
          </w:p>
        </w:tc>
        <w:tc>
          <w:tcPr>
            <w:tcW w:w="1728" w:type="dxa"/>
            <w:tcMar>
              <w:top w:w="80" w:type="dxa"/>
              <w:left w:w="85" w:type="dxa"/>
              <w:bottom w:w="80" w:type="dxa"/>
              <w:right w:w="85" w:type="dxa"/>
            </w:tcMar>
            <w:vAlign w:val="center"/>
          </w:tcPr>
          <w:p w14:paraId="4A45358E" w14:textId="77777777" w:rsidR="00DD45D6" w:rsidRDefault="00285655">
            <w:pPr>
              <w:spacing w:after="0"/>
              <w:jc w:val="left"/>
            </w:pPr>
            <w:r>
              <w:rPr>
                <w:rFonts w:eastAsia="Times New Roman"/>
                <w:sz w:val="15"/>
              </w:rPr>
              <w:t>Host agents, hypervisors, virtual switches, SDN fabric or service-aware gateways.</w:t>
            </w:r>
          </w:p>
        </w:tc>
        <w:tc>
          <w:tcPr>
            <w:tcW w:w="2088" w:type="dxa"/>
            <w:tcMar>
              <w:top w:w="80" w:type="dxa"/>
              <w:left w:w="85" w:type="dxa"/>
              <w:bottom w:w="80" w:type="dxa"/>
              <w:right w:w="85" w:type="dxa"/>
            </w:tcMar>
            <w:vAlign w:val="center"/>
          </w:tcPr>
          <w:p w14:paraId="5C246E69" w14:textId="77777777" w:rsidR="00DD45D6" w:rsidRDefault="00285655">
            <w:pPr>
              <w:spacing w:after="0"/>
              <w:jc w:val="left"/>
            </w:pPr>
            <w:r>
              <w:rPr>
                <w:rFonts w:eastAsia="Times New Roman"/>
                <w:sz w:val="15"/>
              </w:rPr>
              <w:t>Reduces lateral reachability and can align network policy with workload identity.</w:t>
            </w:r>
          </w:p>
        </w:tc>
        <w:tc>
          <w:tcPr>
            <w:tcW w:w="1944" w:type="dxa"/>
            <w:tcMar>
              <w:top w:w="80" w:type="dxa"/>
              <w:left w:w="85" w:type="dxa"/>
              <w:bottom w:w="80" w:type="dxa"/>
              <w:right w:w="85" w:type="dxa"/>
            </w:tcMar>
            <w:vAlign w:val="center"/>
          </w:tcPr>
          <w:p w14:paraId="7CACAC93" w14:textId="77777777" w:rsidR="00DD45D6" w:rsidRDefault="00285655">
            <w:pPr>
              <w:spacing w:after="0"/>
              <w:jc w:val="left"/>
            </w:pPr>
            <w:r>
              <w:rPr>
                <w:rFonts w:eastAsia="Times New Roman"/>
                <w:sz w:val="15"/>
              </w:rPr>
              <w:t>Depends on accurate asset/service mapping and policy lifecycle; attack-graph evidence is useful but context dependent.</w:t>
            </w:r>
          </w:p>
        </w:tc>
        <w:tc>
          <w:tcPr>
            <w:tcW w:w="1584" w:type="dxa"/>
            <w:tcMar>
              <w:top w:w="80" w:type="dxa"/>
              <w:left w:w="85" w:type="dxa"/>
              <w:bottom w:w="80" w:type="dxa"/>
              <w:right w:w="85" w:type="dxa"/>
            </w:tcMar>
            <w:vAlign w:val="center"/>
          </w:tcPr>
          <w:p w14:paraId="07657BF7" w14:textId="77777777" w:rsidR="00DD45D6" w:rsidRDefault="00285655">
            <w:pPr>
              <w:spacing w:after="0"/>
              <w:jc w:val="left"/>
            </w:pPr>
            <w:r>
              <w:rPr>
                <w:rFonts w:eastAsia="Times New Roman"/>
                <w:sz w:val="15"/>
              </w:rPr>
              <w:t>(Basta et al., 2022; Zanasi et al., 2024)</w:t>
            </w:r>
          </w:p>
        </w:tc>
      </w:tr>
      <w:tr w:rsidR="00DD45D6" w14:paraId="57DC6E73" w14:textId="77777777">
        <w:trPr>
          <w:cantSplit/>
          <w:jc w:val="center"/>
        </w:trPr>
        <w:tc>
          <w:tcPr>
            <w:tcW w:w="1296" w:type="dxa"/>
            <w:tcMar>
              <w:top w:w="80" w:type="dxa"/>
              <w:left w:w="85" w:type="dxa"/>
              <w:bottom w:w="80" w:type="dxa"/>
              <w:right w:w="85" w:type="dxa"/>
            </w:tcMar>
            <w:vAlign w:val="center"/>
          </w:tcPr>
          <w:p w14:paraId="5E4BFF98" w14:textId="77777777" w:rsidR="00DD45D6" w:rsidRDefault="00285655">
            <w:pPr>
              <w:spacing w:after="0"/>
              <w:jc w:val="left"/>
            </w:pPr>
            <w:r>
              <w:rPr>
                <w:rFonts w:eastAsia="Times New Roman"/>
                <w:sz w:val="15"/>
              </w:rPr>
              <w:t>Secure Access Service Edge</w:t>
            </w:r>
          </w:p>
        </w:tc>
        <w:tc>
          <w:tcPr>
            <w:tcW w:w="1728" w:type="dxa"/>
            <w:tcMar>
              <w:top w:w="80" w:type="dxa"/>
              <w:left w:w="85" w:type="dxa"/>
              <w:bottom w:w="80" w:type="dxa"/>
              <w:right w:w="85" w:type="dxa"/>
            </w:tcMar>
            <w:vAlign w:val="center"/>
          </w:tcPr>
          <w:p w14:paraId="24995AD7" w14:textId="77777777" w:rsidR="00DD45D6" w:rsidRDefault="00285655">
            <w:pPr>
              <w:spacing w:after="0"/>
              <w:jc w:val="left"/>
            </w:pPr>
            <w:r>
              <w:rPr>
                <w:rFonts w:eastAsia="Times New Roman"/>
                <w:sz w:val="15"/>
              </w:rPr>
              <w:t>Networking and security functions are delivered close to distributed users and applications.</w:t>
            </w:r>
          </w:p>
        </w:tc>
        <w:tc>
          <w:tcPr>
            <w:tcW w:w="1728" w:type="dxa"/>
            <w:tcMar>
              <w:top w:w="80" w:type="dxa"/>
              <w:left w:w="85" w:type="dxa"/>
              <w:bottom w:w="80" w:type="dxa"/>
              <w:right w:w="85" w:type="dxa"/>
            </w:tcMar>
            <w:vAlign w:val="center"/>
          </w:tcPr>
          <w:p w14:paraId="2A3E9DCF" w14:textId="77777777" w:rsidR="00DD45D6" w:rsidRDefault="00285655">
            <w:pPr>
              <w:spacing w:after="0"/>
              <w:jc w:val="left"/>
            </w:pPr>
            <w:r>
              <w:rPr>
                <w:rFonts w:eastAsia="Times New Roman"/>
                <w:sz w:val="15"/>
              </w:rPr>
              <w:t>Distributed cloud service points combined with identity-aware access and WAN controls.</w:t>
            </w:r>
          </w:p>
        </w:tc>
        <w:tc>
          <w:tcPr>
            <w:tcW w:w="2088" w:type="dxa"/>
            <w:tcMar>
              <w:top w:w="80" w:type="dxa"/>
              <w:left w:w="85" w:type="dxa"/>
              <w:bottom w:w="80" w:type="dxa"/>
              <w:right w:w="85" w:type="dxa"/>
            </w:tcMar>
            <w:vAlign w:val="center"/>
          </w:tcPr>
          <w:p w14:paraId="3F38CE6A" w14:textId="77777777" w:rsidR="00DD45D6" w:rsidRDefault="00285655">
            <w:pPr>
              <w:spacing w:after="0"/>
              <w:jc w:val="left"/>
            </w:pPr>
            <w:r>
              <w:rPr>
                <w:rFonts w:eastAsia="Times New Roman"/>
                <w:sz w:val="15"/>
              </w:rPr>
              <w:t>Can reduce backhaul and consolidate policy across distributed access paths.</w:t>
            </w:r>
          </w:p>
        </w:tc>
        <w:tc>
          <w:tcPr>
            <w:tcW w:w="1944" w:type="dxa"/>
            <w:tcMar>
              <w:top w:w="80" w:type="dxa"/>
              <w:left w:w="85" w:type="dxa"/>
              <w:bottom w:w="80" w:type="dxa"/>
              <w:right w:w="85" w:type="dxa"/>
            </w:tcMar>
            <w:vAlign w:val="center"/>
          </w:tcPr>
          <w:p w14:paraId="0153858A" w14:textId="77777777" w:rsidR="00DD45D6" w:rsidRDefault="00285655">
            <w:pPr>
              <w:spacing w:after="0"/>
              <w:jc w:val="left"/>
            </w:pPr>
            <w:r>
              <w:rPr>
                <w:rFonts w:eastAsia="Times New Roman"/>
                <w:sz w:val="15"/>
              </w:rPr>
              <w:t>Independent peer-reviewed evidence is sparse; provider reachability, policy translation and legacy integration are material dependencies.</w:t>
            </w:r>
          </w:p>
        </w:tc>
        <w:tc>
          <w:tcPr>
            <w:tcW w:w="1584" w:type="dxa"/>
            <w:tcMar>
              <w:top w:w="80" w:type="dxa"/>
              <w:left w:w="85" w:type="dxa"/>
              <w:bottom w:w="80" w:type="dxa"/>
              <w:right w:w="85" w:type="dxa"/>
            </w:tcMar>
            <w:vAlign w:val="center"/>
          </w:tcPr>
          <w:p w14:paraId="7C36A81E" w14:textId="77777777" w:rsidR="00DD45D6" w:rsidRDefault="00285655">
            <w:pPr>
              <w:spacing w:after="0"/>
              <w:jc w:val="left"/>
            </w:pPr>
            <w:r>
              <w:rPr>
                <w:rFonts w:eastAsia="Times New Roman"/>
                <w:sz w:val="15"/>
              </w:rPr>
              <w:t>(Chandramouli, 2022; Islam et al., 2021; van der Walt &amp; Venter, 2022)</w:t>
            </w:r>
          </w:p>
        </w:tc>
      </w:tr>
      <w:tr w:rsidR="00DD45D6" w14:paraId="6A811CEB" w14:textId="77777777">
        <w:trPr>
          <w:cantSplit/>
          <w:jc w:val="center"/>
        </w:trPr>
        <w:tc>
          <w:tcPr>
            <w:tcW w:w="1296" w:type="dxa"/>
            <w:tcMar>
              <w:top w:w="80" w:type="dxa"/>
              <w:left w:w="85" w:type="dxa"/>
              <w:bottom w:w="80" w:type="dxa"/>
              <w:right w:w="85" w:type="dxa"/>
            </w:tcMar>
            <w:vAlign w:val="center"/>
          </w:tcPr>
          <w:p w14:paraId="3E861834" w14:textId="77777777" w:rsidR="00DD45D6" w:rsidRDefault="00285655">
            <w:pPr>
              <w:spacing w:after="0"/>
              <w:jc w:val="left"/>
            </w:pPr>
            <w:r>
              <w:rPr>
                <w:rFonts w:eastAsia="Times New Roman"/>
                <w:sz w:val="15"/>
              </w:rPr>
              <w:t>Compositional hybrid architecture</w:t>
            </w:r>
          </w:p>
        </w:tc>
        <w:tc>
          <w:tcPr>
            <w:tcW w:w="1728" w:type="dxa"/>
            <w:tcMar>
              <w:top w:w="80" w:type="dxa"/>
              <w:left w:w="85" w:type="dxa"/>
              <w:bottom w:w="80" w:type="dxa"/>
              <w:right w:w="85" w:type="dxa"/>
            </w:tcMar>
            <w:vAlign w:val="center"/>
          </w:tcPr>
          <w:p w14:paraId="395B6858" w14:textId="77777777" w:rsidR="00DD45D6" w:rsidRDefault="00285655">
            <w:pPr>
              <w:spacing w:after="0"/>
              <w:jc w:val="left"/>
            </w:pPr>
            <w:r>
              <w:rPr>
                <w:rFonts w:eastAsia="Times New Roman"/>
                <w:sz w:val="15"/>
              </w:rPr>
              <w:t>Trust is minimised by combining independent identity, segmentation, detection and resilience controls.</w:t>
            </w:r>
          </w:p>
        </w:tc>
        <w:tc>
          <w:tcPr>
            <w:tcW w:w="1728" w:type="dxa"/>
            <w:tcMar>
              <w:top w:w="80" w:type="dxa"/>
              <w:left w:w="85" w:type="dxa"/>
              <w:bottom w:w="80" w:type="dxa"/>
              <w:right w:w="85" w:type="dxa"/>
            </w:tcMar>
            <w:vAlign w:val="center"/>
          </w:tcPr>
          <w:p w14:paraId="02BECF90" w14:textId="77777777" w:rsidR="00DD45D6" w:rsidRDefault="00285655">
            <w:pPr>
              <w:spacing w:after="0"/>
              <w:jc w:val="left"/>
            </w:pPr>
            <w:r>
              <w:rPr>
                <w:rFonts w:eastAsia="Times New Roman"/>
                <w:sz w:val="15"/>
              </w:rPr>
              <w:t>Distributed enforcement with coordinated governance across network, cloud and application layers.</w:t>
            </w:r>
          </w:p>
        </w:tc>
        <w:tc>
          <w:tcPr>
            <w:tcW w:w="2088" w:type="dxa"/>
            <w:tcMar>
              <w:top w:w="80" w:type="dxa"/>
              <w:left w:w="85" w:type="dxa"/>
              <w:bottom w:w="80" w:type="dxa"/>
              <w:right w:w="85" w:type="dxa"/>
            </w:tcMar>
            <w:vAlign w:val="center"/>
          </w:tcPr>
          <w:p w14:paraId="6D2D87C0" w14:textId="77777777" w:rsidR="00DD45D6" w:rsidRDefault="00285655">
            <w:pPr>
              <w:spacing w:after="0"/>
              <w:jc w:val="left"/>
            </w:pPr>
            <w:r>
              <w:rPr>
                <w:rFonts w:eastAsia="Times New Roman"/>
                <w:sz w:val="15"/>
              </w:rPr>
              <w:t>Avoids reliance on one architectural mechanism and supports defence in depth across heterogeneous estates.</w:t>
            </w:r>
          </w:p>
        </w:tc>
        <w:tc>
          <w:tcPr>
            <w:tcW w:w="1944" w:type="dxa"/>
            <w:tcMar>
              <w:top w:w="80" w:type="dxa"/>
              <w:left w:w="85" w:type="dxa"/>
              <w:bottom w:w="80" w:type="dxa"/>
              <w:right w:w="85" w:type="dxa"/>
            </w:tcMar>
            <w:vAlign w:val="center"/>
          </w:tcPr>
          <w:p w14:paraId="06BDB2B0" w14:textId="77777777" w:rsidR="00DD45D6" w:rsidRDefault="00285655">
            <w:pPr>
              <w:spacing w:after="0"/>
              <w:jc w:val="left"/>
            </w:pPr>
            <w:r>
              <w:rPr>
                <w:rFonts w:eastAsia="Times New Roman"/>
                <w:sz w:val="15"/>
              </w:rPr>
              <w:t>Integration complexity can create policy conflicts and shared control-plane dependencies; evidence is synthesised across architecture-specific literatures.</w:t>
            </w:r>
          </w:p>
        </w:tc>
        <w:tc>
          <w:tcPr>
            <w:tcW w:w="1584" w:type="dxa"/>
            <w:tcMar>
              <w:top w:w="80" w:type="dxa"/>
              <w:left w:w="85" w:type="dxa"/>
              <w:bottom w:w="80" w:type="dxa"/>
              <w:right w:w="85" w:type="dxa"/>
            </w:tcMar>
            <w:vAlign w:val="center"/>
          </w:tcPr>
          <w:p w14:paraId="367CBD90" w14:textId="77777777" w:rsidR="00DD45D6" w:rsidRDefault="00285655">
            <w:pPr>
              <w:spacing w:after="0"/>
              <w:jc w:val="left"/>
            </w:pPr>
            <w:r>
              <w:rPr>
                <w:rFonts w:eastAsia="Times New Roman"/>
                <w:sz w:val="15"/>
              </w:rPr>
              <w:t>(Fernandez &amp; Brazhuk, 2024; Phiayura &amp; Teerakanok, 2023; Teerakanok et al., 2021)</w:t>
            </w:r>
          </w:p>
        </w:tc>
      </w:tr>
    </w:tbl>
    <w:p w14:paraId="763F5AE1" w14:textId="77777777" w:rsidR="00DD45D6" w:rsidRDefault="00285655">
      <w:pPr>
        <w:spacing w:before="80" w:after="160" w:line="240" w:lineRule="auto"/>
      </w:pPr>
      <w:r>
        <w:rPr>
          <w:rFonts w:eastAsia="Times New Roman"/>
          <w:i/>
          <w:sz w:val="17"/>
        </w:rPr>
        <w:t>Note. ZTNA = zero trust network access; VPN = virtual private network; SDN = software-defined networking.</w:t>
      </w:r>
    </w:p>
    <w:p w14:paraId="778E5F13" w14:textId="77777777" w:rsidR="00DD45D6" w:rsidRDefault="00285655">
      <w:pPr>
        <w:pStyle w:val="Heading1"/>
      </w:pPr>
      <w:r>
        <w:t>4. Programmable Networks as Security Substrate and Attack Surface</w:t>
      </w:r>
    </w:p>
    <w:p w14:paraId="2BE24720" w14:textId="77777777" w:rsidR="00DD45D6" w:rsidRDefault="00285655">
      <w:pPr>
        <w:pStyle w:val="Heading2"/>
        <w:ind w:firstLine="0"/>
      </w:pPr>
      <w:r>
        <w:t>4.1 Software-Defined Networking for Security and Security of Software-Defined Networking</w:t>
      </w:r>
    </w:p>
    <w:p w14:paraId="22CF6DC5" w14:textId="77777777" w:rsidR="00DD45D6" w:rsidRDefault="00285655">
      <w:pPr>
        <w:ind w:firstLine="0"/>
      </w:pPr>
      <w:r>
        <w:rPr>
          <w:rFonts w:eastAsia="Times New Roman"/>
        </w:rPr>
        <w:t>SDN reorganises network control by separating forwarding behaviour from logically centralised control and exposing programmable interfaces through which topology, flow state and policy can be managed. This separation can improve cyber defence because security controls no longer need to be implemented solely as isolated appliances operating on locally visible traffic. A controller with an appropriate network view can support dynamic flow blocking, quarantine, segmentation, traffic steering and coordinated response. The broader SDN literature established programmability, abstraction and controller-driven management as defining characteristics of the paradigm, while security surveys quickly identified their defensive potential (Kreutz et al., 2015; Scott-Hayward et al., 2016).</w:t>
      </w:r>
    </w:p>
    <w:p w14:paraId="0AB2DB90" w14:textId="77777777" w:rsidR="00DD45D6" w:rsidRDefault="00285655">
      <w:r>
        <w:rPr>
          <w:rFonts w:eastAsia="Times New Roman"/>
        </w:rPr>
        <w:t>The same design characteristics create a distinctive attack surface. Centralised control can improve consistency and visibility, but controller compromise or unavailability can affect a much larger part of the network than compromise of a single forwarding device. Southbound control channels, controller applications, northbound interfaces and policy modules become security-sensitive software components. Malicious or buggy applications can therefore alter forwarding in ways that are difficult to distinguish from legitimate automation, and resource-exhaustion attacks can exploit the controller's role in handling previously unseen flows. Ahmad et al. (2015) and Correa Chica et al. (2020) both demonstrate that SDN security must be analysed across control, data and application planes rather than through conventional packet-filtering models alone.</w:t>
      </w:r>
    </w:p>
    <w:p w14:paraId="0A9DD13F" w14:textId="77777777" w:rsidR="00DD45D6" w:rsidRDefault="00285655">
      <w:r>
        <w:rPr>
          <w:rFonts w:eastAsia="Times New Roman"/>
        </w:rPr>
        <w:t>This creates an important distinction between using SDN as a security substrate and securing SDN itself. The first problem concerns whether programmable control improves detection, containment or policy deployment; the second concerns authentication, authorisation, isolation, fault tolerance and verification of the programmable infrastructure. Research on SDN-based cyber defence includes intrusion response, moving-target mechanisms, DDoS mitigation, access control and security orchestration, but evaluations are frequently conducted in emulated or comparatively small environments (Yürekten &amp; Demirci, 2021). Such work establishes feasibility and sometimes performance advantages, but it does not automatically demonstrate resilience under enterprise-scale failure, multi-controller inconsistency or adversarial manipulation of telemetry.</w:t>
      </w:r>
    </w:p>
    <w:p w14:paraId="63711E9F" w14:textId="77777777" w:rsidR="00DD45D6" w:rsidRDefault="00285655">
      <w:r>
        <w:rPr>
          <w:rFonts w:eastAsia="Times New Roman"/>
        </w:rPr>
        <w:t xml:space="preserve">Policy correctness is particularly important because programmability increases both the speed of legitimate change and the speed at which an error can propagate. FLOWGUARD illustrates this problem by detecting and resolving conflicts between firewall policies and SDN forwarding behaviour (Hu et al., 2014). Its lasting architectural </w:t>
      </w:r>
      <w:r>
        <w:rPr>
          <w:rFonts w:eastAsia="Times New Roman"/>
        </w:rPr>
        <w:lastRenderedPageBreak/>
        <w:t>lesson is broader than the specific prototype: centralised policy does not guarantee correct policy. Network intent, access policy and forwarding state must be checked for contradictions, shadowing, path changes and unexpected interactions. When zero trust, segmentation and SDN are combined, the network becomes capable of highly granular enforcement, but the number of policy objects and dependencies can grow faster than human operators can safely reason about them.</w:t>
      </w:r>
    </w:p>
    <w:p w14:paraId="05B0B792" w14:textId="77777777" w:rsidR="00DD45D6" w:rsidRDefault="00285655">
      <w:pPr>
        <w:pStyle w:val="Heading2"/>
      </w:pPr>
      <w:r>
        <w:t>4.2 Network Function Virtualisation and Security Service Chaining</w:t>
      </w:r>
    </w:p>
    <w:p w14:paraId="677F0E8A" w14:textId="77777777" w:rsidR="00DD45D6" w:rsidRDefault="00285655">
      <w:pPr>
        <w:ind w:firstLine="0"/>
      </w:pPr>
      <w:r>
        <w:rPr>
          <w:rFonts w:eastAsia="Times New Roman"/>
        </w:rPr>
        <w:t>NFV moves network functions from dedicated hardware towards software running on general-purpose virtualised infrastructure. The model supports elastic deployment and chaining of firewalls, intrusion detection, load balancing and other functions, potentially allowing security services to follow application demand rather than remain fixed to physical appliances. Early NFV research recognised both the operational flexibility and the engineering challenges created by performance, placement, orchestration and reliability requirements (Han et al., 2015; Mijumbi et al., 2016). For cyber defence, the key advantage is composability: traffic can be directed through a sequence of controls that changes according to workload, risk or incident state.</w:t>
      </w:r>
    </w:p>
    <w:p w14:paraId="105DAE4F" w14:textId="77777777" w:rsidR="00DD45D6" w:rsidRDefault="00285655">
      <w:r>
        <w:rPr>
          <w:rFonts w:eastAsia="Times New Roman"/>
        </w:rPr>
        <w:t>Yet virtualisation changes the trust boundary around each security function. A virtual firewall is only as trustworthy as its image provenance, host isolation, virtual switching, management interfaces, orchestration system and surrounding cloud infrastructure. Security service chaining can also create ordering dependencies: a function that assumes traffic has already been authenticated, normalised or decrypted may behave incorrectly if the chain is misconfigured. The orchestration layer consequently becomes part of the security architecture rather than a neutral administrative convenience. This resembles the zero trust dependency on policy engines and the service-mesh dependency on control planes: architectural agility is achieved by introducing higher-level software that must itself be secured and validated.</w:t>
      </w:r>
    </w:p>
    <w:p w14:paraId="74F4CEEF" w14:textId="77777777" w:rsidR="00DD45D6" w:rsidRDefault="00285655">
      <w:r>
        <w:rPr>
          <w:rFonts w:eastAsia="Times New Roman"/>
        </w:rPr>
        <w:t>Performance trade-offs also matter. Hardware appliances historically offered predictable throughput and specialised acceleration, whereas virtual functions compete for compute, memory and I/O resources and may be migrated or rescheduled. Improvements in acceleration and cloud infrastructure have narrowed this difference, but a security architecture should not assume that logically elegant service chains remain effective during overload. DDoS conditions are a useful stress case: dynamic instantiation of mitigation functions can increase capacity, but orchestration delay and shared-resource exhaustion can degrade response precisely when demand peaks. NFV should therefore be viewed as an enabling substrate whose security outcome depends on resource engineering, isolation and trustworthy orchestration rather than on virtualisation alone.</w:t>
      </w:r>
    </w:p>
    <w:p w14:paraId="6EB3968A" w14:textId="77777777" w:rsidR="00DD45D6" w:rsidRDefault="00285655">
      <w:pPr>
        <w:pStyle w:val="Heading2"/>
      </w:pPr>
      <w:r>
        <w:t>4.3 Control-Plane Concentration, Resilience and Verifiable Policy</w:t>
      </w:r>
    </w:p>
    <w:p w14:paraId="7AA325BD" w14:textId="77777777" w:rsidR="00DD45D6" w:rsidRDefault="00285655">
      <w:pPr>
        <w:ind w:firstLine="0"/>
      </w:pPr>
      <w:r>
        <w:rPr>
          <w:rFonts w:eastAsia="Times New Roman"/>
        </w:rPr>
        <w:t>SDN and NFV reveal a recurring tension in modern security architectures. Centralised or logically centralised policy improves global consistency, automation and observability, while distributed enforcement provides scale and can contain local failures. Excessive concentration can turn the controller, orchestrator or policy service into a high-value target; excessive distribution can produce inconsistent state and slow coordinated response. The design problem is not to choose centralisation or distribution in the abstract, but to decide which information and decisions require global coordination and which enforcement actions should remain locally survivable.</w:t>
      </w:r>
    </w:p>
    <w:p w14:paraId="5FEBBC5E" w14:textId="77777777" w:rsidR="00DD45D6" w:rsidRDefault="00285655">
      <w:r>
        <w:rPr>
          <w:rFonts w:eastAsia="Times New Roman"/>
        </w:rPr>
        <w:t>This distinction is especially relevant when programmable networking is used to implement zero trust. Identity and context can be evaluated centrally, while enforcement occurs at gateways, switches, hosts or service proxies. If enforcement devices can continue safely under temporary control-plane loss, availability improves; if they fail open, trust boundaries weaken; if they fail closed, business continuity may be affected. These behaviours are often treated as implementation details, yet they are architectural security properties. Rigorous evaluation should therefore include degraded modes, stale policy, controller partition and rollback, not only normal-state throughput and attack-detection metrics.</w:t>
      </w:r>
    </w:p>
    <w:p w14:paraId="71A653F6" w14:textId="77777777" w:rsidR="00DD45D6" w:rsidRDefault="00285655">
      <w:r>
        <w:rPr>
          <w:rFonts w:eastAsia="Times New Roman"/>
        </w:rPr>
        <w:lastRenderedPageBreak/>
        <w:t>Table 2 captures the dual security role of programmable networking. The evidence supports SDN and NFV as mechanisms for rapid policy deployment and traffic steering, but it also shows that programmability expands the trusted computing base and increases the importance of software assurance, access control, policy verification and fault tolerance. The implication is that modern cyber defence should treat the management and control planes as protected production assets with independent monitoring and constrained privileges, rather than assuming that the network fabric merely executes trustworthy intent.</w:t>
      </w:r>
    </w:p>
    <w:p w14:paraId="14F00133" w14:textId="77777777" w:rsidR="00DD45D6" w:rsidRDefault="00285655">
      <w:pPr>
        <w:keepNext/>
        <w:spacing w:before="140" w:after="100"/>
      </w:pPr>
      <w:r>
        <w:rPr>
          <w:rFonts w:eastAsia="Times New Roman"/>
          <w:b/>
          <w:sz w:val="21"/>
        </w:rPr>
        <w:t>Table 2. Security benefits and failure surfaces introduced by programmable networking</w:t>
      </w:r>
    </w:p>
    <w:tbl>
      <w:tblPr>
        <w:tblStyle w:val="TableGrid"/>
        <w:tblW w:w="0" w:type="auto"/>
        <w:jc w:val="center"/>
        <w:tblLayout w:type="fixed"/>
        <w:tblLook w:val="04A0" w:firstRow="1" w:lastRow="0" w:firstColumn="1" w:lastColumn="0" w:noHBand="0" w:noVBand="1"/>
      </w:tblPr>
      <w:tblGrid>
        <w:gridCol w:w="1296"/>
        <w:gridCol w:w="1728"/>
        <w:gridCol w:w="1728"/>
        <w:gridCol w:w="2088"/>
        <w:gridCol w:w="1944"/>
        <w:gridCol w:w="1584"/>
      </w:tblGrid>
      <w:tr w:rsidR="00DD45D6" w14:paraId="1271B628" w14:textId="77777777">
        <w:trPr>
          <w:tblHeader/>
          <w:jc w:val="center"/>
        </w:trPr>
        <w:tc>
          <w:tcPr>
            <w:tcW w:w="1296" w:type="dxa"/>
            <w:shd w:val="clear" w:color="auto" w:fill="D9E1F2"/>
            <w:tcMar>
              <w:top w:w="85" w:type="dxa"/>
              <w:left w:w="85" w:type="dxa"/>
              <w:bottom w:w="85" w:type="dxa"/>
              <w:right w:w="85" w:type="dxa"/>
            </w:tcMar>
            <w:vAlign w:val="center"/>
          </w:tcPr>
          <w:p w14:paraId="566ACCAE" w14:textId="77777777" w:rsidR="00DD45D6" w:rsidRDefault="00285655">
            <w:pPr>
              <w:spacing w:after="0"/>
              <w:jc w:val="center"/>
            </w:pPr>
            <w:r>
              <w:rPr>
                <w:rFonts w:eastAsia="Times New Roman"/>
                <w:b/>
                <w:sz w:val="15"/>
              </w:rPr>
              <w:t>Technology or control mechanism</w:t>
            </w:r>
          </w:p>
        </w:tc>
        <w:tc>
          <w:tcPr>
            <w:tcW w:w="1728" w:type="dxa"/>
            <w:shd w:val="clear" w:color="auto" w:fill="D9E1F2"/>
            <w:tcMar>
              <w:top w:w="85" w:type="dxa"/>
              <w:left w:w="85" w:type="dxa"/>
              <w:bottom w:w="85" w:type="dxa"/>
              <w:right w:w="85" w:type="dxa"/>
            </w:tcMar>
            <w:vAlign w:val="center"/>
          </w:tcPr>
          <w:p w14:paraId="5A3B102B" w14:textId="77777777" w:rsidR="00DD45D6" w:rsidRDefault="00285655">
            <w:pPr>
              <w:spacing w:after="0"/>
              <w:jc w:val="center"/>
            </w:pPr>
            <w:r>
              <w:rPr>
                <w:rFonts w:eastAsia="Times New Roman"/>
                <w:b/>
                <w:sz w:val="15"/>
              </w:rPr>
              <w:t>Defence capability enabled</w:t>
            </w:r>
          </w:p>
        </w:tc>
        <w:tc>
          <w:tcPr>
            <w:tcW w:w="1728" w:type="dxa"/>
            <w:shd w:val="clear" w:color="auto" w:fill="D9E1F2"/>
            <w:tcMar>
              <w:top w:w="85" w:type="dxa"/>
              <w:left w:w="85" w:type="dxa"/>
              <w:bottom w:w="85" w:type="dxa"/>
              <w:right w:w="85" w:type="dxa"/>
            </w:tcMar>
            <w:vAlign w:val="center"/>
          </w:tcPr>
          <w:p w14:paraId="26E81D1C" w14:textId="77777777" w:rsidR="00DD45D6" w:rsidRDefault="00285655">
            <w:pPr>
              <w:spacing w:after="0"/>
              <w:jc w:val="center"/>
            </w:pPr>
            <w:r>
              <w:rPr>
                <w:rFonts w:eastAsia="Times New Roman"/>
                <w:b/>
                <w:sz w:val="15"/>
              </w:rPr>
              <w:t>New attack or failure surface</w:t>
            </w:r>
          </w:p>
        </w:tc>
        <w:tc>
          <w:tcPr>
            <w:tcW w:w="2088" w:type="dxa"/>
            <w:shd w:val="clear" w:color="auto" w:fill="D9E1F2"/>
            <w:tcMar>
              <w:top w:w="85" w:type="dxa"/>
              <w:left w:w="85" w:type="dxa"/>
              <w:bottom w:w="85" w:type="dxa"/>
              <w:right w:w="85" w:type="dxa"/>
            </w:tcMar>
            <w:vAlign w:val="center"/>
          </w:tcPr>
          <w:p w14:paraId="31B18CB2" w14:textId="77777777" w:rsidR="00DD45D6" w:rsidRDefault="00285655">
            <w:pPr>
              <w:spacing w:after="0"/>
              <w:jc w:val="center"/>
            </w:pPr>
            <w:r>
              <w:rPr>
                <w:rFonts w:eastAsia="Times New Roman"/>
                <w:b/>
                <w:sz w:val="15"/>
              </w:rPr>
              <w:t>Typical evidence pattern</w:t>
            </w:r>
          </w:p>
        </w:tc>
        <w:tc>
          <w:tcPr>
            <w:tcW w:w="1944" w:type="dxa"/>
            <w:shd w:val="clear" w:color="auto" w:fill="D9E1F2"/>
            <w:tcMar>
              <w:top w:w="85" w:type="dxa"/>
              <w:left w:w="85" w:type="dxa"/>
              <w:bottom w:w="85" w:type="dxa"/>
              <w:right w:w="85" w:type="dxa"/>
            </w:tcMar>
            <w:vAlign w:val="center"/>
          </w:tcPr>
          <w:p w14:paraId="036F541F" w14:textId="77777777" w:rsidR="00DD45D6" w:rsidRDefault="00285655">
            <w:pPr>
              <w:spacing w:after="0"/>
              <w:jc w:val="center"/>
            </w:pPr>
            <w:r>
              <w:rPr>
                <w:rFonts w:eastAsia="Times New Roman"/>
                <w:b/>
                <w:sz w:val="15"/>
              </w:rPr>
              <w:t>Design implication</w:t>
            </w:r>
          </w:p>
        </w:tc>
        <w:tc>
          <w:tcPr>
            <w:tcW w:w="1584" w:type="dxa"/>
            <w:shd w:val="clear" w:color="auto" w:fill="D9E1F2"/>
            <w:tcMar>
              <w:top w:w="85" w:type="dxa"/>
              <w:left w:w="85" w:type="dxa"/>
              <w:bottom w:w="85" w:type="dxa"/>
              <w:right w:w="85" w:type="dxa"/>
            </w:tcMar>
            <w:vAlign w:val="center"/>
          </w:tcPr>
          <w:p w14:paraId="60FAD95D" w14:textId="77777777" w:rsidR="00DD45D6" w:rsidRDefault="00285655">
            <w:pPr>
              <w:spacing w:after="0"/>
              <w:jc w:val="center"/>
            </w:pPr>
            <w:r>
              <w:rPr>
                <w:rFonts w:eastAsia="Times New Roman"/>
                <w:b/>
                <w:sz w:val="15"/>
              </w:rPr>
              <w:t>Supporting references</w:t>
            </w:r>
          </w:p>
        </w:tc>
      </w:tr>
      <w:tr w:rsidR="00DD45D6" w14:paraId="75084ACA" w14:textId="77777777">
        <w:trPr>
          <w:cantSplit/>
          <w:jc w:val="center"/>
        </w:trPr>
        <w:tc>
          <w:tcPr>
            <w:tcW w:w="1296" w:type="dxa"/>
            <w:tcMar>
              <w:top w:w="80" w:type="dxa"/>
              <w:left w:w="85" w:type="dxa"/>
              <w:bottom w:w="80" w:type="dxa"/>
              <w:right w:w="85" w:type="dxa"/>
            </w:tcMar>
            <w:vAlign w:val="center"/>
          </w:tcPr>
          <w:p w14:paraId="2F65C931" w14:textId="77777777" w:rsidR="00DD45D6" w:rsidRDefault="00285655">
            <w:pPr>
              <w:spacing w:after="0"/>
              <w:jc w:val="left"/>
            </w:pPr>
            <w:r>
              <w:rPr>
                <w:rFonts w:eastAsia="Times New Roman"/>
                <w:sz w:val="15"/>
              </w:rPr>
              <w:t>SDN control abstraction</w:t>
            </w:r>
          </w:p>
        </w:tc>
        <w:tc>
          <w:tcPr>
            <w:tcW w:w="1728" w:type="dxa"/>
            <w:tcMar>
              <w:top w:w="80" w:type="dxa"/>
              <w:left w:w="85" w:type="dxa"/>
              <w:bottom w:w="80" w:type="dxa"/>
              <w:right w:w="85" w:type="dxa"/>
            </w:tcMar>
            <w:vAlign w:val="center"/>
          </w:tcPr>
          <w:p w14:paraId="6EE41A2A" w14:textId="77777777" w:rsidR="00DD45D6" w:rsidRDefault="00285655">
            <w:pPr>
              <w:spacing w:after="0"/>
              <w:jc w:val="left"/>
            </w:pPr>
            <w:r>
              <w:rPr>
                <w:rFonts w:eastAsia="Times New Roman"/>
                <w:sz w:val="15"/>
              </w:rPr>
              <w:t>Network-wide visibility, dynamic flow control, rapid quarantine and traffic steering.</w:t>
            </w:r>
          </w:p>
        </w:tc>
        <w:tc>
          <w:tcPr>
            <w:tcW w:w="1728" w:type="dxa"/>
            <w:tcMar>
              <w:top w:w="80" w:type="dxa"/>
              <w:left w:w="85" w:type="dxa"/>
              <w:bottom w:w="80" w:type="dxa"/>
              <w:right w:w="85" w:type="dxa"/>
            </w:tcMar>
            <w:vAlign w:val="center"/>
          </w:tcPr>
          <w:p w14:paraId="3FCCB465" w14:textId="77777777" w:rsidR="00DD45D6" w:rsidRDefault="00285655">
            <w:pPr>
              <w:spacing w:after="0"/>
              <w:jc w:val="left"/>
            </w:pPr>
            <w:r>
              <w:rPr>
                <w:rFonts w:eastAsia="Times New Roman"/>
                <w:sz w:val="15"/>
              </w:rPr>
              <w:t>Controller compromise, control-channel abuse, malicious applications and resource exhaustion.</w:t>
            </w:r>
          </w:p>
        </w:tc>
        <w:tc>
          <w:tcPr>
            <w:tcW w:w="2088" w:type="dxa"/>
            <w:tcMar>
              <w:top w:w="80" w:type="dxa"/>
              <w:left w:w="85" w:type="dxa"/>
              <w:bottom w:w="80" w:type="dxa"/>
              <w:right w:w="85" w:type="dxa"/>
            </w:tcMar>
            <w:vAlign w:val="center"/>
          </w:tcPr>
          <w:p w14:paraId="2B315957" w14:textId="77777777" w:rsidR="00DD45D6" w:rsidRDefault="00285655">
            <w:pPr>
              <w:spacing w:after="0"/>
              <w:jc w:val="left"/>
            </w:pPr>
            <w:r>
              <w:rPr>
                <w:rFonts w:eastAsia="Times New Roman"/>
                <w:sz w:val="15"/>
              </w:rPr>
              <w:t>Mature architecture and survey literature; many defence evaluations remain emulated or testbed based.</w:t>
            </w:r>
          </w:p>
        </w:tc>
        <w:tc>
          <w:tcPr>
            <w:tcW w:w="1944" w:type="dxa"/>
            <w:tcMar>
              <w:top w:w="80" w:type="dxa"/>
              <w:left w:w="85" w:type="dxa"/>
              <w:bottom w:w="80" w:type="dxa"/>
              <w:right w:w="85" w:type="dxa"/>
            </w:tcMar>
            <w:vAlign w:val="center"/>
          </w:tcPr>
          <w:p w14:paraId="1F3D1F7F" w14:textId="77777777" w:rsidR="00DD45D6" w:rsidRDefault="00285655">
            <w:pPr>
              <w:spacing w:after="0"/>
              <w:jc w:val="left"/>
            </w:pPr>
            <w:r>
              <w:rPr>
                <w:rFonts w:eastAsia="Times New Roman"/>
                <w:sz w:val="15"/>
              </w:rPr>
              <w:t>Protect controller identity, availability and application privilege as critical production assets.</w:t>
            </w:r>
          </w:p>
        </w:tc>
        <w:tc>
          <w:tcPr>
            <w:tcW w:w="1584" w:type="dxa"/>
            <w:tcMar>
              <w:top w:w="80" w:type="dxa"/>
              <w:left w:w="85" w:type="dxa"/>
              <w:bottom w:w="80" w:type="dxa"/>
              <w:right w:w="85" w:type="dxa"/>
            </w:tcMar>
            <w:vAlign w:val="center"/>
          </w:tcPr>
          <w:p w14:paraId="06EE0A28" w14:textId="77777777" w:rsidR="00DD45D6" w:rsidRDefault="00285655">
            <w:pPr>
              <w:spacing w:after="0"/>
              <w:jc w:val="left"/>
            </w:pPr>
            <w:r>
              <w:rPr>
                <w:rFonts w:eastAsia="Times New Roman"/>
                <w:sz w:val="15"/>
              </w:rPr>
              <w:t>(Ahmad et al., 2015; Kreutz et al., 2015; Scott-Hayward et al., 2016)</w:t>
            </w:r>
          </w:p>
        </w:tc>
      </w:tr>
      <w:tr w:rsidR="00DD45D6" w14:paraId="1069DCF0" w14:textId="77777777">
        <w:trPr>
          <w:cantSplit/>
          <w:jc w:val="center"/>
        </w:trPr>
        <w:tc>
          <w:tcPr>
            <w:tcW w:w="1296" w:type="dxa"/>
            <w:tcMar>
              <w:top w:w="80" w:type="dxa"/>
              <w:left w:w="85" w:type="dxa"/>
              <w:bottom w:w="80" w:type="dxa"/>
              <w:right w:w="85" w:type="dxa"/>
            </w:tcMar>
            <w:vAlign w:val="center"/>
          </w:tcPr>
          <w:p w14:paraId="5A2A124E" w14:textId="77777777" w:rsidR="00DD45D6" w:rsidRDefault="00285655">
            <w:pPr>
              <w:spacing w:after="0"/>
              <w:jc w:val="left"/>
            </w:pPr>
            <w:r>
              <w:rPr>
                <w:rFonts w:eastAsia="Times New Roman"/>
                <w:sz w:val="15"/>
              </w:rPr>
              <w:t>SDN-enabled cyber defence</w:t>
            </w:r>
          </w:p>
        </w:tc>
        <w:tc>
          <w:tcPr>
            <w:tcW w:w="1728" w:type="dxa"/>
            <w:tcMar>
              <w:top w:w="80" w:type="dxa"/>
              <w:left w:w="85" w:type="dxa"/>
              <w:bottom w:w="80" w:type="dxa"/>
              <w:right w:w="85" w:type="dxa"/>
            </w:tcMar>
            <w:vAlign w:val="center"/>
          </w:tcPr>
          <w:p w14:paraId="1B0D1BF8" w14:textId="77777777" w:rsidR="00DD45D6" w:rsidRDefault="00285655">
            <w:pPr>
              <w:spacing w:after="0"/>
              <w:jc w:val="left"/>
            </w:pPr>
            <w:r>
              <w:rPr>
                <w:rFonts w:eastAsia="Times New Roman"/>
                <w:sz w:val="15"/>
              </w:rPr>
              <w:t>Automated filtering, segmentation, DDoS response, moving-target actions and coordinated policy.</w:t>
            </w:r>
          </w:p>
        </w:tc>
        <w:tc>
          <w:tcPr>
            <w:tcW w:w="1728" w:type="dxa"/>
            <w:tcMar>
              <w:top w:w="80" w:type="dxa"/>
              <w:left w:w="85" w:type="dxa"/>
              <w:bottom w:w="80" w:type="dxa"/>
              <w:right w:w="85" w:type="dxa"/>
            </w:tcMar>
            <w:vAlign w:val="center"/>
          </w:tcPr>
          <w:p w14:paraId="60F6C691" w14:textId="77777777" w:rsidR="00DD45D6" w:rsidRDefault="00285655">
            <w:pPr>
              <w:spacing w:after="0"/>
              <w:jc w:val="left"/>
            </w:pPr>
            <w:r>
              <w:rPr>
                <w:rFonts w:eastAsia="Times New Roman"/>
                <w:sz w:val="15"/>
              </w:rPr>
              <w:t>Incorrect or compromised telemetry can trigger large-scale erroneous enforcement.</w:t>
            </w:r>
          </w:p>
        </w:tc>
        <w:tc>
          <w:tcPr>
            <w:tcW w:w="2088" w:type="dxa"/>
            <w:tcMar>
              <w:top w:w="80" w:type="dxa"/>
              <w:left w:w="85" w:type="dxa"/>
              <w:bottom w:w="80" w:type="dxa"/>
              <w:right w:w="85" w:type="dxa"/>
            </w:tcMar>
            <w:vAlign w:val="center"/>
          </w:tcPr>
          <w:p w14:paraId="762CA1D5" w14:textId="77777777" w:rsidR="00DD45D6" w:rsidRDefault="00285655">
            <w:pPr>
              <w:spacing w:after="0"/>
              <w:jc w:val="left"/>
            </w:pPr>
            <w:r>
              <w:rPr>
                <w:rFonts w:eastAsia="Times New Roman"/>
                <w:sz w:val="15"/>
              </w:rPr>
              <w:t>Broad proof-of-concept literature with heterogeneous metrics and limited enterprise-scale longitudinal validation.</w:t>
            </w:r>
          </w:p>
        </w:tc>
        <w:tc>
          <w:tcPr>
            <w:tcW w:w="1944" w:type="dxa"/>
            <w:tcMar>
              <w:top w:w="80" w:type="dxa"/>
              <w:left w:w="85" w:type="dxa"/>
              <w:bottom w:w="80" w:type="dxa"/>
              <w:right w:w="85" w:type="dxa"/>
            </w:tcMar>
            <w:vAlign w:val="center"/>
          </w:tcPr>
          <w:p w14:paraId="29495D92" w14:textId="77777777" w:rsidR="00DD45D6" w:rsidRDefault="00285655">
            <w:pPr>
              <w:spacing w:after="0"/>
              <w:jc w:val="left"/>
            </w:pPr>
            <w:r>
              <w:rPr>
                <w:rFonts w:eastAsia="Times New Roman"/>
                <w:sz w:val="15"/>
              </w:rPr>
              <w:t>Bound automation by confidence, scope, reversibility and safe degraded modes.</w:t>
            </w:r>
          </w:p>
        </w:tc>
        <w:tc>
          <w:tcPr>
            <w:tcW w:w="1584" w:type="dxa"/>
            <w:tcMar>
              <w:top w:w="80" w:type="dxa"/>
              <w:left w:w="85" w:type="dxa"/>
              <w:bottom w:w="80" w:type="dxa"/>
              <w:right w:w="85" w:type="dxa"/>
            </w:tcMar>
            <w:vAlign w:val="center"/>
          </w:tcPr>
          <w:p w14:paraId="7E9760CF" w14:textId="77777777" w:rsidR="00DD45D6" w:rsidRDefault="00285655">
            <w:pPr>
              <w:spacing w:after="0"/>
              <w:jc w:val="left"/>
            </w:pPr>
            <w:r>
              <w:rPr>
                <w:rFonts w:eastAsia="Times New Roman"/>
                <w:sz w:val="15"/>
              </w:rPr>
              <w:t>(Correa Chica et al., 2020; Yürekten &amp; Demirci, 2021)</w:t>
            </w:r>
          </w:p>
        </w:tc>
      </w:tr>
      <w:tr w:rsidR="00DD45D6" w14:paraId="6728F400" w14:textId="77777777">
        <w:trPr>
          <w:cantSplit/>
          <w:jc w:val="center"/>
        </w:trPr>
        <w:tc>
          <w:tcPr>
            <w:tcW w:w="1296" w:type="dxa"/>
            <w:tcMar>
              <w:top w:w="80" w:type="dxa"/>
              <w:left w:w="85" w:type="dxa"/>
              <w:bottom w:w="80" w:type="dxa"/>
              <w:right w:w="85" w:type="dxa"/>
            </w:tcMar>
            <w:vAlign w:val="center"/>
          </w:tcPr>
          <w:p w14:paraId="484DA0DA" w14:textId="77777777" w:rsidR="00DD45D6" w:rsidRDefault="00285655">
            <w:pPr>
              <w:spacing w:after="0"/>
              <w:jc w:val="left"/>
            </w:pPr>
            <w:r>
              <w:rPr>
                <w:rFonts w:eastAsia="Times New Roman"/>
                <w:sz w:val="15"/>
              </w:rPr>
              <w:t>NFV and security service chaining</w:t>
            </w:r>
          </w:p>
        </w:tc>
        <w:tc>
          <w:tcPr>
            <w:tcW w:w="1728" w:type="dxa"/>
            <w:tcMar>
              <w:top w:w="80" w:type="dxa"/>
              <w:left w:w="85" w:type="dxa"/>
              <w:bottom w:w="80" w:type="dxa"/>
              <w:right w:w="85" w:type="dxa"/>
            </w:tcMar>
            <w:vAlign w:val="center"/>
          </w:tcPr>
          <w:p w14:paraId="6520B7D7" w14:textId="77777777" w:rsidR="00DD45D6" w:rsidRDefault="00285655">
            <w:pPr>
              <w:spacing w:after="0"/>
              <w:jc w:val="left"/>
            </w:pPr>
            <w:r>
              <w:rPr>
                <w:rFonts w:eastAsia="Times New Roman"/>
                <w:sz w:val="15"/>
              </w:rPr>
              <w:t>Elastic instantiation and programmable chaining of firewalls, IDS and related functions.</w:t>
            </w:r>
          </w:p>
        </w:tc>
        <w:tc>
          <w:tcPr>
            <w:tcW w:w="1728" w:type="dxa"/>
            <w:tcMar>
              <w:top w:w="80" w:type="dxa"/>
              <w:left w:w="85" w:type="dxa"/>
              <w:bottom w:w="80" w:type="dxa"/>
              <w:right w:w="85" w:type="dxa"/>
            </w:tcMar>
            <w:vAlign w:val="center"/>
          </w:tcPr>
          <w:p w14:paraId="33399B7B" w14:textId="77777777" w:rsidR="00DD45D6" w:rsidRDefault="00285655">
            <w:pPr>
              <w:spacing w:after="0"/>
              <w:jc w:val="left"/>
            </w:pPr>
            <w:r>
              <w:rPr>
                <w:rFonts w:eastAsia="Times New Roman"/>
                <w:sz w:val="15"/>
              </w:rPr>
              <w:t>Orchestrator compromise, virtualisation-layer failure, image provenance risk and chain-order errors.</w:t>
            </w:r>
          </w:p>
        </w:tc>
        <w:tc>
          <w:tcPr>
            <w:tcW w:w="2088" w:type="dxa"/>
            <w:tcMar>
              <w:top w:w="80" w:type="dxa"/>
              <w:left w:w="85" w:type="dxa"/>
              <w:bottom w:w="80" w:type="dxa"/>
              <w:right w:w="85" w:type="dxa"/>
            </w:tcMar>
            <w:vAlign w:val="center"/>
          </w:tcPr>
          <w:p w14:paraId="440E987F" w14:textId="77777777" w:rsidR="00DD45D6" w:rsidRDefault="00285655">
            <w:pPr>
              <w:spacing w:after="0"/>
              <w:jc w:val="left"/>
            </w:pPr>
            <w:r>
              <w:rPr>
                <w:rFonts w:eastAsia="Times New Roman"/>
                <w:sz w:val="15"/>
              </w:rPr>
              <w:t>Strong systems research on flexibility and placement; security outcome evidence depends heavily on deployment context.</w:t>
            </w:r>
          </w:p>
        </w:tc>
        <w:tc>
          <w:tcPr>
            <w:tcW w:w="1944" w:type="dxa"/>
            <w:tcMar>
              <w:top w:w="80" w:type="dxa"/>
              <w:left w:w="85" w:type="dxa"/>
              <w:bottom w:w="80" w:type="dxa"/>
              <w:right w:w="85" w:type="dxa"/>
            </w:tcMar>
            <w:vAlign w:val="center"/>
          </w:tcPr>
          <w:p w14:paraId="7EFD1FAB" w14:textId="77777777" w:rsidR="00DD45D6" w:rsidRDefault="00285655">
            <w:pPr>
              <w:spacing w:after="0"/>
              <w:jc w:val="left"/>
            </w:pPr>
            <w:r>
              <w:rPr>
                <w:rFonts w:eastAsia="Times New Roman"/>
                <w:sz w:val="15"/>
              </w:rPr>
              <w:t>Treat orchestration, isolation, placement and resource capacity as part of the security claim.</w:t>
            </w:r>
          </w:p>
        </w:tc>
        <w:tc>
          <w:tcPr>
            <w:tcW w:w="1584" w:type="dxa"/>
            <w:tcMar>
              <w:top w:w="80" w:type="dxa"/>
              <w:left w:w="85" w:type="dxa"/>
              <w:bottom w:w="80" w:type="dxa"/>
              <w:right w:w="85" w:type="dxa"/>
            </w:tcMar>
            <w:vAlign w:val="center"/>
          </w:tcPr>
          <w:p w14:paraId="4FB4D3AA" w14:textId="77777777" w:rsidR="00DD45D6" w:rsidRDefault="00285655">
            <w:pPr>
              <w:spacing w:after="0"/>
              <w:jc w:val="left"/>
            </w:pPr>
            <w:r>
              <w:rPr>
                <w:rFonts w:eastAsia="Times New Roman"/>
                <w:sz w:val="15"/>
              </w:rPr>
              <w:t>(Han et al., 2015; Mijumbi et al., 2016)</w:t>
            </w:r>
          </w:p>
        </w:tc>
      </w:tr>
      <w:tr w:rsidR="00DD45D6" w14:paraId="6404EB9D" w14:textId="77777777">
        <w:trPr>
          <w:cantSplit/>
          <w:jc w:val="center"/>
        </w:trPr>
        <w:tc>
          <w:tcPr>
            <w:tcW w:w="1296" w:type="dxa"/>
            <w:tcMar>
              <w:top w:w="80" w:type="dxa"/>
              <w:left w:w="85" w:type="dxa"/>
              <w:bottom w:w="80" w:type="dxa"/>
              <w:right w:w="85" w:type="dxa"/>
            </w:tcMar>
            <w:vAlign w:val="center"/>
          </w:tcPr>
          <w:p w14:paraId="29259CA3" w14:textId="77777777" w:rsidR="00DD45D6" w:rsidRDefault="00285655">
            <w:pPr>
              <w:spacing w:after="0"/>
              <w:jc w:val="left"/>
            </w:pPr>
            <w:r>
              <w:rPr>
                <w:rFonts w:eastAsia="Times New Roman"/>
                <w:sz w:val="15"/>
              </w:rPr>
              <w:t>Policy-conflict verification</w:t>
            </w:r>
          </w:p>
        </w:tc>
        <w:tc>
          <w:tcPr>
            <w:tcW w:w="1728" w:type="dxa"/>
            <w:tcMar>
              <w:top w:w="80" w:type="dxa"/>
              <w:left w:w="85" w:type="dxa"/>
              <w:bottom w:w="80" w:type="dxa"/>
              <w:right w:w="85" w:type="dxa"/>
            </w:tcMar>
            <w:vAlign w:val="center"/>
          </w:tcPr>
          <w:p w14:paraId="22F6DDA0" w14:textId="77777777" w:rsidR="00DD45D6" w:rsidRDefault="00285655">
            <w:pPr>
              <w:spacing w:after="0"/>
              <w:jc w:val="left"/>
            </w:pPr>
            <w:r>
              <w:rPr>
                <w:rFonts w:eastAsia="Times New Roman"/>
                <w:sz w:val="15"/>
              </w:rPr>
              <w:t>Detects contradictions between intended security policy and forwarding state.</w:t>
            </w:r>
          </w:p>
        </w:tc>
        <w:tc>
          <w:tcPr>
            <w:tcW w:w="1728" w:type="dxa"/>
            <w:tcMar>
              <w:top w:w="80" w:type="dxa"/>
              <w:left w:w="85" w:type="dxa"/>
              <w:bottom w:w="80" w:type="dxa"/>
              <w:right w:w="85" w:type="dxa"/>
            </w:tcMar>
            <w:vAlign w:val="center"/>
          </w:tcPr>
          <w:p w14:paraId="73A116BE" w14:textId="77777777" w:rsidR="00DD45D6" w:rsidRDefault="00285655">
            <w:pPr>
              <w:spacing w:after="0"/>
              <w:jc w:val="left"/>
            </w:pPr>
            <w:r>
              <w:rPr>
                <w:rFonts w:eastAsia="Times New Roman"/>
                <w:sz w:val="15"/>
              </w:rPr>
              <w:t>Verification logic can be incomplete or lag highly dynamic state.</w:t>
            </w:r>
          </w:p>
        </w:tc>
        <w:tc>
          <w:tcPr>
            <w:tcW w:w="2088" w:type="dxa"/>
            <w:tcMar>
              <w:top w:w="80" w:type="dxa"/>
              <w:left w:w="85" w:type="dxa"/>
              <w:bottom w:w="80" w:type="dxa"/>
              <w:right w:w="85" w:type="dxa"/>
            </w:tcMar>
            <w:vAlign w:val="center"/>
          </w:tcPr>
          <w:p w14:paraId="05F26C24" w14:textId="77777777" w:rsidR="00DD45D6" w:rsidRDefault="00285655">
            <w:pPr>
              <w:spacing w:after="0"/>
              <w:jc w:val="left"/>
            </w:pPr>
            <w:r>
              <w:rPr>
                <w:rFonts w:eastAsia="Times New Roman"/>
                <w:sz w:val="15"/>
              </w:rPr>
              <w:t>Prototype evidence demonstrates feasibility more strongly than universal coverage.</w:t>
            </w:r>
          </w:p>
        </w:tc>
        <w:tc>
          <w:tcPr>
            <w:tcW w:w="1944" w:type="dxa"/>
            <w:tcMar>
              <w:top w:w="80" w:type="dxa"/>
              <w:left w:w="85" w:type="dxa"/>
              <w:bottom w:w="80" w:type="dxa"/>
              <w:right w:w="85" w:type="dxa"/>
            </w:tcMar>
            <w:vAlign w:val="center"/>
          </w:tcPr>
          <w:p w14:paraId="402B50F5" w14:textId="77777777" w:rsidR="00DD45D6" w:rsidRDefault="00285655">
            <w:pPr>
              <w:spacing w:after="0"/>
              <w:jc w:val="left"/>
            </w:pPr>
            <w:r>
              <w:rPr>
                <w:rFonts w:eastAsia="Times New Roman"/>
                <w:sz w:val="15"/>
              </w:rPr>
              <w:t>Test effective policy after composition, not merely each rule set in isolation.</w:t>
            </w:r>
          </w:p>
        </w:tc>
        <w:tc>
          <w:tcPr>
            <w:tcW w:w="1584" w:type="dxa"/>
            <w:tcMar>
              <w:top w:w="80" w:type="dxa"/>
              <w:left w:w="85" w:type="dxa"/>
              <w:bottom w:w="80" w:type="dxa"/>
              <w:right w:w="85" w:type="dxa"/>
            </w:tcMar>
            <w:vAlign w:val="center"/>
          </w:tcPr>
          <w:p w14:paraId="58CDA377" w14:textId="77777777" w:rsidR="00DD45D6" w:rsidRDefault="00285655">
            <w:pPr>
              <w:spacing w:after="0"/>
              <w:jc w:val="left"/>
            </w:pPr>
            <w:r>
              <w:rPr>
                <w:rFonts w:eastAsia="Times New Roman"/>
                <w:sz w:val="15"/>
              </w:rPr>
              <w:t>(Hu et al., 2014)</w:t>
            </w:r>
          </w:p>
        </w:tc>
      </w:tr>
      <w:tr w:rsidR="00DD45D6" w14:paraId="2EDE9745" w14:textId="77777777">
        <w:trPr>
          <w:cantSplit/>
          <w:jc w:val="center"/>
        </w:trPr>
        <w:tc>
          <w:tcPr>
            <w:tcW w:w="1296" w:type="dxa"/>
            <w:tcMar>
              <w:top w:w="80" w:type="dxa"/>
              <w:left w:w="85" w:type="dxa"/>
              <w:bottom w:w="80" w:type="dxa"/>
              <w:right w:w="85" w:type="dxa"/>
            </w:tcMar>
            <w:vAlign w:val="center"/>
          </w:tcPr>
          <w:p w14:paraId="2BCFC8A4" w14:textId="77777777" w:rsidR="00DD45D6" w:rsidRDefault="00285655">
            <w:pPr>
              <w:spacing w:after="0"/>
              <w:jc w:val="left"/>
            </w:pPr>
            <w:r>
              <w:rPr>
                <w:rFonts w:eastAsia="Times New Roman"/>
                <w:sz w:val="15"/>
              </w:rPr>
              <w:t>SDN-based IIoT microsegmentation</w:t>
            </w:r>
          </w:p>
        </w:tc>
        <w:tc>
          <w:tcPr>
            <w:tcW w:w="1728" w:type="dxa"/>
            <w:tcMar>
              <w:top w:w="80" w:type="dxa"/>
              <w:left w:w="85" w:type="dxa"/>
              <w:bottom w:w="80" w:type="dxa"/>
              <w:right w:w="85" w:type="dxa"/>
            </w:tcMar>
            <w:vAlign w:val="center"/>
          </w:tcPr>
          <w:p w14:paraId="5D5116EA" w14:textId="77777777" w:rsidR="00DD45D6" w:rsidRDefault="00285655">
            <w:pPr>
              <w:spacing w:after="0"/>
              <w:jc w:val="left"/>
            </w:pPr>
            <w:r>
              <w:rPr>
                <w:rFonts w:eastAsia="Times New Roman"/>
                <w:sz w:val="15"/>
              </w:rPr>
              <w:t>Dynamic isolation of devices and services with programmable enforcement.</w:t>
            </w:r>
          </w:p>
        </w:tc>
        <w:tc>
          <w:tcPr>
            <w:tcW w:w="1728" w:type="dxa"/>
            <w:tcMar>
              <w:top w:w="80" w:type="dxa"/>
              <w:left w:w="85" w:type="dxa"/>
              <w:bottom w:w="80" w:type="dxa"/>
              <w:right w:w="85" w:type="dxa"/>
            </w:tcMar>
            <w:vAlign w:val="center"/>
          </w:tcPr>
          <w:p w14:paraId="0AE8F8F6" w14:textId="77777777" w:rsidR="00DD45D6" w:rsidRDefault="00285655">
            <w:pPr>
              <w:spacing w:after="0"/>
              <w:jc w:val="left"/>
            </w:pPr>
            <w:r>
              <w:rPr>
                <w:rFonts w:eastAsia="Times New Roman"/>
                <w:sz w:val="15"/>
              </w:rPr>
              <w:t>Controller concentration, constrained device identity and operational heterogeneity.</w:t>
            </w:r>
          </w:p>
        </w:tc>
        <w:tc>
          <w:tcPr>
            <w:tcW w:w="2088" w:type="dxa"/>
            <w:tcMar>
              <w:top w:w="80" w:type="dxa"/>
              <w:left w:w="85" w:type="dxa"/>
              <w:bottom w:w="80" w:type="dxa"/>
              <w:right w:w="85" w:type="dxa"/>
            </w:tcMar>
            <w:vAlign w:val="center"/>
          </w:tcPr>
          <w:p w14:paraId="26A3A2B3" w14:textId="77777777" w:rsidR="00DD45D6" w:rsidRDefault="00285655">
            <w:pPr>
              <w:spacing w:after="0"/>
              <w:jc w:val="left"/>
            </w:pPr>
            <w:r>
              <w:rPr>
                <w:rFonts w:eastAsia="Times New Roman"/>
                <w:sz w:val="15"/>
              </w:rPr>
              <w:t>Promising prototype evidence in bounded industrial-IoT environments.</w:t>
            </w:r>
          </w:p>
        </w:tc>
        <w:tc>
          <w:tcPr>
            <w:tcW w:w="1944" w:type="dxa"/>
            <w:tcMar>
              <w:top w:w="80" w:type="dxa"/>
              <w:left w:w="85" w:type="dxa"/>
              <w:bottom w:w="80" w:type="dxa"/>
              <w:right w:w="85" w:type="dxa"/>
            </w:tcMar>
            <w:vAlign w:val="center"/>
          </w:tcPr>
          <w:p w14:paraId="6EA582BE" w14:textId="77777777" w:rsidR="00DD45D6" w:rsidRDefault="00285655">
            <w:pPr>
              <w:spacing w:after="0"/>
              <w:jc w:val="left"/>
            </w:pPr>
            <w:r>
              <w:rPr>
                <w:rFonts w:eastAsia="Times New Roman"/>
                <w:sz w:val="15"/>
              </w:rPr>
              <w:t>Retain local safe states and validate scalability before extrapolating to heterogeneous enterprises.</w:t>
            </w:r>
          </w:p>
        </w:tc>
        <w:tc>
          <w:tcPr>
            <w:tcW w:w="1584" w:type="dxa"/>
            <w:tcMar>
              <w:top w:w="80" w:type="dxa"/>
              <w:left w:w="85" w:type="dxa"/>
              <w:bottom w:w="80" w:type="dxa"/>
              <w:right w:w="85" w:type="dxa"/>
            </w:tcMar>
            <w:vAlign w:val="center"/>
          </w:tcPr>
          <w:p w14:paraId="5E95AB6F" w14:textId="77777777" w:rsidR="00DD45D6" w:rsidRDefault="00285655">
            <w:pPr>
              <w:spacing w:after="0"/>
              <w:jc w:val="left"/>
            </w:pPr>
            <w:r>
              <w:rPr>
                <w:rFonts w:eastAsia="Times New Roman"/>
                <w:sz w:val="15"/>
              </w:rPr>
              <w:t>(Zanasi et al., 2024)</w:t>
            </w:r>
          </w:p>
        </w:tc>
      </w:tr>
    </w:tbl>
    <w:p w14:paraId="2C5DF2A8" w14:textId="77777777" w:rsidR="00DD45D6" w:rsidRDefault="00285655">
      <w:pPr>
        <w:spacing w:before="80" w:after="160" w:line="240" w:lineRule="auto"/>
      </w:pPr>
      <w:r>
        <w:rPr>
          <w:rFonts w:eastAsia="Times New Roman"/>
          <w:i/>
          <w:sz w:val="17"/>
        </w:rPr>
        <w:t>Note. DDoS = distributed denial-of-service; IDS = intrusion detection system; IIoT = industrial Internet of Things; NFV = network function virtualisation; SDN = software-defined networking.</w:t>
      </w:r>
    </w:p>
    <w:p w14:paraId="2B32E08A" w14:textId="77777777" w:rsidR="00DD45D6" w:rsidRDefault="00285655">
      <w:pPr>
        <w:pStyle w:val="Heading1"/>
      </w:pPr>
      <w:r>
        <w:t>5. Cloud-Native and East-West Security</w:t>
      </w:r>
    </w:p>
    <w:p w14:paraId="59DCC8E0" w14:textId="77777777" w:rsidR="00DD45D6" w:rsidRDefault="00285655">
      <w:pPr>
        <w:pStyle w:val="Heading2"/>
        <w:ind w:firstLine="0"/>
      </w:pPr>
      <w:r>
        <w:t>5.1 Containers and Microservices Change Isolation Assumptions</w:t>
      </w:r>
    </w:p>
    <w:p w14:paraId="061322CE" w14:textId="77777777" w:rsidR="00DD45D6" w:rsidRDefault="00285655">
      <w:pPr>
        <w:ind w:firstLine="0"/>
      </w:pPr>
      <w:r>
        <w:rPr>
          <w:rFonts w:eastAsia="Times New Roman"/>
        </w:rPr>
        <w:t>Cloud-native applications decompose functionality into services that may be deployed as containers, replicated dynamically and scheduled across shared infrastructure. This model changes security architecture because the network no longer maps cleanly to a set of stable physical hosts. Container security research has documented risks spanning images, registries, runtimes, host kernels, orchestration and inter-container communication (Souppaya et al., 2017; Sultan et al., 2019). Containers can improve operational consistency and reduce some forms of dependency drift, but they are not equivalent to hardware or virtual-machine isolation. Shared-kernel designs make host compromise and privilege boundaries particularly important, while orchestration systems enlarge the management surface.</w:t>
      </w:r>
    </w:p>
    <w:p w14:paraId="272ADBC1" w14:textId="77777777" w:rsidR="00DD45D6" w:rsidRDefault="00285655">
      <w:r>
        <w:rPr>
          <w:rFonts w:eastAsia="Times New Roman"/>
        </w:rPr>
        <w:t xml:space="preserve">Combe et al. (2016) showed early in Docker's adoption that convenience and portability do not remove the need to scrutinise isolation and host-level security. Subsequent guidance has broadened the focus from the runtime to the entire container lifecycle. This has direct network implications. A compromised image can initiate malicious east-west traffic from a workload that is nominally inside an approved cluster, while a permissive cluster network can </w:t>
      </w:r>
      <w:r>
        <w:rPr>
          <w:rFonts w:eastAsia="Times New Roman"/>
        </w:rPr>
        <w:lastRenderedPageBreak/>
        <w:t>allow service discovery and lateral movement at machine speed. Static subnet-based policy is poorly matched to this environment because addresses and instances are ephemeral. Security must therefore bind policy to workload identity, namespace, service role or other stable attributes.</w:t>
      </w:r>
    </w:p>
    <w:p w14:paraId="323D4751" w14:textId="77777777" w:rsidR="00DD45D6" w:rsidRDefault="00285655">
      <w:pPr>
        <w:pStyle w:val="Heading2"/>
      </w:pPr>
      <w:r>
        <w:t>5.2 Service Mesh, Workload Identity and Application-Layer Policy</w:t>
      </w:r>
    </w:p>
    <w:p w14:paraId="73E5BDD9" w14:textId="77777777" w:rsidR="00DD45D6" w:rsidRDefault="00285655">
      <w:pPr>
        <w:ind w:firstLine="0"/>
      </w:pPr>
      <w:r>
        <w:rPr>
          <w:rFonts w:eastAsia="Times New Roman"/>
        </w:rPr>
        <w:t>Service meshes address part of this problem by interposing proxies or equivalent data-plane components between services and managing their behaviour through a control plane. NIST guidance describes the service mesh as an architecture through which authentication, authorisation, encrypted service-to-service communication and observability can be implemented consistently across microservices (Chandramouli &amp; Butcher, 2020). This can be a substantial improvement over embedding security logic independently in every service because policy and certificate management become more uniform and application teams need not reimplement transport security repeatedly.</w:t>
      </w:r>
    </w:p>
    <w:p w14:paraId="4FB11C5A" w14:textId="77777777" w:rsidR="00DD45D6" w:rsidRDefault="00285655">
      <w:r>
        <w:rPr>
          <w:rFonts w:eastAsia="Times New Roman"/>
        </w:rPr>
        <w:t>The benefit is conditional on control-plane and identity integrity. Mutual Transport Layer Security (mTLS) proves possession of service credentials, but it does not prove that the workload receiving those credentials is benign. Certificate issuance, rotation, revocation, trust anchors and workload attestation therefore become central concerns. Misconfigured authorisation can create a securely encrypted path that is nevertheless excessively permissive. Similarly, a compromised service-mesh control plane can distribute malicious policy or credentials at scale. The mesh should thus be regarded as a security-enforcement substrate whose guarantees are only as strong as workload identity, policy quality and administrative separation.</w:t>
      </w:r>
    </w:p>
    <w:p w14:paraId="58997F89" w14:textId="77777777" w:rsidR="00DD45D6" w:rsidRDefault="00285655">
      <w:r>
        <w:rPr>
          <w:rFonts w:eastAsia="Times New Roman"/>
        </w:rPr>
        <w:t>Cloud-native zero trust extends this reasoning across heterogeneous environments. NIST's multi-cloud model emphasises application and service identities, API gateways, sidecar proxies and identity-tier and network-tier policies rather than dependence on IP addresses alone (Chandramouli &amp; Butcher, 2023). This is well aligned with dynamic workloads, where location may change without changing the service's logical role. It also reveals why network security and application architecture increasingly overlap: a decision about whether service A may invoke service B can be enforced in the network path, but the relevant identity and authorisation semantics may be application-level.</w:t>
      </w:r>
    </w:p>
    <w:p w14:paraId="13BE989E" w14:textId="77777777" w:rsidR="00DD45D6" w:rsidRDefault="00285655">
      <w:pPr>
        <w:pStyle w:val="Heading2"/>
      </w:pPr>
      <w:r>
        <w:t>5.3 Hybrid and Multi-Cloud Complexity</w:t>
      </w:r>
    </w:p>
    <w:p w14:paraId="11F1A3D1" w14:textId="77777777" w:rsidR="00DD45D6" w:rsidRDefault="00285655">
      <w:pPr>
        <w:ind w:firstLine="0"/>
      </w:pPr>
      <w:r>
        <w:rPr>
          <w:rFonts w:eastAsia="Times New Roman"/>
        </w:rPr>
        <w:t>The strongest cloud-native designs can therefore improve granularity while increasing the number of moving parts that must remain correct. Enterprises commonly operate a mixture of on-premises systems, public-cloud services, managed Kubernetes clusters, legacy applications and third-party software-as-a-service platforms. Not all workloads support the same identity mechanisms, policy languages or telemetry. A service-mesh policy may protect one cluster while traffic to a legacy database still depends on network addresses and conventional firewall rules. Architecture must accommodate these transitional states rather than assuming an instantaneous move to identity-native controls.</w:t>
      </w:r>
    </w:p>
    <w:p w14:paraId="7E264829" w14:textId="77777777" w:rsidR="00DD45D6" w:rsidRDefault="00285655">
      <w:r>
        <w:rPr>
          <w:rFonts w:eastAsia="Times New Roman"/>
        </w:rPr>
        <w:t>Multi-cloud designs also create semantic consistency problems. The same concept of a workload, tenant, security group or service account can have different representations across platforms. Translating a high-level least-privilege intent into provider-specific controls can introduce drift. Central policy can reduce inconsistency but increases dependency on the translation and orchestration layer. Conversely, allowing each environment to evolve independently may preserve local resilience but fragment visibility. These trade-offs resemble those in SDN and SASE and reinforce a broader conclusion: the most difficult modern network-security problem is often not the absence of controls, but maintaining coherent policy across heterogeneous enforcement systems.</w:t>
      </w:r>
    </w:p>
    <w:p w14:paraId="1DAB58CA" w14:textId="77777777" w:rsidR="00DD45D6" w:rsidRDefault="00285655">
      <w:r>
        <w:rPr>
          <w:rFonts w:eastAsia="Times New Roman"/>
        </w:rPr>
        <w:t xml:space="preserve">Table 3 summarises the principal cloud-native layers and their residual risks. The available evidence supports strong isolation hygiene, service identity, encrypted service-to-service transport and fine-grained policy, but no single layer substitutes for the others. Container hardening does not control every east-west path, a service mesh does not secure a compromised host, and network segmentation cannot validate application semantics. The architectural </w:t>
      </w:r>
      <w:r>
        <w:rPr>
          <w:rFonts w:eastAsia="Times New Roman"/>
        </w:rPr>
        <w:lastRenderedPageBreak/>
        <w:t>objective is therefore complementary containment: compromise at one layer should not automatically provide unrestricted service reachability, credential authority or control-plane access.</w:t>
      </w:r>
    </w:p>
    <w:p w14:paraId="5179F5A7" w14:textId="77777777" w:rsidR="00DD45D6" w:rsidRDefault="00285655">
      <w:pPr>
        <w:keepNext/>
        <w:spacing w:before="140" w:after="100"/>
      </w:pPr>
      <w:r>
        <w:rPr>
          <w:rFonts w:eastAsia="Times New Roman"/>
          <w:b/>
          <w:sz w:val="21"/>
        </w:rPr>
        <w:t>Table 3. Cloud-native security layers, benefits and residual architectural risk</w:t>
      </w:r>
    </w:p>
    <w:tbl>
      <w:tblPr>
        <w:tblStyle w:val="TableGrid"/>
        <w:tblW w:w="0" w:type="auto"/>
        <w:jc w:val="center"/>
        <w:tblLayout w:type="fixed"/>
        <w:tblLook w:val="04A0" w:firstRow="1" w:lastRow="0" w:firstColumn="1" w:lastColumn="0" w:noHBand="0" w:noVBand="1"/>
      </w:tblPr>
      <w:tblGrid>
        <w:gridCol w:w="1296"/>
        <w:gridCol w:w="1728"/>
        <w:gridCol w:w="1728"/>
        <w:gridCol w:w="2088"/>
        <w:gridCol w:w="1944"/>
        <w:gridCol w:w="1584"/>
      </w:tblGrid>
      <w:tr w:rsidR="00DD45D6" w14:paraId="18300E89" w14:textId="77777777">
        <w:trPr>
          <w:tblHeader/>
          <w:jc w:val="center"/>
        </w:trPr>
        <w:tc>
          <w:tcPr>
            <w:tcW w:w="1296" w:type="dxa"/>
            <w:shd w:val="clear" w:color="auto" w:fill="D9E1F2"/>
            <w:tcMar>
              <w:top w:w="85" w:type="dxa"/>
              <w:left w:w="85" w:type="dxa"/>
              <w:bottom w:w="85" w:type="dxa"/>
              <w:right w:w="85" w:type="dxa"/>
            </w:tcMar>
            <w:vAlign w:val="center"/>
          </w:tcPr>
          <w:p w14:paraId="4ED1F151" w14:textId="77777777" w:rsidR="00DD45D6" w:rsidRDefault="00285655">
            <w:pPr>
              <w:spacing w:after="0"/>
              <w:jc w:val="center"/>
            </w:pPr>
            <w:r>
              <w:rPr>
                <w:rFonts w:eastAsia="Times New Roman"/>
                <w:b/>
                <w:sz w:val="15"/>
              </w:rPr>
              <w:t>Security layer</w:t>
            </w:r>
          </w:p>
        </w:tc>
        <w:tc>
          <w:tcPr>
            <w:tcW w:w="1728" w:type="dxa"/>
            <w:shd w:val="clear" w:color="auto" w:fill="D9E1F2"/>
            <w:tcMar>
              <w:top w:w="85" w:type="dxa"/>
              <w:left w:w="85" w:type="dxa"/>
              <w:bottom w:w="85" w:type="dxa"/>
              <w:right w:w="85" w:type="dxa"/>
            </w:tcMar>
            <w:vAlign w:val="center"/>
          </w:tcPr>
          <w:p w14:paraId="67238E9C" w14:textId="77777777" w:rsidR="00DD45D6" w:rsidRDefault="00285655">
            <w:pPr>
              <w:spacing w:after="0"/>
              <w:jc w:val="center"/>
            </w:pPr>
            <w:r>
              <w:rPr>
                <w:rFonts w:eastAsia="Times New Roman"/>
                <w:b/>
                <w:sz w:val="15"/>
              </w:rPr>
              <w:t>Primary risk addressed</w:t>
            </w:r>
          </w:p>
        </w:tc>
        <w:tc>
          <w:tcPr>
            <w:tcW w:w="1728" w:type="dxa"/>
            <w:shd w:val="clear" w:color="auto" w:fill="D9E1F2"/>
            <w:tcMar>
              <w:top w:w="85" w:type="dxa"/>
              <w:left w:w="85" w:type="dxa"/>
              <w:bottom w:w="85" w:type="dxa"/>
              <w:right w:w="85" w:type="dxa"/>
            </w:tcMar>
            <w:vAlign w:val="center"/>
          </w:tcPr>
          <w:p w14:paraId="5A22DCDF" w14:textId="77777777" w:rsidR="00DD45D6" w:rsidRDefault="00285655">
            <w:pPr>
              <w:spacing w:after="0"/>
              <w:jc w:val="center"/>
            </w:pPr>
            <w:r>
              <w:rPr>
                <w:rFonts w:eastAsia="Times New Roman"/>
                <w:b/>
                <w:sz w:val="15"/>
              </w:rPr>
              <w:t>Architectural control</w:t>
            </w:r>
          </w:p>
        </w:tc>
        <w:tc>
          <w:tcPr>
            <w:tcW w:w="2088" w:type="dxa"/>
            <w:shd w:val="clear" w:color="auto" w:fill="D9E1F2"/>
            <w:tcMar>
              <w:top w:w="85" w:type="dxa"/>
              <w:left w:w="85" w:type="dxa"/>
              <w:bottom w:w="85" w:type="dxa"/>
              <w:right w:w="85" w:type="dxa"/>
            </w:tcMar>
            <w:vAlign w:val="center"/>
          </w:tcPr>
          <w:p w14:paraId="06804DED" w14:textId="77777777" w:rsidR="00DD45D6" w:rsidRDefault="00285655">
            <w:pPr>
              <w:spacing w:after="0"/>
              <w:jc w:val="center"/>
            </w:pPr>
            <w:r>
              <w:rPr>
                <w:rFonts w:eastAsia="Times New Roman"/>
                <w:b/>
                <w:sz w:val="15"/>
              </w:rPr>
              <w:t>Evidence-supported benefit and residual limitation</w:t>
            </w:r>
          </w:p>
        </w:tc>
        <w:tc>
          <w:tcPr>
            <w:tcW w:w="1944" w:type="dxa"/>
            <w:shd w:val="clear" w:color="auto" w:fill="D9E1F2"/>
            <w:tcMar>
              <w:top w:w="85" w:type="dxa"/>
              <w:left w:w="85" w:type="dxa"/>
              <w:bottom w:w="85" w:type="dxa"/>
              <w:right w:w="85" w:type="dxa"/>
            </w:tcMar>
            <w:vAlign w:val="center"/>
          </w:tcPr>
          <w:p w14:paraId="033A3AB1" w14:textId="77777777" w:rsidR="00DD45D6" w:rsidRDefault="00285655">
            <w:pPr>
              <w:spacing w:after="0"/>
              <w:jc w:val="center"/>
            </w:pPr>
            <w:r>
              <w:rPr>
                <w:rFonts w:eastAsia="Times New Roman"/>
                <w:b/>
                <w:sz w:val="15"/>
              </w:rPr>
              <w:t>Evidence maturity</w:t>
            </w:r>
          </w:p>
        </w:tc>
        <w:tc>
          <w:tcPr>
            <w:tcW w:w="1584" w:type="dxa"/>
            <w:shd w:val="clear" w:color="auto" w:fill="D9E1F2"/>
            <w:tcMar>
              <w:top w:w="85" w:type="dxa"/>
              <w:left w:w="85" w:type="dxa"/>
              <w:bottom w:w="85" w:type="dxa"/>
              <w:right w:w="85" w:type="dxa"/>
            </w:tcMar>
            <w:vAlign w:val="center"/>
          </w:tcPr>
          <w:p w14:paraId="6BEA579D" w14:textId="77777777" w:rsidR="00DD45D6" w:rsidRDefault="00285655">
            <w:pPr>
              <w:spacing w:after="0"/>
              <w:jc w:val="center"/>
            </w:pPr>
            <w:r>
              <w:rPr>
                <w:rFonts w:eastAsia="Times New Roman"/>
                <w:b/>
                <w:sz w:val="15"/>
              </w:rPr>
              <w:t>Supporting references</w:t>
            </w:r>
          </w:p>
        </w:tc>
      </w:tr>
      <w:tr w:rsidR="00DD45D6" w14:paraId="0BD0585C" w14:textId="77777777">
        <w:trPr>
          <w:cantSplit/>
          <w:jc w:val="center"/>
        </w:trPr>
        <w:tc>
          <w:tcPr>
            <w:tcW w:w="1296" w:type="dxa"/>
            <w:tcMar>
              <w:top w:w="80" w:type="dxa"/>
              <w:left w:w="85" w:type="dxa"/>
              <w:bottom w:w="80" w:type="dxa"/>
              <w:right w:w="85" w:type="dxa"/>
            </w:tcMar>
            <w:vAlign w:val="center"/>
          </w:tcPr>
          <w:p w14:paraId="06AA68ED" w14:textId="77777777" w:rsidR="00DD45D6" w:rsidRDefault="00285655">
            <w:pPr>
              <w:spacing w:after="0"/>
              <w:jc w:val="left"/>
            </w:pPr>
            <w:r>
              <w:rPr>
                <w:rFonts w:eastAsia="Times New Roman"/>
                <w:sz w:val="15"/>
              </w:rPr>
              <w:t>Container host and runtime</w:t>
            </w:r>
          </w:p>
        </w:tc>
        <w:tc>
          <w:tcPr>
            <w:tcW w:w="1728" w:type="dxa"/>
            <w:tcMar>
              <w:top w:w="80" w:type="dxa"/>
              <w:left w:w="85" w:type="dxa"/>
              <w:bottom w:w="80" w:type="dxa"/>
              <w:right w:w="85" w:type="dxa"/>
            </w:tcMar>
            <w:vAlign w:val="center"/>
          </w:tcPr>
          <w:p w14:paraId="528806B1" w14:textId="77777777" w:rsidR="00DD45D6" w:rsidRDefault="00285655">
            <w:pPr>
              <w:spacing w:after="0"/>
              <w:jc w:val="left"/>
            </w:pPr>
            <w:r>
              <w:rPr>
                <w:rFonts w:eastAsia="Times New Roman"/>
                <w:sz w:val="15"/>
              </w:rPr>
              <w:t>Shared-kernel compromise, privilege escalation and unsafe runtime configuration.</w:t>
            </w:r>
          </w:p>
        </w:tc>
        <w:tc>
          <w:tcPr>
            <w:tcW w:w="1728" w:type="dxa"/>
            <w:tcMar>
              <w:top w:w="80" w:type="dxa"/>
              <w:left w:w="85" w:type="dxa"/>
              <w:bottom w:w="80" w:type="dxa"/>
              <w:right w:w="85" w:type="dxa"/>
            </w:tcMar>
            <w:vAlign w:val="center"/>
          </w:tcPr>
          <w:p w14:paraId="47758FCA" w14:textId="77777777" w:rsidR="00DD45D6" w:rsidRDefault="00285655">
            <w:pPr>
              <w:spacing w:after="0"/>
              <w:jc w:val="left"/>
            </w:pPr>
            <w:r>
              <w:rPr>
                <w:rFonts w:eastAsia="Times New Roman"/>
                <w:sz w:val="15"/>
              </w:rPr>
              <w:t>Host hardening, least privilege, runtime isolation and secure configuration.</w:t>
            </w:r>
          </w:p>
        </w:tc>
        <w:tc>
          <w:tcPr>
            <w:tcW w:w="2088" w:type="dxa"/>
            <w:tcMar>
              <w:top w:w="80" w:type="dxa"/>
              <w:left w:w="85" w:type="dxa"/>
              <w:bottom w:w="80" w:type="dxa"/>
              <w:right w:w="85" w:type="dxa"/>
            </w:tcMar>
            <w:vAlign w:val="center"/>
          </w:tcPr>
          <w:p w14:paraId="041A09E9" w14:textId="77777777" w:rsidR="00DD45D6" w:rsidRDefault="00285655">
            <w:pPr>
              <w:spacing w:after="0"/>
              <w:jc w:val="left"/>
            </w:pPr>
            <w:r>
              <w:rPr>
                <w:rFonts w:eastAsia="Times New Roman"/>
                <w:sz w:val="15"/>
              </w:rPr>
              <w:t>Reduces exposure but cannot make containers equivalent to independent hardware or virtual-machine isolation.</w:t>
            </w:r>
          </w:p>
        </w:tc>
        <w:tc>
          <w:tcPr>
            <w:tcW w:w="1944" w:type="dxa"/>
            <w:tcMar>
              <w:top w:w="80" w:type="dxa"/>
              <w:left w:w="85" w:type="dxa"/>
              <w:bottom w:w="80" w:type="dxa"/>
              <w:right w:w="85" w:type="dxa"/>
            </w:tcMar>
            <w:vAlign w:val="center"/>
          </w:tcPr>
          <w:p w14:paraId="75FAD4BB" w14:textId="77777777" w:rsidR="00DD45D6" w:rsidRDefault="00285655">
            <w:pPr>
              <w:spacing w:after="0"/>
              <w:jc w:val="left"/>
            </w:pPr>
            <w:r>
              <w:rPr>
                <w:rFonts w:eastAsia="Times New Roman"/>
                <w:sz w:val="15"/>
              </w:rPr>
              <w:t>Mature guidance and survey evidence.</w:t>
            </w:r>
          </w:p>
        </w:tc>
        <w:tc>
          <w:tcPr>
            <w:tcW w:w="1584" w:type="dxa"/>
            <w:tcMar>
              <w:top w:w="80" w:type="dxa"/>
              <w:left w:w="85" w:type="dxa"/>
              <w:bottom w:w="80" w:type="dxa"/>
              <w:right w:w="85" w:type="dxa"/>
            </w:tcMar>
            <w:vAlign w:val="center"/>
          </w:tcPr>
          <w:p w14:paraId="32C006C4" w14:textId="77777777" w:rsidR="00DD45D6" w:rsidRDefault="00285655">
            <w:pPr>
              <w:spacing w:after="0"/>
              <w:jc w:val="left"/>
            </w:pPr>
            <w:r>
              <w:rPr>
                <w:rFonts w:eastAsia="Times New Roman"/>
                <w:sz w:val="15"/>
              </w:rPr>
              <w:t>(Combe et al., 2016; Souppaya et al., 2017; Sultan et al., 2019)</w:t>
            </w:r>
          </w:p>
        </w:tc>
      </w:tr>
      <w:tr w:rsidR="00DD45D6" w14:paraId="725A611E" w14:textId="77777777">
        <w:trPr>
          <w:cantSplit/>
          <w:jc w:val="center"/>
        </w:trPr>
        <w:tc>
          <w:tcPr>
            <w:tcW w:w="1296" w:type="dxa"/>
            <w:tcMar>
              <w:top w:w="80" w:type="dxa"/>
              <w:left w:w="85" w:type="dxa"/>
              <w:bottom w:w="80" w:type="dxa"/>
              <w:right w:w="85" w:type="dxa"/>
            </w:tcMar>
            <w:vAlign w:val="center"/>
          </w:tcPr>
          <w:p w14:paraId="52DA7C04" w14:textId="77777777" w:rsidR="00DD45D6" w:rsidRDefault="00285655">
            <w:pPr>
              <w:spacing w:after="0"/>
              <w:jc w:val="left"/>
            </w:pPr>
            <w:r>
              <w:rPr>
                <w:rFonts w:eastAsia="Times New Roman"/>
                <w:sz w:val="15"/>
              </w:rPr>
              <w:t>Image and registry lifecycle</w:t>
            </w:r>
          </w:p>
        </w:tc>
        <w:tc>
          <w:tcPr>
            <w:tcW w:w="1728" w:type="dxa"/>
            <w:tcMar>
              <w:top w:w="80" w:type="dxa"/>
              <w:left w:w="85" w:type="dxa"/>
              <w:bottom w:w="80" w:type="dxa"/>
              <w:right w:w="85" w:type="dxa"/>
            </w:tcMar>
            <w:vAlign w:val="center"/>
          </w:tcPr>
          <w:p w14:paraId="22D480F1" w14:textId="77777777" w:rsidR="00DD45D6" w:rsidRDefault="00285655">
            <w:pPr>
              <w:spacing w:after="0"/>
              <w:jc w:val="left"/>
            </w:pPr>
            <w:r>
              <w:rPr>
                <w:rFonts w:eastAsia="Times New Roman"/>
                <w:sz w:val="15"/>
              </w:rPr>
              <w:t>Vulnerable or malicious images and uncontrolled provenance.</w:t>
            </w:r>
          </w:p>
        </w:tc>
        <w:tc>
          <w:tcPr>
            <w:tcW w:w="1728" w:type="dxa"/>
            <w:tcMar>
              <w:top w:w="80" w:type="dxa"/>
              <w:left w:w="85" w:type="dxa"/>
              <w:bottom w:w="80" w:type="dxa"/>
              <w:right w:w="85" w:type="dxa"/>
            </w:tcMar>
            <w:vAlign w:val="center"/>
          </w:tcPr>
          <w:p w14:paraId="4D636F13" w14:textId="77777777" w:rsidR="00DD45D6" w:rsidRDefault="00285655">
            <w:pPr>
              <w:spacing w:after="0"/>
              <w:jc w:val="left"/>
            </w:pPr>
            <w:r>
              <w:rPr>
                <w:rFonts w:eastAsia="Times New Roman"/>
                <w:sz w:val="15"/>
              </w:rPr>
              <w:t>Trusted registries, image controls, scanning, signing and deployment governance.</w:t>
            </w:r>
          </w:p>
        </w:tc>
        <w:tc>
          <w:tcPr>
            <w:tcW w:w="2088" w:type="dxa"/>
            <w:tcMar>
              <w:top w:w="80" w:type="dxa"/>
              <w:left w:w="85" w:type="dxa"/>
              <w:bottom w:w="80" w:type="dxa"/>
              <w:right w:w="85" w:type="dxa"/>
            </w:tcMar>
            <w:vAlign w:val="center"/>
          </w:tcPr>
          <w:p w14:paraId="7AA8F75A" w14:textId="77777777" w:rsidR="00DD45D6" w:rsidRDefault="00285655">
            <w:pPr>
              <w:spacing w:after="0"/>
              <w:jc w:val="left"/>
            </w:pPr>
            <w:r>
              <w:rPr>
                <w:rFonts w:eastAsia="Times New Roman"/>
                <w:sz w:val="15"/>
              </w:rPr>
              <w:t>Improves supply-chain assurance but remains dependent on build, credential and orchestrator integrity.</w:t>
            </w:r>
          </w:p>
        </w:tc>
        <w:tc>
          <w:tcPr>
            <w:tcW w:w="1944" w:type="dxa"/>
            <w:tcMar>
              <w:top w:w="80" w:type="dxa"/>
              <w:left w:w="85" w:type="dxa"/>
              <w:bottom w:w="80" w:type="dxa"/>
              <w:right w:w="85" w:type="dxa"/>
            </w:tcMar>
            <w:vAlign w:val="center"/>
          </w:tcPr>
          <w:p w14:paraId="3F263487" w14:textId="77777777" w:rsidR="00DD45D6" w:rsidRDefault="00285655">
            <w:pPr>
              <w:spacing w:after="0"/>
              <w:jc w:val="left"/>
            </w:pPr>
            <w:r>
              <w:rPr>
                <w:rFonts w:eastAsia="Times New Roman"/>
                <w:sz w:val="15"/>
              </w:rPr>
              <w:t>Well-recognised risk; effectiveness depends on lifecycle implementation.</w:t>
            </w:r>
          </w:p>
        </w:tc>
        <w:tc>
          <w:tcPr>
            <w:tcW w:w="1584" w:type="dxa"/>
            <w:tcMar>
              <w:top w:w="80" w:type="dxa"/>
              <w:left w:w="85" w:type="dxa"/>
              <w:bottom w:w="80" w:type="dxa"/>
              <w:right w:w="85" w:type="dxa"/>
            </w:tcMar>
            <w:vAlign w:val="center"/>
          </w:tcPr>
          <w:p w14:paraId="37B9EA32" w14:textId="77777777" w:rsidR="00DD45D6" w:rsidRDefault="00285655">
            <w:pPr>
              <w:spacing w:after="0"/>
              <w:jc w:val="left"/>
            </w:pPr>
            <w:r>
              <w:rPr>
                <w:rFonts w:eastAsia="Times New Roman"/>
                <w:sz w:val="15"/>
              </w:rPr>
              <w:t>(Souppaya et al., 2017; Sultan et al., 2019)</w:t>
            </w:r>
          </w:p>
        </w:tc>
      </w:tr>
      <w:tr w:rsidR="00DD45D6" w14:paraId="69D74D16" w14:textId="77777777">
        <w:trPr>
          <w:cantSplit/>
          <w:jc w:val="center"/>
        </w:trPr>
        <w:tc>
          <w:tcPr>
            <w:tcW w:w="1296" w:type="dxa"/>
            <w:tcMar>
              <w:top w:w="80" w:type="dxa"/>
              <w:left w:w="85" w:type="dxa"/>
              <w:bottom w:w="80" w:type="dxa"/>
              <w:right w:w="85" w:type="dxa"/>
            </w:tcMar>
            <w:vAlign w:val="center"/>
          </w:tcPr>
          <w:p w14:paraId="104CBDC1" w14:textId="77777777" w:rsidR="00DD45D6" w:rsidRDefault="00285655">
            <w:pPr>
              <w:spacing w:after="0"/>
              <w:jc w:val="left"/>
            </w:pPr>
            <w:r>
              <w:rPr>
                <w:rFonts w:eastAsia="Times New Roman"/>
                <w:sz w:val="15"/>
              </w:rPr>
              <w:t>East-west service communication</w:t>
            </w:r>
          </w:p>
        </w:tc>
        <w:tc>
          <w:tcPr>
            <w:tcW w:w="1728" w:type="dxa"/>
            <w:tcMar>
              <w:top w:w="80" w:type="dxa"/>
              <w:left w:w="85" w:type="dxa"/>
              <w:bottom w:w="80" w:type="dxa"/>
              <w:right w:w="85" w:type="dxa"/>
            </w:tcMar>
            <w:vAlign w:val="center"/>
          </w:tcPr>
          <w:p w14:paraId="6B184058" w14:textId="77777777" w:rsidR="00DD45D6" w:rsidRDefault="00285655">
            <w:pPr>
              <w:spacing w:after="0"/>
              <w:jc w:val="left"/>
            </w:pPr>
            <w:r>
              <w:rPr>
                <w:rFonts w:eastAsia="Times New Roman"/>
                <w:sz w:val="15"/>
              </w:rPr>
              <w:t>Lateral movement and overly broad service reachability.</w:t>
            </w:r>
          </w:p>
        </w:tc>
        <w:tc>
          <w:tcPr>
            <w:tcW w:w="1728" w:type="dxa"/>
            <w:tcMar>
              <w:top w:w="80" w:type="dxa"/>
              <w:left w:w="85" w:type="dxa"/>
              <w:bottom w:w="80" w:type="dxa"/>
              <w:right w:w="85" w:type="dxa"/>
            </w:tcMar>
            <w:vAlign w:val="center"/>
          </w:tcPr>
          <w:p w14:paraId="1C6968C1" w14:textId="77777777" w:rsidR="00DD45D6" w:rsidRDefault="00285655">
            <w:pPr>
              <w:spacing w:after="0"/>
              <w:jc w:val="left"/>
            </w:pPr>
            <w:r>
              <w:rPr>
                <w:rFonts w:eastAsia="Times New Roman"/>
                <w:sz w:val="15"/>
              </w:rPr>
              <w:t>Fine-grained network segmentation and service-aware authorisation.</w:t>
            </w:r>
          </w:p>
        </w:tc>
        <w:tc>
          <w:tcPr>
            <w:tcW w:w="2088" w:type="dxa"/>
            <w:tcMar>
              <w:top w:w="80" w:type="dxa"/>
              <w:left w:w="85" w:type="dxa"/>
              <w:bottom w:w="80" w:type="dxa"/>
              <w:right w:w="85" w:type="dxa"/>
            </w:tcMar>
            <w:vAlign w:val="center"/>
          </w:tcPr>
          <w:p w14:paraId="12E48676" w14:textId="77777777" w:rsidR="00DD45D6" w:rsidRDefault="00285655">
            <w:pPr>
              <w:spacing w:after="0"/>
              <w:jc w:val="left"/>
            </w:pPr>
            <w:r>
              <w:rPr>
                <w:rFonts w:eastAsia="Times New Roman"/>
                <w:sz w:val="15"/>
              </w:rPr>
              <w:t>Can constrain attack paths, but requires accurate service mapping and continual policy maintenance.</w:t>
            </w:r>
          </w:p>
        </w:tc>
        <w:tc>
          <w:tcPr>
            <w:tcW w:w="1944" w:type="dxa"/>
            <w:tcMar>
              <w:top w:w="80" w:type="dxa"/>
              <w:left w:w="85" w:type="dxa"/>
              <w:bottom w:w="80" w:type="dxa"/>
              <w:right w:w="85" w:type="dxa"/>
            </w:tcMar>
            <w:vAlign w:val="center"/>
          </w:tcPr>
          <w:p w14:paraId="6407283E" w14:textId="77777777" w:rsidR="00DD45D6" w:rsidRDefault="00285655">
            <w:pPr>
              <w:spacing w:after="0"/>
              <w:jc w:val="left"/>
            </w:pPr>
            <w:r>
              <w:rPr>
                <w:rFonts w:eastAsia="Times New Roman"/>
                <w:sz w:val="15"/>
              </w:rPr>
              <w:t>Growing implementation evidence.</w:t>
            </w:r>
          </w:p>
        </w:tc>
        <w:tc>
          <w:tcPr>
            <w:tcW w:w="1584" w:type="dxa"/>
            <w:tcMar>
              <w:top w:w="80" w:type="dxa"/>
              <w:left w:w="85" w:type="dxa"/>
              <w:bottom w:w="80" w:type="dxa"/>
              <w:right w:w="85" w:type="dxa"/>
            </w:tcMar>
            <w:vAlign w:val="center"/>
          </w:tcPr>
          <w:p w14:paraId="019FC864" w14:textId="77777777" w:rsidR="00DD45D6" w:rsidRDefault="00285655">
            <w:pPr>
              <w:spacing w:after="0"/>
              <w:jc w:val="left"/>
            </w:pPr>
            <w:r>
              <w:rPr>
                <w:rFonts w:eastAsia="Times New Roman"/>
                <w:sz w:val="15"/>
              </w:rPr>
              <w:t>(Basta et al., 2022; Chandramouli &amp; Butcher, 2023)</w:t>
            </w:r>
          </w:p>
        </w:tc>
      </w:tr>
      <w:tr w:rsidR="00DD45D6" w14:paraId="390F57FD" w14:textId="77777777">
        <w:trPr>
          <w:cantSplit/>
          <w:jc w:val="center"/>
        </w:trPr>
        <w:tc>
          <w:tcPr>
            <w:tcW w:w="1296" w:type="dxa"/>
            <w:tcMar>
              <w:top w:w="80" w:type="dxa"/>
              <w:left w:w="85" w:type="dxa"/>
              <w:bottom w:w="80" w:type="dxa"/>
              <w:right w:w="85" w:type="dxa"/>
            </w:tcMar>
            <w:vAlign w:val="center"/>
          </w:tcPr>
          <w:p w14:paraId="03B53E02" w14:textId="77777777" w:rsidR="00DD45D6" w:rsidRDefault="00285655">
            <w:pPr>
              <w:spacing w:after="0"/>
              <w:jc w:val="left"/>
            </w:pPr>
            <w:r>
              <w:rPr>
                <w:rFonts w:eastAsia="Times New Roman"/>
                <w:sz w:val="15"/>
              </w:rPr>
              <w:t>Service mesh and mTLS</w:t>
            </w:r>
          </w:p>
        </w:tc>
        <w:tc>
          <w:tcPr>
            <w:tcW w:w="1728" w:type="dxa"/>
            <w:tcMar>
              <w:top w:w="80" w:type="dxa"/>
              <w:left w:w="85" w:type="dxa"/>
              <w:bottom w:w="80" w:type="dxa"/>
              <w:right w:w="85" w:type="dxa"/>
            </w:tcMar>
            <w:vAlign w:val="center"/>
          </w:tcPr>
          <w:p w14:paraId="5B1878B7" w14:textId="77777777" w:rsidR="00DD45D6" w:rsidRDefault="00285655">
            <w:pPr>
              <w:spacing w:after="0"/>
              <w:jc w:val="left"/>
            </w:pPr>
            <w:r>
              <w:rPr>
                <w:rFonts w:eastAsia="Times New Roman"/>
                <w:sz w:val="15"/>
              </w:rPr>
              <w:t>Unauthenticated or weakly protected service-to-service communication.</w:t>
            </w:r>
          </w:p>
        </w:tc>
        <w:tc>
          <w:tcPr>
            <w:tcW w:w="1728" w:type="dxa"/>
            <w:tcMar>
              <w:top w:w="80" w:type="dxa"/>
              <w:left w:w="85" w:type="dxa"/>
              <w:bottom w:w="80" w:type="dxa"/>
              <w:right w:w="85" w:type="dxa"/>
            </w:tcMar>
            <w:vAlign w:val="center"/>
          </w:tcPr>
          <w:p w14:paraId="54DBE1D7" w14:textId="77777777" w:rsidR="00DD45D6" w:rsidRDefault="00285655">
            <w:pPr>
              <w:spacing w:after="0"/>
              <w:jc w:val="left"/>
            </w:pPr>
            <w:r>
              <w:rPr>
                <w:rFonts w:eastAsia="Times New Roman"/>
                <w:sz w:val="15"/>
              </w:rPr>
              <w:t>Managed service identity, mutual authentication, encryption and proxy-based policy.</w:t>
            </w:r>
          </w:p>
        </w:tc>
        <w:tc>
          <w:tcPr>
            <w:tcW w:w="2088" w:type="dxa"/>
            <w:tcMar>
              <w:top w:w="80" w:type="dxa"/>
              <w:left w:w="85" w:type="dxa"/>
              <w:bottom w:w="80" w:type="dxa"/>
              <w:right w:w="85" w:type="dxa"/>
            </w:tcMar>
            <w:vAlign w:val="center"/>
          </w:tcPr>
          <w:p w14:paraId="1273DB63" w14:textId="77777777" w:rsidR="00DD45D6" w:rsidRDefault="00285655">
            <w:pPr>
              <w:spacing w:after="0"/>
              <w:jc w:val="left"/>
            </w:pPr>
            <w:r>
              <w:rPr>
                <w:rFonts w:eastAsia="Times New Roman"/>
                <w:sz w:val="15"/>
              </w:rPr>
              <w:t>Provides consistent service controls but adds control-plane, proxy and certificate-lifecycle dependencies.</w:t>
            </w:r>
          </w:p>
        </w:tc>
        <w:tc>
          <w:tcPr>
            <w:tcW w:w="1944" w:type="dxa"/>
            <w:tcMar>
              <w:top w:w="80" w:type="dxa"/>
              <w:left w:w="85" w:type="dxa"/>
              <w:bottom w:w="80" w:type="dxa"/>
              <w:right w:w="85" w:type="dxa"/>
            </w:tcMar>
            <w:vAlign w:val="center"/>
          </w:tcPr>
          <w:p w14:paraId="01B4161F" w14:textId="77777777" w:rsidR="00DD45D6" w:rsidRDefault="00285655">
            <w:pPr>
              <w:spacing w:after="0"/>
              <w:jc w:val="left"/>
            </w:pPr>
            <w:r>
              <w:rPr>
                <w:rFonts w:eastAsia="Times New Roman"/>
                <w:sz w:val="15"/>
              </w:rPr>
              <w:t>Authoritative guidance plus developing operational evidence.</w:t>
            </w:r>
          </w:p>
        </w:tc>
        <w:tc>
          <w:tcPr>
            <w:tcW w:w="1584" w:type="dxa"/>
            <w:tcMar>
              <w:top w:w="80" w:type="dxa"/>
              <w:left w:w="85" w:type="dxa"/>
              <w:bottom w:w="80" w:type="dxa"/>
              <w:right w:w="85" w:type="dxa"/>
            </w:tcMar>
            <w:vAlign w:val="center"/>
          </w:tcPr>
          <w:p w14:paraId="74C15CBB" w14:textId="77777777" w:rsidR="00DD45D6" w:rsidRDefault="00285655">
            <w:pPr>
              <w:spacing w:after="0"/>
              <w:jc w:val="left"/>
            </w:pPr>
            <w:r>
              <w:rPr>
                <w:rFonts w:eastAsia="Times New Roman"/>
                <w:sz w:val="15"/>
              </w:rPr>
              <w:t>(Chandramouli &amp; Butcher, 2020)</w:t>
            </w:r>
          </w:p>
        </w:tc>
      </w:tr>
      <w:tr w:rsidR="00DD45D6" w14:paraId="3988A88F" w14:textId="77777777">
        <w:trPr>
          <w:cantSplit/>
          <w:jc w:val="center"/>
        </w:trPr>
        <w:tc>
          <w:tcPr>
            <w:tcW w:w="1296" w:type="dxa"/>
            <w:tcMar>
              <w:top w:w="80" w:type="dxa"/>
              <w:left w:w="85" w:type="dxa"/>
              <w:bottom w:w="80" w:type="dxa"/>
              <w:right w:w="85" w:type="dxa"/>
            </w:tcMar>
            <w:vAlign w:val="center"/>
          </w:tcPr>
          <w:p w14:paraId="1CAF5E9A" w14:textId="77777777" w:rsidR="00DD45D6" w:rsidRDefault="00285655">
            <w:pPr>
              <w:spacing w:after="0"/>
              <w:jc w:val="left"/>
            </w:pPr>
            <w:r>
              <w:rPr>
                <w:rFonts w:eastAsia="Times New Roman"/>
                <w:sz w:val="15"/>
              </w:rPr>
              <w:t>Multi-cloud workload identity</w:t>
            </w:r>
          </w:p>
        </w:tc>
        <w:tc>
          <w:tcPr>
            <w:tcW w:w="1728" w:type="dxa"/>
            <w:tcMar>
              <w:top w:w="80" w:type="dxa"/>
              <w:left w:w="85" w:type="dxa"/>
              <w:bottom w:w="80" w:type="dxa"/>
              <w:right w:w="85" w:type="dxa"/>
            </w:tcMar>
            <w:vAlign w:val="center"/>
          </w:tcPr>
          <w:p w14:paraId="0ECCFDAF" w14:textId="77777777" w:rsidR="00DD45D6" w:rsidRDefault="00285655">
            <w:pPr>
              <w:spacing w:after="0"/>
              <w:jc w:val="left"/>
            </w:pPr>
            <w:r>
              <w:rPr>
                <w:rFonts w:eastAsia="Times New Roman"/>
                <w:sz w:val="15"/>
              </w:rPr>
              <w:t>Instability of IP-based identity across ephemeral and cross-cloud workloads.</w:t>
            </w:r>
          </w:p>
        </w:tc>
        <w:tc>
          <w:tcPr>
            <w:tcW w:w="1728" w:type="dxa"/>
            <w:tcMar>
              <w:top w:w="80" w:type="dxa"/>
              <w:left w:w="85" w:type="dxa"/>
              <w:bottom w:w="80" w:type="dxa"/>
              <w:right w:w="85" w:type="dxa"/>
            </w:tcMar>
            <w:vAlign w:val="center"/>
          </w:tcPr>
          <w:p w14:paraId="692CDDD7" w14:textId="77777777" w:rsidR="00DD45D6" w:rsidRDefault="00285655">
            <w:pPr>
              <w:spacing w:after="0"/>
              <w:jc w:val="left"/>
            </w:pPr>
            <w:r>
              <w:rPr>
                <w:rFonts w:eastAsia="Times New Roman"/>
                <w:sz w:val="15"/>
              </w:rPr>
              <w:t>Application/service identities, API gateways, sidecars and identity-tier plus network-tier policy.</w:t>
            </w:r>
          </w:p>
        </w:tc>
        <w:tc>
          <w:tcPr>
            <w:tcW w:w="2088" w:type="dxa"/>
            <w:tcMar>
              <w:top w:w="80" w:type="dxa"/>
              <w:left w:w="85" w:type="dxa"/>
              <w:bottom w:w="80" w:type="dxa"/>
              <w:right w:w="85" w:type="dxa"/>
            </w:tcMar>
            <w:vAlign w:val="center"/>
          </w:tcPr>
          <w:p w14:paraId="794774F1" w14:textId="77777777" w:rsidR="00DD45D6" w:rsidRDefault="00285655">
            <w:pPr>
              <w:spacing w:after="0"/>
              <w:jc w:val="left"/>
            </w:pPr>
            <w:r>
              <w:rPr>
                <w:rFonts w:eastAsia="Times New Roman"/>
                <w:sz w:val="15"/>
              </w:rPr>
              <w:t>Better aligns access with logical workload role; semantic translation across clouds can drift.</w:t>
            </w:r>
          </w:p>
        </w:tc>
        <w:tc>
          <w:tcPr>
            <w:tcW w:w="1944" w:type="dxa"/>
            <w:tcMar>
              <w:top w:w="80" w:type="dxa"/>
              <w:left w:w="85" w:type="dxa"/>
              <w:bottom w:w="80" w:type="dxa"/>
              <w:right w:w="85" w:type="dxa"/>
            </w:tcMar>
            <w:vAlign w:val="center"/>
          </w:tcPr>
          <w:p w14:paraId="455E3AB6" w14:textId="77777777" w:rsidR="00DD45D6" w:rsidRDefault="00285655">
            <w:pPr>
              <w:spacing w:after="0"/>
              <w:jc w:val="left"/>
            </w:pPr>
            <w:r>
              <w:rPr>
                <w:rFonts w:eastAsia="Times New Roman"/>
                <w:sz w:val="15"/>
              </w:rPr>
              <w:t>Strong architectural guidance; comparative multi-cloud outcome evidence remains limited.</w:t>
            </w:r>
          </w:p>
        </w:tc>
        <w:tc>
          <w:tcPr>
            <w:tcW w:w="1584" w:type="dxa"/>
            <w:tcMar>
              <w:top w:w="80" w:type="dxa"/>
              <w:left w:w="85" w:type="dxa"/>
              <w:bottom w:w="80" w:type="dxa"/>
              <w:right w:w="85" w:type="dxa"/>
            </w:tcMar>
            <w:vAlign w:val="center"/>
          </w:tcPr>
          <w:p w14:paraId="4AFF2704" w14:textId="77777777" w:rsidR="00DD45D6" w:rsidRDefault="00285655">
            <w:pPr>
              <w:spacing w:after="0"/>
              <w:jc w:val="left"/>
            </w:pPr>
            <w:r>
              <w:rPr>
                <w:rFonts w:eastAsia="Times New Roman"/>
                <w:sz w:val="15"/>
              </w:rPr>
              <w:t>(Chandramouli &amp; Butcher, 2023)</w:t>
            </w:r>
          </w:p>
        </w:tc>
      </w:tr>
    </w:tbl>
    <w:p w14:paraId="4AB74333" w14:textId="77777777" w:rsidR="00DD45D6" w:rsidRDefault="00285655">
      <w:pPr>
        <w:spacing w:before="80" w:after="160" w:line="240" w:lineRule="auto"/>
      </w:pPr>
      <w:r>
        <w:rPr>
          <w:rFonts w:eastAsia="Times New Roman"/>
          <w:i/>
          <w:sz w:val="17"/>
        </w:rPr>
        <w:t>Note. API = application programming interface; IP = Internet Protocol; mTLS = mutual Transport Layer Security.</w:t>
      </w:r>
    </w:p>
    <w:p w14:paraId="7399DFC7" w14:textId="77777777" w:rsidR="00DD45D6" w:rsidRDefault="00285655">
      <w:pPr>
        <w:pStyle w:val="Heading1"/>
      </w:pPr>
      <w:r>
        <w:t>6. Detection, Analytics and Cyber Defence Automation</w:t>
      </w:r>
    </w:p>
    <w:p w14:paraId="712AD6D7" w14:textId="77777777" w:rsidR="00DD45D6" w:rsidRDefault="00285655">
      <w:pPr>
        <w:pStyle w:val="Heading2"/>
        <w:ind w:firstLine="0"/>
      </w:pPr>
      <w:r>
        <w:t>6.1 Intrusion Detection and Network Detection as Architectural Functions</w:t>
      </w:r>
    </w:p>
    <w:p w14:paraId="1380F88F" w14:textId="77777777" w:rsidR="00DD45D6" w:rsidRDefault="00285655">
      <w:pPr>
        <w:ind w:firstLine="0"/>
      </w:pPr>
      <w:r>
        <w:rPr>
          <w:rFonts w:eastAsia="Times New Roman"/>
        </w:rPr>
        <w:t>Intrusion detection remains one of the most established components of network defence. Signature-based systems are effective when malicious patterns are known and sufficiently stable, while anomaly-based systems seek deviations from expected behaviour and can therefore detect some previously unseen activity. The classic trade-off is between specificity and novelty detection: signatures can provide interpretable alerts with comparatively low ambiguity for known threats, whereas anomaly detection can broaden coverage at the cost of higher sensitivity to benign variation. Liao et al. (2013) describe this enduring taxonomy, and later reviews show that it remains relevant even as detection methods have incorporated machine learning (Hajj et al., 2021).</w:t>
      </w:r>
    </w:p>
    <w:p w14:paraId="55CC4291" w14:textId="77777777" w:rsidR="00DD45D6" w:rsidRDefault="00285655">
      <w:r>
        <w:rPr>
          <w:rFonts w:eastAsia="Times New Roman"/>
        </w:rPr>
        <w:t>The architectural position of detection is changing. In a perimeter-oriented network, central sensors could observe a large proportion of traffic. In a cloud-native or SASE environment, telemetry may instead come from switches, host agents, service proxies, identity systems, cloud flow logs and security services. Network detection and response therefore depends less on a single packet stream and more on correlating distributed evidence. This can improve context because identity, workload and policy information can be associated with flows, but it raises data-quality and synchronisation requirements. If telemetry is incomplete, delayed or manipulable, a centrally sophisticated analytics system may still make weak decisions.</w:t>
      </w:r>
    </w:p>
    <w:p w14:paraId="18228C7F" w14:textId="77777777" w:rsidR="00DD45D6" w:rsidRDefault="00285655">
      <w:r>
        <w:rPr>
          <w:rFonts w:eastAsia="Times New Roman"/>
        </w:rPr>
        <w:t xml:space="preserve">Detection also has a different role under zero trust. Continuous or repeated access evaluation requires signals about user behaviour, device state and resource interaction, so detection output can influence prevention rather than merely generate an alert after compromise. This tight coupling can reduce response time but raises the cost of false positives. A poorly calibrated anomaly detector that merely creates analyst work is inconvenient; one that </w:t>
      </w:r>
      <w:r>
        <w:rPr>
          <w:rFonts w:eastAsia="Times New Roman"/>
        </w:rPr>
        <w:lastRenderedPageBreak/>
        <w:t>automatically revokes access or isolates critical workloads can become an availability risk. Automation therefore changes the consequence of model error and should be evaluated in terms of both attack detection and safe control action.</w:t>
      </w:r>
    </w:p>
    <w:p w14:paraId="0074931F" w14:textId="77777777" w:rsidR="00DD45D6" w:rsidRDefault="00285655">
      <w:pPr>
        <w:pStyle w:val="Heading2"/>
      </w:pPr>
      <w:r>
        <w:t>6.2 Machine Learning: High Experimental Performance, Uneven Operational Generalisation</w:t>
      </w:r>
    </w:p>
    <w:p w14:paraId="133CBB78" w14:textId="77777777" w:rsidR="00DD45D6" w:rsidRDefault="00285655">
      <w:pPr>
        <w:ind w:firstLine="0"/>
      </w:pPr>
      <w:r>
        <w:rPr>
          <w:rFonts w:eastAsia="Times New Roman"/>
        </w:rPr>
        <w:t>Machine learning has been widely applied to network intrusion detection because traffic generates high-dimensional behavioural data and attack patterns may be difficult to specify manually. Buczak and Guven (2016) reviewed data-mining and machine-learning methods ranging from clustering and classification to association analysis and identified substantial promise. Yet Sommer and Paxson (2010) articulated a limitation that remains central: operational intrusion detection is an open-world problem, whereas many machine-learning evaluations assume a comparatively stable closed-world distribution. The gap between these settings can make classification accuracy an unreliable proxy for security value.</w:t>
      </w:r>
    </w:p>
    <w:p w14:paraId="1BF0AEB5" w14:textId="77777777" w:rsidR="00DD45D6" w:rsidRDefault="00285655">
      <w:r>
        <w:rPr>
          <w:rFonts w:eastAsia="Times New Roman"/>
        </w:rPr>
        <w:t>Dataset choice is a major source of this problem. Ring et al. (2019) found substantial differences among network-based intrusion-detection datasets in traffic characteristics, attacks, labelling and recency. Older benchmark datasets can facilitate method comparison, but they may encode obsolete applications, synthetic traffic or attack distributions that no longer represent production networks. Model performance can also be inflated by leakage between training and test sets, duplicate flows, environment-specific artefacts or easily separable attack classes. Hajj et al. (2021) similarly emphasise that anomaly-based IDS research must align datasets, measurements and evaluation methods with the intended deployment context.</w:t>
      </w:r>
    </w:p>
    <w:p w14:paraId="7B6B1900" w14:textId="77777777" w:rsidR="00DD45D6" w:rsidRDefault="00285655">
      <w:r>
        <w:rPr>
          <w:rFonts w:eastAsia="Times New Roman"/>
        </w:rPr>
        <w:t>For architecture, the implication is that machine learning should be treated as a fallible decision-support component rather than a universal detection engine. Models can rank alerts, cluster behaviour, classify traffic and help identify patterns that static rules miss, but they require drift monitoring, retraining governance, interpretable escalation paths and protection of the feature pipeline. Attackers may adapt to observed detection thresholds, while legitimate network change can look anomalous. A model trained on one enterprise, protocol mix or cloud region may not transfer cleanly to another. Independent validation across time and sites is therefore more informative than a marginal improvement on a familiar benchmark.</w:t>
      </w:r>
    </w:p>
    <w:p w14:paraId="56AB02E2" w14:textId="77777777" w:rsidR="00DD45D6" w:rsidRDefault="00285655">
      <w:pPr>
        <w:pStyle w:val="Heading2"/>
      </w:pPr>
      <w:r>
        <w:t>6.3 Encrypted-Traffic Analytics and the Declining Value of Payload Assumptions</w:t>
      </w:r>
    </w:p>
    <w:p w14:paraId="799A6D4B" w14:textId="77777777" w:rsidR="00DD45D6" w:rsidRDefault="00285655">
      <w:pPr>
        <w:ind w:firstLine="0"/>
      </w:pPr>
      <w:r>
        <w:rPr>
          <w:rFonts w:eastAsia="Times New Roman"/>
        </w:rPr>
        <w:t>Encryption creates a structural challenge for network inspection. Transport encryption protects confidentiality and integrity but reduces the availability of payload features that traditional deep-packet inspection could use. One response is decryption at managed inspection points, but this introduces privacy, key-management, performance and trust concerns. Another is encrypted-traffic classification based on packet sizes, timing, flow statistics, handshake metadata or learned representations. Rezaei and Liu (2019) describe the emergence of deep-learning approaches for this problem, while Deep Packet demonstrated that raw or minimally processed traffic representations could be classified with deep neural models even when payload interpretation was constrained (Lotfollahi et al., 2020).</w:t>
      </w:r>
    </w:p>
    <w:p w14:paraId="345FC43E" w14:textId="77777777" w:rsidR="00DD45D6" w:rsidRDefault="00285655">
      <w:r>
        <w:rPr>
          <w:rFonts w:eastAsia="Times New Roman"/>
        </w:rPr>
        <w:t>More recent surveys show a shift towards richer representation learning and pre-training, reflecting the difficulty of maintaining hand-engineered features as protocols evolve (Dong et al., 2025; Shen et al., 2023). Sharma and Lashkari (2025) similarly synthesise a broad range of encrypted-traffic identification and classification methods while emphasising continuing challenges. The literature supports the feasibility of extracting useful behavioural information without plaintext inspection, but it does not justify treating encrypted-traffic classification as stable across environments. Changes in protocol versions, padding, application behaviour, content-delivery infrastructure and privacy mechanisms can alter observable features.</w:t>
      </w:r>
    </w:p>
    <w:p w14:paraId="58F84AE0" w14:textId="77777777" w:rsidR="00DD45D6" w:rsidRDefault="00285655">
      <w:r>
        <w:rPr>
          <w:rFonts w:eastAsia="Times New Roman"/>
        </w:rPr>
        <w:t xml:space="preserve">There is also a security-governance tension. Metadata-based analytics may avoid inspecting content, yet detailed flow patterns can still reveal sensitive behavioural information. Organisations therefore need an explicit purpose and retention model for network telemetry rather than assuming that non-payload data are non-sensitive. From a </w:t>
      </w:r>
      <w:r>
        <w:rPr>
          <w:rFonts w:eastAsia="Times New Roman"/>
        </w:rPr>
        <w:lastRenderedPageBreak/>
        <w:t>defensive perspective, encrypted-traffic analytics should be combined with endpoint, identity and application evidence. This is especially important where several legitimate applications share cloud infrastructure or where malicious traffic intentionally mimics benign protocol behaviour.</w:t>
      </w:r>
    </w:p>
    <w:p w14:paraId="485D50BC" w14:textId="77777777" w:rsidR="00DD45D6" w:rsidRDefault="00285655">
      <w:pPr>
        <w:pStyle w:val="Heading2"/>
      </w:pPr>
      <w:r>
        <w:t>6.4 Automation, Orchestration and Human Oversight</w:t>
      </w:r>
    </w:p>
    <w:p w14:paraId="3EEF2293" w14:textId="77777777" w:rsidR="00DD45D6" w:rsidRDefault="00285655">
      <w:pPr>
        <w:ind w:firstLine="0"/>
      </w:pPr>
      <w:r>
        <w:rPr>
          <w:rFonts w:eastAsia="Times New Roman"/>
        </w:rPr>
        <w:t>Modern architectures increasingly connect detection to automated enforcement. SDN can push a flow rule, a zero trust policy engine can revoke access, an NFV orchestrator can instantiate a mitigation function, and a cloud platform can isolate a workload. The potential advantage is speed: automated response can reduce the interval between detection and containment. The risk is that an incorrect signal, compromised controller or faulty policy can act with similarly high speed. Security orchestration therefore requires guardrails such as scoped privileges, reversible actions, staged confidence thresholds and independent logging.</w:t>
      </w:r>
    </w:p>
    <w:p w14:paraId="770E38EA" w14:textId="77777777" w:rsidR="00DD45D6" w:rsidRDefault="00285655">
      <w:r>
        <w:rPr>
          <w:rFonts w:eastAsia="Times New Roman"/>
        </w:rPr>
        <w:t>Automation should also be distinguished from autonomy. Many high-consequence network actions remain better suited to human-authorised or policy-bounded execution, particularly when business context cannot be inferred reliably from telemetry. A detection system may correctly identify unusual outbound traffic without knowing whether it reflects compromise, data migration or an emergency administrative procedure. The correct architecture is thus not necessarily the one with the highest degree of automated action, but the one in which automation is proportional to confidence, reversibility and potential blast radius.</w:t>
      </w:r>
    </w:p>
    <w:p w14:paraId="77AA6F34" w14:textId="77777777" w:rsidR="00DD45D6" w:rsidRDefault="00285655">
      <w:r>
        <w:rPr>
          <w:rFonts w:eastAsia="Times New Roman"/>
        </w:rPr>
        <w:t>Table 4 compares major detection and analytics approaches through an architectural lens. Across methods, the recurring weakness is not lack of algorithmic sophistication but uncertainty about representativeness, observability and operational transfer. Detection should consequently be designed as a distributed sensing and evidence-fusion capability with explicit uncertainty, rather than as a model that produces an unquestionable security verdict.</w:t>
      </w:r>
    </w:p>
    <w:p w14:paraId="60790404" w14:textId="77777777" w:rsidR="00DD45D6" w:rsidRDefault="00285655">
      <w:pPr>
        <w:keepNext/>
        <w:spacing w:before="140" w:after="100"/>
      </w:pPr>
      <w:r>
        <w:rPr>
          <w:rFonts w:eastAsia="Times New Roman"/>
          <w:b/>
          <w:sz w:val="21"/>
        </w:rPr>
        <w:t>Table 4. Network detection and analytics approaches viewed as architectural components</w:t>
      </w:r>
    </w:p>
    <w:tbl>
      <w:tblPr>
        <w:tblStyle w:val="TableGrid"/>
        <w:tblW w:w="0" w:type="auto"/>
        <w:jc w:val="center"/>
        <w:tblLayout w:type="fixed"/>
        <w:tblLook w:val="04A0" w:firstRow="1" w:lastRow="0" w:firstColumn="1" w:lastColumn="0" w:noHBand="0" w:noVBand="1"/>
      </w:tblPr>
      <w:tblGrid>
        <w:gridCol w:w="1296"/>
        <w:gridCol w:w="1728"/>
        <w:gridCol w:w="1728"/>
        <w:gridCol w:w="2088"/>
        <w:gridCol w:w="1944"/>
        <w:gridCol w:w="1584"/>
      </w:tblGrid>
      <w:tr w:rsidR="00DD45D6" w14:paraId="79EEBC49" w14:textId="77777777">
        <w:trPr>
          <w:tblHeader/>
          <w:jc w:val="center"/>
        </w:trPr>
        <w:tc>
          <w:tcPr>
            <w:tcW w:w="1296" w:type="dxa"/>
            <w:shd w:val="clear" w:color="auto" w:fill="D9E1F2"/>
            <w:tcMar>
              <w:top w:w="85" w:type="dxa"/>
              <w:left w:w="85" w:type="dxa"/>
              <w:bottom w:w="85" w:type="dxa"/>
              <w:right w:w="85" w:type="dxa"/>
            </w:tcMar>
            <w:vAlign w:val="center"/>
          </w:tcPr>
          <w:p w14:paraId="1D9BFD79" w14:textId="77777777" w:rsidR="00DD45D6" w:rsidRDefault="00285655">
            <w:pPr>
              <w:spacing w:after="0"/>
              <w:jc w:val="center"/>
            </w:pPr>
            <w:r>
              <w:rPr>
                <w:rFonts w:eastAsia="Times New Roman"/>
                <w:b/>
                <w:sz w:val="15"/>
              </w:rPr>
              <w:t>Approach</w:t>
            </w:r>
          </w:p>
        </w:tc>
        <w:tc>
          <w:tcPr>
            <w:tcW w:w="1728" w:type="dxa"/>
            <w:shd w:val="clear" w:color="auto" w:fill="D9E1F2"/>
            <w:tcMar>
              <w:top w:w="85" w:type="dxa"/>
              <w:left w:w="85" w:type="dxa"/>
              <w:bottom w:w="85" w:type="dxa"/>
              <w:right w:w="85" w:type="dxa"/>
            </w:tcMar>
            <w:vAlign w:val="center"/>
          </w:tcPr>
          <w:p w14:paraId="0457D3A4" w14:textId="77777777" w:rsidR="00DD45D6" w:rsidRDefault="00285655">
            <w:pPr>
              <w:spacing w:after="0"/>
              <w:jc w:val="center"/>
            </w:pPr>
            <w:r>
              <w:rPr>
                <w:rFonts w:eastAsia="Times New Roman"/>
                <w:b/>
                <w:sz w:val="15"/>
              </w:rPr>
              <w:t>Observable basis</w:t>
            </w:r>
          </w:p>
        </w:tc>
        <w:tc>
          <w:tcPr>
            <w:tcW w:w="1728" w:type="dxa"/>
            <w:shd w:val="clear" w:color="auto" w:fill="D9E1F2"/>
            <w:tcMar>
              <w:top w:w="85" w:type="dxa"/>
              <w:left w:w="85" w:type="dxa"/>
              <w:bottom w:w="85" w:type="dxa"/>
              <w:right w:w="85" w:type="dxa"/>
            </w:tcMar>
            <w:vAlign w:val="center"/>
          </w:tcPr>
          <w:p w14:paraId="385EF566" w14:textId="77777777" w:rsidR="00DD45D6" w:rsidRDefault="00285655">
            <w:pPr>
              <w:spacing w:after="0"/>
              <w:jc w:val="center"/>
            </w:pPr>
            <w:r>
              <w:rPr>
                <w:rFonts w:eastAsia="Times New Roman"/>
                <w:b/>
                <w:sz w:val="15"/>
              </w:rPr>
              <w:t>Principal strength</w:t>
            </w:r>
          </w:p>
        </w:tc>
        <w:tc>
          <w:tcPr>
            <w:tcW w:w="2088" w:type="dxa"/>
            <w:shd w:val="clear" w:color="auto" w:fill="D9E1F2"/>
            <w:tcMar>
              <w:top w:w="85" w:type="dxa"/>
              <w:left w:w="85" w:type="dxa"/>
              <w:bottom w:w="85" w:type="dxa"/>
              <w:right w:w="85" w:type="dxa"/>
            </w:tcMar>
            <w:vAlign w:val="center"/>
          </w:tcPr>
          <w:p w14:paraId="2DF91416" w14:textId="77777777" w:rsidR="00DD45D6" w:rsidRDefault="00285655">
            <w:pPr>
              <w:spacing w:after="0"/>
              <w:jc w:val="center"/>
            </w:pPr>
            <w:r>
              <w:rPr>
                <w:rFonts w:eastAsia="Times New Roman"/>
                <w:b/>
                <w:sz w:val="15"/>
              </w:rPr>
              <w:t>Recurring evidence weakness</w:t>
            </w:r>
          </w:p>
        </w:tc>
        <w:tc>
          <w:tcPr>
            <w:tcW w:w="1944" w:type="dxa"/>
            <w:shd w:val="clear" w:color="auto" w:fill="D9E1F2"/>
            <w:tcMar>
              <w:top w:w="85" w:type="dxa"/>
              <w:left w:w="85" w:type="dxa"/>
              <w:bottom w:w="85" w:type="dxa"/>
              <w:right w:w="85" w:type="dxa"/>
            </w:tcMar>
            <w:vAlign w:val="center"/>
          </w:tcPr>
          <w:p w14:paraId="47845527" w14:textId="77777777" w:rsidR="00DD45D6" w:rsidRDefault="00285655">
            <w:pPr>
              <w:spacing w:after="0"/>
              <w:jc w:val="center"/>
            </w:pPr>
            <w:r>
              <w:rPr>
                <w:rFonts w:eastAsia="Times New Roman"/>
                <w:b/>
                <w:sz w:val="15"/>
              </w:rPr>
              <w:t>Architectural role</w:t>
            </w:r>
          </w:p>
        </w:tc>
        <w:tc>
          <w:tcPr>
            <w:tcW w:w="1584" w:type="dxa"/>
            <w:shd w:val="clear" w:color="auto" w:fill="D9E1F2"/>
            <w:tcMar>
              <w:top w:w="85" w:type="dxa"/>
              <w:left w:w="85" w:type="dxa"/>
              <w:bottom w:w="85" w:type="dxa"/>
              <w:right w:w="85" w:type="dxa"/>
            </w:tcMar>
            <w:vAlign w:val="center"/>
          </w:tcPr>
          <w:p w14:paraId="3AC385BF" w14:textId="77777777" w:rsidR="00DD45D6" w:rsidRDefault="00285655">
            <w:pPr>
              <w:spacing w:after="0"/>
              <w:jc w:val="center"/>
            </w:pPr>
            <w:r>
              <w:rPr>
                <w:rFonts w:eastAsia="Times New Roman"/>
                <w:b/>
                <w:sz w:val="15"/>
              </w:rPr>
              <w:t>Supporting references</w:t>
            </w:r>
          </w:p>
        </w:tc>
      </w:tr>
      <w:tr w:rsidR="00DD45D6" w14:paraId="688B0677" w14:textId="77777777">
        <w:trPr>
          <w:cantSplit/>
          <w:jc w:val="center"/>
        </w:trPr>
        <w:tc>
          <w:tcPr>
            <w:tcW w:w="1296" w:type="dxa"/>
            <w:tcMar>
              <w:top w:w="80" w:type="dxa"/>
              <w:left w:w="85" w:type="dxa"/>
              <w:bottom w:w="80" w:type="dxa"/>
              <w:right w:w="85" w:type="dxa"/>
            </w:tcMar>
            <w:vAlign w:val="center"/>
          </w:tcPr>
          <w:p w14:paraId="56BA3CCC" w14:textId="77777777" w:rsidR="00DD45D6" w:rsidRDefault="00285655">
            <w:pPr>
              <w:spacing w:after="0"/>
              <w:jc w:val="left"/>
            </w:pPr>
            <w:r>
              <w:rPr>
                <w:rFonts w:eastAsia="Times New Roman"/>
                <w:sz w:val="15"/>
              </w:rPr>
              <w:t>Signature-based IDS</w:t>
            </w:r>
          </w:p>
        </w:tc>
        <w:tc>
          <w:tcPr>
            <w:tcW w:w="1728" w:type="dxa"/>
            <w:tcMar>
              <w:top w:w="80" w:type="dxa"/>
              <w:left w:w="85" w:type="dxa"/>
              <w:bottom w:w="80" w:type="dxa"/>
              <w:right w:w="85" w:type="dxa"/>
            </w:tcMar>
            <w:vAlign w:val="center"/>
          </w:tcPr>
          <w:p w14:paraId="41BB36C0" w14:textId="77777777" w:rsidR="00DD45D6" w:rsidRDefault="00285655">
            <w:pPr>
              <w:spacing w:after="0"/>
              <w:jc w:val="left"/>
            </w:pPr>
            <w:r>
              <w:rPr>
                <w:rFonts w:eastAsia="Times New Roman"/>
                <w:sz w:val="15"/>
              </w:rPr>
              <w:t>Known packet, flow or event patterns.</w:t>
            </w:r>
          </w:p>
        </w:tc>
        <w:tc>
          <w:tcPr>
            <w:tcW w:w="1728" w:type="dxa"/>
            <w:tcMar>
              <w:top w:w="80" w:type="dxa"/>
              <w:left w:w="85" w:type="dxa"/>
              <w:bottom w:w="80" w:type="dxa"/>
              <w:right w:w="85" w:type="dxa"/>
            </w:tcMar>
            <w:vAlign w:val="center"/>
          </w:tcPr>
          <w:p w14:paraId="46303905" w14:textId="77777777" w:rsidR="00DD45D6" w:rsidRDefault="00285655">
            <w:pPr>
              <w:spacing w:after="0"/>
              <w:jc w:val="left"/>
            </w:pPr>
            <w:r>
              <w:rPr>
                <w:rFonts w:eastAsia="Times New Roman"/>
                <w:sz w:val="15"/>
              </w:rPr>
              <w:t>High interpretability and effective recognition of established signatures.</w:t>
            </w:r>
          </w:p>
        </w:tc>
        <w:tc>
          <w:tcPr>
            <w:tcW w:w="2088" w:type="dxa"/>
            <w:tcMar>
              <w:top w:w="80" w:type="dxa"/>
              <w:left w:w="85" w:type="dxa"/>
              <w:bottom w:w="80" w:type="dxa"/>
              <w:right w:w="85" w:type="dxa"/>
            </w:tcMar>
            <w:vAlign w:val="center"/>
          </w:tcPr>
          <w:p w14:paraId="4308436B" w14:textId="77777777" w:rsidR="00DD45D6" w:rsidRDefault="00285655">
            <w:pPr>
              <w:spacing w:after="0"/>
              <w:jc w:val="left"/>
            </w:pPr>
            <w:r>
              <w:rPr>
                <w:rFonts w:eastAsia="Times New Roman"/>
                <w:sz w:val="15"/>
              </w:rPr>
              <w:t>Limited novelty detection and dependence on visibility into relevant features.</w:t>
            </w:r>
          </w:p>
        </w:tc>
        <w:tc>
          <w:tcPr>
            <w:tcW w:w="1944" w:type="dxa"/>
            <w:tcMar>
              <w:top w:w="80" w:type="dxa"/>
              <w:left w:w="85" w:type="dxa"/>
              <w:bottom w:w="80" w:type="dxa"/>
              <w:right w:w="85" w:type="dxa"/>
            </w:tcMar>
            <w:vAlign w:val="center"/>
          </w:tcPr>
          <w:p w14:paraId="2F0F281A" w14:textId="77777777" w:rsidR="00DD45D6" w:rsidRDefault="00285655">
            <w:pPr>
              <w:spacing w:after="0"/>
              <w:jc w:val="left"/>
            </w:pPr>
            <w:r>
              <w:rPr>
                <w:rFonts w:eastAsia="Times New Roman"/>
                <w:sz w:val="15"/>
              </w:rPr>
              <w:t>Deterministic layer for known threats; should complement rather than compete with anomaly analytics.</w:t>
            </w:r>
          </w:p>
        </w:tc>
        <w:tc>
          <w:tcPr>
            <w:tcW w:w="1584" w:type="dxa"/>
            <w:tcMar>
              <w:top w:w="80" w:type="dxa"/>
              <w:left w:w="85" w:type="dxa"/>
              <w:bottom w:w="80" w:type="dxa"/>
              <w:right w:w="85" w:type="dxa"/>
            </w:tcMar>
            <w:vAlign w:val="center"/>
          </w:tcPr>
          <w:p w14:paraId="73824B2E" w14:textId="77777777" w:rsidR="00DD45D6" w:rsidRDefault="00285655">
            <w:pPr>
              <w:spacing w:after="0"/>
              <w:jc w:val="left"/>
            </w:pPr>
            <w:r>
              <w:rPr>
                <w:rFonts w:eastAsia="Times New Roman"/>
                <w:sz w:val="15"/>
              </w:rPr>
              <w:t>(Liao et al., 2013)</w:t>
            </w:r>
          </w:p>
        </w:tc>
      </w:tr>
      <w:tr w:rsidR="00DD45D6" w14:paraId="07885F22" w14:textId="77777777">
        <w:trPr>
          <w:cantSplit/>
          <w:jc w:val="center"/>
        </w:trPr>
        <w:tc>
          <w:tcPr>
            <w:tcW w:w="1296" w:type="dxa"/>
            <w:tcMar>
              <w:top w:w="80" w:type="dxa"/>
              <w:left w:w="85" w:type="dxa"/>
              <w:bottom w:w="80" w:type="dxa"/>
              <w:right w:w="85" w:type="dxa"/>
            </w:tcMar>
            <w:vAlign w:val="center"/>
          </w:tcPr>
          <w:p w14:paraId="3883ECA8" w14:textId="77777777" w:rsidR="00DD45D6" w:rsidRDefault="00285655">
            <w:pPr>
              <w:spacing w:after="0"/>
              <w:jc w:val="left"/>
            </w:pPr>
            <w:r>
              <w:rPr>
                <w:rFonts w:eastAsia="Times New Roman"/>
                <w:sz w:val="15"/>
              </w:rPr>
              <w:t>Anomaly-based IDS</w:t>
            </w:r>
          </w:p>
        </w:tc>
        <w:tc>
          <w:tcPr>
            <w:tcW w:w="1728" w:type="dxa"/>
            <w:tcMar>
              <w:top w:w="80" w:type="dxa"/>
              <w:left w:w="85" w:type="dxa"/>
              <w:bottom w:w="80" w:type="dxa"/>
              <w:right w:w="85" w:type="dxa"/>
            </w:tcMar>
            <w:vAlign w:val="center"/>
          </w:tcPr>
          <w:p w14:paraId="381AB250" w14:textId="77777777" w:rsidR="00DD45D6" w:rsidRDefault="00285655">
            <w:pPr>
              <w:spacing w:after="0"/>
              <w:jc w:val="left"/>
            </w:pPr>
            <w:r>
              <w:rPr>
                <w:rFonts w:eastAsia="Times New Roman"/>
                <w:sz w:val="15"/>
              </w:rPr>
              <w:t>Deviation from learned or specified normal behaviour.</w:t>
            </w:r>
          </w:p>
        </w:tc>
        <w:tc>
          <w:tcPr>
            <w:tcW w:w="1728" w:type="dxa"/>
            <w:tcMar>
              <w:top w:w="80" w:type="dxa"/>
              <w:left w:w="85" w:type="dxa"/>
              <w:bottom w:w="80" w:type="dxa"/>
              <w:right w:w="85" w:type="dxa"/>
            </w:tcMar>
            <w:vAlign w:val="center"/>
          </w:tcPr>
          <w:p w14:paraId="73377343" w14:textId="77777777" w:rsidR="00DD45D6" w:rsidRDefault="00285655">
            <w:pPr>
              <w:spacing w:after="0"/>
              <w:jc w:val="left"/>
            </w:pPr>
            <w:r>
              <w:rPr>
                <w:rFonts w:eastAsia="Times New Roman"/>
                <w:sz w:val="15"/>
              </w:rPr>
              <w:t>Potential detection of previously unseen activity.</w:t>
            </w:r>
          </w:p>
        </w:tc>
        <w:tc>
          <w:tcPr>
            <w:tcW w:w="2088" w:type="dxa"/>
            <w:tcMar>
              <w:top w:w="80" w:type="dxa"/>
              <w:left w:w="85" w:type="dxa"/>
              <w:bottom w:w="80" w:type="dxa"/>
              <w:right w:w="85" w:type="dxa"/>
            </w:tcMar>
            <w:vAlign w:val="center"/>
          </w:tcPr>
          <w:p w14:paraId="314DC721" w14:textId="77777777" w:rsidR="00DD45D6" w:rsidRDefault="00285655">
            <w:pPr>
              <w:spacing w:after="0"/>
              <w:jc w:val="left"/>
            </w:pPr>
            <w:r>
              <w:rPr>
                <w:rFonts w:eastAsia="Times New Roman"/>
                <w:sz w:val="15"/>
              </w:rPr>
              <w:t>False positives, unstable baselines, dataset sensitivity and ambiguous causality.</w:t>
            </w:r>
          </w:p>
        </w:tc>
        <w:tc>
          <w:tcPr>
            <w:tcW w:w="1944" w:type="dxa"/>
            <w:tcMar>
              <w:top w:w="80" w:type="dxa"/>
              <w:left w:w="85" w:type="dxa"/>
              <w:bottom w:w="80" w:type="dxa"/>
              <w:right w:w="85" w:type="dxa"/>
            </w:tcMar>
            <w:vAlign w:val="center"/>
          </w:tcPr>
          <w:p w14:paraId="0FDD0526" w14:textId="77777777" w:rsidR="00DD45D6" w:rsidRDefault="00285655">
            <w:pPr>
              <w:spacing w:after="0"/>
              <w:jc w:val="left"/>
            </w:pPr>
            <w:r>
              <w:rPr>
                <w:rFonts w:eastAsia="Times New Roman"/>
                <w:sz w:val="15"/>
              </w:rPr>
              <w:t>Risk signal for investigation or bounded response, especially when fused with identity context.</w:t>
            </w:r>
          </w:p>
        </w:tc>
        <w:tc>
          <w:tcPr>
            <w:tcW w:w="1584" w:type="dxa"/>
            <w:tcMar>
              <w:top w:w="80" w:type="dxa"/>
              <w:left w:w="85" w:type="dxa"/>
              <w:bottom w:w="80" w:type="dxa"/>
              <w:right w:w="85" w:type="dxa"/>
            </w:tcMar>
            <w:vAlign w:val="center"/>
          </w:tcPr>
          <w:p w14:paraId="2D1B3336" w14:textId="77777777" w:rsidR="00DD45D6" w:rsidRDefault="00285655">
            <w:pPr>
              <w:spacing w:after="0"/>
              <w:jc w:val="left"/>
            </w:pPr>
            <w:r>
              <w:rPr>
                <w:rFonts w:eastAsia="Times New Roman"/>
                <w:sz w:val="15"/>
              </w:rPr>
              <w:t>(Hajj et al., 2021; Liao et al., 2013)</w:t>
            </w:r>
          </w:p>
        </w:tc>
      </w:tr>
      <w:tr w:rsidR="00DD45D6" w14:paraId="721BD9FE" w14:textId="77777777">
        <w:trPr>
          <w:cantSplit/>
          <w:jc w:val="center"/>
        </w:trPr>
        <w:tc>
          <w:tcPr>
            <w:tcW w:w="1296" w:type="dxa"/>
            <w:tcMar>
              <w:top w:w="80" w:type="dxa"/>
              <w:left w:w="85" w:type="dxa"/>
              <w:bottom w:w="80" w:type="dxa"/>
              <w:right w:w="85" w:type="dxa"/>
            </w:tcMar>
            <w:vAlign w:val="center"/>
          </w:tcPr>
          <w:p w14:paraId="15B65DE4" w14:textId="77777777" w:rsidR="00DD45D6" w:rsidRDefault="00285655">
            <w:pPr>
              <w:spacing w:after="0"/>
              <w:jc w:val="left"/>
            </w:pPr>
            <w:r>
              <w:rPr>
                <w:rFonts w:eastAsia="Times New Roman"/>
                <w:sz w:val="15"/>
              </w:rPr>
              <w:t>Supervised machine-learning IDS</w:t>
            </w:r>
          </w:p>
        </w:tc>
        <w:tc>
          <w:tcPr>
            <w:tcW w:w="1728" w:type="dxa"/>
            <w:tcMar>
              <w:top w:w="80" w:type="dxa"/>
              <w:left w:w="85" w:type="dxa"/>
              <w:bottom w:w="80" w:type="dxa"/>
              <w:right w:w="85" w:type="dxa"/>
            </w:tcMar>
            <w:vAlign w:val="center"/>
          </w:tcPr>
          <w:p w14:paraId="103CB2B2" w14:textId="77777777" w:rsidR="00DD45D6" w:rsidRDefault="00285655">
            <w:pPr>
              <w:spacing w:after="0"/>
              <w:jc w:val="left"/>
            </w:pPr>
            <w:r>
              <w:rPr>
                <w:rFonts w:eastAsia="Times New Roman"/>
                <w:sz w:val="15"/>
              </w:rPr>
              <w:t>Labelled traffic and engineered or learned features.</w:t>
            </w:r>
          </w:p>
        </w:tc>
        <w:tc>
          <w:tcPr>
            <w:tcW w:w="1728" w:type="dxa"/>
            <w:tcMar>
              <w:top w:w="80" w:type="dxa"/>
              <w:left w:w="85" w:type="dxa"/>
              <w:bottom w:w="80" w:type="dxa"/>
              <w:right w:w="85" w:type="dxa"/>
            </w:tcMar>
            <w:vAlign w:val="center"/>
          </w:tcPr>
          <w:p w14:paraId="03A0195B" w14:textId="77777777" w:rsidR="00DD45D6" w:rsidRDefault="00285655">
            <w:pPr>
              <w:spacing w:after="0"/>
              <w:jc w:val="left"/>
            </w:pPr>
            <w:r>
              <w:rPr>
                <w:rFonts w:eastAsia="Times New Roman"/>
                <w:sz w:val="15"/>
              </w:rPr>
              <w:t>Can classify complex patterns at scale when training and deployment distributions align.</w:t>
            </w:r>
          </w:p>
        </w:tc>
        <w:tc>
          <w:tcPr>
            <w:tcW w:w="2088" w:type="dxa"/>
            <w:tcMar>
              <w:top w:w="80" w:type="dxa"/>
              <w:left w:w="85" w:type="dxa"/>
              <w:bottom w:w="80" w:type="dxa"/>
              <w:right w:w="85" w:type="dxa"/>
            </w:tcMar>
            <w:vAlign w:val="center"/>
          </w:tcPr>
          <w:p w14:paraId="2FF95E80" w14:textId="77777777" w:rsidR="00DD45D6" w:rsidRDefault="00285655">
            <w:pPr>
              <w:spacing w:after="0"/>
              <w:jc w:val="left"/>
            </w:pPr>
            <w:r>
              <w:rPr>
                <w:rFonts w:eastAsia="Times New Roman"/>
                <w:sz w:val="15"/>
              </w:rPr>
              <w:t>Closed-world evaluation, leakage, class imbalance and weak cross-site or cross-time generalisation.</w:t>
            </w:r>
          </w:p>
        </w:tc>
        <w:tc>
          <w:tcPr>
            <w:tcW w:w="1944" w:type="dxa"/>
            <w:tcMar>
              <w:top w:w="80" w:type="dxa"/>
              <w:left w:w="85" w:type="dxa"/>
              <w:bottom w:w="80" w:type="dxa"/>
              <w:right w:w="85" w:type="dxa"/>
            </w:tcMar>
            <w:vAlign w:val="center"/>
          </w:tcPr>
          <w:p w14:paraId="0CAB0EF3" w14:textId="77777777" w:rsidR="00DD45D6" w:rsidRDefault="00285655">
            <w:pPr>
              <w:spacing w:after="0"/>
              <w:jc w:val="left"/>
            </w:pPr>
            <w:r>
              <w:rPr>
                <w:rFonts w:eastAsia="Times New Roman"/>
                <w:sz w:val="15"/>
              </w:rPr>
              <w:t>Decision support with drift monitoring and independent validation.</w:t>
            </w:r>
          </w:p>
        </w:tc>
        <w:tc>
          <w:tcPr>
            <w:tcW w:w="1584" w:type="dxa"/>
            <w:tcMar>
              <w:top w:w="80" w:type="dxa"/>
              <w:left w:w="85" w:type="dxa"/>
              <w:bottom w:w="80" w:type="dxa"/>
              <w:right w:w="85" w:type="dxa"/>
            </w:tcMar>
            <w:vAlign w:val="center"/>
          </w:tcPr>
          <w:p w14:paraId="19692778" w14:textId="77777777" w:rsidR="00DD45D6" w:rsidRDefault="00285655">
            <w:pPr>
              <w:spacing w:after="0"/>
              <w:jc w:val="left"/>
            </w:pPr>
            <w:r>
              <w:rPr>
                <w:rFonts w:eastAsia="Times New Roman"/>
                <w:sz w:val="15"/>
              </w:rPr>
              <w:t>(Buczak &amp; Guven, 2016; Ring et al., 2019; Sommer &amp; Paxson, 2010)</w:t>
            </w:r>
          </w:p>
        </w:tc>
      </w:tr>
      <w:tr w:rsidR="00DD45D6" w14:paraId="36DB34F1" w14:textId="77777777">
        <w:trPr>
          <w:cantSplit/>
          <w:jc w:val="center"/>
        </w:trPr>
        <w:tc>
          <w:tcPr>
            <w:tcW w:w="1296" w:type="dxa"/>
            <w:tcMar>
              <w:top w:w="80" w:type="dxa"/>
              <w:left w:w="85" w:type="dxa"/>
              <w:bottom w:w="80" w:type="dxa"/>
              <w:right w:w="85" w:type="dxa"/>
            </w:tcMar>
            <w:vAlign w:val="center"/>
          </w:tcPr>
          <w:p w14:paraId="3186D657" w14:textId="77777777" w:rsidR="00DD45D6" w:rsidRDefault="00285655">
            <w:pPr>
              <w:spacing w:after="0"/>
              <w:jc w:val="left"/>
            </w:pPr>
            <w:r>
              <w:rPr>
                <w:rFonts w:eastAsia="Times New Roman"/>
                <w:sz w:val="15"/>
              </w:rPr>
              <w:t>Encrypted-traffic deep learning</w:t>
            </w:r>
          </w:p>
        </w:tc>
        <w:tc>
          <w:tcPr>
            <w:tcW w:w="1728" w:type="dxa"/>
            <w:tcMar>
              <w:top w:w="80" w:type="dxa"/>
              <w:left w:w="85" w:type="dxa"/>
              <w:bottom w:w="80" w:type="dxa"/>
              <w:right w:w="85" w:type="dxa"/>
            </w:tcMar>
            <w:vAlign w:val="center"/>
          </w:tcPr>
          <w:p w14:paraId="1CD9A532" w14:textId="77777777" w:rsidR="00DD45D6" w:rsidRDefault="00285655">
            <w:pPr>
              <w:spacing w:after="0"/>
              <w:jc w:val="left"/>
            </w:pPr>
            <w:r>
              <w:rPr>
                <w:rFonts w:eastAsia="Times New Roman"/>
                <w:sz w:val="15"/>
              </w:rPr>
              <w:t>Packet sizes, timing, flow statistics, handshakes or learned representations.</w:t>
            </w:r>
          </w:p>
        </w:tc>
        <w:tc>
          <w:tcPr>
            <w:tcW w:w="1728" w:type="dxa"/>
            <w:tcMar>
              <w:top w:w="80" w:type="dxa"/>
              <w:left w:w="85" w:type="dxa"/>
              <w:bottom w:w="80" w:type="dxa"/>
              <w:right w:w="85" w:type="dxa"/>
            </w:tcMar>
            <w:vAlign w:val="center"/>
          </w:tcPr>
          <w:p w14:paraId="64A31D9E" w14:textId="77777777" w:rsidR="00DD45D6" w:rsidRDefault="00285655">
            <w:pPr>
              <w:spacing w:after="0"/>
              <w:jc w:val="left"/>
            </w:pPr>
            <w:r>
              <w:rPr>
                <w:rFonts w:eastAsia="Times New Roman"/>
                <w:sz w:val="15"/>
              </w:rPr>
              <w:t>Retains behavioural classification capability without relying wholly on plaintext payload inspection.</w:t>
            </w:r>
          </w:p>
        </w:tc>
        <w:tc>
          <w:tcPr>
            <w:tcW w:w="2088" w:type="dxa"/>
            <w:tcMar>
              <w:top w:w="80" w:type="dxa"/>
              <w:left w:w="85" w:type="dxa"/>
              <w:bottom w:w="80" w:type="dxa"/>
              <w:right w:w="85" w:type="dxa"/>
            </w:tcMar>
            <w:vAlign w:val="center"/>
          </w:tcPr>
          <w:p w14:paraId="60B427EA" w14:textId="77777777" w:rsidR="00DD45D6" w:rsidRDefault="00285655">
            <w:pPr>
              <w:spacing w:after="0"/>
              <w:jc w:val="left"/>
            </w:pPr>
            <w:r>
              <w:rPr>
                <w:rFonts w:eastAsia="Times New Roman"/>
                <w:sz w:val="15"/>
              </w:rPr>
              <w:t>Protocol drift, privacy implications, adversarial mimicry and transfer limitations.</w:t>
            </w:r>
          </w:p>
        </w:tc>
        <w:tc>
          <w:tcPr>
            <w:tcW w:w="1944" w:type="dxa"/>
            <w:tcMar>
              <w:top w:w="80" w:type="dxa"/>
              <w:left w:w="85" w:type="dxa"/>
              <w:bottom w:w="80" w:type="dxa"/>
              <w:right w:w="85" w:type="dxa"/>
            </w:tcMar>
            <w:vAlign w:val="center"/>
          </w:tcPr>
          <w:p w14:paraId="7A6C1CF6" w14:textId="77777777" w:rsidR="00DD45D6" w:rsidRDefault="00285655">
            <w:pPr>
              <w:spacing w:after="0"/>
              <w:jc w:val="left"/>
            </w:pPr>
            <w:r>
              <w:rPr>
                <w:rFonts w:eastAsia="Times New Roman"/>
                <w:sz w:val="15"/>
              </w:rPr>
              <w:t>Useful where decryption is infeasible, but strongest when fused with endpoint and identity telemetry.</w:t>
            </w:r>
          </w:p>
        </w:tc>
        <w:tc>
          <w:tcPr>
            <w:tcW w:w="1584" w:type="dxa"/>
            <w:tcMar>
              <w:top w:w="80" w:type="dxa"/>
              <w:left w:w="85" w:type="dxa"/>
              <w:bottom w:w="80" w:type="dxa"/>
              <w:right w:w="85" w:type="dxa"/>
            </w:tcMar>
            <w:vAlign w:val="center"/>
          </w:tcPr>
          <w:p w14:paraId="20A00B38" w14:textId="77777777" w:rsidR="00DD45D6" w:rsidRDefault="00285655">
            <w:pPr>
              <w:spacing w:after="0"/>
              <w:jc w:val="left"/>
            </w:pPr>
            <w:r>
              <w:rPr>
                <w:rFonts w:eastAsia="Times New Roman"/>
                <w:sz w:val="15"/>
              </w:rPr>
              <w:t>(Lotfollahi et al., 2020; Rezaei &amp; Liu, 2019; Shen et al., 2023)</w:t>
            </w:r>
          </w:p>
        </w:tc>
      </w:tr>
      <w:tr w:rsidR="00DD45D6" w14:paraId="662FC5DD" w14:textId="77777777">
        <w:trPr>
          <w:cantSplit/>
          <w:jc w:val="center"/>
        </w:trPr>
        <w:tc>
          <w:tcPr>
            <w:tcW w:w="1296" w:type="dxa"/>
            <w:tcMar>
              <w:top w:w="80" w:type="dxa"/>
              <w:left w:w="85" w:type="dxa"/>
              <w:bottom w:w="80" w:type="dxa"/>
              <w:right w:w="85" w:type="dxa"/>
            </w:tcMar>
            <w:vAlign w:val="center"/>
          </w:tcPr>
          <w:p w14:paraId="128AD3FA" w14:textId="77777777" w:rsidR="00DD45D6" w:rsidRDefault="00285655">
            <w:pPr>
              <w:spacing w:after="0"/>
              <w:jc w:val="left"/>
            </w:pPr>
            <w:r>
              <w:rPr>
                <w:rFonts w:eastAsia="Times New Roman"/>
                <w:sz w:val="15"/>
              </w:rPr>
              <w:t>Pre-training and representation learning</w:t>
            </w:r>
          </w:p>
        </w:tc>
        <w:tc>
          <w:tcPr>
            <w:tcW w:w="1728" w:type="dxa"/>
            <w:tcMar>
              <w:top w:w="80" w:type="dxa"/>
              <w:left w:w="85" w:type="dxa"/>
              <w:bottom w:w="80" w:type="dxa"/>
              <w:right w:w="85" w:type="dxa"/>
            </w:tcMar>
            <w:vAlign w:val="center"/>
          </w:tcPr>
          <w:p w14:paraId="72F2C9CD" w14:textId="77777777" w:rsidR="00DD45D6" w:rsidRDefault="00285655">
            <w:pPr>
              <w:spacing w:after="0"/>
              <w:jc w:val="left"/>
            </w:pPr>
            <w:r>
              <w:rPr>
                <w:rFonts w:eastAsia="Times New Roman"/>
                <w:sz w:val="15"/>
              </w:rPr>
              <w:t>Large traffic corpora and transferable representations.</w:t>
            </w:r>
          </w:p>
        </w:tc>
        <w:tc>
          <w:tcPr>
            <w:tcW w:w="1728" w:type="dxa"/>
            <w:tcMar>
              <w:top w:w="80" w:type="dxa"/>
              <w:left w:w="85" w:type="dxa"/>
              <w:bottom w:w="80" w:type="dxa"/>
              <w:right w:w="85" w:type="dxa"/>
            </w:tcMar>
            <w:vAlign w:val="center"/>
          </w:tcPr>
          <w:p w14:paraId="6734AF36" w14:textId="77777777" w:rsidR="00DD45D6" w:rsidRDefault="00285655">
            <w:pPr>
              <w:spacing w:after="0"/>
              <w:jc w:val="left"/>
            </w:pPr>
            <w:r>
              <w:rPr>
                <w:rFonts w:eastAsia="Times New Roman"/>
                <w:sz w:val="15"/>
              </w:rPr>
              <w:t>Potentially reduces dependence on task-specific labelled data and hand-engineered features.</w:t>
            </w:r>
          </w:p>
        </w:tc>
        <w:tc>
          <w:tcPr>
            <w:tcW w:w="2088" w:type="dxa"/>
            <w:tcMar>
              <w:top w:w="80" w:type="dxa"/>
              <w:left w:w="85" w:type="dxa"/>
              <w:bottom w:w="80" w:type="dxa"/>
              <w:right w:w="85" w:type="dxa"/>
            </w:tcMar>
            <w:vAlign w:val="center"/>
          </w:tcPr>
          <w:p w14:paraId="6B32A0A0" w14:textId="77777777" w:rsidR="00DD45D6" w:rsidRDefault="00285655">
            <w:pPr>
              <w:spacing w:after="0"/>
              <w:jc w:val="left"/>
            </w:pPr>
            <w:r>
              <w:rPr>
                <w:rFonts w:eastAsia="Times New Roman"/>
                <w:sz w:val="15"/>
              </w:rPr>
              <w:t>Operational evidence is still emerging; data scale, transfer and explainability remain unresolved.</w:t>
            </w:r>
          </w:p>
        </w:tc>
        <w:tc>
          <w:tcPr>
            <w:tcW w:w="1944" w:type="dxa"/>
            <w:tcMar>
              <w:top w:w="80" w:type="dxa"/>
              <w:left w:w="85" w:type="dxa"/>
              <w:bottom w:w="80" w:type="dxa"/>
              <w:right w:w="85" w:type="dxa"/>
            </w:tcMar>
            <w:vAlign w:val="center"/>
          </w:tcPr>
          <w:p w14:paraId="10491D8D" w14:textId="77777777" w:rsidR="00DD45D6" w:rsidRDefault="00285655">
            <w:pPr>
              <w:spacing w:after="0"/>
              <w:jc w:val="left"/>
            </w:pPr>
            <w:r>
              <w:rPr>
                <w:rFonts w:eastAsia="Times New Roman"/>
                <w:sz w:val="15"/>
              </w:rPr>
              <w:t>Research direction for adaptable traffic analytics rather than a mature autonomous defence layer.</w:t>
            </w:r>
          </w:p>
        </w:tc>
        <w:tc>
          <w:tcPr>
            <w:tcW w:w="1584" w:type="dxa"/>
            <w:tcMar>
              <w:top w:w="80" w:type="dxa"/>
              <w:left w:w="85" w:type="dxa"/>
              <w:bottom w:w="80" w:type="dxa"/>
              <w:right w:w="85" w:type="dxa"/>
            </w:tcMar>
            <w:vAlign w:val="center"/>
          </w:tcPr>
          <w:p w14:paraId="5FFF74C6" w14:textId="77777777" w:rsidR="00DD45D6" w:rsidRDefault="00285655">
            <w:pPr>
              <w:spacing w:after="0"/>
              <w:jc w:val="left"/>
            </w:pPr>
            <w:r>
              <w:rPr>
                <w:rFonts w:eastAsia="Times New Roman"/>
                <w:sz w:val="15"/>
              </w:rPr>
              <w:t>(Dong et al., 2025; Sharma &amp; Lashkari, 2025)</w:t>
            </w:r>
          </w:p>
        </w:tc>
      </w:tr>
      <w:tr w:rsidR="00DD45D6" w14:paraId="54B34ACF" w14:textId="77777777">
        <w:trPr>
          <w:cantSplit/>
          <w:jc w:val="center"/>
        </w:trPr>
        <w:tc>
          <w:tcPr>
            <w:tcW w:w="1296" w:type="dxa"/>
            <w:tcMar>
              <w:top w:w="80" w:type="dxa"/>
              <w:left w:w="85" w:type="dxa"/>
              <w:bottom w:w="80" w:type="dxa"/>
              <w:right w:w="85" w:type="dxa"/>
            </w:tcMar>
            <w:vAlign w:val="center"/>
          </w:tcPr>
          <w:p w14:paraId="51C6ABBE" w14:textId="77777777" w:rsidR="00DD45D6" w:rsidRDefault="00285655">
            <w:pPr>
              <w:spacing w:after="0"/>
              <w:jc w:val="left"/>
            </w:pPr>
            <w:r>
              <w:rPr>
                <w:rFonts w:eastAsia="Times New Roman"/>
                <w:sz w:val="15"/>
              </w:rPr>
              <w:t>Automated response</w:t>
            </w:r>
          </w:p>
        </w:tc>
        <w:tc>
          <w:tcPr>
            <w:tcW w:w="1728" w:type="dxa"/>
            <w:tcMar>
              <w:top w:w="80" w:type="dxa"/>
              <w:left w:w="85" w:type="dxa"/>
              <w:bottom w:w="80" w:type="dxa"/>
              <w:right w:w="85" w:type="dxa"/>
            </w:tcMar>
            <w:vAlign w:val="center"/>
          </w:tcPr>
          <w:p w14:paraId="4DB7668C" w14:textId="77777777" w:rsidR="00DD45D6" w:rsidRDefault="00285655">
            <w:pPr>
              <w:spacing w:after="0"/>
              <w:jc w:val="left"/>
            </w:pPr>
            <w:r>
              <w:rPr>
                <w:rFonts w:eastAsia="Times New Roman"/>
                <w:sz w:val="15"/>
              </w:rPr>
              <w:t>Correlated alerts, identity context and network or workload telemetry.</w:t>
            </w:r>
          </w:p>
        </w:tc>
        <w:tc>
          <w:tcPr>
            <w:tcW w:w="1728" w:type="dxa"/>
            <w:tcMar>
              <w:top w:w="80" w:type="dxa"/>
              <w:left w:w="85" w:type="dxa"/>
              <w:bottom w:w="80" w:type="dxa"/>
              <w:right w:w="85" w:type="dxa"/>
            </w:tcMar>
            <w:vAlign w:val="center"/>
          </w:tcPr>
          <w:p w14:paraId="0FE5F07D" w14:textId="77777777" w:rsidR="00DD45D6" w:rsidRDefault="00285655">
            <w:pPr>
              <w:spacing w:after="0"/>
              <w:jc w:val="left"/>
            </w:pPr>
            <w:r>
              <w:rPr>
                <w:rFonts w:eastAsia="Times New Roman"/>
                <w:sz w:val="15"/>
              </w:rPr>
              <w:t>Reduces time from detection to containment.</w:t>
            </w:r>
          </w:p>
        </w:tc>
        <w:tc>
          <w:tcPr>
            <w:tcW w:w="2088" w:type="dxa"/>
            <w:tcMar>
              <w:top w:w="80" w:type="dxa"/>
              <w:left w:w="85" w:type="dxa"/>
              <w:bottom w:w="80" w:type="dxa"/>
              <w:right w:w="85" w:type="dxa"/>
            </w:tcMar>
            <w:vAlign w:val="center"/>
          </w:tcPr>
          <w:p w14:paraId="0347A6E8" w14:textId="77777777" w:rsidR="00DD45D6" w:rsidRDefault="00285655">
            <w:pPr>
              <w:spacing w:after="0"/>
              <w:jc w:val="left"/>
            </w:pPr>
            <w:r>
              <w:rPr>
                <w:rFonts w:eastAsia="Times New Roman"/>
                <w:sz w:val="15"/>
              </w:rPr>
              <w:t>False positives or compromised control logic can create rapid availability impact.</w:t>
            </w:r>
          </w:p>
        </w:tc>
        <w:tc>
          <w:tcPr>
            <w:tcW w:w="1944" w:type="dxa"/>
            <w:tcMar>
              <w:top w:w="80" w:type="dxa"/>
              <w:left w:w="85" w:type="dxa"/>
              <w:bottom w:w="80" w:type="dxa"/>
              <w:right w:w="85" w:type="dxa"/>
            </w:tcMar>
            <w:vAlign w:val="center"/>
          </w:tcPr>
          <w:p w14:paraId="6EDACE4C" w14:textId="77777777" w:rsidR="00DD45D6" w:rsidRDefault="00285655">
            <w:pPr>
              <w:spacing w:after="0"/>
              <w:jc w:val="left"/>
            </w:pPr>
            <w:r>
              <w:rPr>
                <w:rFonts w:eastAsia="Times New Roman"/>
                <w:sz w:val="15"/>
              </w:rPr>
              <w:t>Use scoped, reversible actions and confidence-sensitive escalation.</w:t>
            </w:r>
          </w:p>
        </w:tc>
        <w:tc>
          <w:tcPr>
            <w:tcW w:w="1584" w:type="dxa"/>
            <w:tcMar>
              <w:top w:w="80" w:type="dxa"/>
              <w:left w:w="85" w:type="dxa"/>
              <w:bottom w:w="80" w:type="dxa"/>
              <w:right w:w="85" w:type="dxa"/>
            </w:tcMar>
            <w:vAlign w:val="center"/>
          </w:tcPr>
          <w:p w14:paraId="5B292668" w14:textId="77777777" w:rsidR="00DD45D6" w:rsidRDefault="00285655">
            <w:pPr>
              <w:spacing w:after="0"/>
              <w:jc w:val="left"/>
            </w:pPr>
            <w:r>
              <w:rPr>
                <w:rFonts w:eastAsia="Times New Roman"/>
                <w:sz w:val="15"/>
              </w:rPr>
              <w:t>(Correa Chica et al., 2020; Yürekten &amp; Demirci, 2021)</w:t>
            </w:r>
          </w:p>
        </w:tc>
      </w:tr>
    </w:tbl>
    <w:p w14:paraId="7D49B7AB" w14:textId="77777777" w:rsidR="00DD45D6" w:rsidRDefault="00285655">
      <w:pPr>
        <w:spacing w:before="80" w:after="160" w:line="240" w:lineRule="auto"/>
      </w:pPr>
      <w:r>
        <w:rPr>
          <w:rFonts w:eastAsia="Times New Roman"/>
          <w:i/>
          <w:sz w:val="17"/>
        </w:rPr>
        <w:t>Note. IDS = intrusion detection system.</w:t>
      </w:r>
    </w:p>
    <w:p w14:paraId="10181E79" w14:textId="77777777" w:rsidR="00DD45D6" w:rsidRDefault="00285655">
      <w:pPr>
        <w:pStyle w:val="Heading1"/>
      </w:pPr>
      <w:r>
        <w:lastRenderedPageBreak/>
        <w:t>7. Resilience Beyond Prevention: DDoS, Routing Security and Adaptive Defence</w:t>
      </w:r>
    </w:p>
    <w:p w14:paraId="0855CB79" w14:textId="77777777" w:rsidR="00DD45D6" w:rsidRDefault="00285655">
      <w:pPr>
        <w:pStyle w:val="Heading2"/>
        <w:ind w:firstLine="0"/>
      </w:pPr>
      <w:r>
        <w:t>7.1 Distributed Denial-of-Service Defence as an Architectural Problem</w:t>
      </w:r>
    </w:p>
    <w:p w14:paraId="5E6B8752" w14:textId="77777777" w:rsidR="00DD45D6" w:rsidRDefault="00285655">
      <w:pPr>
        <w:ind w:firstLine="0"/>
      </w:pPr>
      <w:r>
        <w:rPr>
          <w:rFonts w:eastAsia="Times New Roman"/>
        </w:rPr>
        <w:t>DDoS attacks expose a limit of access-control-centric security: a network can make correct identity and authorisation decisions while still becoming unavailable because links, state tables, application resources or upstream infrastructure are exhausted. The DDoS literature has long classified attacks by exploited resource and defence by the location and timing of detection, filtering and traceback (Douligeris &amp; Mitrokotsa, 2004; Mirkovic &amp; Reiher, 2004). Later synthesis reinforces that effective defence rarely resides at one layer. Source-side controls, network filtering, rate limiting, scrubbing, anycast distribution, application protection and victim-side response address different attack conditions, and their usefulness depends on where congestion occurs (Zargar et al., 2013).</w:t>
      </w:r>
    </w:p>
    <w:p w14:paraId="5E332EA0" w14:textId="77777777" w:rsidR="00DD45D6" w:rsidRDefault="00285655">
      <w:r>
        <w:rPr>
          <w:rFonts w:eastAsia="Times New Roman"/>
        </w:rPr>
        <w:t>The growth of IoT botnets made this distributed character more consequential. Mirai demonstrated how large numbers of poorly secured devices could be recruited to generate substantial attack traffic and diversified attack modes (Kolias et al., 2017). For network architecture, the lesson is twofold. First, enterprise controls cannot assume that attack sources are scarce, stable or economically costly to the adversary. Secondly, victim-side security may be unable to protect an already saturated access link. Resilience therefore requires upstream coordination, scalable traffic absorption and service architecture in addition to local detection and filtering.</w:t>
      </w:r>
    </w:p>
    <w:p w14:paraId="6C90A828" w14:textId="77777777" w:rsidR="00DD45D6" w:rsidRDefault="00285655">
      <w:r>
        <w:rPr>
          <w:rFonts w:eastAsia="Times New Roman"/>
        </w:rPr>
        <w:t>Programmability can improve DDoS response by redirecting or filtering traffic rapidly, but it does not remove capacity constraints. SDN-based mitigation is useful where flow rules can be pushed close to attack paths, while NFV can instantiate or scale security functions. Yet the control plane and orchestration system can themselves become targets during attack surges. An architecture that depends on real-time central decisions for every anomalous flow may fail under exactly the load conditions it is designed to mitigate. Precomputed policies, local rate limits and graceful degradation are therefore important complements to central orchestration.</w:t>
      </w:r>
    </w:p>
    <w:p w14:paraId="0490064A" w14:textId="77777777" w:rsidR="00DD45D6" w:rsidRDefault="00285655">
      <w:pPr>
        <w:pStyle w:val="Heading2"/>
      </w:pPr>
      <w:r>
        <w:t>7.2 Routing Security and the Limits of Partial Deployment</w:t>
      </w:r>
    </w:p>
    <w:p w14:paraId="244DECD2" w14:textId="77777777" w:rsidR="00DD45D6" w:rsidRDefault="00285655">
      <w:pPr>
        <w:ind w:firstLine="0"/>
      </w:pPr>
      <w:r>
        <w:rPr>
          <w:rFonts w:eastAsia="Times New Roman"/>
        </w:rPr>
        <w:t>Interdomain routing introduces risks that enterprise access policy cannot directly control. The Border Gateway Protocol (BGP) coordinates reachability among autonomous systems but historically lacked strong built-in origin authentication. RPKI provides a cryptographic framework through which address holders can authorise route origins, allowing networks to perform route-origin validation. Longitudinal analysis indicates that deployment and operational practices have matured, and that invalid route origins can be identified and filtered more systematically as adoption expands (Chung et al., 2019). This is meaningful progress because it strengthens a foundational layer on which higher-level secure services depend.</w:t>
      </w:r>
    </w:p>
    <w:p w14:paraId="5C830702" w14:textId="77777777" w:rsidR="00DD45D6" w:rsidRDefault="00285655">
      <w:r>
        <w:rPr>
          <w:rFonts w:eastAsia="Times New Roman"/>
        </w:rPr>
        <w:t>RPKI nevertheless addresses origin validity rather than every form of path manipulation. Routing-security benefits also depend on whether networks create route origin authorisations correctly, perform validation, and apply routing policy to invalid announcements. Partial deployment is therefore unavoidable during transition. Lychev et al. (2013) showed that security mechanisms deployed incrementally can yield less benefit than expected and can interact with existing routing preferences in complex ways. The broader architectural insight is that distributed security protocols should be assessed under realistic adoption patterns rather than assuming universal compliance.</w:t>
      </w:r>
    </w:p>
    <w:p w14:paraId="29B0C5F3" w14:textId="77777777" w:rsidR="00DD45D6" w:rsidRDefault="00285655">
      <w:r>
        <w:rPr>
          <w:rFonts w:eastAsia="Times New Roman"/>
        </w:rPr>
        <w:t>This has practical implications for enterprises adopting zero trust or SASE. A user may be strongly authenticated and a policy decision may be correct, yet the path to the policy service, identity provider or application still relies on routing and naming infrastructure. Modern architecture therefore depends on lower-layer resilience even when trust decisions are made at higher layers. Route security, DNS protection, multi-homing and service redundancy are not legacy concerns displaced by identity-centric security; they are prerequisites for dependable access to identity-centric controls.</w:t>
      </w:r>
    </w:p>
    <w:p w14:paraId="7DA6B62B" w14:textId="77777777" w:rsidR="00DD45D6" w:rsidRDefault="00285655">
      <w:pPr>
        <w:pStyle w:val="Heading2"/>
      </w:pPr>
      <w:r>
        <w:lastRenderedPageBreak/>
        <w:t>7.3 Moving-Target Defence and Cyber Deception</w:t>
      </w:r>
    </w:p>
    <w:p w14:paraId="7FA786FA" w14:textId="77777777" w:rsidR="00DD45D6" w:rsidRDefault="00285655">
      <w:pPr>
        <w:ind w:firstLine="0"/>
      </w:pPr>
      <w:r>
        <w:rPr>
          <w:rFonts w:eastAsia="Times New Roman"/>
        </w:rPr>
        <w:t>Moving-target defence (MTD) seeks to reduce an attacker's advantage by changing system attributes, configurations, addresses, routes or attack surfaces over time. Cho et al. (2020) describe MTD as a proactive and adaptive defence family intended to increase adversary uncertainty and effort. In network contexts, potential mechanisms include address mutation, route changes, dynamic topology, service relocation and configuration diversity. These mechanisms can complement segmentation and SDN because programmability makes controlled change more feasible than in static infrastructures.</w:t>
      </w:r>
    </w:p>
    <w:p w14:paraId="58F232A9" w14:textId="77777777" w:rsidR="00DD45D6" w:rsidRDefault="00285655">
      <w:r>
        <w:rPr>
          <w:rFonts w:eastAsia="Times New Roman"/>
        </w:rPr>
        <w:t>The main evidential challenge is measuring whether increased uncertainty translates into meaningful security without excessive operational cost. A defence that changes addresses or paths too frequently can complicate troubleshooting, observability and legitimate sessions. Simulation can demonstrate reduced attack success under specified assumptions, but production networks contain stateful applications, latency constraints and dependencies that limit arbitrary movement. MTD therefore requires evaluation of disruption, recovery, attacker adaptation and management overhead in addition to security effect. Its strongest role may be targeted use around high-value services rather than pervasive randomisation.</w:t>
      </w:r>
    </w:p>
    <w:p w14:paraId="5E8E5163" w14:textId="77777777" w:rsidR="00DD45D6" w:rsidRDefault="00285655">
      <w:r>
        <w:rPr>
          <w:rFonts w:eastAsia="Times New Roman"/>
        </w:rPr>
        <w:t>Cyber deception takes a related but distinct approach by presenting false assets, credentials, services or information intended to detect or influence attackers. Pawlick et al. (2019) organise defensive deception using game-theoretic models in which defender and attacker choices interact. Such modelling is valuable because deception effectiveness depends on what the attacker believes and how the defender anticipates adaptation. Yet model assumptions about rationality, information and pay-offs can be difficult to validate empirically. Operational deception must also avoid interfering with legitimate users or creating artefacts so unrealistic that experienced attackers discount them.</w:t>
      </w:r>
    </w:p>
    <w:p w14:paraId="14D5348F" w14:textId="77777777" w:rsidR="00DD45D6" w:rsidRDefault="00285655">
      <w:r>
        <w:rPr>
          <w:rFonts w:eastAsia="Times New Roman"/>
        </w:rPr>
        <w:t>Table 5 shows why resilience should be treated as a distinct architectural dimension. DDoS defence depends on capacity and distributed filtering, routing security depends on ecosystem adoption, and MTD and deception depend on attacker response and operational tolerability. None of these properties is delivered automatically by zero trust, cloud-native identity or SASE. A mature network-security architecture must therefore combine preventive trust controls with mechanisms that preserve availability, trustworthy reachability and defensive adaptability when prevention is incomplete.</w:t>
      </w:r>
    </w:p>
    <w:p w14:paraId="524E1383" w14:textId="77777777" w:rsidR="00DD45D6" w:rsidRDefault="00285655">
      <w:pPr>
        <w:keepNext/>
        <w:spacing w:before="140" w:after="100"/>
      </w:pPr>
      <w:r>
        <w:rPr>
          <w:rFonts w:eastAsia="Times New Roman"/>
          <w:b/>
          <w:sz w:val="21"/>
        </w:rPr>
        <w:t>Table 5. Resilience mechanisms that complement identity- and policy-centric architectures</w:t>
      </w:r>
    </w:p>
    <w:tbl>
      <w:tblPr>
        <w:tblStyle w:val="TableGrid"/>
        <w:tblW w:w="0" w:type="auto"/>
        <w:jc w:val="center"/>
        <w:tblLayout w:type="fixed"/>
        <w:tblLook w:val="04A0" w:firstRow="1" w:lastRow="0" w:firstColumn="1" w:lastColumn="0" w:noHBand="0" w:noVBand="1"/>
      </w:tblPr>
      <w:tblGrid>
        <w:gridCol w:w="1296"/>
        <w:gridCol w:w="1728"/>
        <w:gridCol w:w="1728"/>
        <w:gridCol w:w="2088"/>
        <w:gridCol w:w="1944"/>
        <w:gridCol w:w="1584"/>
      </w:tblGrid>
      <w:tr w:rsidR="00DD45D6" w14:paraId="79063FE3" w14:textId="77777777">
        <w:trPr>
          <w:tblHeader/>
          <w:jc w:val="center"/>
        </w:trPr>
        <w:tc>
          <w:tcPr>
            <w:tcW w:w="1296" w:type="dxa"/>
            <w:shd w:val="clear" w:color="auto" w:fill="D9E1F2"/>
            <w:tcMar>
              <w:top w:w="85" w:type="dxa"/>
              <w:left w:w="85" w:type="dxa"/>
              <w:bottom w:w="85" w:type="dxa"/>
              <w:right w:w="85" w:type="dxa"/>
            </w:tcMar>
            <w:vAlign w:val="center"/>
          </w:tcPr>
          <w:p w14:paraId="184F5FF5" w14:textId="77777777" w:rsidR="00DD45D6" w:rsidRDefault="00285655">
            <w:pPr>
              <w:spacing w:after="0"/>
              <w:jc w:val="center"/>
            </w:pPr>
            <w:r>
              <w:rPr>
                <w:rFonts w:eastAsia="Times New Roman"/>
                <w:b/>
                <w:sz w:val="15"/>
              </w:rPr>
              <w:t>Defence problem</w:t>
            </w:r>
          </w:p>
        </w:tc>
        <w:tc>
          <w:tcPr>
            <w:tcW w:w="1728" w:type="dxa"/>
            <w:shd w:val="clear" w:color="auto" w:fill="D9E1F2"/>
            <w:tcMar>
              <w:top w:w="85" w:type="dxa"/>
              <w:left w:w="85" w:type="dxa"/>
              <w:bottom w:w="85" w:type="dxa"/>
              <w:right w:w="85" w:type="dxa"/>
            </w:tcMar>
            <w:vAlign w:val="center"/>
          </w:tcPr>
          <w:p w14:paraId="38210BE7" w14:textId="77777777" w:rsidR="00DD45D6" w:rsidRDefault="00285655">
            <w:pPr>
              <w:spacing w:after="0"/>
              <w:jc w:val="center"/>
            </w:pPr>
            <w:r>
              <w:rPr>
                <w:rFonts w:eastAsia="Times New Roman"/>
                <w:b/>
                <w:sz w:val="15"/>
              </w:rPr>
              <w:t>Architecture or strategy</w:t>
            </w:r>
          </w:p>
        </w:tc>
        <w:tc>
          <w:tcPr>
            <w:tcW w:w="1728" w:type="dxa"/>
            <w:shd w:val="clear" w:color="auto" w:fill="D9E1F2"/>
            <w:tcMar>
              <w:top w:w="85" w:type="dxa"/>
              <w:left w:w="85" w:type="dxa"/>
              <w:bottom w:w="85" w:type="dxa"/>
              <w:right w:w="85" w:type="dxa"/>
            </w:tcMar>
            <w:vAlign w:val="center"/>
          </w:tcPr>
          <w:p w14:paraId="66D264D9" w14:textId="77777777" w:rsidR="00DD45D6" w:rsidRDefault="00285655">
            <w:pPr>
              <w:spacing w:after="0"/>
              <w:jc w:val="center"/>
            </w:pPr>
            <w:r>
              <w:rPr>
                <w:rFonts w:eastAsia="Times New Roman"/>
                <w:b/>
                <w:sz w:val="15"/>
              </w:rPr>
              <w:t>What the evidence supports</w:t>
            </w:r>
          </w:p>
        </w:tc>
        <w:tc>
          <w:tcPr>
            <w:tcW w:w="2088" w:type="dxa"/>
            <w:shd w:val="clear" w:color="auto" w:fill="D9E1F2"/>
            <w:tcMar>
              <w:top w:w="85" w:type="dxa"/>
              <w:left w:w="85" w:type="dxa"/>
              <w:bottom w:w="85" w:type="dxa"/>
              <w:right w:w="85" w:type="dxa"/>
            </w:tcMar>
            <w:vAlign w:val="center"/>
          </w:tcPr>
          <w:p w14:paraId="3073C10F" w14:textId="77777777" w:rsidR="00DD45D6" w:rsidRDefault="00285655">
            <w:pPr>
              <w:spacing w:after="0"/>
              <w:jc w:val="center"/>
            </w:pPr>
            <w:r>
              <w:rPr>
                <w:rFonts w:eastAsia="Times New Roman"/>
                <w:b/>
                <w:sz w:val="15"/>
              </w:rPr>
              <w:t>Residual limitation</w:t>
            </w:r>
          </w:p>
        </w:tc>
        <w:tc>
          <w:tcPr>
            <w:tcW w:w="1944" w:type="dxa"/>
            <w:shd w:val="clear" w:color="auto" w:fill="D9E1F2"/>
            <w:tcMar>
              <w:top w:w="85" w:type="dxa"/>
              <w:left w:w="85" w:type="dxa"/>
              <w:bottom w:w="85" w:type="dxa"/>
              <w:right w:w="85" w:type="dxa"/>
            </w:tcMar>
            <w:vAlign w:val="center"/>
          </w:tcPr>
          <w:p w14:paraId="63C22953" w14:textId="77777777" w:rsidR="00DD45D6" w:rsidRDefault="00285655">
            <w:pPr>
              <w:spacing w:after="0"/>
              <w:jc w:val="center"/>
            </w:pPr>
            <w:r>
              <w:rPr>
                <w:rFonts w:eastAsia="Times New Roman"/>
                <w:b/>
                <w:sz w:val="15"/>
              </w:rPr>
              <w:t>Integration priority</w:t>
            </w:r>
          </w:p>
        </w:tc>
        <w:tc>
          <w:tcPr>
            <w:tcW w:w="1584" w:type="dxa"/>
            <w:shd w:val="clear" w:color="auto" w:fill="D9E1F2"/>
            <w:tcMar>
              <w:top w:w="85" w:type="dxa"/>
              <w:left w:w="85" w:type="dxa"/>
              <w:bottom w:w="85" w:type="dxa"/>
              <w:right w:w="85" w:type="dxa"/>
            </w:tcMar>
            <w:vAlign w:val="center"/>
          </w:tcPr>
          <w:p w14:paraId="2AB83CEE" w14:textId="77777777" w:rsidR="00DD45D6" w:rsidRDefault="00285655">
            <w:pPr>
              <w:spacing w:after="0"/>
              <w:jc w:val="center"/>
            </w:pPr>
            <w:r>
              <w:rPr>
                <w:rFonts w:eastAsia="Times New Roman"/>
                <w:b/>
                <w:sz w:val="15"/>
              </w:rPr>
              <w:t>Supporting references</w:t>
            </w:r>
          </w:p>
        </w:tc>
      </w:tr>
      <w:tr w:rsidR="00DD45D6" w14:paraId="4E5AB2D6" w14:textId="77777777">
        <w:trPr>
          <w:cantSplit/>
          <w:jc w:val="center"/>
        </w:trPr>
        <w:tc>
          <w:tcPr>
            <w:tcW w:w="1296" w:type="dxa"/>
            <w:tcMar>
              <w:top w:w="80" w:type="dxa"/>
              <w:left w:w="85" w:type="dxa"/>
              <w:bottom w:w="80" w:type="dxa"/>
              <w:right w:w="85" w:type="dxa"/>
            </w:tcMar>
            <w:vAlign w:val="center"/>
          </w:tcPr>
          <w:p w14:paraId="7FCDE7F7" w14:textId="77777777" w:rsidR="00DD45D6" w:rsidRDefault="00285655">
            <w:pPr>
              <w:spacing w:after="0"/>
              <w:jc w:val="left"/>
            </w:pPr>
            <w:r>
              <w:rPr>
                <w:rFonts w:eastAsia="Times New Roman"/>
                <w:sz w:val="15"/>
              </w:rPr>
              <w:t>Volumetric and protocol DDoS</w:t>
            </w:r>
          </w:p>
        </w:tc>
        <w:tc>
          <w:tcPr>
            <w:tcW w:w="1728" w:type="dxa"/>
            <w:tcMar>
              <w:top w:w="80" w:type="dxa"/>
              <w:left w:w="85" w:type="dxa"/>
              <w:bottom w:w="80" w:type="dxa"/>
              <w:right w:w="85" w:type="dxa"/>
            </w:tcMar>
            <w:vAlign w:val="center"/>
          </w:tcPr>
          <w:p w14:paraId="1948DC5A" w14:textId="77777777" w:rsidR="00DD45D6" w:rsidRDefault="00285655">
            <w:pPr>
              <w:spacing w:after="0"/>
              <w:jc w:val="left"/>
            </w:pPr>
            <w:r>
              <w:rPr>
                <w:rFonts w:eastAsia="Times New Roman"/>
                <w:sz w:val="15"/>
              </w:rPr>
              <w:t>Distributed filtering, rate limiting, scrubbing and layered mitigation.</w:t>
            </w:r>
          </w:p>
        </w:tc>
        <w:tc>
          <w:tcPr>
            <w:tcW w:w="1728" w:type="dxa"/>
            <w:tcMar>
              <w:top w:w="80" w:type="dxa"/>
              <w:left w:w="85" w:type="dxa"/>
              <w:bottom w:w="80" w:type="dxa"/>
              <w:right w:w="85" w:type="dxa"/>
            </w:tcMar>
            <w:vAlign w:val="center"/>
          </w:tcPr>
          <w:p w14:paraId="1B3A38A5" w14:textId="77777777" w:rsidR="00DD45D6" w:rsidRDefault="00285655">
            <w:pPr>
              <w:spacing w:after="0"/>
              <w:jc w:val="left"/>
            </w:pPr>
            <w:r>
              <w:rPr>
                <w:rFonts w:eastAsia="Times New Roman"/>
                <w:sz w:val="15"/>
              </w:rPr>
              <w:t>No single defence location is sufficient across all DDoS classes; layered and distributed response is necessary.</w:t>
            </w:r>
          </w:p>
        </w:tc>
        <w:tc>
          <w:tcPr>
            <w:tcW w:w="2088" w:type="dxa"/>
            <w:tcMar>
              <w:top w:w="80" w:type="dxa"/>
              <w:left w:w="85" w:type="dxa"/>
              <w:bottom w:w="80" w:type="dxa"/>
              <w:right w:w="85" w:type="dxa"/>
            </w:tcMar>
            <w:vAlign w:val="center"/>
          </w:tcPr>
          <w:p w14:paraId="239BE484" w14:textId="77777777" w:rsidR="00DD45D6" w:rsidRDefault="00285655">
            <w:pPr>
              <w:spacing w:after="0"/>
              <w:jc w:val="left"/>
            </w:pPr>
            <w:r>
              <w:rPr>
                <w:rFonts w:eastAsia="Times New Roman"/>
                <w:sz w:val="15"/>
              </w:rPr>
              <w:t>Victim-side controls cannot recover bandwidth already saturated upstream.</w:t>
            </w:r>
          </w:p>
        </w:tc>
        <w:tc>
          <w:tcPr>
            <w:tcW w:w="1944" w:type="dxa"/>
            <w:tcMar>
              <w:top w:w="80" w:type="dxa"/>
              <w:left w:w="85" w:type="dxa"/>
              <w:bottom w:w="80" w:type="dxa"/>
              <w:right w:w="85" w:type="dxa"/>
            </w:tcMar>
            <w:vAlign w:val="center"/>
          </w:tcPr>
          <w:p w14:paraId="2E9A55E0" w14:textId="77777777" w:rsidR="00DD45D6" w:rsidRDefault="00285655">
            <w:pPr>
              <w:spacing w:after="0"/>
              <w:jc w:val="left"/>
            </w:pPr>
            <w:r>
              <w:rPr>
                <w:rFonts w:eastAsia="Times New Roman"/>
                <w:sz w:val="15"/>
              </w:rPr>
              <w:t>Coordinate local controls with upstream capacity and safe degraded service modes.</w:t>
            </w:r>
          </w:p>
        </w:tc>
        <w:tc>
          <w:tcPr>
            <w:tcW w:w="1584" w:type="dxa"/>
            <w:tcMar>
              <w:top w:w="80" w:type="dxa"/>
              <w:left w:w="85" w:type="dxa"/>
              <w:bottom w:w="80" w:type="dxa"/>
              <w:right w:w="85" w:type="dxa"/>
            </w:tcMar>
            <w:vAlign w:val="center"/>
          </w:tcPr>
          <w:p w14:paraId="71DD3582" w14:textId="77777777" w:rsidR="00DD45D6" w:rsidRDefault="00285655">
            <w:pPr>
              <w:spacing w:after="0"/>
              <w:jc w:val="left"/>
            </w:pPr>
            <w:r>
              <w:rPr>
                <w:rFonts w:eastAsia="Times New Roman"/>
                <w:sz w:val="15"/>
              </w:rPr>
              <w:t>(Douligeris &amp; Mitrokotsa, 2004; Mirkovic &amp; Reiher, 2004; Zargar et al., 2013)</w:t>
            </w:r>
          </w:p>
        </w:tc>
      </w:tr>
      <w:tr w:rsidR="00DD45D6" w14:paraId="01589886" w14:textId="77777777">
        <w:trPr>
          <w:cantSplit/>
          <w:jc w:val="center"/>
        </w:trPr>
        <w:tc>
          <w:tcPr>
            <w:tcW w:w="1296" w:type="dxa"/>
            <w:tcMar>
              <w:top w:w="80" w:type="dxa"/>
              <w:left w:w="85" w:type="dxa"/>
              <w:bottom w:w="80" w:type="dxa"/>
              <w:right w:w="85" w:type="dxa"/>
            </w:tcMar>
            <w:vAlign w:val="center"/>
          </w:tcPr>
          <w:p w14:paraId="088BAA44" w14:textId="77777777" w:rsidR="00DD45D6" w:rsidRDefault="00285655">
            <w:pPr>
              <w:spacing w:after="0"/>
              <w:jc w:val="left"/>
            </w:pPr>
            <w:r>
              <w:rPr>
                <w:rFonts w:eastAsia="Times New Roman"/>
                <w:sz w:val="15"/>
              </w:rPr>
              <w:t>IoT botnet DDoS</w:t>
            </w:r>
          </w:p>
        </w:tc>
        <w:tc>
          <w:tcPr>
            <w:tcW w:w="1728" w:type="dxa"/>
            <w:tcMar>
              <w:top w:w="80" w:type="dxa"/>
              <w:left w:w="85" w:type="dxa"/>
              <w:bottom w:w="80" w:type="dxa"/>
              <w:right w:w="85" w:type="dxa"/>
            </w:tcMar>
            <w:vAlign w:val="center"/>
          </w:tcPr>
          <w:p w14:paraId="710FA31B" w14:textId="77777777" w:rsidR="00DD45D6" w:rsidRDefault="00285655">
            <w:pPr>
              <w:spacing w:after="0"/>
              <w:jc w:val="left"/>
            </w:pPr>
            <w:r>
              <w:rPr>
                <w:rFonts w:eastAsia="Times New Roman"/>
                <w:sz w:val="15"/>
              </w:rPr>
              <w:t>Source hardening plus scalable network and service-side mitigation.</w:t>
            </w:r>
          </w:p>
        </w:tc>
        <w:tc>
          <w:tcPr>
            <w:tcW w:w="1728" w:type="dxa"/>
            <w:tcMar>
              <w:top w:w="80" w:type="dxa"/>
              <w:left w:w="85" w:type="dxa"/>
              <w:bottom w:w="80" w:type="dxa"/>
              <w:right w:w="85" w:type="dxa"/>
            </w:tcMar>
            <w:vAlign w:val="center"/>
          </w:tcPr>
          <w:p w14:paraId="7FF129AE" w14:textId="77777777" w:rsidR="00DD45D6" w:rsidRDefault="00285655">
            <w:pPr>
              <w:spacing w:after="0"/>
              <w:jc w:val="left"/>
            </w:pPr>
            <w:r>
              <w:rPr>
                <w:rFonts w:eastAsia="Times New Roman"/>
                <w:sz w:val="15"/>
              </w:rPr>
              <w:t>Botnets can recruit large populations of weakly managed devices and diversify attack traffic.</w:t>
            </w:r>
          </w:p>
        </w:tc>
        <w:tc>
          <w:tcPr>
            <w:tcW w:w="2088" w:type="dxa"/>
            <w:tcMar>
              <w:top w:w="80" w:type="dxa"/>
              <w:left w:w="85" w:type="dxa"/>
              <w:bottom w:w="80" w:type="dxa"/>
              <w:right w:w="85" w:type="dxa"/>
            </w:tcMar>
            <w:vAlign w:val="center"/>
          </w:tcPr>
          <w:p w14:paraId="61D9078C" w14:textId="77777777" w:rsidR="00DD45D6" w:rsidRDefault="00285655">
            <w:pPr>
              <w:spacing w:after="0"/>
              <w:jc w:val="left"/>
            </w:pPr>
            <w:r>
              <w:rPr>
                <w:rFonts w:eastAsia="Times New Roman"/>
                <w:sz w:val="15"/>
              </w:rPr>
              <w:t>Enterprise architecture has limited authority over remote compromised sources.</w:t>
            </w:r>
          </w:p>
        </w:tc>
        <w:tc>
          <w:tcPr>
            <w:tcW w:w="1944" w:type="dxa"/>
            <w:tcMar>
              <w:top w:w="80" w:type="dxa"/>
              <w:left w:w="85" w:type="dxa"/>
              <w:bottom w:w="80" w:type="dxa"/>
              <w:right w:w="85" w:type="dxa"/>
            </w:tcMar>
            <w:vAlign w:val="center"/>
          </w:tcPr>
          <w:p w14:paraId="5E037221" w14:textId="77777777" w:rsidR="00DD45D6" w:rsidRDefault="00285655">
            <w:pPr>
              <w:spacing w:after="0"/>
              <w:jc w:val="left"/>
            </w:pPr>
            <w:r>
              <w:rPr>
                <w:rFonts w:eastAsia="Times New Roman"/>
                <w:sz w:val="15"/>
              </w:rPr>
              <w:t>Design capacity and filtering without assuming scarce or stable attack sources.</w:t>
            </w:r>
          </w:p>
        </w:tc>
        <w:tc>
          <w:tcPr>
            <w:tcW w:w="1584" w:type="dxa"/>
            <w:tcMar>
              <w:top w:w="80" w:type="dxa"/>
              <w:left w:w="85" w:type="dxa"/>
              <w:bottom w:w="80" w:type="dxa"/>
              <w:right w:w="85" w:type="dxa"/>
            </w:tcMar>
            <w:vAlign w:val="center"/>
          </w:tcPr>
          <w:p w14:paraId="453E47E3" w14:textId="77777777" w:rsidR="00DD45D6" w:rsidRDefault="00285655">
            <w:pPr>
              <w:spacing w:after="0"/>
              <w:jc w:val="left"/>
            </w:pPr>
            <w:r>
              <w:rPr>
                <w:rFonts w:eastAsia="Times New Roman"/>
                <w:sz w:val="15"/>
              </w:rPr>
              <w:t>(Kolias et al., 2017)</w:t>
            </w:r>
          </w:p>
        </w:tc>
      </w:tr>
      <w:tr w:rsidR="00DD45D6" w14:paraId="3FDE8B7C" w14:textId="77777777">
        <w:trPr>
          <w:cantSplit/>
          <w:jc w:val="center"/>
        </w:trPr>
        <w:tc>
          <w:tcPr>
            <w:tcW w:w="1296" w:type="dxa"/>
            <w:tcMar>
              <w:top w:w="80" w:type="dxa"/>
              <w:left w:w="85" w:type="dxa"/>
              <w:bottom w:w="80" w:type="dxa"/>
              <w:right w:w="85" w:type="dxa"/>
            </w:tcMar>
            <w:vAlign w:val="center"/>
          </w:tcPr>
          <w:p w14:paraId="3EE003FA" w14:textId="77777777" w:rsidR="00DD45D6" w:rsidRDefault="00285655">
            <w:pPr>
              <w:spacing w:after="0"/>
              <w:jc w:val="left"/>
            </w:pPr>
            <w:r>
              <w:rPr>
                <w:rFonts w:eastAsia="Times New Roman"/>
                <w:sz w:val="15"/>
              </w:rPr>
              <w:t>Route-origin attacks</w:t>
            </w:r>
          </w:p>
        </w:tc>
        <w:tc>
          <w:tcPr>
            <w:tcW w:w="1728" w:type="dxa"/>
            <w:tcMar>
              <w:top w:w="80" w:type="dxa"/>
              <w:left w:w="85" w:type="dxa"/>
              <w:bottom w:w="80" w:type="dxa"/>
              <w:right w:w="85" w:type="dxa"/>
            </w:tcMar>
            <w:vAlign w:val="center"/>
          </w:tcPr>
          <w:p w14:paraId="3305699C" w14:textId="77777777" w:rsidR="00DD45D6" w:rsidRDefault="00285655">
            <w:pPr>
              <w:spacing w:after="0"/>
              <w:jc w:val="left"/>
            </w:pPr>
            <w:r>
              <w:rPr>
                <w:rFonts w:eastAsia="Times New Roman"/>
                <w:sz w:val="15"/>
              </w:rPr>
              <w:t>RPKI and route-origin validation.</w:t>
            </w:r>
          </w:p>
        </w:tc>
        <w:tc>
          <w:tcPr>
            <w:tcW w:w="1728" w:type="dxa"/>
            <w:tcMar>
              <w:top w:w="80" w:type="dxa"/>
              <w:left w:w="85" w:type="dxa"/>
              <w:bottom w:w="80" w:type="dxa"/>
              <w:right w:w="85" w:type="dxa"/>
            </w:tcMar>
            <w:vAlign w:val="center"/>
          </w:tcPr>
          <w:p w14:paraId="71B1582A" w14:textId="77777777" w:rsidR="00DD45D6" w:rsidRDefault="00285655">
            <w:pPr>
              <w:spacing w:after="0"/>
              <w:jc w:val="left"/>
            </w:pPr>
            <w:r>
              <w:rPr>
                <w:rFonts w:eastAsia="Times New Roman"/>
                <w:sz w:val="15"/>
              </w:rPr>
              <w:t>Deployment has matured and can improve identification and filtering of invalid origins.</w:t>
            </w:r>
          </w:p>
        </w:tc>
        <w:tc>
          <w:tcPr>
            <w:tcW w:w="2088" w:type="dxa"/>
            <w:tcMar>
              <w:top w:w="80" w:type="dxa"/>
              <w:left w:w="85" w:type="dxa"/>
              <w:bottom w:w="80" w:type="dxa"/>
              <w:right w:w="85" w:type="dxa"/>
            </w:tcMar>
            <w:vAlign w:val="center"/>
          </w:tcPr>
          <w:p w14:paraId="3B9042F0" w14:textId="77777777" w:rsidR="00DD45D6" w:rsidRDefault="00285655">
            <w:pPr>
              <w:spacing w:after="0"/>
              <w:jc w:val="left"/>
            </w:pPr>
            <w:r>
              <w:rPr>
                <w:rFonts w:eastAsia="Times New Roman"/>
                <w:sz w:val="15"/>
              </w:rPr>
              <w:t>Does not validate the complete AS path and depends on correct ecosystem adoption.</w:t>
            </w:r>
          </w:p>
        </w:tc>
        <w:tc>
          <w:tcPr>
            <w:tcW w:w="1944" w:type="dxa"/>
            <w:tcMar>
              <w:top w:w="80" w:type="dxa"/>
              <w:left w:w="85" w:type="dxa"/>
              <w:bottom w:w="80" w:type="dxa"/>
              <w:right w:w="85" w:type="dxa"/>
            </w:tcMar>
            <w:vAlign w:val="center"/>
          </w:tcPr>
          <w:p w14:paraId="2864B872" w14:textId="77777777" w:rsidR="00DD45D6" w:rsidRDefault="00285655">
            <w:pPr>
              <w:spacing w:after="0"/>
              <w:jc w:val="left"/>
            </w:pPr>
            <w:r>
              <w:rPr>
                <w:rFonts w:eastAsia="Times New Roman"/>
                <w:sz w:val="15"/>
              </w:rPr>
              <w:t>Protect reachability to identity and security services through routing-aware resilience.</w:t>
            </w:r>
          </w:p>
        </w:tc>
        <w:tc>
          <w:tcPr>
            <w:tcW w:w="1584" w:type="dxa"/>
            <w:tcMar>
              <w:top w:w="80" w:type="dxa"/>
              <w:left w:w="85" w:type="dxa"/>
              <w:bottom w:w="80" w:type="dxa"/>
              <w:right w:w="85" w:type="dxa"/>
            </w:tcMar>
            <w:vAlign w:val="center"/>
          </w:tcPr>
          <w:p w14:paraId="3B04BD4A" w14:textId="77777777" w:rsidR="00DD45D6" w:rsidRDefault="00285655">
            <w:pPr>
              <w:spacing w:after="0"/>
              <w:jc w:val="left"/>
            </w:pPr>
            <w:r>
              <w:rPr>
                <w:rFonts w:eastAsia="Times New Roman"/>
                <w:sz w:val="15"/>
              </w:rPr>
              <w:t>(Chung et al., 2019)</w:t>
            </w:r>
          </w:p>
        </w:tc>
      </w:tr>
      <w:tr w:rsidR="00DD45D6" w14:paraId="10808932" w14:textId="77777777">
        <w:trPr>
          <w:cantSplit/>
          <w:jc w:val="center"/>
        </w:trPr>
        <w:tc>
          <w:tcPr>
            <w:tcW w:w="1296" w:type="dxa"/>
            <w:tcMar>
              <w:top w:w="80" w:type="dxa"/>
              <w:left w:w="85" w:type="dxa"/>
              <w:bottom w:w="80" w:type="dxa"/>
              <w:right w:w="85" w:type="dxa"/>
            </w:tcMar>
            <w:vAlign w:val="center"/>
          </w:tcPr>
          <w:p w14:paraId="5799F873" w14:textId="77777777" w:rsidR="00DD45D6" w:rsidRDefault="00285655">
            <w:pPr>
              <w:spacing w:after="0"/>
              <w:jc w:val="left"/>
            </w:pPr>
            <w:r>
              <w:rPr>
                <w:rFonts w:eastAsia="Times New Roman"/>
                <w:sz w:val="15"/>
              </w:rPr>
              <w:t>Secure path transition</w:t>
            </w:r>
          </w:p>
        </w:tc>
        <w:tc>
          <w:tcPr>
            <w:tcW w:w="1728" w:type="dxa"/>
            <w:tcMar>
              <w:top w:w="80" w:type="dxa"/>
              <w:left w:w="85" w:type="dxa"/>
              <w:bottom w:w="80" w:type="dxa"/>
              <w:right w:w="85" w:type="dxa"/>
            </w:tcMar>
            <w:vAlign w:val="center"/>
          </w:tcPr>
          <w:p w14:paraId="48DD3CE7" w14:textId="77777777" w:rsidR="00DD45D6" w:rsidRDefault="00285655">
            <w:pPr>
              <w:spacing w:after="0"/>
              <w:jc w:val="left"/>
            </w:pPr>
            <w:r>
              <w:rPr>
                <w:rFonts w:eastAsia="Times New Roman"/>
                <w:sz w:val="15"/>
              </w:rPr>
              <w:t>Incremental secure BGP mechanisms under partial deployment.</w:t>
            </w:r>
          </w:p>
        </w:tc>
        <w:tc>
          <w:tcPr>
            <w:tcW w:w="1728" w:type="dxa"/>
            <w:tcMar>
              <w:top w:w="80" w:type="dxa"/>
              <w:left w:w="85" w:type="dxa"/>
              <w:bottom w:w="80" w:type="dxa"/>
              <w:right w:w="85" w:type="dxa"/>
            </w:tcMar>
            <w:vAlign w:val="center"/>
          </w:tcPr>
          <w:p w14:paraId="6A763DAF" w14:textId="77777777" w:rsidR="00DD45D6" w:rsidRDefault="00285655">
            <w:pPr>
              <w:spacing w:after="0"/>
              <w:jc w:val="left"/>
            </w:pPr>
            <w:r>
              <w:rPr>
                <w:rFonts w:eastAsia="Times New Roman"/>
                <w:sz w:val="15"/>
              </w:rPr>
              <w:t>Security gains depend on adoption level and interaction with existing routing policy.</w:t>
            </w:r>
          </w:p>
        </w:tc>
        <w:tc>
          <w:tcPr>
            <w:tcW w:w="2088" w:type="dxa"/>
            <w:tcMar>
              <w:top w:w="80" w:type="dxa"/>
              <w:left w:w="85" w:type="dxa"/>
              <w:bottom w:w="80" w:type="dxa"/>
              <w:right w:w="85" w:type="dxa"/>
            </w:tcMar>
            <w:vAlign w:val="center"/>
          </w:tcPr>
          <w:p w14:paraId="5529659F" w14:textId="77777777" w:rsidR="00DD45D6" w:rsidRDefault="00285655">
            <w:pPr>
              <w:spacing w:after="0"/>
              <w:jc w:val="left"/>
            </w:pPr>
            <w:r>
              <w:rPr>
                <w:rFonts w:eastAsia="Times New Roman"/>
                <w:sz w:val="15"/>
              </w:rPr>
              <w:t>Partial deployment can yield modest benefits and unexpected interactions.</w:t>
            </w:r>
          </w:p>
        </w:tc>
        <w:tc>
          <w:tcPr>
            <w:tcW w:w="1944" w:type="dxa"/>
            <w:tcMar>
              <w:top w:w="80" w:type="dxa"/>
              <w:left w:w="85" w:type="dxa"/>
              <w:bottom w:w="80" w:type="dxa"/>
              <w:right w:w="85" w:type="dxa"/>
            </w:tcMar>
            <w:vAlign w:val="center"/>
          </w:tcPr>
          <w:p w14:paraId="302C790D" w14:textId="77777777" w:rsidR="00DD45D6" w:rsidRDefault="00285655">
            <w:pPr>
              <w:spacing w:after="0"/>
              <w:jc w:val="left"/>
            </w:pPr>
            <w:r>
              <w:rPr>
                <w:rFonts w:eastAsia="Times New Roman"/>
                <w:sz w:val="15"/>
              </w:rPr>
              <w:t>Evaluate transition states rather than assuming universal adoption.</w:t>
            </w:r>
          </w:p>
        </w:tc>
        <w:tc>
          <w:tcPr>
            <w:tcW w:w="1584" w:type="dxa"/>
            <w:tcMar>
              <w:top w:w="80" w:type="dxa"/>
              <w:left w:w="85" w:type="dxa"/>
              <w:bottom w:w="80" w:type="dxa"/>
              <w:right w:w="85" w:type="dxa"/>
            </w:tcMar>
            <w:vAlign w:val="center"/>
          </w:tcPr>
          <w:p w14:paraId="352CBDF7" w14:textId="77777777" w:rsidR="00DD45D6" w:rsidRDefault="00285655">
            <w:pPr>
              <w:spacing w:after="0"/>
              <w:jc w:val="left"/>
            </w:pPr>
            <w:r>
              <w:rPr>
                <w:rFonts w:eastAsia="Times New Roman"/>
                <w:sz w:val="15"/>
              </w:rPr>
              <w:t>(Lychev et al., 2013)</w:t>
            </w:r>
          </w:p>
        </w:tc>
      </w:tr>
      <w:tr w:rsidR="00DD45D6" w14:paraId="0A97FD22" w14:textId="77777777">
        <w:trPr>
          <w:cantSplit/>
          <w:jc w:val="center"/>
        </w:trPr>
        <w:tc>
          <w:tcPr>
            <w:tcW w:w="1296" w:type="dxa"/>
            <w:tcMar>
              <w:top w:w="80" w:type="dxa"/>
              <w:left w:w="85" w:type="dxa"/>
              <w:bottom w:w="80" w:type="dxa"/>
              <w:right w:w="85" w:type="dxa"/>
            </w:tcMar>
            <w:vAlign w:val="center"/>
          </w:tcPr>
          <w:p w14:paraId="2E1BFC30" w14:textId="77777777" w:rsidR="00DD45D6" w:rsidRDefault="00285655">
            <w:pPr>
              <w:spacing w:after="0"/>
              <w:jc w:val="left"/>
            </w:pPr>
            <w:r>
              <w:rPr>
                <w:rFonts w:eastAsia="Times New Roman"/>
                <w:sz w:val="15"/>
              </w:rPr>
              <w:lastRenderedPageBreak/>
              <w:t>Moving-target defence</w:t>
            </w:r>
          </w:p>
        </w:tc>
        <w:tc>
          <w:tcPr>
            <w:tcW w:w="1728" w:type="dxa"/>
            <w:tcMar>
              <w:top w:w="80" w:type="dxa"/>
              <w:left w:w="85" w:type="dxa"/>
              <w:bottom w:w="80" w:type="dxa"/>
              <w:right w:w="85" w:type="dxa"/>
            </w:tcMar>
            <w:vAlign w:val="center"/>
          </w:tcPr>
          <w:p w14:paraId="02A679AF" w14:textId="77777777" w:rsidR="00DD45D6" w:rsidRDefault="00285655">
            <w:pPr>
              <w:spacing w:after="0"/>
              <w:jc w:val="left"/>
            </w:pPr>
            <w:r>
              <w:rPr>
                <w:rFonts w:eastAsia="Times New Roman"/>
                <w:sz w:val="15"/>
              </w:rPr>
              <w:t>Controlled changes to addresses, routes, topology or service exposure.</w:t>
            </w:r>
          </w:p>
        </w:tc>
        <w:tc>
          <w:tcPr>
            <w:tcW w:w="1728" w:type="dxa"/>
            <w:tcMar>
              <w:top w:w="80" w:type="dxa"/>
              <w:left w:w="85" w:type="dxa"/>
              <w:bottom w:w="80" w:type="dxa"/>
              <w:right w:w="85" w:type="dxa"/>
            </w:tcMar>
            <w:vAlign w:val="center"/>
          </w:tcPr>
          <w:p w14:paraId="4796E38C" w14:textId="77777777" w:rsidR="00DD45D6" w:rsidRDefault="00285655">
            <w:pPr>
              <w:spacing w:after="0"/>
              <w:jc w:val="left"/>
            </w:pPr>
            <w:r>
              <w:rPr>
                <w:rFonts w:eastAsia="Times New Roman"/>
                <w:sz w:val="15"/>
              </w:rPr>
              <w:t>Can increase attacker uncertainty and cost under defined threat models.</w:t>
            </w:r>
          </w:p>
        </w:tc>
        <w:tc>
          <w:tcPr>
            <w:tcW w:w="2088" w:type="dxa"/>
            <w:tcMar>
              <w:top w:w="80" w:type="dxa"/>
              <w:left w:w="85" w:type="dxa"/>
              <w:bottom w:w="80" w:type="dxa"/>
              <w:right w:w="85" w:type="dxa"/>
            </w:tcMar>
            <w:vAlign w:val="center"/>
          </w:tcPr>
          <w:p w14:paraId="02A45BD0" w14:textId="77777777" w:rsidR="00DD45D6" w:rsidRDefault="00285655">
            <w:pPr>
              <w:spacing w:after="0"/>
              <w:jc w:val="left"/>
            </w:pPr>
            <w:r>
              <w:rPr>
                <w:rFonts w:eastAsia="Times New Roman"/>
                <w:sz w:val="15"/>
              </w:rPr>
              <w:t>Operational overhead and simulation-heavy evidence limit broad generalisation.</w:t>
            </w:r>
          </w:p>
        </w:tc>
        <w:tc>
          <w:tcPr>
            <w:tcW w:w="1944" w:type="dxa"/>
            <w:tcMar>
              <w:top w:w="80" w:type="dxa"/>
              <w:left w:w="85" w:type="dxa"/>
              <w:bottom w:w="80" w:type="dxa"/>
              <w:right w:w="85" w:type="dxa"/>
            </w:tcMar>
            <w:vAlign w:val="center"/>
          </w:tcPr>
          <w:p w14:paraId="7662FEE5" w14:textId="77777777" w:rsidR="00DD45D6" w:rsidRDefault="00285655">
            <w:pPr>
              <w:spacing w:after="0"/>
              <w:jc w:val="left"/>
            </w:pPr>
            <w:r>
              <w:rPr>
                <w:rFonts w:eastAsia="Times New Roman"/>
                <w:sz w:val="15"/>
              </w:rPr>
              <w:t>Use selectively around high-value assets and measure service disruption as well as attacker delay.</w:t>
            </w:r>
          </w:p>
        </w:tc>
        <w:tc>
          <w:tcPr>
            <w:tcW w:w="1584" w:type="dxa"/>
            <w:tcMar>
              <w:top w:w="80" w:type="dxa"/>
              <w:left w:w="85" w:type="dxa"/>
              <w:bottom w:w="80" w:type="dxa"/>
              <w:right w:w="85" w:type="dxa"/>
            </w:tcMar>
            <w:vAlign w:val="center"/>
          </w:tcPr>
          <w:p w14:paraId="4ED98A35" w14:textId="77777777" w:rsidR="00DD45D6" w:rsidRDefault="00285655">
            <w:pPr>
              <w:spacing w:after="0"/>
              <w:jc w:val="left"/>
            </w:pPr>
            <w:r>
              <w:rPr>
                <w:rFonts w:eastAsia="Times New Roman"/>
                <w:sz w:val="15"/>
              </w:rPr>
              <w:t>(Cho et al., 2020)</w:t>
            </w:r>
          </w:p>
        </w:tc>
      </w:tr>
      <w:tr w:rsidR="00DD45D6" w14:paraId="3DAB95EC" w14:textId="77777777">
        <w:trPr>
          <w:cantSplit/>
          <w:jc w:val="center"/>
        </w:trPr>
        <w:tc>
          <w:tcPr>
            <w:tcW w:w="1296" w:type="dxa"/>
            <w:tcMar>
              <w:top w:w="80" w:type="dxa"/>
              <w:left w:w="85" w:type="dxa"/>
              <w:bottom w:w="80" w:type="dxa"/>
              <w:right w:w="85" w:type="dxa"/>
            </w:tcMar>
            <w:vAlign w:val="center"/>
          </w:tcPr>
          <w:p w14:paraId="03D6A7B8" w14:textId="77777777" w:rsidR="00DD45D6" w:rsidRDefault="00285655">
            <w:pPr>
              <w:spacing w:after="0"/>
              <w:jc w:val="left"/>
            </w:pPr>
            <w:r>
              <w:rPr>
                <w:rFonts w:eastAsia="Times New Roman"/>
                <w:sz w:val="15"/>
              </w:rPr>
              <w:t>Cyber deception</w:t>
            </w:r>
          </w:p>
        </w:tc>
        <w:tc>
          <w:tcPr>
            <w:tcW w:w="1728" w:type="dxa"/>
            <w:tcMar>
              <w:top w:w="80" w:type="dxa"/>
              <w:left w:w="85" w:type="dxa"/>
              <w:bottom w:w="80" w:type="dxa"/>
              <w:right w:w="85" w:type="dxa"/>
            </w:tcMar>
            <w:vAlign w:val="center"/>
          </w:tcPr>
          <w:p w14:paraId="5CECF151" w14:textId="77777777" w:rsidR="00DD45D6" w:rsidRDefault="00285655">
            <w:pPr>
              <w:spacing w:after="0"/>
              <w:jc w:val="left"/>
            </w:pPr>
            <w:r>
              <w:rPr>
                <w:rFonts w:eastAsia="Times New Roman"/>
                <w:sz w:val="15"/>
              </w:rPr>
              <w:t>Decoys, deceptive artefacts and attacker-influencing information.</w:t>
            </w:r>
          </w:p>
        </w:tc>
        <w:tc>
          <w:tcPr>
            <w:tcW w:w="1728" w:type="dxa"/>
            <w:tcMar>
              <w:top w:w="80" w:type="dxa"/>
              <w:left w:w="85" w:type="dxa"/>
              <w:bottom w:w="80" w:type="dxa"/>
              <w:right w:w="85" w:type="dxa"/>
            </w:tcMar>
            <w:vAlign w:val="center"/>
          </w:tcPr>
          <w:p w14:paraId="08F2A877" w14:textId="77777777" w:rsidR="00DD45D6" w:rsidRDefault="00285655">
            <w:pPr>
              <w:spacing w:after="0"/>
              <w:jc w:val="left"/>
            </w:pPr>
            <w:r>
              <w:rPr>
                <w:rFonts w:eastAsia="Times New Roman"/>
                <w:sz w:val="15"/>
              </w:rPr>
              <w:t>Can support detection and manipulate attacker decision-making.</w:t>
            </w:r>
          </w:p>
        </w:tc>
        <w:tc>
          <w:tcPr>
            <w:tcW w:w="2088" w:type="dxa"/>
            <w:tcMar>
              <w:top w:w="80" w:type="dxa"/>
              <w:left w:w="85" w:type="dxa"/>
              <w:bottom w:w="80" w:type="dxa"/>
              <w:right w:w="85" w:type="dxa"/>
            </w:tcMar>
            <w:vAlign w:val="center"/>
          </w:tcPr>
          <w:p w14:paraId="60359041" w14:textId="77777777" w:rsidR="00DD45D6" w:rsidRDefault="00285655">
            <w:pPr>
              <w:spacing w:after="0"/>
              <w:jc w:val="left"/>
            </w:pPr>
            <w:r>
              <w:rPr>
                <w:rFonts w:eastAsia="Times New Roman"/>
                <w:sz w:val="15"/>
              </w:rPr>
              <w:t>Effectiveness depends on attacker beliefs and modelling assumptions.</w:t>
            </w:r>
          </w:p>
        </w:tc>
        <w:tc>
          <w:tcPr>
            <w:tcW w:w="1944" w:type="dxa"/>
            <w:tcMar>
              <w:top w:w="80" w:type="dxa"/>
              <w:left w:w="85" w:type="dxa"/>
              <w:bottom w:w="80" w:type="dxa"/>
              <w:right w:w="85" w:type="dxa"/>
            </w:tcMar>
            <w:vAlign w:val="center"/>
          </w:tcPr>
          <w:p w14:paraId="01EC0235" w14:textId="77777777" w:rsidR="00DD45D6" w:rsidRDefault="00285655">
            <w:pPr>
              <w:spacing w:after="0"/>
              <w:jc w:val="left"/>
            </w:pPr>
            <w:r>
              <w:rPr>
                <w:rFonts w:eastAsia="Times New Roman"/>
                <w:sz w:val="15"/>
              </w:rPr>
              <w:t>Integrate with monitoring and validate realism against adaptive adversaries.</w:t>
            </w:r>
          </w:p>
        </w:tc>
        <w:tc>
          <w:tcPr>
            <w:tcW w:w="1584" w:type="dxa"/>
            <w:tcMar>
              <w:top w:w="80" w:type="dxa"/>
              <w:left w:w="85" w:type="dxa"/>
              <w:bottom w:w="80" w:type="dxa"/>
              <w:right w:w="85" w:type="dxa"/>
            </w:tcMar>
            <w:vAlign w:val="center"/>
          </w:tcPr>
          <w:p w14:paraId="561D50A4" w14:textId="77777777" w:rsidR="00DD45D6" w:rsidRDefault="00285655">
            <w:pPr>
              <w:spacing w:after="0"/>
              <w:jc w:val="left"/>
            </w:pPr>
            <w:r>
              <w:rPr>
                <w:rFonts w:eastAsia="Times New Roman"/>
                <w:sz w:val="15"/>
              </w:rPr>
              <w:t>(Pawlick et al., 2019)</w:t>
            </w:r>
          </w:p>
        </w:tc>
      </w:tr>
    </w:tbl>
    <w:p w14:paraId="7AA35041" w14:textId="77777777" w:rsidR="00DD45D6" w:rsidRDefault="00285655">
      <w:pPr>
        <w:spacing w:before="80" w:after="160" w:line="240" w:lineRule="auto"/>
      </w:pPr>
      <w:r>
        <w:rPr>
          <w:rFonts w:eastAsia="Times New Roman"/>
          <w:i/>
          <w:sz w:val="17"/>
        </w:rPr>
        <w:t>Note. AS = autonomous system; BGP = Border Gateway Protocol; DDoS = distributed denial-of-service; RPKI = Resource Public Key Infrastructure.</w:t>
      </w:r>
    </w:p>
    <w:p w14:paraId="664ABF6D" w14:textId="77777777" w:rsidR="00DD45D6" w:rsidRDefault="00285655">
      <w:pPr>
        <w:pStyle w:val="Heading1"/>
      </w:pPr>
      <w:r>
        <w:t>8. Cross-Architectural Trade-offs and an Integrated Defence Strategy</w:t>
      </w:r>
    </w:p>
    <w:p w14:paraId="5C9EB580" w14:textId="77777777" w:rsidR="00DD45D6" w:rsidRDefault="00285655">
      <w:pPr>
        <w:pStyle w:val="Heading2"/>
        <w:ind w:firstLine="0"/>
      </w:pPr>
      <w:r>
        <w:t>8.1 Centralisation Improves Coordination but Can Concentrate Failure</w:t>
      </w:r>
    </w:p>
    <w:p w14:paraId="4FA5E7D6" w14:textId="77777777" w:rsidR="00DD45D6" w:rsidRDefault="00285655">
      <w:pPr>
        <w:ind w:firstLine="0"/>
      </w:pPr>
      <w:r>
        <w:rPr>
          <w:rFonts w:eastAsia="Times New Roman"/>
        </w:rPr>
        <w:t>Across modern network-security architectures, centralisation repeatedly appears as both an advantage and a risk. Zero trust benefits from coherent policy decision points, SASE from converged service delivery, SDN from global network state, NFV from orchestration, service meshes from common control planes, and analytics from central correlation. Centralisation can reduce contradictory local configuration and enable rapid coordinated change. It can also increase visibility because events from multiple enforcement points can be combined into a single decision context (Chandramouli, 2022; Kreutz et al., 2015; Rose et al., 2020).</w:t>
      </w:r>
    </w:p>
    <w:p w14:paraId="2ABBCBA5" w14:textId="77777777" w:rsidR="00DD45D6" w:rsidRDefault="00285655">
      <w:r>
        <w:rPr>
          <w:rFonts w:eastAsia="Times New Roman"/>
        </w:rPr>
        <w:t>The problem is concentration of authority. Compromise of a policy engine can authorise access broadly; compromise of an SDN controller can manipulate forwarding; compromise of an orchestrator can instantiate or alter security functions; compromise of a service-mesh control plane can affect service communication; and compromise of a telemetry platform can suppress or falsify evidence. Even without adversarial compromise, software defects or configuration errors can propagate globally. The architectural value of centralisation should therefore be assessed against blast radius rather than convenience alone.</w:t>
      </w:r>
    </w:p>
    <w:p w14:paraId="018036B0" w14:textId="77777777" w:rsidR="00DD45D6" w:rsidRDefault="00285655">
      <w:r>
        <w:rPr>
          <w:rFonts w:eastAsia="Times New Roman"/>
        </w:rPr>
        <w:t>A defensible pattern is logically coherent but physically and operationally resilient control. Policy may be governed centrally while enforcement is distributed and able to preserve safe states during disconnection. Critical control services can be segmented from ordinary workloads, use strong administrative identity, support independent audit trails and avoid a single dependency path for availability. Where possible, the architecture should distinguish policy authoring, decision and enforcement privileges so that compromise of one function does not automatically provide authority over all three. This principle is consistent with SDN security concerns about controller applications and with zero trust's emphasis on explicit policy, but it must be implemented rather than assumed (Ahmad et al., 2015; Fernandez &amp; Brazhuk, 2024; Scott-Hayward et al., 2016).</w:t>
      </w:r>
    </w:p>
    <w:p w14:paraId="2EBEA4D4" w14:textId="77777777" w:rsidR="00DD45D6" w:rsidRDefault="00285655">
      <w:pPr>
        <w:pStyle w:val="Heading2"/>
      </w:pPr>
      <w:r>
        <w:t>8.2 Identity, Policy and Telemetry Form a Shared Trusted Substrate</w:t>
      </w:r>
    </w:p>
    <w:p w14:paraId="62C616E8" w14:textId="77777777" w:rsidR="00DD45D6" w:rsidRDefault="00285655">
      <w:pPr>
        <w:ind w:firstLine="0"/>
      </w:pPr>
      <w:r>
        <w:rPr>
          <w:rFonts w:eastAsia="Times New Roman"/>
        </w:rPr>
        <w:t>Identity has become a primary security coordinate because user and workload location are increasingly unstable. The shift is justified, but it creates a potential monoculture of dependence. If identity providers, certificate authorities, device-posture services or workload attestations are compromised, many otherwise independent network controls can make the same incorrect decision. Strong identity should therefore include lifecycle security: enrolment, credential issuance, rotation, recovery, revocation, privileged administration and monitoring. A policy engine cannot compensate for untrustworthy identity inputs.</w:t>
      </w:r>
    </w:p>
    <w:p w14:paraId="6469A8F8" w14:textId="77777777" w:rsidR="00DD45D6" w:rsidRDefault="00285655">
      <w:r>
        <w:rPr>
          <w:rFonts w:eastAsia="Times New Roman"/>
        </w:rPr>
        <w:t xml:space="preserve">Policy is the second shared dependency. Fine-grained control is beneficial only when intended permissions can be expressed and maintained correctly. Microsegmentation, service-mesh authorisation, cloud security groups, firewall rules and zero trust access policies can overlap. Each may be correct locally while the combined system produces unintended reachability. Research on SDN firewall conflicts illustrates the need to verify interactions between </w:t>
      </w:r>
      <w:r>
        <w:rPr>
          <w:rFonts w:eastAsia="Times New Roman"/>
        </w:rPr>
        <w:lastRenderedPageBreak/>
        <w:t>forwarding and security policy (Hu et al., 2014), while migration frameworks for zero trust emphasise phased implementation because large estates cannot safely be transformed by policy replacement in one step (Phiayura &amp; Teerakanok, 2023). Policy-as-code and automated testing can improve repeatability, but automation also reproduces errors more consistently if the underlying intent is wrong.</w:t>
      </w:r>
    </w:p>
    <w:p w14:paraId="44841CCB" w14:textId="77777777" w:rsidR="00DD45D6" w:rsidRDefault="00285655">
      <w:r>
        <w:rPr>
          <w:rFonts w:eastAsia="Times New Roman"/>
        </w:rPr>
        <w:t>Telemetry is the third shared dependency. Zero trust uses contextual signals, analytics relies on datasets and flow records, SASE depends on distributed inspection, SDN security uses controller and network state, and automated response requires timely evidence. Telemetry therefore requires its own integrity model. Missing logs, unsynchronised clocks, spoofed attributes, selective sensor failure or privacy-driven data minimisation can affect security decisions. Machine-learning research reinforces this point because models are highly sensitive to data distribution and feature quality (Ring et al., 2019; Sommer &amp; Paxson, 2010). Architectural design should specify not merely what is logged, but which decisions depend on which signals and how the system behaves when those signals are absent or contradictory.</w:t>
      </w:r>
    </w:p>
    <w:p w14:paraId="1B516466" w14:textId="77777777" w:rsidR="00DD45D6" w:rsidRDefault="00285655">
      <w:pPr>
        <w:pStyle w:val="Heading2"/>
      </w:pPr>
      <w:r>
        <w:t>8.3 Interoperability, Legacy Migration and Policy Translation</w:t>
      </w:r>
    </w:p>
    <w:p w14:paraId="1C856FEE" w14:textId="77777777" w:rsidR="00DD45D6" w:rsidRDefault="00285655">
      <w:pPr>
        <w:ind w:firstLine="0"/>
      </w:pPr>
      <w:r>
        <w:rPr>
          <w:rFonts w:eastAsia="Times New Roman"/>
        </w:rPr>
        <w:t>Modern security architectures are usually introduced into existing environments rather than built on greenfield infrastructure. Legacy applications may depend on fixed addresses, broad network access or protocols that cannot perform modern authentication. Industrial devices and IoT endpoints may have long replacement cycles. Acquisitions and multi-cloud deployments create heterogeneous identity and network models. Consequently, security improvement often depends on gateways, proxies and transitional segmentation that translate between architectures rather than on immediate end-to-end zero trust (Azad et al., 2024; Liu et al., 2024; Teerakanok et al., 2021).</w:t>
      </w:r>
    </w:p>
    <w:p w14:paraId="4623ACE4" w14:textId="77777777" w:rsidR="00DD45D6" w:rsidRDefault="00285655">
      <w:r>
        <w:rPr>
          <w:rFonts w:eastAsia="Times New Roman"/>
        </w:rPr>
        <w:t>This transitional layer is security-critical because it can silently preserve older trust assumptions. A modern ZTNA gateway that grants access to a legacy application may still expose a broad backend network if internal segmentation is weak. A service mesh may authenticate traffic between modern services while a legacy database trusts the cluster network. A SASE policy may govern user-to-cloud access while internal east-west traffic follows different rules. Architecture review should therefore trace complete attack paths across control boundaries rather than evaluating each product or domain in isolation.</w:t>
      </w:r>
    </w:p>
    <w:p w14:paraId="61AC7FD7" w14:textId="77777777" w:rsidR="00DD45D6" w:rsidRDefault="00285655">
      <w:r>
        <w:rPr>
          <w:rFonts w:eastAsia="Times New Roman"/>
        </w:rPr>
        <w:t>Interoperability also concerns semantics. A high-level policy such as "finance analysts may access the reporting service from compliant managed devices" must be translated into identity groups, device posture, application identity, network paths and logging rules. Different platforms may interpret timeouts, fail-open behaviour, group membership or certificate state differently. Independent validation is therefore essential at integration boundaries. The research literature is strongest on individual technologies and weaker on long-duration multi-vendor, multi-cloud policy consistency, which remains an important evidence gap.</w:t>
      </w:r>
    </w:p>
    <w:p w14:paraId="31B15337" w14:textId="77777777" w:rsidR="00DD45D6" w:rsidRDefault="00285655">
      <w:pPr>
        <w:pStyle w:val="Heading2"/>
      </w:pPr>
      <w:r>
        <w:t>8.4 Governance, Human Factors and Economic Evidence</w:t>
      </w:r>
    </w:p>
    <w:p w14:paraId="7AD24556" w14:textId="77777777" w:rsidR="00DD45D6" w:rsidRDefault="00285655">
      <w:pPr>
        <w:ind w:firstLine="0"/>
      </w:pPr>
      <w:r>
        <w:rPr>
          <w:rFonts w:eastAsia="Times New Roman"/>
        </w:rPr>
        <w:t>Technical architecture is only effective when organisations can operate it. Zero trust maturity research shows that implementation depends on organisational factors as well as technology, but much of the empirical literature remains expert-based or model-based rather than derived from controlled comparative enterprise studies (Adahman et al., 2022; Buck et al., 2021; Yeoh et al., 2023). The same issue affects SASE and automation: operational claims often outpace publicly available evidence on staffing, incident outcomes, user friction, false-positive cost and lifecycle expenditure.</w:t>
      </w:r>
    </w:p>
    <w:p w14:paraId="6FBAE4B5" w14:textId="77777777" w:rsidR="00DD45D6" w:rsidRDefault="00285655">
      <w:r>
        <w:rPr>
          <w:rFonts w:eastAsia="Times New Roman"/>
        </w:rPr>
        <w:t xml:space="preserve">Complexity is not merely an administrative inconvenience; it is a security property. A highly granular policy architecture can reduce attacker movement while also increasing configuration burden. If operators cannot understand effective policy, exceptions accumulate, monitoring becomes noisy and emergency bypasses may persist. Conversely, overly simplified policies can preserve manageability at the cost of excessive privilege. Human-centred </w:t>
      </w:r>
      <w:r>
        <w:rPr>
          <w:rFonts w:eastAsia="Times New Roman"/>
        </w:rPr>
        <w:lastRenderedPageBreak/>
        <w:t>evaluation should therefore include time to diagnose policy failures, quality of change review, alert workload, recovery from mistaken isolation and the effect of controls on legitimate work.</w:t>
      </w:r>
    </w:p>
    <w:p w14:paraId="6FE4E651" w14:textId="77777777" w:rsidR="00DD45D6" w:rsidRDefault="00285655">
      <w:r>
        <w:rPr>
          <w:rFonts w:eastAsia="Times New Roman"/>
        </w:rPr>
        <w:t>Economic evidence requires equal caution. Security investments prevent uncertain future losses, making counterfactual comparison difficult. Cost-effectiveness models can support decisions by making assumptions explicit, but results should not be presented as universal return-on-investment values. The costs of identity modernisation, network redesign, licence consolidation, staff training and migration disruption vary widely, as do incident probabilities and business consequences. The appropriate question is therefore whether an architecture produces a demonstrable reduction in exposure or response burden relative to its operational cost in a specified context, not whether a technology category is inherently economical.</w:t>
      </w:r>
    </w:p>
    <w:p w14:paraId="3B64A74A" w14:textId="77777777" w:rsidR="00DD45D6" w:rsidRDefault="00285655">
      <w:pPr>
        <w:pStyle w:val="Heading2"/>
      </w:pPr>
      <w:r>
        <w:t>8.5 An Integrated Defence Strategy</w:t>
      </w:r>
    </w:p>
    <w:p w14:paraId="1F729116" w14:textId="77777777" w:rsidR="00DD45D6" w:rsidRDefault="00285655">
      <w:pPr>
        <w:ind w:firstLine="0"/>
      </w:pPr>
      <w:r>
        <w:rPr>
          <w:rFonts w:eastAsia="Times New Roman"/>
        </w:rPr>
        <w:t>The evidence supports an integrated architecture built around several mutually constraining layers rather than a single dominant framework. Resource- and identity-centred access should limit initial privilege; microsegmentation should restrict lateral movement; network and application-layer enforcement should complement one another; SDN and NFV can provide programmable traffic control where their management planes are hardened; service-mesh and workload identity mechanisms can govern cloud-native east-west communication; detection should combine network, identity and workload telemetry; and availability and routing resilience should protect the infrastructure on which these controls depend (Chandramouli &amp; Butcher, 2023; Rose et al., 2020; Yürekten &amp; Demirci, 2021; Zargar et al., 2013).</w:t>
      </w:r>
    </w:p>
    <w:p w14:paraId="0934AC3F" w14:textId="77777777" w:rsidR="00DD45D6" w:rsidRDefault="00285655">
      <w:r>
        <w:rPr>
          <w:rFonts w:eastAsia="Times New Roman"/>
        </w:rPr>
        <w:t>This strategy is compositional rather than maximalist. Not every flow requires every control, and unnecessary security middleboxes or policy hops can increase latency, cost and failure probability. The architecture should assign controls according to threat, asset criticality and observability. High-value administrative paths may justify stronger continuous verification, narrow segmentation and human-approved response, while low-risk machine-to-machine traffic may be governed efficiently through stable workload identities and locally enforced policy. The objective is to minimise implicit trust and uncontrolled reachability without making normal operation dependent on an excessively fragile decision chain.</w:t>
      </w:r>
    </w:p>
    <w:p w14:paraId="44C0A9A7" w14:textId="77777777" w:rsidR="00DD45D6" w:rsidRDefault="00285655">
      <w:r>
        <w:rPr>
          <w:rFonts w:eastAsia="Times New Roman"/>
        </w:rPr>
        <w:t>The same principle applies to analytics. Machine learning can add value where it improves triage or detects behavioural patterns, but it should not displace deterministic controls when the policy condition is known. A route with an invalid origin can be handled through routing policy; a service known to be unauthorised can be blocked by explicit access rules; a compromised credential may require identity revocation. Learned models are most useful where the evidence is probabilistic and the system can preserve uncertainty. This division of labour reduces the temptation to use sophisticated analytics for problems better solved by architecture.</w:t>
      </w:r>
    </w:p>
    <w:p w14:paraId="2E39516C" w14:textId="77777777" w:rsidR="00DD45D6" w:rsidRDefault="00285655">
      <w:r>
        <w:rPr>
          <w:rFonts w:eastAsia="Times New Roman"/>
        </w:rPr>
        <w:t>Finally, integrated defence requires evaluation under failure and attack, not only under nominal traffic. Mature architecture testing should include controller loss, identity-provider outage, certificate-expiry scenarios, telemetry gaps, policy rollback, DDoS load, compromised administrative credentials, cross-cloud path changes and degraded connectivity. Such testing converts resilience from a conceptual property into an observable one. Modern network security is strongest when the system can continue enforcing safe minimum policy, preserve auditability and recover predictably even when a central component fails.</w:t>
      </w:r>
    </w:p>
    <w:p w14:paraId="67F56955" w14:textId="77777777" w:rsidR="00DD45D6" w:rsidRDefault="00285655">
      <w:pPr>
        <w:pStyle w:val="Heading1"/>
      </w:pPr>
      <w:r>
        <w:t>9. Future Directions</w:t>
      </w:r>
    </w:p>
    <w:p w14:paraId="4CD6DE8F" w14:textId="77777777" w:rsidR="00DD45D6" w:rsidRDefault="00285655">
      <w:pPr>
        <w:ind w:firstLine="0"/>
      </w:pPr>
      <w:r>
        <w:rPr>
          <w:rFonts w:eastAsia="Times New Roman"/>
        </w:rPr>
        <w:t xml:space="preserve">The most urgent research need is comparative operational evidence. Zero trust, SASE, SDN-enabled defence and service-mesh architectures are often evaluated in different contexts with different metrics, making cross-architectural claims difficult. Future studies should use longitudinal multi-site designs that measure attack-path reduction, policy-error rates, incident containment time, availability impact, administrative workload and user disruption before and </w:t>
      </w:r>
      <w:r>
        <w:rPr>
          <w:rFonts w:eastAsia="Times New Roman"/>
        </w:rPr>
        <w:lastRenderedPageBreak/>
        <w:t>after architectural change. Natural experiments and phased enterprise migrations may be particularly valuable because randomised deployment of whole network architectures is rarely feasible. Study reports should describe baseline topology, asset criticality, identity maturity and legacy constraints so that generalisability can be judged.</w:t>
      </w:r>
    </w:p>
    <w:p w14:paraId="6A24F760" w14:textId="77777777" w:rsidR="00DD45D6" w:rsidRDefault="00285655">
      <w:r>
        <w:rPr>
          <w:rFonts w:eastAsia="Times New Roman"/>
        </w:rPr>
        <w:t>A second priority is verifiable policy composition across heterogeneous enforcement layers. Research should move beyond validating one firewall, one service mesh or one SDN controller towards checking effective reachability across identity providers, ZTNA gateways, cloud security groups, microsegmentation, service meshes and legacy ACLs. Formal methods, policy-as-code testing and attack-graph analysis are promising, but they require evaluation against real configuration drift and organisational change. The key outcome should be whether the intended least-privilege relationship remains true after translation into multiple platform-specific policy systems, including during rollback and partial outage.</w:t>
      </w:r>
    </w:p>
    <w:p w14:paraId="27331F81" w14:textId="77777777" w:rsidR="00DD45D6" w:rsidRDefault="00285655">
      <w:r>
        <w:rPr>
          <w:rFonts w:eastAsia="Times New Roman"/>
        </w:rPr>
        <w:t>Third, the security of identity and telemetry infrastructure requires treatment as a network-architecture problem in its own right. Workload identity, device posture, certificate services and behavioural signals now influence access at scale. Future research should evaluate how trust decisions degrade when signals are stale, contradictory or maliciously manipulated, and should specify safe fallback behaviour. Multi-cloud experiments should examine certificate rotation, identity federation, revocation latency and policy consistency under partition. Such studies would materially strengthen the evidence behind cloud-native zero trust because they would test the assumptions on which its access decisions depend.</w:t>
      </w:r>
    </w:p>
    <w:p w14:paraId="6F4C547A" w14:textId="77777777" w:rsidR="00DD45D6" w:rsidRDefault="00285655">
      <w:r>
        <w:rPr>
          <w:rFonts w:eastAsia="Times New Roman"/>
        </w:rPr>
        <w:t>Fourth, machine-learning research for network defence needs stronger external validity. Benchmark accuracy should be supplemented by cross-time and cross-site validation, evaluation under protocol evolution, calibration of uncertainty, and reporting of false-positive consequences. Encrypted-traffic models should be tested against changing encryption protocols, padding strategies, content-distribution behaviour and adversarial mimicry rather than a fixed capture alone (Dong et al., 2025; Sharma &amp; Lashkari, 2025; Shen et al., 2023). Operational studies should also compare learned models with simpler statistical baselines and deterministic rules to establish where model complexity produces meaningful additional defence.</w:t>
      </w:r>
    </w:p>
    <w:p w14:paraId="5E51CA7F" w14:textId="77777777" w:rsidR="00DD45D6" w:rsidRDefault="00285655">
      <w:r>
        <w:rPr>
          <w:rFonts w:eastAsia="Times New Roman"/>
        </w:rPr>
        <w:t>Fifth, resilience research should connect DDoS, routing and control-plane failure more directly with identity-centric architectures. SASE and ZTNA services can become access dependencies, while SDN controllers and cloud identity systems can become high-value availability targets. Future experiments should model correlated failures in which routing disruption, denial-of-service and authentication-service degradation occur together. Metrics should include time to safe degradation, percentage of critical services that remain reachable, recovery consistency and the risk created by emergency bypass policy. Such work would test whether modern architectures remain secure when the infrastructure that supplies trust signals is itself under attack.</w:t>
      </w:r>
    </w:p>
    <w:p w14:paraId="02D265D9" w14:textId="77777777" w:rsidR="00DD45D6" w:rsidRDefault="00285655">
      <w:r>
        <w:rPr>
          <w:rFonts w:eastAsia="Times New Roman"/>
        </w:rPr>
        <w:t>A sixth priority is controlled evaluation of moving-target defence and deception in realistic networks. Research should measure not only attacker delay or detection probability but also operator burden, service disruption, observability loss and attacker learning across repeated encounters. Adaptive adversary studies are especially important because static experiments can overstate the persistence of deceptive advantage. Integration with SDN offers a practical testbed for controlled topology and route changes, but the security gain should be compared with simpler segmentation or access-control improvements before complexity is justified (Cho et al., 2020; Pawlick et al., 2019).</w:t>
      </w:r>
    </w:p>
    <w:p w14:paraId="5C99E509" w14:textId="77777777" w:rsidR="00DD45D6" w:rsidRDefault="00285655">
      <w:r>
        <w:rPr>
          <w:rFonts w:eastAsia="Times New Roman"/>
        </w:rPr>
        <w:t xml:space="preserve">Finally, future research should treat architecture governance and human operation as measurable components of cyber defence. Studies of zero trust maturity and migration show that technology adoption is intertwined with organisational process (Phiayura &amp; Teerakanok, 2023; Yeoh et al., 2023). Comparative research should therefore examine policy-review quality, privileged-administration practice, mean time to diagnose access failures, alert burden, change-failure rates and the persistence of temporary exceptions. Economic analysis should use transparent assumptions and report uncertainty rather than a single universal cost-benefit figure. These measures would help </w:t>
      </w:r>
      <w:r>
        <w:rPr>
          <w:rFonts w:eastAsia="Times New Roman"/>
        </w:rPr>
        <w:lastRenderedPageBreak/>
        <w:t>distinguish architectures that are theoretically secure from those that remain secure under sustained organisational use.</w:t>
      </w:r>
    </w:p>
    <w:p w14:paraId="16F474BF" w14:textId="77777777" w:rsidR="00DD45D6" w:rsidRDefault="00285655">
      <w:pPr>
        <w:pStyle w:val="Heading1"/>
      </w:pPr>
      <w:r>
        <w:t>10. Conclusions</w:t>
      </w:r>
    </w:p>
    <w:p w14:paraId="3B2F9223" w14:textId="77777777" w:rsidR="00DD45D6" w:rsidRDefault="00285655">
      <w:pPr>
        <w:ind w:firstLine="0"/>
      </w:pPr>
      <w:r>
        <w:rPr>
          <w:rFonts w:eastAsia="Times New Roman"/>
        </w:rPr>
        <w:t>Modern network security has shifted from a model dominated by network location and fixed boundaries towards architectures in which identity, resource context, programmable enforcement and distributed telemetry have greater authority. The evidence supports this transition, particularly the reduction of implicit trust, finer segmentation, stronger workload-to-workload controls and more adaptive response. It does not support the proposition that zero trust, SASE, SDN, service meshes or machine learning can independently replace layered network defence.</w:t>
      </w:r>
    </w:p>
    <w:p w14:paraId="2B061EE2" w14:textId="77777777" w:rsidR="00DD45D6" w:rsidRDefault="00285655">
      <w:r>
        <w:rPr>
          <w:rFonts w:eastAsia="Times New Roman"/>
        </w:rPr>
        <w:t>The most defensible architecture is compositional. Identity and device or workload context should constrain access; microsegmentation should reduce post-compromise reachability; programmable networking can improve policy agility when its control plane is protected; cloud-native identity and service-mesh controls can secure east-west communication when certificate and policy lifecycles are trustworthy; and detection should integrate network, identity and workload evidence while preserving uncertainty. Availability protection and routing security remain essential because access policy cannot compensate for unavailable or misdirected infrastructure.</w:t>
      </w:r>
    </w:p>
    <w:p w14:paraId="24DB9999" w14:textId="77777777" w:rsidR="00DD45D6" w:rsidRDefault="00285655">
      <w:r>
        <w:rPr>
          <w:rFonts w:eastAsia="Times New Roman"/>
        </w:rPr>
        <w:t>Across these domains, the principal weakness in the evidence is operational comparability. Many studies demonstrate feasibility in prototypes, simulations or bounded datasets, whereas long-duration multi-enterprise evidence on security outcomes, failure modes, user effects and economic trade-offs is limited. Centralisation repeatedly improves coordination while increasing the consequence of control-plane compromise or outage. The practical objective should therefore be coherent policy with distributed survivability, verifiable enforcement and graceful degradation.</w:t>
      </w:r>
    </w:p>
    <w:p w14:paraId="17A03FBA" w14:textId="77777777" w:rsidR="00DD45D6" w:rsidRDefault="00285655">
      <w:r>
        <w:rPr>
          <w:rFonts w:eastAsia="Times New Roman"/>
        </w:rPr>
        <w:t>Cyber defence is strongest when architecture reduces unnecessary trust without creating new unexamined dependencies. The enduring requirement is not continual adoption of new architectural labels, but disciplined composition of identity, segmentation, policy, telemetry, resilience and human governance so that compromise of any one layer does not produce unrestricted access, invisible persistence or systemic failure.</w:t>
      </w:r>
    </w:p>
    <w:p w14:paraId="79B97E6F" w14:textId="77777777" w:rsidR="00DD45D6" w:rsidRDefault="00285655">
      <w:pPr>
        <w:pStyle w:val="Heading1"/>
      </w:pPr>
      <w:r>
        <w:t>11. Limitations</w:t>
      </w:r>
    </w:p>
    <w:p w14:paraId="5C346D8C" w14:textId="77777777" w:rsidR="00DD45D6" w:rsidRDefault="00285655">
      <w:pPr>
        <w:ind w:firstLine="0"/>
      </w:pPr>
      <w:r>
        <w:rPr>
          <w:rFonts w:eastAsia="Times New Roman"/>
        </w:rPr>
        <w:t>As a critical narrative review, this article is intrinsically vulnerable to selection and interpretive bias despite the use of a transparent search, explicit eligibility criteria and structured appraisal. It does not claim exhaustive retrieval of all network-security publications, and no quantitative meta-analysis was appropriate because the included evidence spans standards, surveys, prototypes, experimental detection studies, routing analyses and operationally oriented architecture research with non-comparable outcomes.</w:t>
      </w:r>
    </w:p>
    <w:p w14:paraId="625B6C33" w14:textId="77777777" w:rsidR="00DD45D6" w:rsidRDefault="00285655">
      <w:r>
        <w:rPr>
          <w:rFonts w:eastAsia="Times New Roman"/>
        </w:rPr>
        <w:t>The evidence base is also uneven across architectural families. Zero trust, SDN, intrusion detection and DDoS defence have substantial scholarly literatures, whereas independent peer-reviewed research on SASE remains comparatively sparse. Much network-security research relies on simulations, testbeds, synthetic or ageing datasets, and narrowly specified threat models, limiting external validity. Public evidence on large-enterprise deployments, implementation cost, policy-error frequency and longitudinal incident outcomes is limited, while commercial deployments may not publish the detail required for independent assessment.</w:t>
      </w:r>
    </w:p>
    <w:p w14:paraId="6852C049" w14:textId="0CD7005C" w:rsidR="00DD45D6" w:rsidRDefault="00285655">
      <w:pPr>
        <w:rPr>
          <w:rFonts w:eastAsia="Times New Roman"/>
        </w:rPr>
      </w:pPr>
      <w:r>
        <w:rPr>
          <w:rFonts w:eastAsia="Times New Roman"/>
        </w:rPr>
        <w:t>The review was restricted principally to English-language material that could be verified through accessible scholarly and institutional sources. Rapid technical change means that protocol adoption, cloud platforms, threat behaviour and defensive tooling may evolve after the search end date. Finally, the synthesis necessarily compares evidence generated for different network contexts, and conclusions about integration are therefore strongest at the level of architectural principles and recurring dependencies rather than product-specific performance.</w:t>
      </w:r>
    </w:p>
    <w:p w14:paraId="335B65D6" w14:textId="77777777" w:rsidR="00774D15" w:rsidRPr="002D08AC" w:rsidRDefault="00774D15" w:rsidP="00774D15">
      <w:pPr>
        <w:spacing w:after="0" w:line="240" w:lineRule="auto"/>
        <w:rPr>
          <w:rFonts w:ascii="Arial" w:hAnsi="Arial" w:cs="Arial"/>
          <w:b/>
          <w:sz w:val="20"/>
          <w:szCs w:val="20"/>
        </w:rPr>
      </w:pPr>
      <w:bookmarkStart w:id="0" w:name="_Hlk238550938"/>
      <w:bookmarkStart w:id="1" w:name="_Hlk237856463"/>
      <w:r w:rsidRPr="002D08AC">
        <w:rPr>
          <w:rFonts w:ascii="Arial" w:hAnsi="Arial" w:cs="Arial"/>
          <w:b/>
          <w:sz w:val="20"/>
          <w:szCs w:val="20"/>
        </w:rPr>
        <w:lastRenderedPageBreak/>
        <w:t>Declaration of AI Use</w:t>
      </w:r>
    </w:p>
    <w:p w14:paraId="545EA473" w14:textId="77777777" w:rsidR="00774D15" w:rsidRPr="002D08AC" w:rsidRDefault="00774D15" w:rsidP="00774D15">
      <w:pPr>
        <w:spacing w:after="0" w:line="240" w:lineRule="auto"/>
        <w:rPr>
          <w:rFonts w:ascii="Arial" w:hAnsi="Arial" w:cs="Arial"/>
          <w:sz w:val="20"/>
          <w:szCs w:val="20"/>
        </w:rPr>
      </w:pPr>
    </w:p>
    <w:p w14:paraId="4DD7A439" w14:textId="59353303" w:rsidR="00774D15" w:rsidRDefault="00774D15" w:rsidP="00774D15">
      <w:pPr>
        <w:spacing w:after="0" w:line="240" w:lineRule="auto"/>
        <w:rPr>
          <w:rFonts w:ascii="Arial" w:hAnsi="Arial" w:cs="Arial"/>
          <w:sz w:val="20"/>
          <w:szCs w:val="20"/>
        </w:rPr>
      </w:pPr>
      <w:bookmarkStart w:id="2"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2D08AC">
        <w:rPr>
          <w:rFonts w:ascii="Arial" w:hAnsi="Arial" w:cs="Arial"/>
          <w:sz w:val="20"/>
          <w:szCs w:val="20"/>
        </w:rPr>
        <w:t>.</w:t>
      </w:r>
    </w:p>
    <w:bookmarkEnd w:id="1"/>
    <w:bookmarkEnd w:id="2"/>
    <w:p w14:paraId="49A78F9A" w14:textId="77777777" w:rsidR="00DD45D6" w:rsidRDefault="00285655">
      <w:pPr>
        <w:pStyle w:val="Heading1"/>
        <w:pageBreakBefore/>
      </w:pPr>
      <w:r>
        <w:lastRenderedPageBreak/>
        <w:t>References</w:t>
      </w:r>
    </w:p>
    <w:p w14:paraId="3C3CF40B" w14:textId="30AFD9F4" w:rsidR="00DD45D6" w:rsidRPr="00AA2258" w:rsidRDefault="00285655">
      <w:pPr>
        <w:spacing w:after="90" w:line="252" w:lineRule="auto"/>
        <w:ind w:left="360" w:firstLine="0"/>
      </w:pPr>
      <w:r w:rsidRPr="00AA2258">
        <w:rPr>
          <w:rFonts w:eastAsia="Times New Roman"/>
        </w:rPr>
        <w:t xml:space="preserve">Adahman, Z., Malik, A. W., &amp; Anwar, Z. (2022). An analysis of zero-trust architecture and its cost-effectiveness for organizational security. </w:t>
      </w:r>
      <w:r w:rsidRPr="00AA2258">
        <w:rPr>
          <w:rFonts w:eastAsia="Times New Roman"/>
          <w:i/>
        </w:rPr>
        <w:t>Computers &amp; Security, 122</w:t>
      </w:r>
      <w:r w:rsidRPr="00AA2258">
        <w:rPr>
          <w:rFonts w:eastAsia="Times New Roman"/>
        </w:rPr>
        <w:t xml:space="preserve">, 102911. </w:t>
      </w:r>
      <w:r w:rsidRPr="00AA2258">
        <w:t>https://doi.org/10.1016/j.cose.2022.102911</w:t>
      </w:r>
    </w:p>
    <w:p w14:paraId="096B0F75" w14:textId="195B02EB" w:rsidR="00DD45D6" w:rsidRPr="00AA2258" w:rsidRDefault="00285655">
      <w:pPr>
        <w:spacing w:after="90" w:line="252" w:lineRule="auto"/>
        <w:ind w:left="360" w:hanging="360"/>
      </w:pPr>
      <w:r w:rsidRPr="00AA2258">
        <w:rPr>
          <w:rFonts w:eastAsia="Times New Roman"/>
        </w:rPr>
        <w:t xml:space="preserve">Ahmad, I., Namal, S., Ylianttila, M., &amp; Gurtov, A. (2015). Security in software defined networks: A survey. </w:t>
      </w:r>
      <w:r w:rsidRPr="00AA2258">
        <w:rPr>
          <w:rFonts w:eastAsia="Times New Roman"/>
          <w:i/>
        </w:rPr>
        <w:t>IEEE Communications Surveys &amp; Tutorials, 17</w:t>
      </w:r>
      <w:r w:rsidRPr="00AA2258">
        <w:rPr>
          <w:rFonts w:eastAsia="Times New Roman"/>
        </w:rPr>
        <w:t xml:space="preserve">(4), 2317–2346. </w:t>
      </w:r>
      <w:r w:rsidRPr="00AA2258">
        <w:t>https://doi.org/10.1109/COMST.2015.2474118</w:t>
      </w:r>
    </w:p>
    <w:p w14:paraId="6B3CBD97" w14:textId="1870646F" w:rsidR="00DD45D6" w:rsidRPr="00AA2258" w:rsidRDefault="00285655">
      <w:pPr>
        <w:spacing w:after="90" w:line="252" w:lineRule="auto"/>
        <w:ind w:left="360" w:hanging="360"/>
      </w:pPr>
      <w:r w:rsidRPr="00AA2258">
        <w:rPr>
          <w:rFonts w:eastAsia="Times New Roman"/>
        </w:rPr>
        <w:t xml:space="preserve">Azad, M. A., Abdullah, S., Arshad, J., Lallie, H., &amp; Ahmed, Y. H. (2024). Verify and trust: A multidimensional survey of zero-trust security in the age of IoT. </w:t>
      </w:r>
      <w:r w:rsidRPr="00AA2258">
        <w:rPr>
          <w:rFonts w:eastAsia="Times New Roman"/>
          <w:i/>
        </w:rPr>
        <w:t>Internet of Things, 27</w:t>
      </w:r>
      <w:r w:rsidRPr="00AA2258">
        <w:rPr>
          <w:rFonts w:eastAsia="Times New Roman"/>
        </w:rPr>
        <w:t xml:space="preserve">, 101227. </w:t>
      </w:r>
      <w:r w:rsidRPr="00AA2258">
        <w:t>https://doi.org/10.1016/j.iot.2024.101227</w:t>
      </w:r>
    </w:p>
    <w:p w14:paraId="14422BA4" w14:textId="46116CA9" w:rsidR="00DD45D6" w:rsidRPr="00AA2258" w:rsidRDefault="00285655">
      <w:pPr>
        <w:spacing w:after="90" w:line="252" w:lineRule="auto"/>
        <w:ind w:left="360" w:hanging="360"/>
      </w:pPr>
      <w:r w:rsidRPr="00AA2258">
        <w:rPr>
          <w:rFonts w:eastAsia="Times New Roman"/>
        </w:rPr>
        <w:t xml:space="preserve">Baethge, C., Goldbeck-Wood, S., &amp; Mertens, S. (2019). SANRA—a scale for the quality assessment of narrative review articles. </w:t>
      </w:r>
      <w:r w:rsidRPr="00AA2258">
        <w:rPr>
          <w:rFonts w:eastAsia="Times New Roman"/>
          <w:i/>
        </w:rPr>
        <w:t>Research Integrity and Peer Review, 4</w:t>
      </w:r>
      <w:r w:rsidRPr="00AA2258">
        <w:rPr>
          <w:rFonts w:eastAsia="Times New Roman"/>
        </w:rPr>
        <w:t xml:space="preserve">, 5. </w:t>
      </w:r>
      <w:r w:rsidRPr="00AA2258">
        <w:t>https://doi.org/10.1186/s41073-019-0064-8</w:t>
      </w:r>
    </w:p>
    <w:p w14:paraId="4990E7B4" w14:textId="38FC3DDD" w:rsidR="00DD45D6" w:rsidRPr="00AA2258" w:rsidRDefault="00285655">
      <w:pPr>
        <w:spacing w:after="90" w:line="252" w:lineRule="auto"/>
        <w:ind w:left="360" w:hanging="360"/>
      </w:pPr>
      <w:r w:rsidRPr="00AA2258">
        <w:rPr>
          <w:rFonts w:eastAsia="Times New Roman"/>
        </w:rPr>
        <w:t xml:space="preserve">Basta, N., Ikram, M., Kaafar, M. A., &amp; Walker, A. (2022). Towards a zero-trust micro-segmentation network security strategy: An evaluation framework. In </w:t>
      </w:r>
      <w:r w:rsidRPr="00AA2258">
        <w:rPr>
          <w:rFonts w:eastAsia="Times New Roman"/>
          <w:i/>
        </w:rPr>
        <w:t>2022 IEEE/IFIP Network Operations and Management Symposium (NOMS)</w:t>
      </w:r>
      <w:r w:rsidRPr="00AA2258">
        <w:rPr>
          <w:rFonts w:eastAsia="Times New Roman"/>
        </w:rPr>
        <w:t xml:space="preserve"> (pp. 1–7). </w:t>
      </w:r>
      <w:r w:rsidRPr="00AA2258">
        <w:t>https://doi.org/10.1109/NOMS54207.2022.9789888</w:t>
      </w:r>
    </w:p>
    <w:p w14:paraId="5715B5E9" w14:textId="56AC1296" w:rsidR="00DD45D6" w:rsidRPr="00AA2258" w:rsidRDefault="00285655">
      <w:pPr>
        <w:spacing w:after="90" w:line="252" w:lineRule="auto"/>
        <w:ind w:left="360" w:hanging="360"/>
      </w:pPr>
      <w:r w:rsidRPr="00AA2258">
        <w:rPr>
          <w:rFonts w:eastAsia="Times New Roman"/>
        </w:rPr>
        <w:t xml:space="preserve">Buck, C., Olenberger, C., Schweizer, A., Völter, F., &amp; Eymann, T. (2021). Never trust, always verify: A multivocal literature review on current knowledge and research gaps of zero-trust. </w:t>
      </w:r>
      <w:r w:rsidRPr="00AA2258">
        <w:rPr>
          <w:rFonts w:eastAsia="Times New Roman"/>
          <w:i/>
        </w:rPr>
        <w:t>Computers &amp; Security, 110</w:t>
      </w:r>
      <w:r w:rsidRPr="00AA2258">
        <w:rPr>
          <w:rFonts w:eastAsia="Times New Roman"/>
        </w:rPr>
        <w:t xml:space="preserve">, 102436. </w:t>
      </w:r>
      <w:r w:rsidRPr="00AA2258">
        <w:t>https://doi.org/10.1016/j.cose.2021.102436</w:t>
      </w:r>
    </w:p>
    <w:p w14:paraId="76F09D75" w14:textId="0BE4D85C" w:rsidR="00DD45D6" w:rsidRPr="00AA2258" w:rsidRDefault="00285655">
      <w:pPr>
        <w:spacing w:after="90" w:line="252" w:lineRule="auto"/>
        <w:ind w:left="360" w:hanging="360"/>
      </w:pPr>
      <w:r w:rsidRPr="00AA2258">
        <w:rPr>
          <w:rFonts w:eastAsia="Times New Roman"/>
        </w:rPr>
        <w:t xml:space="preserve">Buczak, A. L., &amp; Guven, E. (2016). A survey of data mining and machine learning methods for cyber security intrusion detection. </w:t>
      </w:r>
      <w:r w:rsidRPr="00AA2258">
        <w:rPr>
          <w:rFonts w:eastAsia="Times New Roman"/>
          <w:i/>
        </w:rPr>
        <w:t>IEEE Communications Surveys &amp; Tutorials, 18</w:t>
      </w:r>
      <w:r w:rsidRPr="00AA2258">
        <w:rPr>
          <w:rFonts w:eastAsia="Times New Roman"/>
        </w:rPr>
        <w:t xml:space="preserve">(2), 1153–1176. </w:t>
      </w:r>
      <w:r w:rsidRPr="00AA2258">
        <w:t>https://doi.org/10.1109/COMST.2015.2494502</w:t>
      </w:r>
    </w:p>
    <w:p w14:paraId="07D58E57" w14:textId="3F298CDE" w:rsidR="00DD45D6" w:rsidRPr="00AA2258" w:rsidRDefault="00285655">
      <w:pPr>
        <w:spacing w:after="90" w:line="252" w:lineRule="auto"/>
        <w:ind w:left="360" w:hanging="360"/>
      </w:pPr>
      <w:r w:rsidRPr="00AA2258">
        <w:rPr>
          <w:rFonts w:eastAsia="Times New Roman"/>
        </w:rPr>
        <w:t xml:space="preserve">Chandramouli, R. (2022). </w:t>
      </w:r>
      <w:r w:rsidRPr="00AA2258">
        <w:rPr>
          <w:rFonts w:eastAsia="Times New Roman"/>
          <w:i/>
        </w:rPr>
        <w:t>Guide to a secure enterprise network landscape</w:t>
      </w:r>
      <w:r w:rsidRPr="00AA2258">
        <w:rPr>
          <w:rFonts w:eastAsia="Times New Roman"/>
        </w:rPr>
        <w:t xml:space="preserve"> (NIST Special Publication 800-215). National Institute of Standards and Technology. </w:t>
      </w:r>
      <w:r w:rsidRPr="00AA2258">
        <w:t>https://doi.org/10.6028/NIST.SP.800-215</w:t>
      </w:r>
    </w:p>
    <w:p w14:paraId="26C24466" w14:textId="70BF1A54" w:rsidR="00DD45D6" w:rsidRPr="00AA2258" w:rsidRDefault="00285655">
      <w:pPr>
        <w:spacing w:after="90" w:line="252" w:lineRule="auto"/>
        <w:ind w:left="360" w:hanging="360"/>
      </w:pPr>
      <w:r w:rsidRPr="00AA2258">
        <w:rPr>
          <w:rFonts w:eastAsia="Times New Roman"/>
        </w:rPr>
        <w:t xml:space="preserve">Chandramouli, R., &amp; Butcher, Z. (2020). </w:t>
      </w:r>
      <w:r w:rsidRPr="00AA2258">
        <w:rPr>
          <w:rFonts w:eastAsia="Times New Roman"/>
          <w:i/>
        </w:rPr>
        <w:t>Building secure microservices-based applications using service-mesh architecture</w:t>
      </w:r>
      <w:r w:rsidRPr="00AA2258">
        <w:rPr>
          <w:rFonts w:eastAsia="Times New Roman"/>
        </w:rPr>
        <w:t xml:space="preserve"> (NIST Special Publication 800-204A). National Institute of Standards and Technology. </w:t>
      </w:r>
      <w:r w:rsidRPr="00AA2258">
        <w:t>https://doi.org/10.6028/NIST.SP.800-204A</w:t>
      </w:r>
    </w:p>
    <w:p w14:paraId="05C6B7A7" w14:textId="4F98C6E2" w:rsidR="00DD45D6" w:rsidRPr="00AA2258" w:rsidRDefault="00285655">
      <w:pPr>
        <w:spacing w:after="90" w:line="252" w:lineRule="auto"/>
        <w:ind w:left="360" w:hanging="360"/>
      </w:pPr>
      <w:r w:rsidRPr="00AA2258">
        <w:rPr>
          <w:rFonts w:eastAsia="Times New Roman"/>
        </w:rPr>
        <w:t xml:space="preserve">Chandramouli, R., &amp; Butcher, Z. (2023). </w:t>
      </w:r>
      <w:r w:rsidRPr="00AA2258">
        <w:rPr>
          <w:rFonts w:eastAsia="Times New Roman"/>
          <w:i/>
        </w:rPr>
        <w:t xml:space="preserve">A </w:t>
      </w:r>
      <w:proofErr w:type="gramStart"/>
      <w:r w:rsidRPr="00AA2258">
        <w:rPr>
          <w:rFonts w:eastAsia="Times New Roman"/>
          <w:i/>
        </w:rPr>
        <w:t>zero trust</w:t>
      </w:r>
      <w:proofErr w:type="gramEnd"/>
      <w:r w:rsidRPr="00AA2258">
        <w:rPr>
          <w:rFonts w:eastAsia="Times New Roman"/>
          <w:i/>
        </w:rPr>
        <w:t xml:space="preserve"> architecture model for access control in cloud-native applications in multi-location environments</w:t>
      </w:r>
      <w:r w:rsidRPr="00AA2258">
        <w:rPr>
          <w:rFonts w:eastAsia="Times New Roman"/>
        </w:rPr>
        <w:t xml:space="preserve"> (NIST Special Publication 800-207A). National Institute of Standards and Technology. </w:t>
      </w:r>
      <w:r w:rsidRPr="00AA2258">
        <w:t>https://doi.org/10.6028/NIST.SP.800-207A</w:t>
      </w:r>
    </w:p>
    <w:p w14:paraId="338036CB" w14:textId="707AE0EC" w:rsidR="00DD45D6" w:rsidRPr="00AA2258" w:rsidRDefault="00285655">
      <w:pPr>
        <w:spacing w:after="90" w:line="252" w:lineRule="auto"/>
        <w:ind w:left="360" w:hanging="360"/>
      </w:pPr>
      <w:r w:rsidRPr="00AA2258">
        <w:rPr>
          <w:rFonts w:eastAsia="Times New Roman"/>
        </w:rPr>
        <w:t xml:space="preserve">Cho, J.-H., Sharma, D. P., Alavizadeh, H., Yoon, S., Ben-Asher, N., Moore, T. J., Kim, D. S., Lim, H., &amp; Nelson, F. F. (2020). Toward proactive, adaptive defense: A survey on moving target defense. </w:t>
      </w:r>
      <w:r w:rsidRPr="00AA2258">
        <w:rPr>
          <w:rFonts w:eastAsia="Times New Roman"/>
          <w:i/>
        </w:rPr>
        <w:t>IEEE Communications Surveys &amp; Tutorials, 22</w:t>
      </w:r>
      <w:r w:rsidRPr="00AA2258">
        <w:rPr>
          <w:rFonts w:eastAsia="Times New Roman"/>
        </w:rPr>
        <w:t xml:space="preserve">(1), 709–745. </w:t>
      </w:r>
      <w:r w:rsidRPr="00AA2258">
        <w:t>https://doi.org/10.1109/COMST.2019.2963791</w:t>
      </w:r>
    </w:p>
    <w:p w14:paraId="58C2DB44" w14:textId="67B2D7E9" w:rsidR="00DD45D6" w:rsidRPr="00AA2258" w:rsidRDefault="00285655">
      <w:pPr>
        <w:spacing w:after="90" w:line="252" w:lineRule="auto"/>
        <w:ind w:left="360" w:hanging="360"/>
      </w:pPr>
      <w:r w:rsidRPr="00AA2258">
        <w:rPr>
          <w:rFonts w:eastAsia="Times New Roman"/>
        </w:rPr>
        <w:t xml:space="preserve">Chung, T., Aben, E., Bruijnzeels, T., Chandrasekaran, B., Choffnes, D., Levin, D., Maggs, B. M., Mislove, A., van Rijswijk-Deij, R., Rula, J., &amp; Sullivan, N. (2019). RPKI is coming of age: A longitudinal study of RPKI deployment and invalid route origins. In </w:t>
      </w:r>
      <w:r w:rsidRPr="00AA2258">
        <w:rPr>
          <w:rFonts w:eastAsia="Times New Roman"/>
          <w:i/>
        </w:rPr>
        <w:t>Proceedings of the Internet Measurement Conference</w:t>
      </w:r>
      <w:r w:rsidRPr="00AA2258">
        <w:rPr>
          <w:rFonts w:eastAsia="Times New Roman"/>
        </w:rPr>
        <w:t xml:space="preserve"> (pp. 406–419). </w:t>
      </w:r>
      <w:r w:rsidRPr="00AA2258">
        <w:t>https://doi.org/10.1145/3355369.3355596</w:t>
      </w:r>
    </w:p>
    <w:p w14:paraId="4662B185" w14:textId="3BDFFD40" w:rsidR="00DD45D6" w:rsidRPr="00AA2258" w:rsidRDefault="00285655">
      <w:pPr>
        <w:spacing w:after="90" w:line="252" w:lineRule="auto"/>
        <w:ind w:left="360" w:hanging="360"/>
      </w:pPr>
      <w:r w:rsidRPr="00AA2258">
        <w:rPr>
          <w:rFonts w:eastAsia="Times New Roman"/>
        </w:rPr>
        <w:t xml:space="preserve">Combe, T., Martin, A., &amp; Di Pietro, R. (2016). To Docker or not to Docker: A security perspective. </w:t>
      </w:r>
      <w:r w:rsidRPr="00AA2258">
        <w:rPr>
          <w:rFonts w:eastAsia="Times New Roman"/>
          <w:i/>
        </w:rPr>
        <w:t>IEEE Cloud Computing, 3</w:t>
      </w:r>
      <w:r w:rsidRPr="00AA2258">
        <w:rPr>
          <w:rFonts w:eastAsia="Times New Roman"/>
        </w:rPr>
        <w:t xml:space="preserve">(5), 54–62. </w:t>
      </w:r>
      <w:r w:rsidRPr="00AA2258">
        <w:t>https://doi.org/10.1109/MCC.2016.100</w:t>
      </w:r>
    </w:p>
    <w:p w14:paraId="534111C8" w14:textId="1F247CF5" w:rsidR="00DD45D6" w:rsidRPr="00AA2258" w:rsidRDefault="00285655">
      <w:pPr>
        <w:spacing w:after="90" w:line="252" w:lineRule="auto"/>
        <w:ind w:left="360" w:hanging="360"/>
      </w:pPr>
      <w:r w:rsidRPr="00AA2258">
        <w:rPr>
          <w:rFonts w:eastAsia="Times New Roman"/>
        </w:rPr>
        <w:t xml:space="preserve">Correa Chica, J. C., Imbachi, J. C., &amp; Botero Vega, J. F. (2020). Security in SDN: A comprehensive survey. </w:t>
      </w:r>
      <w:r w:rsidRPr="00AA2258">
        <w:rPr>
          <w:rFonts w:eastAsia="Times New Roman"/>
          <w:i/>
        </w:rPr>
        <w:t>Journal of Network and Computer Applications, 159</w:t>
      </w:r>
      <w:r w:rsidRPr="00AA2258">
        <w:rPr>
          <w:rFonts w:eastAsia="Times New Roman"/>
        </w:rPr>
        <w:t xml:space="preserve">, 102595. </w:t>
      </w:r>
      <w:r w:rsidRPr="00AA2258">
        <w:t>https://doi.org/10.1016/j.jnca.2020.102595</w:t>
      </w:r>
    </w:p>
    <w:p w14:paraId="02541707" w14:textId="3D2FEB5B" w:rsidR="00DD45D6" w:rsidRPr="00AA2258" w:rsidRDefault="00285655">
      <w:pPr>
        <w:spacing w:after="90" w:line="252" w:lineRule="auto"/>
        <w:ind w:left="360" w:hanging="360"/>
      </w:pPr>
      <w:r w:rsidRPr="00AA2258">
        <w:rPr>
          <w:rFonts w:eastAsia="Times New Roman"/>
        </w:rPr>
        <w:t xml:space="preserve">Dong, W., Yu, J., Lin, X., Gou, G., &amp; Xiong, G. (2025). Deep learning and pre-training technology for encrypted traffic classification: A comprehensive review. </w:t>
      </w:r>
      <w:r w:rsidRPr="00AA2258">
        <w:rPr>
          <w:rFonts w:eastAsia="Times New Roman"/>
          <w:i/>
        </w:rPr>
        <w:t>Neurocomputing, 617</w:t>
      </w:r>
      <w:r w:rsidRPr="00AA2258">
        <w:rPr>
          <w:rFonts w:eastAsia="Times New Roman"/>
        </w:rPr>
        <w:t xml:space="preserve">, 128444. </w:t>
      </w:r>
      <w:r w:rsidRPr="00AA2258">
        <w:t>https://doi.org/10.1016/j.neucom.2024.128444</w:t>
      </w:r>
    </w:p>
    <w:p w14:paraId="6F041433" w14:textId="68393618" w:rsidR="00DD45D6" w:rsidRPr="00AA2258" w:rsidRDefault="00285655">
      <w:pPr>
        <w:spacing w:after="90" w:line="252" w:lineRule="auto"/>
        <w:ind w:left="360" w:hanging="360"/>
      </w:pPr>
      <w:r w:rsidRPr="00AA2258">
        <w:rPr>
          <w:rFonts w:eastAsia="Times New Roman"/>
        </w:rPr>
        <w:t xml:space="preserve">Douligeris, C., &amp; Mitrokotsa, A. (2004). DDoS attacks and defense mechanisms: Classification and state-of-the-art. </w:t>
      </w:r>
      <w:r w:rsidRPr="00AA2258">
        <w:rPr>
          <w:rFonts w:eastAsia="Times New Roman"/>
          <w:i/>
        </w:rPr>
        <w:t>Computer Networks, 44</w:t>
      </w:r>
      <w:r w:rsidRPr="00AA2258">
        <w:rPr>
          <w:rFonts w:eastAsia="Times New Roman"/>
        </w:rPr>
        <w:t xml:space="preserve">(5), 643–666. </w:t>
      </w:r>
      <w:r w:rsidRPr="00AA2258">
        <w:t>https://doi.org/10.1016/j.comnet.2003.10.003</w:t>
      </w:r>
    </w:p>
    <w:p w14:paraId="0A87CC43" w14:textId="7B358D5C" w:rsidR="00DD45D6" w:rsidRPr="00AA2258" w:rsidRDefault="00285655">
      <w:pPr>
        <w:spacing w:after="90" w:line="252" w:lineRule="auto"/>
        <w:ind w:left="360" w:hanging="360"/>
      </w:pPr>
      <w:r w:rsidRPr="00AA2258">
        <w:rPr>
          <w:rFonts w:eastAsia="Times New Roman"/>
        </w:rPr>
        <w:lastRenderedPageBreak/>
        <w:t xml:space="preserve">Fernandez, E. B., &amp; Brazhuk, A. (2024). A critical analysis of Zero Trust Architecture (ZTA). </w:t>
      </w:r>
      <w:r w:rsidRPr="00AA2258">
        <w:rPr>
          <w:rFonts w:eastAsia="Times New Roman"/>
          <w:i/>
        </w:rPr>
        <w:t>Computer Standards &amp; Interfaces, 89</w:t>
      </w:r>
      <w:r w:rsidRPr="00AA2258">
        <w:rPr>
          <w:rFonts w:eastAsia="Times New Roman"/>
        </w:rPr>
        <w:t xml:space="preserve">, 103832. </w:t>
      </w:r>
      <w:r w:rsidRPr="00AA2258">
        <w:t>https://doi.org/10.1016/j.csi.2024.103832</w:t>
      </w:r>
    </w:p>
    <w:p w14:paraId="16B3E7C1" w14:textId="1A52FA8F" w:rsidR="00DD45D6" w:rsidRPr="00AA2258" w:rsidRDefault="00285655">
      <w:pPr>
        <w:spacing w:after="90" w:line="252" w:lineRule="auto"/>
        <w:ind w:left="360" w:hanging="360"/>
      </w:pPr>
      <w:r w:rsidRPr="00AA2258">
        <w:rPr>
          <w:rFonts w:eastAsia="Times New Roman"/>
        </w:rPr>
        <w:t xml:space="preserve">Gambo, M. L., &amp; Almulhem, A. (2026). Zero Trust Architecture: A systematic literature review. </w:t>
      </w:r>
      <w:r w:rsidRPr="00AA2258">
        <w:rPr>
          <w:rFonts w:eastAsia="Times New Roman"/>
          <w:i/>
        </w:rPr>
        <w:t>Journal of Network and Systems Management, 34</w:t>
      </w:r>
      <w:r w:rsidRPr="00AA2258">
        <w:rPr>
          <w:rFonts w:eastAsia="Times New Roman"/>
        </w:rPr>
        <w:t xml:space="preserve">, Article 25. </w:t>
      </w:r>
      <w:r w:rsidRPr="00AA2258">
        <w:t>https://doi.org/10.1007/s10922-025-09998-x</w:t>
      </w:r>
    </w:p>
    <w:p w14:paraId="0ECEA08C" w14:textId="4189C410" w:rsidR="00DD45D6" w:rsidRPr="00AA2258" w:rsidRDefault="00285655">
      <w:pPr>
        <w:spacing w:after="90" w:line="252" w:lineRule="auto"/>
        <w:ind w:left="360" w:hanging="360"/>
      </w:pPr>
      <w:r w:rsidRPr="00AA2258">
        <w:rPr>
          <w:rFonts w:eastAsia="Times New Roman"/>
        </w:rPr>
        <w:t xml:space="preserve">Hajj, S., El Sibai, R., Bou Abdo, J., Demerjian, J., Makhoul, A., &amp; Guyeux, C. (2021). Anomaly-based intrusion detection systems: The requirements, methods, measurements, and datasets. </w:t>
      </w:r>
      <w:r w:rsidRPr="00AA2258">
        <w:rPr>
          <w:rFonts w:eastAsia="Times New Roman"/>
          <w:i/>
        </w:rPr>
        <w:t>Transactions on Emerging Telecommunications Technologies, 32</w:t>
      </w:r>
      <w:r w:rsidRPr="00AA2258">
        <w:rPr>
          <w:rFonts w:eastAsia="Times New Roman"/>
        </w:rPr>
        <w:t xml:space="preserve">(4), e4240. </w:t>
      </w:r>
      <w:r w:rsidRPr="00AA2258">
        <w:t>https://doi.org/10.1002/ett.4240</w:t>
      </w:r>
    </w:p>
    <w:p w14:paraId="27F1CEA3" w14:textId="2D116E5E" w:rsidR="00DD45D6" w:rsidRPr="00AA2258" w:rsidRDefault="00285655">
      <w:pPr>
        <w:spacing w:after="90" w:line="252" w:lineRule="auto"/>
        <w:ind w:left="360" w:hanging="360"/>
      </w:pPr>
      <w:r w:rsidRPr="00AA2258">
        <w:rPr>
          <w:rFonts w:eastAsia="Times New Roman"/>
        </w:rPr>
        <w:t xml:space="preserve">Han, B., Gopalakrishnan, V., Ji, L., &amp; Lee, S. (2015). Network function virtualization: Challenges and opportunities for innovations. </w:t>
      </w:r>
      <w:r w:rsidRPr="00AA2258">
        <w:rPr>
          <w:rFonts w:eastAsia="Times New Roman"/>
          <w:i/>
        </w:rPr>
        <w:t>IEEE Communications Magazine, 53</w:t>
      </w:r>
      <w:r w:rsidRPr="00AA2258">
        <w:rPr>
          <w:rFonts w:eastAsia="Times New Roman"/>
        </w:rPr>
        <w:t xml:space="preserve">(2), 90–97. </w:t>
      </w:r>
      <w:r w:rsidRPr="00AA2258">
        <w:t>https://doi.org/10.1109/MCOM.2015.7045396</w:t>
      </w:r>
    </w:p>
    <w:p w14:paraId="02910A67" w14:textId="19E55402" w:rsidR="00DD45D6" w:rsidRPr="00AA2258" w:rsidRDefault="00285655">
      <w:pPr>
        <w:spacing w:after="90" w:line="252" w:lineRule="auto"/>
        <w:ind w:left="360" w:hanging="360"/>
      </w:pPr>
      <w:r w:rsidRPr="00AA2258">
        <w:rPr>
          <w:rFonts w:eastAsia="Times New Roman"/>
        </w:rPr>
        <w:t xml:space="preserve">Hu, H., Han, W., Ahn, G.-J., &amp; Zhao, Z. (2014). FLOWGUARD: Building robust firewalls for software-defined networks. In </w:t>
      </w:r>
      <w:r w:rsidRPr="00AA2258">
        <w:rPr>
          <w:rFonts w:eastAsia="Times New Roman"/>
          <w:i/>
        </w:rPr>
        <w:t>Proceedings of the Third Workshop on Hot Topics in Software Defined Networking</w:t>
      </w:r>
      <w:r w:rsidRPr="00AA2258">
        <w:rPr>
          <w:rFonts w:eastAsia="Times New Roman"/>
        </w:rPr>
        <w:t xml:space="preserve"> (pp. 97–102). </w:t>
      </w:r>
      <w:r w:rsidRPr="00AA2258">
        <w:t>https://doi.org/10.1145/2620728.2620749</w:t>
      </w:r>
    </w:p>
    <w:p w14:paraId="1148B3F7" w14:textId="66BD9609" w:rsidR="00DD45D6" w:rsidRPr="00AA2258" w:rsidRDefault="00285655">
      <w:pPr>
        <w:spacing w:after="90" w:line="252" w:lineRule="auto"/>
        <w:ind w:left="360" w:hanging="360"/>
      </w:pPr>
      <w:r w:rsidRPr="00AA2258">
        <w:rPr>
          <w:rFonts w:eastAsia="Times New Roman"/>
        </w:rPr>
        <w:t xml:space="preserve">Hussain, M., Pal, S., Jadidi, Z., Foo, E., &amp; Kanhere, S. (2024). Federated Zero Trust Architecture using artificial intelligence. </w:t>
      </w:r>
      <w:r w:rsidRPr="00AA2258">
        <w:rPr>
          <w:rFonts w:eastAsia="Times New Roman"/>
          <w:i/>
        </w:rPr>
        <w:t>IEEE Wireless Communications, 31</w:t>
      </w:r>
      <w:r w:rsidRPr="00AA2258">
        <w:rPr>
          <w:rFonts w:eastAsia="Times New Roman"/>
        </w:rPr>
        <w:t xml:space="preserve">(2), 30–35. </w:t>
      </w:r>
      <w:r w:rsidRPr="00AA2258">
        <w:t>https://doi.org/10.1109/MWC.001.2300405</w:t>
      </w:r>
    </w:p>
    <w:p w14:paraId="2D2CB418" w14:textId="7F961006" w:rsidR="00DD45D6" w:rsidRPr="00AA2258" w:rsidRDefault="00285655">
      <w:pPr>
        <w:spacing w:after="90" w:line="252" w:lineRule="auto"/>
        <w:ind w:left="360" w:hanging="360"/>
      </w:pPr>
      <w:r w:rsidRPr="00AA2258">
        <w:rPr>
          <w:rFonts w:eastAsia="Times New Roman"/>
        </w:rPr>
        <w:t xml:space="preserve">Islam, M. N., Colomo-Palacios, R., &amp; Chockalingam, S. (2021). Secure access service edge: A multivocal literature review. In </w:t>
      </w:r>
      <w:r w:rsidRPr="00AA2258">
        <w:rPr>
          <w:rFonts w:eastAsia="Times New Roman"/>
          <w:i/>
        </w:rPr>
        <w:t>2021 21st International Conference on Computational Science and Its Applications (ICCSA)</w:t>
      </w:r>
      <w:r w:rsidRPr="00AA2258">
        <w:rPr>
          <w:rFonts w:eastAsia="Times New Roman"/>
        </w:rPr>
        <w:t xml:space="preserve"> (pp. 188–194). </w:t>
      </w:r>
      <w:r w:rsidRPr="00AA2258">
        <w:t>https://doi.org/10.1109/ICCSA54496.2021.00034</w:t>
      </w:r>
    </w:p>
    <w:p w14:paraId="2705D164" w14:textId="33D4465A" w:rsidR="00DD45D6" w:rsidRPr="00AA2258" w:rsidRDefault="00285655">
      <w:pPr>
        <w:spacing w:after="90" w:line="252" w:lineRule="auto"/>
        <w:ind w:left="360" w:hanging="360"/>
      </w:pPr>
      <w:r w:rsidRPr="00AA2258">
        <w:rPr>
          <w:rFonts w:eastAsia="Times New Roman"/>
        </w:rPr>
        <w:t xml:space="preserve">Kolias, C., Kambourakis, G., Stavrou, A., &amp; Voas, J. M. (2017). DDoS in the IoT: Mirai and other botnets. </w:t>
      </w:r>
      <w:r w:rsidRPr="00AA2258">
        <w:rPr>
          <w:rFonts w:eastAsia="Times New Roman"/>
          <w:i/>
        </w:rPr>
        <w:t>Computer, 50</w:t>
      </w:r>
      <w:r w:rsidRPr="00AA2258">
        <w:rPr>
          <w:rFonts w:eastAsia="Times New Roman"/>
        </w:rPr>
        <w:t xml:space="preserve">(7), 80–84. </w:t>
      </w:r>
      <w:r w:rsidRPr="00AA2258">
        <w:t>https://doi.org/10.1109/MC.2017.201</w:t>
      </w:r>
    </w:p>
    <w:p w14:paraId="253EA68C" w14:textId="35BEBC04" w:rsidR="00DD45D6" w:rsidRPr="00AA2258" w:rsidRDefault="00285655">
      <w:pPr>
        <w:spacing w:after="90" w:line="252" w:lineRule="auto"/>
        <w:ind w:left="360" w:hanging="360"/>
      </w:pPr>
      <w:r w:rsidRPr="00AA2258">
        <w:rPr>
          <w:rFonts w:eastAsia="Times New Roman"/>
        </w:rPr>
        <w:t xml:space="preserve">Kreutz, D., Ramos, F. M. V., Verissimo, P. E., Rothenberg, C. E., Azodolmolky, S., &amp; Uhlig, S. (2015). Software-defined networking: A comprehensive survey. </w:t>
      </w:r>
      <w:r w:rsidRPr="00AA2258">
        <w:rPr>
          <w:rFonts w:eastAsia="Times New Roman"/>
          <w:i/>
        </w:rPr>
        <w:t>Proceedings of the IEEE, 103</w:t>
      </w:r>
      <w:r w:rsidRPr="00AA2258">
        <w:rPr>
          <w:rFonts w:eastAsia="Times New Roman"/>
        </w:rPr>
        <w:t xml:space="preserve">(1), 14–76. </w:t>
      </w:r>
      <w:r w:rsidRPr="00AA2258">
        <w:t>https://doi.org/10.1109/JPROC.2014.2371999</w:t>
      </w:r>
    </w:p>
    <w:p w14:paraId="6F880BB1" w14:textId="35A2CFA1" w:rsidR="00DD45D6" w:rsidRPr="00AA2258" w:rsidRDefault="00285655">
      <w:pPr>
        <w:spacing w:after="90" w:line="252" w:lineRule="auto"/>
        <w:ind w:left="360" w:hanging="360"/>
      </w:pPr>
      <w:r w:rsidRPr="00AA2258">
        <w:rPr>
          <w:rFonts w:eastAsia="Times New Roman"/>
        </w:rPr>
        <w:t xml:space="preserve">Liao, H.-J., Lin, C.-H. R., Lin, Y.-C., &amp; Tung, K.-Y. (2013). Intrusion detection system: A comprehensive review. </w:t>
      </w:r>
      <w:r w:rsidRPr="00AA2258">
        <w:rPr>
          <w:rFonts w:eastAsia="Times New Roman"/>
          <w:i/>
        </w:rPr>
        <w:t>Journal of Network and Computer Applications, 36</w:t>
      </w:r>
      <w:r w:rsidRPr="00AA2258">
        <w:rPr>
          <w:rFonts w:eastAsia="Times New Roman"/>
        </w:rPr>
        <w:t xml:space="preserve">(1), 16–24. </w:t>
      </w:r>
      <w:r w:rsidRPr="00AA2258">
        <w:t>https://doi.org/10.1016/j.jnca.2012.09.004</w:t>
      </w:r>
    </w:p>
    <w:p w14:paraId="51358667" w14:textId="50763A49" w:rsidR="00DD45D6" w:rsidRPr="00AA2258" w:rsidRDefault="00285655">
      <w:pPr>
        <w:spacing w:after="90" w:line="252" w:lineRule="auto"/>
        <w:ind w:left="360" w:hanging="360"/>
      </w:pPr>
      <w:r w:rsidRPr="00AA2258">
        <w:rPr>
          <w:rFonts w:eastAsia="Times New Roman"/>
        </w:rPr>
        <w:t xml:space="preserve">Liu, C., Tan, R., Wu, Y., Feng, Y., Jin, Z., Zhang, F., Liu, Y., &amp; Liu, Q. (2024). Dissecting zero trust: Research landscape and its implementation in IoT. </w:t>
      </w:r>
      <w:r w:rsidRPr="00AA2258">
        <w:rPr>
          <w:rFonts w:eastAsia="Times New Roman"/>
          <w:i/>
        </w:rPr>
        <w:t>Cybersecurity, 7</w:t>
      </w:r>
      <w:r w:rsidRPr="00AA2258">
        <w:rPr>
          <w:rFonts w:eastAsia="Times New Roman"/>
        </w:rPr>
        <w:t xml:space="preserve">, Article 20. </w:t>
      </w:r>
      <w:r w:rsidRPr="00AA2258">
        <w:t>https://doi.org/10.1186/s42400-024-00212-0</w:t>
      </w:r>
    </w:p>
    <w:p w14:paraId="0D71F610" w14:textId="388DF0BC" w:rsidR="00DD45D6" w:rsidRPr="00AA2258" w:rsidRDefault="00285655">
      <w:pPr>
        <w:spacing w:after="90" w:line="252" w:lineRule="auto"/>
        <w:ind w:left="360" w:hanging="360"/>
      </w:pPr>
      <w:r w:rsidRPr="00AA2258">
        <w:rPr>
          <w:rFonts w:eastAsia="Times New Roman"/>
        </w:rPr>
        <w:t xml:space="preserve">Lotfollahi, M., Jafari Siavoshani, M., Shirali Hossein Zade, R., &amp; Saberian, M. (2020). Deep packet: A novel approach for encrypted traffic classification using deep learning. </w:t>
      </w:r>
      <w:r w:rsidRPr="00AA2258">
        <w:rPr>
          <w:rFonts w:eastAsia="Times New Roman"/>
          <w:i/>
        </w:rPr>
        <w:t>Soft Computing, 24</w:t>
      </w:r>
      <w:r w:rsidRPr="00AA2258">
        <w:rPr>
          <w:rFonts w:eastAsia="Times New Roman"/>
        </w:rPr>
        <w:t xml:space="preserve">(3), 1999–2012. </w:t>
      </w:r>
      <w:r w:rsidRPr="00AA2258">
        <w:t>https://doi.org/10.1007/s00500-019-04030-2</w:t>
      </w:r>
    </w:p>
    <w:p w14:paraId="67F972B7" w14:textId="0F3AE47F" w:rsidR="00DD45D6" w:rsidRPr="00AA2258" w:rsidRDefault="00285655">
      <w:pPr>
        <w:spacing w:after="90" w:line="252" w:lineRule="auto"/>
        <w:ind w:left="360" w:hanging="360"/>
      </w:pPr>
      <w:r w:rsidRPr="00AA2258">
        <w:rPr>
          <w:rFonts w:eastAsia="Times New Roman"/>
        </w:rPr>
        <w:t xml:space="preserve">Lychev, R., Goldberg, S., &amp; Schapira, M. (2013). BGP security in partial deployment: Is the juice worth the squeeze? In </w:t>
      </w:r>
      <w:r w:rsidRPr="00AA2258">
        <w:rPr>
          <w:rFonts w:eastAsia="Times New Roman"/>
          <w:i/>
        </w:rPr>
        <w:t>Proceedings of the ACM SIGCOMM 2013 Conference on SIGCOMM</w:t>
      </w:r>
      <w:r w:rsidRPr="00AA2258">
        <w:rPr>
          <w:rFonts w:eastAsia="Times New Roman"/>
        </w:rPr>
        <w:t xml:space="preserve"> (pp. 171–182). </w:t>
      </w:r>
      <w:r w:rsidRPr="00AA2258">
        <w:t>https://doi.org/10.1145/2486001.2486010</w:t>
      </w:r>
    </w:p>
    <w:p w14:paraId="67B2CB71" w14:textId="34858778" w:rsidR="00DD45D6" w:rsidRPr="00AA2258" w:rsidRDefault="00285655">
      <w:pPr>
        <w:spacing w:after="90" w:line="252" w:lineRule="auto"/>
        <w:ind w:left="360" w:hanging="360"/>
      </w:pPr>
      <w:r w:rsidRPr="00AA2258">
        <w:rPr>
          <w:rFonts w:eastAsia="Times New Roman"/>
        </w:rPr>
        <w:t xml:space="preserve">Mijumbi, R., Serrat, J., Gorricho, J.-L., Bouten, N., De Turck, F., &amp; Boutaba, R. (2016). Network function virtualization: State-of-the-art and research challenges. </w:t>
      </w:r>
      <w:r w:rsidRPr="00AA2258">
        <w:rPr>
          <w:rFonts w:eastAsia="Times New Roman"/>
          <w:i/>
        </w:rPr>
        <w:t>IEEE Communications Surveys &amp; Tutorials, 18</w:t>
      </w:r>
      <w:r w:rsidRPr="00AA2258">
        <w:rPr>
          <w:rFonts w:eastAsia="Times New Roman"/>
        </w:rPr>
        <w:t xml:space="preserve">(1), 236–262. </w:t>
      </w:r>
      <w:r w:rsidRPr="00AA2258">
        <w:t>https://doi.org/10.1109/COMST.2015.2477041</w:t>
      </w:r>
    </w:p>
    <w:p w14:paraId="51339CA5" w14:textId="6B630F4C" w:rsidR="00DD45D6" w:rsidRPr="00AA2258" w:rsidRDefault="00285655">
      <w:pPr>
        <w:spacing w:after="90" w:line="252" w:lineRule="auto"/>
        <w:ind w:left="360" w:hanging="360"/>
      </w:pPr>
      <w:r w:rsidRPr="00AA2258">
        <w:rPr>
          <w:rFonts w:eastAsia="Times New Roman"/>
        </w:rPr>
        <w:t xml:space="preserve">Mirkovic, J., &amp; Reiher, P. L. (2004). A taxonomy of DDoS attack and DDoS defense mechanisms. </w:t>
      </w:r>
      <w:r w:rsidRPr="00AA2258">
        <w:rPr>
          <w:rFonts w:eastAsia="Times New Roman"/>
          <w:i/>
        </w:rPr>
        <w:t>ACM SIGCOMM Computer Communication Review, 34</w:t>
      </w:r>
      <w:r w:rsidRPr="00AA2258">
        <w:rPr>
          <w:rFonts w:eastAsia="Times New Roman"/>
        </w:rPr>
        <w:t xml:space="preserve">(2), 39–53. </w:t>
      </w:r>
      <w:r w:rsidRPr="00AA2258">
        <w:t>https://doi.org/10.1145/997150.997156</w:t>
      </w:r>
    </w:p>
    <w:p w14:paraId="440D43AD" w14:textId="41FF493B" w:rsidR="00DD45D6" w:rsidRPr="00AA2258" w:rsidRDefault="00285655">
      <w:pPr>
        <w:spacing w:after="90" w:line="252" w:lineRule="auto"/>
        <w:ind w:left="360" w:hanging="360"/>
      </w:pPr>
      <w:r w:rsidRPr="00AA2258">
        <w:rPr>
          <w:rFonts w:eastAsia="Times New Roman"/>
        </w:rPr>
        <w:t xml:space="preserve">Pawlick, J., Colbert, E., &amp; Zhu, Q. (2019). A game-theoretic taxonomy and survey of defensive deception for cybersecurity and privacy. </w:t>
      </w:r>
      <w:r w:rsidRPr="00AA2258">
        <w:rPr>
          <w:rFonts w:eastAsia="Times New Roman"/>
          <w:i/>
        </w:rPr>
        <w:t>ACM Computing Surveys, 52</w:t>
      </w:r>
      <w:r w:rsidRPr="00AA2258">
        <w:rPr>
          <w:rFonts w:eastAsia="Times New Roman"/>
        </w:rPr>
        <w:t xml:space="preserve">(4), Article 82, 1–28. </w:t>
      </w:r>
      <w:r w:rsidRPr="00AA2258">
        <w:t>https://doi.org/10.1145/3337772</w:t>
      </w:r>
    </w:p>
    <w:p w14:paraId="4BEA269A" w14:textId="09BF2CC0" w:rsidR="00DD45D6" w:rsidRPr="00AA2258" w:rsidRDefault="00285655">
      <w:pPr>
        <w:spacing w:after="90" w:line="252" w:lineRule="auto"/>
        <w:ind w:left="360" w:hanging="360"/>
      </w:pPr>
      <w:r w:rsidRPr="00AA2258">
        <w:rPr>
          <w:rFonts w:eastAsia="Times New Roman"/>
        </w:rPr>
        <w:t xml:space="preserve">Phiayura, P., &amp; Teerakanok, S. (2023). A comprehensive framework for migrating to zero trust architecture. </w:t>
      </w:r>
      <w:r w:rsidRPr="00AA2258">
        <w:rPr>
          <w:rFonts w:eastAsia="Times New Roman"/>
          <w:i/>
        </w:rPr>
        <w:t>IEEE Access, 11</w:t>
      </w:r>
      <w:r w:rsidRPr="00AA2258">
        <w:rPr>
          <w:rFonts w:eastAsia="Times New Roman"/>
        </w:rPr>
        <w:t xml:space="preserve">, 19487–19511. </w:t>
      </w:r>
      <w:r w:rsidRPr="00AA2258">
        <w:t>https://doi.org/10.1109/ACCESS.2023.3248622</w:t>
      </w:r>
    </w:p>
    <w:p w14:paraId="70D7CB38" w14:textId="36EC12AC" w:rsidR="00DD45D6" w:rsidRPr="00AA2258" w:rsidRDefault="00285655">
      <w:pPr>
        <w:spacing w:after="90" w:line="252" w:lineRule="auto"/>
        <w:ind w:left="360" w:hanging="360"/>
      </w:pPr>
      <w:r w:rsidRPr="00AA2258">
        <w:rPr>
          <w:rFonts w:eastAsia="Times New Roman"/>
        </w:rPr>
        <w:t xml:space="preserve">Rezaei, S., &amp; Liu, X. (2019). Deep learning for encrypted traffic classification: An overview. </w:t>
      </w:r>
      <w:r w:rsidRPr="00AA2258">
        <w:rPr>
          <w:rFonts w:eastAsia="Times New Roman"/>
          <w:i/>
        </w:rPr>
        <w:t>IEEE Communications Magazine, 57</w:t>
      </w:r>
      <w:r w:rsidRPr="00AA2258">
        <w:rPr>
          <w:rFonts w:eastAsia="Times New Roman"/>
        </w:rPr>
        <w:t xml:space="preserve">(5), 76–81. </w:t>
      </w:r>
      <w:r w:rsidRPr="00AA2258">
        <w:t>https://doi.org/10.1109/MCOM.2019.1800819</w:t>
      </w:r>
    </w:p>
    <w:p w14:paraId="219C050D" w14:textId="6F9FD323" w:rsidR="00DD45D6" w:rsidRPr="00AA2258" w:rsidRDefault="00285655">
      <w:pPr>
        <w:spacing w:after="90" w:line="252" w:lineRule="auto"/>
        <w:ind w:left="360" w:hanging="360"/>
      </w:pPr>
      <w:r w:rsidRPr="00AA2258">
        <w:rPr>
          <w:rFonts w:eastAsia="Times New Roman"/>
        </w:rPr>
        <w:lastRenderedPageBreak/>
        <w:t xml:space="preserve">Ring, M., Wunderlich, S., Scheuring, D., Landes, D., &amp; Hotho, A. (2019). A survey of network-based intrusion detection data sets. </w:t>
      </w:r>
      <w:r w:rsidRPr="00AA2258">
        <w:rPr>
          <w:rFonts w:eastAsia="Times New Roman"/>
          <w:i/>
        </w:rPr>
        <w:t>Computers &amp; Security, 86</w:t>
      </w:r>
      <w:r w:rsidRPr="00AA2258">
        <w:rPr>
          <w:rFonts w:eastAsia="Times New Roman"/>
        </w:rPr>
        <w:t xml:space="preserve">, 147–167. </w:t>
      </w:r>
      <w:r w:rsidRPr="00AA2258">
        <w:t>https://doi.org/10.1016/j.cose.2019.06.005</w:t>
      </w:r>
    </w:p>
    <w:p w14:paraId="797A982A" w14:textId="47340C0E" w:rsidR="00DD45D6" w:rsidRPr="00AA2258" w:rsidRDefault="00285655">
      <w:pPr>
        <w:spacing w:after="90" w:line="252" w:lineRule="auto"/>
        <w:ind w:left="360" w:hanging="360"/>
      </w:pPr>
      <w:r w:rsidRPr="00AA2258">
        <w:rPr>
          <w:rFonts w:eastAsia="Times New Roman"/>
        </w:rPr>
        <w:t xml:space="preserve">Rose, S., Borchert, O., Mitchell, S., &amp; Connelly, S. (2020). </w:t>
      </w:r>
      <w:r w:rsidRPr="00AA2258">
        <w:rPr>
          <w:rFonts w:eastAsia="Times New Roman"/>
          <w:i/>
        </w:rPr>
        <w:t>Zero Trust Architecture</w:t>
      </w:r>
      <w:r w:rsidRPr="00AA2258">
        <w:rPr>
          <w:rFonts w:eastAsia="Times New Roman"/>
        </w:rPr>
        <w:t xml:space="preserve"> (NIST Special Publication 800-207). National Institute of Standards and Technology. </w:t>
      </w:r>
      <w:r w:rsidRPr="00AA2258">
        <w:t>https://doi.org/10.6028/NIST.SP.800-207</w:t>
      </w:r>
    </w:p>
    <w:p w14:paraId="6F2C784B" w14:textId="2229AC01" w:rsidR="00DD45D6" w:rsidRPr="00AA2258" w:rsidRDefault="00285655">
      <w:pPr>
        <w:spacing w:after="90" w:line="252" w:lineRule="auto"/>
        <w:ind w:left="360" w:hanging="360"/>
      </w:pPr>
      <w:r w:rsidRPr="00AA2258">
        <w:rPr>
          <w:rFonts w:eastAsia="Times New Roman"/>
        </w:rPr>
        <w:t xml:space="preserve">Scott-Hayward, S., Natarajan, S., &amp; Sezer, S. (2016). A survey of security in software defined networks. </w:t>
      </w:r>
      <w:r w:rsidRPr="00AA2258">
        <w:rPr>
          <w:rFonts w:eastAsia="Times New Roman"/>
          <w:i/>
        </w:rPr>
        <w:t>IEEE Communications Surveys &amp; Tutorials, 18</w:t>
      </w:r>
      <w:r w:rsidRPr="00AA2258">
        <w:rPr>
          <w:rFonts w:eastAsia="Times New Roman"/>
        </w:rPr>
        <w:t xml:space="preserve">(1), 623–654. </w:t>
      </w:r>
      <w:r w:rsidRPr="00AA2258">
        <w:t>https://doi.org/10.1109/COMST.2015.2453114</w:t>
      </w:r>
    </w:p>
    <w:p w14:paraId="180FCAF6" w14:textId="0F0EDDB8" w:rsidR="00DD45D6" w:rsidRPr="00AA2258" w:rsidRDefault="00285655">
      <w:pPr>
        <w:spacing w:after="90" w:line="252" w:lineRule="auto"/>
        <w:ind w:left="360" w:hanging="360"/>
      </w:pPr>
      <w:r w:rsidRPr="00AA2258">
        <w:rPr>
          <w:rFonts w:eastAsia="Times New Roman"/>
        </w:rPr>
        <w:t xml:space="preserve">Sharma, A., &amp; Lashkari, A. H. (2025). A survey on encrypted network traffic: A comprehensive survey of identification/classification techniques, challenges, and future directions. </w:t>
      </w:r>
      <w:r w:rsidRPr="00AA2258">
        <w:rPr>
          <w:rFonts w:eastAsia="Times New Roman"/>
          <w:i/>
        </w:rPr>
        <w:t>Computer Networks, 257</w:t>
      </w:r>
      <w:r w:rsidRPr="00AA2258">
        <w:rPr>
          <w:rFonts w:eastAsia="Times New Roman"/>
        </w:rPr>
        <w:t xml:space="preserve">, 110984. </w:t>
      </w:r>
      <w:r w:rsidRPr="00AA2258">
        <w:t>https://doi.org/10.1016/j.comnet.2024.110984</w:t>
      </w:r>
    </w:p>
    <w:p w14:paraId="30EA00A2" w14:textId="7342AE1D" w:rsidR="00DD45D6" w:rsidRPr="00AA2258" w:rsidRDefault="00285655">
      <w:pPr>
        <w:spacing w:after="90" w:line="252" w:lineRule="auto"/>
        <w:ind w:left="360" w:hanging="360"/>
      </w:pPr>
      <w:r w:rsidRPr="00AA2258">
        <w:rPr>
          <w:rFonts w:eastAsia="Times New Roman"/>
        </w:rPr>
        <w:t xml:space="preserve">Shen, M., Ye, K., Liu, X., Zhu, L., Kang, J., Yu, S., Li, Q., &amp; Xu, K. (2023). Machine learning-powered encrypted network traffic analysis: A comprehensive survey. </w:t>
      </w:r>
      <w:r w:rsidRPr="00AA2258">
        <w:rPr>
          <w:rFonts w:eastAsia="Times New Roman"/>
          <w:i/>
        </w:rPr>
        <w:t>IEEE Communications Surveys &amp; Tutorials, 25</w:t>
      </w:r>
      <w:r w:rsidRPr="00AA2258">
        <w:rPr>
          <w:rFonts w:eastAsia="Times New Roman"/>
        </w:rPr>
        <w:t xml:space="preserve">(1), 791–824. </w:t>
      </w:r>
      <w:r w:rsidRPr="00AA2258">
        <w:t>https://doi.org/10.1109/COMST.2022.3208196</w:t>
      </w:r>
    </w:p>
    <w:p w14:paraId="1C270259" w14:textId="648CB458" w:rsidR="00DD45D6" w:rsidRPr="00AA2258" w:rsidRDefault="00285655">
      <w:pPr>
        <w:spacing w:after="90" w:line="252" w:lineRule="auto"/>
        <w:ind w:left="360" w:hanging="360"/>
      </w:pPr>
      <w:r w:rsidRPr="00AA2258">
        <w:rPr>
          <w:rFonts w:eastAsia="Times New Roman"/>
        </w:rPr>
        <w:t xml:space="preserve">Sommer, R., &amp; Paxson, V. (2010). Outside the closed world: On using machine learning for network intrusion detection. In </w:t>
      </w:r>
      <w:r w:rsidRPr="00AA2258">
        <w:rPr>
          <w:rFonts w:eastAsia="Times New Roman"/>
          <w:i/>
        </w:rPr>
        <w:t>2010 IEEE Symposium on Security and Privacy</w:t>
      </w:r>
      <w:r w:rsidRPr="00AA2258">
        <w:rPr>
          <w:rFonts w:eastAsia="Times New Roman"/>
        </w:rPr>
        <w:t xml:space="preserve"> (pp. 305–316). </w:t>
      </w:r>
      <w:r w:rsidRPr="00AA2258">
        <w:t>https://doi.org/10.1109/SP.2010.25</w:t>
      </w:r>
    </w:p>
    <w:p w14:paraId="1F91CC5A" w14:textId="256327DB" w:rsidR="00DD45D6" w:rsidRPr="00AA2258" w:rsidRDefault="00285655">
      <w:pPr>
        <w:spacing w:after="90" w:line="252" w:lineRule="auto"/>
        <w:ind w:left="360" w:hanging="360"/>
      </w:pPr>
      <w:r w:rsidRPr="00AA2258">
        <w:rPr>
          <w:rFonts w:eastAsia="Times New Roman"/>
        </w:rPr>
        <w:t xml:space="preserve">Souppaya, M., Morello, J., &amp; Scarfone, K. (2017). </w:t>
      </w:r>
      <w:r w:rsidRPr="00AA2258">
        <w:rPr>
          <w:rFonts w:eastAsia="Times New Roman"/>
          <w:i/>
        </w:rPr>
        <w:t>Application container security guide</w:t>
      </w:r>
      <w:r w:rsidRPr="00AA2258">
        <w:rPr>
          <w:rFonts w:eastAsia="Times New Roman"/>
        </w:rPr>
        <w:t xml:space="preserve"> (NIST Special Publication 800-190). National Institute of Standards and Technology. </w:t>
      </w:r>
      <w:r w:rsidRPr="00AA2258">
        <w:t>https://doi.org/10.6028/NIST.SP.800-190</w:t>
      </w:r>
    </w:p>
    <w:p w14:paraId="37595F21" w14:textId="44C58D4E" w:rsidR="00DD45D6" w:rsidRPr="00AA2258" w:rsidRDefault="00285655">
      <w:pPr>
        <w:spacing w:after="90" w:line="252" w:lineRule="auto"/>
        <w:ind w:left="360" w:hanging="360"/>
      </w:pPr>
      <w:r w:rsidRPr="00AA2258">
        <w:rPr>
          <w:rFonts w:eastAsia="Times New Roman"/>
        </w:rPr>
        <w:t xml:space="preserve">Sultan, S., Ahmad, I., &amp; Dimitriou, T. (2019). Container security: Issues, challenges, and the road ahead. </w:t>
      </w:r>
      <w:r w:rsidRPr="00AA2258">
        <w:rPr>
          <w:rFonts w:eastAsia="Times New Roman"/>
          <w:i/>
        </w:rPr>
        <w:t>IEEE Access, 7</w:t>
      </w:r>
      <w:r w:rsidRPr="00AA2258">
        <w:rPr>
          <w:rFonts w:eastAsia="Times New Roman"/>
        </w:rPr>
        <w:t xml:space="preserve">, 52976–52996. </w:t>
      </w:r>
      <w:r w:rsidRPr="00AA2258">
        <w:t>https://doi.org/10.1109/ACCESS.2019.2911732</w:t>
      </w:r>
    </w:p>
    <w:p w14:paraId="7AA344EF" w14:textId="63796EE3" w:rsidR="00DD45D6" w:rsidRPr="00AA2258" w:rsidRDefault="00285655">
      <w:pPr>
        <w:spacing w:after="90" w:line="252" w:lineRule="auto"/>
        <w:ind w:left="360" w:hanging="360"/>
      </w:pPr>
      <w:r w:rsidRPr="00AA2258">
        <w:rPr>
          <w:rFonts w:eastAsia="Times New Roman"/>
        </w:rPr>
        <w:t xml:space="preserve">Syed, N. F., Shah, S. W., Shaghaghi, A., Anwar, A., Baig, Z. A., &amp; Doss, R. (2022). Zero Trust Architecture (ZTA): A comprehensive survey. </w:t>
      </w:r>
      <w:r w:rsidRPr="00AA2258">
        <w:rPr>
          <w:rFonts w:eastAsia="Times New Roman"/>
          <w:i/>
        </w:rPr>
        <w:t>IEEE Access, 10</w:t>
      </w:r>
      <w:r w:rsidRPr="00AA2258">
        <w:rPr>
          <w:rFonts w:eastAsia="Times New Roman"/>
        </w:rPr>
        <w:t xml:space="preserve">, 57143–57179. </w:t>
      </w:r>
      <w:r w:rsidRPr="00AA2258">
        <w:t>https://doi.org/10.1109/ACCESS.2022.3174679</w:t>
      </w:r>
    </w:p>
    <w:p w14:paraId="64987DC2" w14:textId="3324C939" w:rsidR="00DD45D6" w:rsidRPr="00AA2258" w:rsidRDefault="00285655">
      <w:pPr>
        <w:spacing w:after="90" w:line="252" w:lineRule="auto"/>
        <w:ind w:left="360" w:hanging="360"/>
      </w:pPr>
      <w:r w:rsidRPr="00AA2258">
        <w:rPr>
          <w:rFonts w:eastAsia="Times New Roman"/>
        </w:rPr>
        <w:t xml:space="preserve">Teerakanok, S., Uehara, T., &amp; Inomata, A. (2021). Migrating to Zero Trust Architecture: Reviews and challenges. </w:t>
      </w:r>
      <w:r w:rsidRPr="00AA2258">
        <w:rPr>
          <w:rFonts w:eastAsia="Times New Roman"/>
          <w:i/>
        </w:rPr>
        <w:t>Security and Communication Networks, 2021</w:t>
      </w:r>
      <w:r w:rsidRPr="00AA2258">
        <w:rPr>
          <w:rFonts w:eastAsia="Times New Roman"/>
        </w:rPr>
        <w:t xml:space="preserve">, 9947347. </w:t>
      </w:r>
      <w:r w:rsidRPr="00AA2258">
        <w:t>https://doi.org/10.1155/2021/9947347</w:t>
      </w:r>
    </w:p>
    <w:p w14:paraId="491D5BE9" w14:textId="0698C8D1" w:rsidR="00DD45D6" w:rsidRPr="00AA2258" w:rsidRDefault="00285655">
      <w:pPr>
        <w:spacing w:after="90" w:line="252" w:lineRule="auto"/>
        <w:ind w:left="360" w:hanging="360"/>
      </w:pPr>
      <w:r w:rsidRPr="00AA2258">
        <w:rPr>
          <w:rFonts w:eastAsia="Times New Roman"/>
        </w:rPr>
        <w:t xml:space="preserve">van der Walt, S. P., &amp; Venter, H. (2022). Research gaps and opportunities for Secure Access Service Edge. </w:t>
      </w:r>
      <w:r w:rsidRPr="00AA2258">
        <w:rPr>
          <w:rFonts w:eastAsia="Times New Roman"/>
          <w:i/>
        </w:rPr>
        <w:t>International Conference on Cyber Warfare and Security, 17</w:t>
      </w:r>
      <w:r w:rsidRPr="00AA2258">
        <w:rPr>
          <w:rFonts w:eastAsia="Times New Roman"/>
        </w:rPr>
        <w:t xml:space="preserve">(1), 609–619. </w:t>
      </w:r>
      <w:r w:rsidRPr="00AA2258">
        <w:t>https://doi.org/10.34190/iccws.17.1.75</w:t>
      </w:r>
    </w:p>
    <w:p w14:paraId="065BCAB9" w14:textId="72D4B21E" w:rsidR="00DD45D6" w:rsidRPr="00AA2258" w:rsidRDefault="00285655">
      <w:pPr>
        <w:spacing w:after="90" w:line="252" w:lineRule="auto"/>
        <w:ind w:left="360" w:hanging="360"/>
      </w:pPr>
      <w:r w:rsidRPr="00AA2258">
        <w:rPr>
          <w:rFonts w:eastAsia="Times New Roman"/>
        </w:rPr>
        <w:t xml:space="preserve">Yeoh, W., Liu, M., Shore, M., &amp; Jiang, F. (2023). Zero trust cybersecurity: Critical success factors and a maturity assessment framework. </w:t>
      </w:r>
      <w:r w:rsidRPr="00AA2258">
        <w:rPr>
          <w:rFonts w:eastAsia="Times New Roman"/>
          <w:i/>
        </w:rPr>
        <w:t>Computers &amp; Security, 133</w:t>
      </w:r>
      <w:r w:rsidRPr="00AA2258">
        <w:rPr>
          <w:rFonts w:eastAsia="Times New Roman"/>
        </w:rPr>
        <w:t xml:space="preserve">, 103412. </w:t>
      </w:r>
      <w:r w:rsidRPr="00AA2258">
        <w:t>https://doi.org/10.1016/j.cose.2023.103412</w:t>
      </w:r>
    </w:p>
    <w:p w14:paraId="0A7CBCDA" w14:textId="1F5BBB91" w:rsidR="00DD45D6" w:rsidRPr="00AA2258" w:rsidRDefault="00285655">
      <w:pPr>
        <w:spacing w:after="90" w:line="252" w:lineRule="auto"/>
        <w:ind w:left="360" w:hanging="360"/>
      </w:pPr>
      <w:r w:rsidRPr="00AA2258">
        <w:rPr>
          <w:rFonts w:eastAsia="Times New Roman"/>
        </w:rPr>
        <w:t xml:space="preserve">Yürekten, Ö., &amp; Demirci, M. (2021). SDN-based cyber defense: A survey. </w:t>
      </w:r>
      <w:r w:rsidRPr="00AA2258">
        <w:rPr>
          <w:rFonts w:eastAsia="Times New Roman"/>
          <w:i/>
        </w:rPr>
        <w:t>Future Generation Computer Systems, 115</w:t>
      </w:r>
      <w:r w:rsidRPr="00AA2258">
        <w:rPr>
          <w:rFonts w:eastAsia="Times New Roman"/>
        </w:rPr>
        <w:t xml:space="preserve">, 126–149. </w:t>
      </w:r>
      <w:r w:rsidRPr="00AA2258">
        <w:t>https://doi.org/10.1016/j.future.2020.09.006</w:t>
      </w:r>
    </w:p>
    <w:p w14:paraId="6E65C006" w14:textId="4C78C5A0" w:rsidR="00DD45D6" w:rsidRPr="00AA2258" w:rsidRDefault="00285655">
      <w:pPr>
        <w:spacing w:after="90" w:line="252" w:lineRule="auto"/>
        <w:ind w:left="360" w:hanging="360"/>
      </w:pPr>
      <w:r w:rsidRPr="00AA2258">
        <w:rPr>
          <w:rFonts w:eastAsia="Times New Roman"/>
        </w:rPr>
        <w:t xml:space="preserve">Zanasi, C., Russo, S., &amp; Colajanni, M. (2024). Flexible zero trust architecture for the cybersecurity of industrial IoT infrastructures. </w:t>
      </w:r>
      <w:r w:rsidRPr="00AA2258">
        <w:rPr>
          <w:rFonts w:eastAsia="Times New Roman"/>
          <w:i/>
        </w:rPr>
        <w:t>Ad Hoc Networks, 156</w:t>
      </w:r>
      <w:r w:rsidRPr="00AA2258">
        <w:rPr>
          <w:rFonts w:eastAsia="Times New Roman"/>
        </w:rPr>
        <w:t xml:space="preserve">, 103414. </w:t>
      </w:r>
      <w:r w:rsidRPr="00AA2258">
        <w:t>https://doi.org/10.1016/j.adhoc.2024.103414</w:t>
      </w:r>
    </w:p>
    <w:p w14:paraId="5084954C" w14:textId="715299C1" w:rsidR="00DD45D6" w:rsidRPr="00AA2258" w:rsidRDefault="00285655">
      <w:pPr>
        <w:spacing w:after="90" w:line="252" w:lineRule="auto"/>
        <w:ind w:left="360" w:hanging="360"/>
      </w:pPr>
      <w:r w:rsidRPr="00AA2258">
        <w:rPr>
          <w:rFonts w:eastAsia="Times New Roman"/>
        </w:rPr>
        <w:t xml:space="preserve">Zargar, S. T., Joshi, J., &amp; Tipper, D. (2013). A survey of defense mechanisms against distributed denial of service (DDoS) flooding attacks. </w:t>
      </w:r>
      <w:r w:rsidRPr="00AA2258">
        <w:rPr>
          <w:rFonts w:eastAsia="Times New Roman"/>
          <w:i/>
        </w:rPr>
        <w:t>IEEE Communications Surveys &amp; Tutorials, 15</w:t>
      </w:r>
      <w:r w:rsidRPr="00AA2258">
        <w:rPr>
          <w:rFonts w:eastAsia="Times New Roman"/>
        </w:rPr>
        <w:t xml:space="preserve">(4), 2046–2069. </w:t>
      </w:r>
      <w:r w:rsidRPr="00AA2258">
        <w:t>https://doi.org/10.1109/SURV.2013.031413.00127</w:t>
      </w:r>
    </w:p>
    <w:sectPr w:rsidR="00DD45D6" w:rsidRPr="00AA2258" w:rsidSect="00034616">
      <w:headerReference w:type="even" r:id="rId8"/>
      <w:headerReference w:type="default" r:id="rId9"/>
      <w:footerReference w:type="even" r:id="rId10"/>
      <w:footerReference w:type="default" r:id="rId11"/>
      <w:headerReference w:type="first" r:id="rId12"/>
      <w:footerReference w:type="first" r:id="rId13"/>
      <w:pgSz w:w="12240" w:h="15840"/>
      <w:pgMar w:top="1181" w:right="936" w:bottom="1123" w:left="93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C0C63" w14:textId="77777777" w:rsidR="00992EBA" w:rsidRDefault="00992EBA">
      <w:pPr>
        <w:spacing w:after="0" w:line="240" w:lineRule="auto"/>
      </w:pPr>
      <w:r>
        <w:separator/>
      </w:r>
    </w:p>
  </w:endnote>
  <w:endnote w:type="continuationSeparator" w:id="0">
    <w:p w14:paraId="0A26B2D2" w14:textId="77777777" w:rsidR="00992EBA" w:rsidRDefault="00992E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EDBD5" w14:textId="77777777" w:rsidR="00094B6E" w:rsidRDefault="00094B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D8E67" w14:textId="77777777" w:rsidR="00DD45D6" w:rsidRDefault="00285655">
    <w:pPr>
      <w:pStyle w:val="Footer"/>
      <w:jc w:val="center"/>
    </w:pPr>
    <w:r>
      <w:rPr>
        <w:rFonts w:eastAsia="Times New Roman"/>
        <w:sz w:val="18"/>
      </w:rPr>
      <w:fldChar w:fldCharType="begin"/>
    </w:r>
    <w:r>
      <w:rPr>
        <w:rFonts w:eastAsia="Times New Roman"/>
        <w:sz w:val="18"/>
      </w:rPr>
      <w:instrText xml:space="preserve"> PAGE </w:instrText>
    </w:r>
    <w:r>
      <w:rPr>
        <w:rFonts w:eastAsia="Times New Roman"/>
        <w:sz w:val="18"/>
      </w:rPr>
      <w:fldChar w:fldCharType="separate"/>
    </w:r>
    <w:r w:rsidR="00BB01CE">
      <w:rPr>
        <w:rFonts w:eastAsia="Times New Roman"/>
        <w:noProof/>
        <w:sz w:val="18"/>
      </w:rPr>
      <w:t>1</w:t>
    </w:r>
    <w:r>
      <w:rPr>
        <w:rFonts w:eastAsia="Times New Roman"/>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C1BC1" w14:textId="77777777" w:rsidR="00094B6E" w:rsidRDefault="00094B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1259F" w14:textId="77777777" w:rsidR="00992EBA" w:rsidRDefault="00992EBA">
      <w:pPr>
        <w:spacing w:after="0" w:line="240" w:lineRule="auto"/>
      </w:pPr>
      <w:r>
        <w:separator/>
      </w:r>
    </w:p>
  </w:footnote>
  <w:footnote w:type="continuationSeparator" w:id="0">
    <w:p w14:paraId="00B55DD7" w14:textId="77777777" w:rsidR="00992EBA" w:rsidRDefault="00992E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4446E" w14:textId="15E904AB" w:rsidR="00094B6E" w:rsidRDefault="00094B6E">
    <w:pPr>
      <w:pStyle w:val="Header"/>
    </w:pPr>
    <w:r>
      <w:rPr>
        <w:noProof/>
      </w:rPr>
      <w:pict w14:anchorId="4B584F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976032" o:spid="_x0000_s1026" type="#_x0000_t136" style="position:absolute;left:0;text-align:left;margin-left:0;margin-top:0;width:657.7pt;height:73.0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9F35B" w14:textId="4AB0A5E8" w:rsidR="00094B6E" w:rsidRDefault="00094B6E">
    <w:pPr>
      <w:pStyle w:val="Header"/>
    </w:pPr>
    <w:r>
      <w:rPr>
        <w:noProof/>
      </w:rPr>
      <w:pict w14:anchorId="5886E9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976033" o:spid="_x0000_s1027" type="#_x0000_t136" style="position:absolute;left:0;text-align:left;margin-left:0;margin-top:0;width:657.7pt;height:73.0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E65FD" w14:textId="11D54DB0" w:rsidR="00094B6E" w:rsidRDefault="00094B6E">
    <w:pPr>
      <w:pStyle w:val="Header"/>
    </w:pPr>
    <w:r>
      <w:rPr>
        <w:noProof/>
      </w:rPr>
      <w:pict w14:anchorId="1FBF88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976031" o:spid="_x0000_s1025" type="#_x0000_t136" style="position:absolute;left:0;text-align:left;margin-left:0;margin-top:0;width:657.7pt;height:73.0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20304997">
    <w:abstractNumId w:val="8"/>
  </w:num>
  <w:num w:numId="2" w16cid:durableId="516693629">
    <w:abstractNumId w:val="6"/>
  </w:num>
  <w:num w:numId="3" w16cid:durableId="1873415694">
    <w:abstractNumId w:val="5"/>
  </w:num>
  <w:num w:numId="4" w16cid:durableId="364327796">
    <w:abstractNumId w:val="4"/>
  </w:num>
  <w:num w:numId="5" w16cid:durableId="154034682">
    <w:abstractNumId w:val="7"/>
  </w:num>
  <w:num w:numId="6" w16cid:durableId="688026064">
    <w:abstractNumId w:val="3"/>
  </w:num>
  <w:num w:numId="7" w16cid:durableId="1587617927">
    <w:abstractNumId w:val="2"/>
  </w:num>
  <w:num w:numId="8" w16cid:durableId="1895121557">
    <w:abstractNumId w:val="1"/>
  </w:num>
  <w:num w:numId="9" w16cid:durableId="467474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264C"/>
    <w:rsid w:val="00034616"/>
    <w:rsid w:val="0006063C"/>
    <w:rsid w:val="00094B6E"/>
    <w:rsid w:val="0015074B"/>
    <w:rsid w:val="001522D0"/>
    <w:rsid w:val="00285655"/>
    <w:rsid w:val="0029639D"/>
    <w:rsid w:val="00326F90"/>
    <w:rsid w:val="00491292"/>
    <w:rsid w:val="005C59DA"/>
    <w:rsid w:val="006B0DE2"/>
    <w:rsid w:val="00774D15"/>
    <w:rsid w:val="00992EBA"/>
    <w:rsid w:val="009A1ECC"/>
    <w:rsid w:val="00AA1D8D"/>
    <w:rsid w:val="00AA2258"/>
    <w:rsid w:val="00B47730"/>
    <w:rsid w:val="00B76B66"/>
    <w:rsid w:val="00BB01CE"/>
    <w:rsid w:val="00CB0664"/>
    <w:rsid w:val="00DD45D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0FAB0EE"/>
  <w14:defaultImageDpi w14:val="300"/>
  <w15:docId w15:val="{024BD927-3EBF-4FDB-8473-213F122E4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ind w:firstLine="317"/>
      <w:jc w:val="both"/>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1F3758"/>
      <w:sz w:val="27"/>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color w:val="1F3758"/>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317"/>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DF3647-F2C0-495E-B433-120CABFF0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25</Pages>
  <Words>15436</Words>
  <Characters>87988</Characters>
  <Application>Microsoft Office Word</Application>
  <DocSecurity>0</DocSecurity>
  <Lines>733</Lines>
  <Paragraphs>206</Paragraphs>
  <ScaleCrop>false</ScaleCrop>
  <HeadingPairs>
    <vt:vector size="2" baseType="variant">
      <vt:variant>
        <vt:lpstr>Title</vt:lpstr>
      </vt:variant>
      <vt:variant>
        <vt:i4>1</vt:i4>
      </vt:variant>
    </vt:vector>
  </HeadingPairs>
  <TitlesOfParts>
    <vt:vector size="1" baseType="lpstr">
      <vt:lpstr>Modern Network Security Architectures: A Critical Review of Networking and Cyber Defence Strategies</vt:lpstr>
    </vt:vector>
  </TitlesOfParts>
  <Manager/>
  <Company/>
  <LinksUpToDate>false</LinksUpToDate>
  <CharactersWithSpaces>103218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 Network Security Architectures: A Critical Review of Networking and Cyber Defence Strategies</dc:title>
  <dc:subject>Critical narrative review</dc:subject>
  <dc:creator/>
  <cp:keywords>network security; zero trust; SDN; cyber defence; SASE; cloud-native security</cp:keywords>
  <dc:description/>
  <cp:lastModifiedBy>SDI 1166</cp:lastModifiedBy>
  <cp:revision>5</cp:revision>
  <dcterms:created xsi:type="dcterms:W3CDTF">2013-12-23T23:15:00Z</dcterms:created>
  <dcterms:modified xsi:type="dcterms:W3CDTF">2026-08-26T13:03:00Z</dcterms:modified>
  <cp:category/>
</cp:coreProperties>
</file>