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840F4" w14:textId="77777777" w:rsidR="00472922" w:rsidRDefault="00B5152B">
      <w:pPr>
        <w:spacing w:after="28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IMPACT OF NEW BUSINESS DENSITY ON ECONOMIC GROWTH IN NIGERIA: EVIDENCE FROM THE AUTOREGRESSIVE DISTRIBUTED LAG (ARDL) APPROACH</w:t>
      </w:r>
    </w:p>
    <w:p w14:paraId="39FF2E61" w14:textId="77777777" w:rsidR="00472922" w:rsidRDefault="00B5152B">
      <w:pPr>
        <w:spacing w:before="280" w:after="28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ABSTRACT</w:t>
      </w:r>
    </w:p>
    <w:p w14:paraId="0DA32106" w14:textId="77777777" w:rsidR="00472922" w:rsidRDefault="00B5152B">
      <w:pPr>
        <w:spacing w:before="280" w:after="28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Entrepreneurship is gaining increasing importance as one of the main contributors to economic development, as it involves the creation of businesses, innovation and the creation of jobs. Despite the various entrepreneurship promotion initiatives undertaken in Nigeria, the role of formal business start-up in economic growth is still poorly understood. The study used the Autoregressive Distributed Lag (ARDL) model to empirically examine the effect of the new business density on economic growth in Nigeria between 2004 and 2025. The data were sourced from the World Development Indicators (WDI). The results showed that in the long run, new business density has a positive though insignificant relationship with economic growth, but in the short run, its negative impact on economic growth is statistically significant. Similarly, literacy rate had a negative and statistically significant long-run effect on economic growth but a positive and significant lagged effect in the short run, suggesting that the growth-enhancing benefits of literacy </w:t>
      </w:r>
      <w:proofErr w:type="spellStart"/>
      <w:r>
        <w:rPr>
          <w:rFonts w:ascii="Times New Roman" w:eastAsia="Times New Roman" w:hAnsi="Times New Roman" w:cs="Times New Roman"/>
          <w:color w:val="000000"/>
          <w:sz w:val="24"/>
          <w:szCs w:val="24"/>
        </w:rPr>
        <w:t>materialise</w:t>
      </w:r>
      <w:proofErr w:type="spellEnd"/>
      <w:r>
        <w:rPr>
          <w:rFonts w:ascii="Times New Roman" w:eastAsia="Times New Roman" w:hAnsi="Times New Roman" w:cs="Times New Roman"/>
          <w:color w:val="000000"/>
          <w:sz w:val="24"/>
          <w:szCs w:val="24"/>
        </w:rPr>
        <w:t xml:space="preserve"> over time. The study concludes that to boost sustainable economic growth, it is not enough to simply encourage businesses to register; attention needs to be given to the structural challenges faced by new businesses and the quality of human capital. The study suggests an improvement of the entrepreneurial ecosystem through the ease of business registration procedures, increased access to business support services, low-cost financing for start-ups by the Federal Ministry of Industry, Trade and Investment, the Corporate Affairs Commission, the Small and Medium Enterprises Development Agency of Nigeria and the Bank of Industry. It also calls on the Federal Ministry of Education, the National Universities Commission, the National Board for Technical Education and the National Commission for Colleges of Education to enhance the education and skills development in entrepreneurship to enhance the productive contribution of human capital to economic </w:t>
      </w:r>
      <w:proofErr w:type="gramStart"/>
      <w:r>
        <w:rPr>
          <w:rFonts w:ascii="Times New Roman" w:eastAsia="Times New Roman" w:hAnsi="Times New Roman" w:cs="Times New Roman"/>
          <w:color w:val="000000"/>
          <w:sz w:val="24"/>
          <w:szCs w:val="24"/>
        </w:rPr>
        <w:t>growth..</w:t>
      </w:r>
      <w:proofErr w:type="gramEnd"/>
    </w:p>
    <w:p w14:paraId="4636983B" w14:textId="77777777" w:rsidR="00472922" w:rsidRDefault="00B5152B">
      <w:pPr>
        <w:spacing w:before="280" w:after="28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Keywords:</w:t>
      </w:r>
      <w:r>
        <w:rPr>
          <w:rFonts w:ascii="Times New Roman" w:eastAsia="Times New Roman" w:hAnsi="Times New Roman" w:cs="Times New Roman"/>
          <w:color w:val="000000"/>
          <w:sz w:val="24"/>
          <w:szCs w:val="24"/>
        </w:rPr>
        <w:t xml:space="preserve"> ARDL, Economic Growth, Entrepreneurship, Literacy Rate, New Business Density, Nigeria.</w:t>
      </w:r>
    </w:p>
    <w:p w14:paraId="377AD9FD" w14:textId="77777777" w:rsidR="00472922" w:rsidRDefault="00B5152B">
      <w:pPr>
        <w:spacing w:before="280" w:after="28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JEL Classification:</w:t>
      </w:r>
      <w:r>
        <w:rPr>
          <w:rFonts w:ascii="Times New Roman" w:eastAsia="Times New Roman" w:hAnsi="Times New Roman" w:cs="Times New Roman"/>
          <w:color w:val="000000"/>
          <w:sz w:val="24"/>
          <w:szCs w:val="24"/>
        </w:rPr>
        <w:t xml:space="preserve"> L26, O40, O43, O55, C22</w:t>
      </w:r>
    </w:p>
    <w:p w14:paraId="7F098E7B" w14:textId="77777777" w:rsidR="00472922" w:rsidRDefault="00B5152B">
      <w:pPr>
        <w:spacing w:before="280" w:after="28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1.0 Introduction</w:t>
      </w:r>
    </w:p>
    <w:p w14:paraId="2CAC0124" w14:textId="77777777" w:rsidR="00472922" w:rsidRDefault="00B5152B">
      <w:pPr>
        <w:shd w:val="clear" w:color="auto" w:fill="FFFFFF"/>
        <w:spacing w:before="274" w:after="274"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Attaining steady economic growth and development is still a prime goal of developing economies globally. The emerging nations face several issues which include a high inflation rate, trade imbalance, slow growth rate, and high levels of poverty and unemployment, which all in all slow down the rate of economic growth (Muritala, </w:t>
      </w:r>
      <w:proofErr w:type="spellStart"/>
      <w:r>
        <w:rPr>
          <w:rFonts w:ascii="Times New Roman" w:eastAsia="Times New Roman" w:hAnsi="Times New Roman" w:cs="Times New Roman"/>
          <w:color w:val="000000"/>
          <w:sz w:val="24"/>
          <w:szCs w:val="24"/>
        </w:rPr>
        <w:t>Awolaja</w:t>
      </w:r>
      <w:proofErr w:type="spellEnd"/>
      <w:r>
        <w:rPr>
          <w:rFonts w:ascii="Times New Roman" w:eastAsia="Times New Roman" w:hAnsi="Times New Roman" w:cs="Times New Roman"/>
          <w:color w:val="000000"/>
          <w:sz w:val="24"/>
          <w:szCs w:val="24"/>
        </w:rPr>
        <w:t xml:space="preserve"> &amp; Bako, 2012). </w:t>
      </w:r>
      <w:proofErr w:type="spellStart"/>
      <w:r>
        <w:rPr>
          <w:rFonts w:ascii="Times New Roman" w:eastAsia="Times New Roman" w:hAnsi="Times New Roman" w:cs="Times New Roman"/>
          <w:color w:val="000000"/>
          <w:sz w:val="24"/>
          <w:szCs w:val="24"/>
        </w:rPr>
        <w:t>Industrialisation</w:t>
      </w:r>
      <w:proofErr w:type="spellEnd"/>
      <w:r>
        <w:rPr>
          <w:rFonts w:ascii="Times New Roman" w:eastAsia="Times New Roman" w:hAnsi="Times New Roman" w:cs="Times New Roman"/>
          <w:color w:val="000000"/>
          <w:sz w:val="24"/>
          <w:szCs w:val="24"/>
        </w:rPr>
        <w:t xml:space="preserve">, output growth and the creation of productive employment are important indicators of growth, often measured by Gross Domestic Product (GDP) per capita, national income, equitable income distribution and the welfare and living standards of citizens. Entrepreneurship is now a tool that </w:t>
      </w:r>
      <w:r>
        <w:rPr>
          <w:rFonts w:ascii="Times New Roman" w:eastAsia="Times New Roman" w:hAnsi="Times New Roman" w:cs="Times New Roman"/>
          <w:color w:val="000000"/>
          <w:sz w:val="24"/>
          <w:szCs w:val="24"/>
        </w:rPr>
        <w:lastRenderedPageBreak/>
        <w:t>has become a widespread phenomenon in both developed and developing countries in their pursuit of economic growth (Schumpeter, 1934).</w:t>
      </w:r>
    </w:p>
    <w:p w14:paraId="5DB490AD" w14:textId="77777777" w:rsidR="00472922" w:rsidRDefault="00B5152B">
      <w:pPr>
        <w:shd w:val="clear" w:color="auto" w:fill="FFFFFF"/>
        <w:spacing w:before="274" w:after="274"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There is widespread international support for the catalytic role of entrepreneurship in economic transformation. The successful growth paths of nations like the USA have been connected with the presence of powerful support for small businesses, which are the outcome of entrepreneurship development. According to </w:t>
      </w:r>
      <w:proofErr w:type="spellStart"/>
      <w:r>
        <w:rPr>
          <w:rFonts w:ascii="Times New Roman" w:eastAsia="Times New Roman" w:hAnsi="Times New Roman" w:cs="Times New Roman"/>
          <w:color w:val="000000"/>
          <w:sz w:val="24"/>
          <w:szCs w:val="24"/>
        </w:rPr>
        <w:t>Oberlo</w:t>
      </w:r>
      <w:proofErr w:type="spellEnd"/>
      <w:r>
        <w:rPr>
          <w:rFonts w:ascii="Times New Roman" w:eastAsia="Times New Roman" w:hAnsi="Times New Roman" w:cs="Times New Roman"/>
          <w:color w:val="000000"/>
          <w:sz w:val="24"/>
          <w:szCs w:val="24"/>
        </w:rPr>
        <w:t xml:space="preserve"> (2020), small businesses in the USA accounted for about 60.6 million employees and 47.1% of the workforce in the country as of 2020, with 31.7 million of them being in operation as small businesses, representing 44% of all economic activities. Likewise, India's small businesses account for around 106 million jobs, which is about 40% of the total jobs, and 40% of GDP (Rastogi, 2020), with an estimated number of around 63.385 million small businesses. Credit and market development support, as well as sufficient government incentives, have been cited as the reasons for the growth of these entrepreneurial ventures. Over time these businesses have become dynamic and vibrant economic actors of change (Caree &amp; </w:t>
      </w:r>
      <w:proofErr w:type="spellStart"/>
      <w:r>
        <w:rPr>
          <w:rFonts w:ascii="Times New Roman" w:eastAsia="Times New Roman" w:hAnsi="Times New Roman" w:cs="Times New Roman"/>
          <w:color w:val="000000"/>
          <w:sz w:val="24"/>
          <w:szCs w:val="24"/>
        </w:rPr>
        <w:t>Thurik</w:t>
      </w:r>
      <w:proofErr w:type="spellEnd"/>
      <w:r>
        <w:rPr>
          <w:rFonts w:ascii="Times New Roman" w:eastAsia="Times New Roman" w:hAnsi="Times New Roman" w:cs="Times New Roman"/>
          <w:color w:val="000000"/>
          <w:sz w:val="24"/>
          <w:szCs w:val="24"/>
        </w:rPr>
        <w:t>, 2010).</w:t>
      </w:r>
    </w:p>
    <w:p w14:paraId="731F2B70" w14:textId="77777777" w:rsidR="00472922" w:rsidRDefault="00B5152B">
      <w:pPr>
        <w:shd w:val="clear" w:color="auto" w:fill="FFFFFF"/>
        <w:spacing w:before="274" w:after="274"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The contribution of small businesses in job creation is very significant, as they enable the </w:t>
      </w:r>
      <w:proofErr w:type="spellStart"/>
      <w:r>
        <w:rPr>
          <w:rFonts w:ascii="Times New Roman" w:eastAsia="Times New Roman" w:hAnsi="Times New Roman" w:cs="Times New Roman"/>
          <w:color w:val="000000"/>
          <w:sz w:val="24"/>
          <w:szCs w:val="24"/>
        </w:rPr>
        <w:t>industrialisation</w:t>
      </w:r>
      <w:proofErr w:type="spellEnd"/>
      <w:r>
        <w:rPr>
          <w:rFonts w:ascii="Times New Roman" w:eastAsia="Times New Roman" w:hAnsi="Times New Roman" w:cs="Times New Roman"/>
          <w:color w:val="000000"/>
          <w:sz w:val="24"/>
          <w:szCs w:val="24"/>
        </w:rPr>
        <w:t xml:space="preserve"> of rural areas and make a significant contribution to economic diversification. In developing countries, small enterprises account for a large share of the workforce – 98% in Indonesia, 78% in Thailand, 87% in Bangladesh, 80% in South Africa, 30% in Ghana, 65% in Singapore and 75% in Egypt (World Bank, 2016). The government's policies in </w:t>
      </w:r>
      <w:proofErr w:type="spellStart"/>
      <w:r>
        <w:rPr>
          <w:rFonts w:ascii="Times New Roman" w:eastAsia="Times New Roman" w:hAnsi="Times New Roman" w:cs="Times New Roman"/>
          <w:color w:val="000000"/>
          <w:sz w:val="24"/>
          <w:szCs w:val="24"/>
        </w:rPr>
        <w:t>favour</w:t>
      </w:r>
      <w:proofErr w:type="spellEnd"/>
      <w:r>
        <w:rPr>
          <w:rFonts w:ascii="Times New Roman" w:eastAsia="Times New Roman" w:hAnsi="Times New Roman" w:cs="Times New Roman"/>
          <w:color w:val="000000"/>
          <w:sz w:val="24"/>
          <w:szCs w:val="24"/>
        </w:rPr>
        <w:t xml:space="preserve"> of small business operations had a significant impact on the high rate of unemployment in Mauritius in 1983, which dropped to 1.6% in 1996 (</w:t>
      </w:r>
      <w:proofErr w:type="spellStart"/>
      <w:r>
        <w:rPr>
          <w:rFonts w:ascii="Times New Roman" w:eastAsia="Times New Roman" w:hAnsi="Times New Roman" w:cs="Times New Roman"/>
          <w:color w:val="000000"/>
          <w:sz w:val="24"/>
          <w:szCs w:val="24"/>
        </w:rPr>
        <w:t>Roopchund</w:t>
      </w:r>
      <w:proofErr w:type="spellEnd"/>
      <w:r>
        <w:rPr>
          <w:rFonts w:ascii="Times New Roman" w:eastAsia="Times New Roman" w:hAnsi="Times New Roman" w:cs="Times New Roman"/>
          <w:color w:val="000000"/>
          <w:sz w:val="24"/>
          <w:szCs w:val="24"/>
        </w:rPr>
        <w:t>, 2020). In addition, small enterprises accounted for more than 55% of the GDP of the USA, 17% of the economies of the Asia-Pacific region, 50% of Africa and 57% of Australia (</w:t>
      </w:r>
      <w:proofErr w:type="spellStart"/>
      <w:r>
        <w:rPr>
          <w:rFonts w:ascii="Times New Roman" w:eastAsia="Times New Roman" w:hAnsi="Times New Roman" w:cs="Times New Roman"/>
          <w:color w:val="000000"/>
          <w:sz w:val="24"/>
          <w:szCs w:val="24"/>
        </w:rPr>
        <w:t>Ussif</w:t>
      </w:r>
      <w:proofErr w:type="spellEnd"/>
      <w:r>
        <w:rPr>
          <w:rFonts w:ascii="Times New Roman" w:eastAsia="Times New Roman" w:hAnsi="Times New Roman" w:cs="Times New Roman"/>
          <w:color w:val="000000"/>
          <w:sz w:val="24"/>
          <w:szCs w:val="24"/>
        </w:rPr>
        <w:t xml:space="preserve"> &amp; Salifu, 2020). Brazil's shoemaking industry has been </w:t>
      </w:r>
      <w:proofErr w:type="spellStart"/>
      <w:r>
        <w:rPr>
          <w:rFonts w:ascii="Times New Roman" w:eastAsia="Times New Roman" w:hAnsi="Times New Roman" w:cs="Times New Roman"/>
          <w:color w:val="000000"/>
          <w:sz w:val="24"/>
          <w:szCs w:val="24"/>
        </w:rPr>
        <w:t>revolutionised</w:t>
      </w:r>
      <w:proofErr w:type="spellEnd"/>
      <w:r>
        <w:rPr>
          <w:rFonts w:ascii="Times New Roman" w:eastAsia="Times New Roman" w:hAnsi="Times New Roman" w:cs="Times New Roman"/>
          <w:color w:val="000000"/>
          <w:sz w:val="24"/>
          <w:szCs w:val="24"/>
        </w:rPr>
        <w:t>, with significant government effort and investment, and about 500 small companies are manufacturing shoes in the country (OECD, 2020). Brazil is thus the world's biggest exporter of shoes (</w:t>
      </w:r>
      <w:proofErr w:type="spellStart"/>
      <w:r>
        <w:rPr>
          <w:rFonts w:ascii="Times New Roman" w:eastAsia="Times New Roman" w:hAnsi="Times New Roman" w:cs="Times New Roman"/>
          <w:color w:val="000000"/>
          <w:sz w:val="24"/>
          <w:szCs w:val="24"/>
        </w:rPr>
        <w:t>Ogujiuba</w:t>
      </w:r>
      <w:proofErr w:type="spellEnd"/>
      <w:r>
        <w:rPr>
          <w:rFonts w:ascii="Times New Roman" w:eastAsia="Times New Roman" w:hAnsi="Times New Roman" w:cs="Times New Roman"/>
          <w:color w:val="000000"/>
          <w:sz w:val="24"/>
          <w:szCs w:val="24"/>
        </w:rPr>
        <w:t>, 2004).</w:t>
      </w:r>
    </w:p>
    <w:p w14:paraId="0DD26BCA" w14:textId="77777777" w:rsidR="00472922" w:rsidRDefault="00B5152B">
      <w:pPr>
        <w:shd w:val="clear" w:color="auto" w:fill="FFFFFF"/>
        <w:spacing w:before="274" w:after="274"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Nigeria is a country blessed with natural resources and human resources and has a lot of business opportunities. The potential for infrastructural growth has been stunted, however, due to the lack of resources given by successive government bodies (Udoka &amp; </w:t>
      </w:r>
      <w:proofErr w:type="spellStart"/>
      <w:r>
        <w:rPr>
          <w:rFonts w:ascii="Times New Roman" w:eastAsia="Times New Roman" w:hAnsi="Times New Roman" w:cs="Times New Roman"/>
          <w:color w:val="000000"/>
          <w:sz w:val="24"/>
          <w:szCs w:val="24"/>
        </w:rPr>
        <w:t>Anyingang</w:t>
      </w:r>
      <w:proofErr w:type="spellEnd"/>
      <w:r>
        <w:rPr>
          <w:rFonts w:ascii="Times New Roman" w:eastAsia="Times New Roman" w:hAnsi="Times New Roman" w:cs="Times New Roman"/>
          <w:color w:val="000000"/>
          <w:sz w:val="24"/>
          <w:szCs w:val="24"/>
        </w:rPr>
        <w:t xml:space="preserve">, 2015). Theft, embezzlement and corruption have negatively affected policy measures aimed at stimulating </w:t>
      </w:r>
      <w:r>
        <w:rPr>
          <w:rFonts w:ascii="Times New Roman" w:eastAsia="Times New Roman" w:hAnsi="Times New Roman" w:cs="Times New Roman"/>
          <w:color w:val="000000"/>
          <w:sz w:val="24"/>
          <w:szCs w:val="24"/>
        </w:rPr>
        <w:lastRenderedPageBreak/>
        <w:t>infrastructural development through investment, thus creating significant infrastructural deficits, insufficient food supplies and food service deficits (</w:t>
      </w:r>
      <w:proofErr w:type="spellStart"/>
      <w:r>
        <w:rPr>
          <w:rFonts w:ascii="Times New Roman" w:eastAsia="Times New Roman" w:hAnsi="Times New Roman" w:cs="Times New Roman"/>
          <w:color w:val="000000"/>
          <w:sz w:val="24"/>
          <w:szCs w:val="24"/>
        </w:rPr>
        <w:t>Fasoranti</w:t>
      </w:r>
      <w:proofErr w:type="spellEnd"/>
      <w:r>
        <w:rPr>
          <w:rFonts w:ascii="Times New Roman" w:eastAsia="Times New Roman" w:hAnsi="Times New Roman" w:cs="Times New Roman"/>
          <w:color w:val="000000"/>
          <w:sz w:val="24"/>
          <w:szCs w:val="24"/>
        </w:rPr>
        <w:t xml:space="preserve">, 2016). Entrepreneurship development is a major aspect of economic diversification in Nigeria. </w:t>
      </w:r>
      <w:proofErr w:type="spellStart"/>
      <w:r>
        <w:rPr>
          <w:rFonts w:ascii="Times New Roman" w:eastAsia="Times New Roman" w:hAnsi="Times New Roman" w:cs="Times New Roman"/>
          <w:color w:val="000000"/>
          <w:sz w:val="24"/>
          <w:szCs w:val="24"/>
        </w:rPr>
        <w:t>Industrialisation</w:t>
      </w:r>
      <w:proofErr w:type="spellEnd"/>
      <w:r>
        <w:rPr>
          <w:rFonts w:ascii="Times New Roman" w:eastAsia="Times New Roman" w:hAnsi="Times New Roman" w:cs="Times New Roman"/>
          <w:color w:val="000000"/>
          <w:sz w:val="24"/>
          <w:szCs w:val="24"/>
        </w:rPr>
        <w:t xml:space="preserve"> and productive employment through entrepreneurship are very fundamental for achieving Nigeria's growth potential in terms of income per capita, capital formation, equitable distribution of income, welfare and quality of life. Entrepreneurship has shown itself to be able to create economic growth by </w:t>
      </w:r>
      <w:proofErr w:type="spellStart"/>
      <w:r>
        <w:rPr>
          <w:rFonts w:ascii="Times New Roman" w:eastAsia="Times New Roman" w:hAnsi="Times New Roman" w:cs="Times New Roman"/>
          <w:color w:val="000000"/>
          <w:sz w:val="24"/>
          <w:szCs w:val="24"/>
        </w:rPr>
        <w:t>industrialisation</w:t>
      </w:r>
      <w:proofErr w:type="spellEnd"/>
      <w:r>
        <w:rPr>
          <w:rFonts w:ascii="Times New Roman" w:eastAsia="Times New Roman" w:hAnsi="Times New Roman" w:cs="Times New Roman"/>
          <w:color w:val="000000"/>
          <w:sz w:val="24"/>
          <w:szCs w:val="24"/>
        </w:rPr>
        <w:t xml:space="preserve">, growth of GDP, wealth creation, efficient use of resources, job creation and poverty reduction (Caree &amp; </w:t>
      </w:r>
      <w:proofErr w:type="spellStart"/>
      <w:r>
        <w:rPr>
          <w:rFonts w:ascii="Times New Roman" w:eastAsia="Times New Roman" w:hAnsi="Times New Roman" w:cs="Times New Roman"/>
          <w:color w:val="000000"/>
          <w:sz w:val="24"/>
          <w:szCs w:val="24"/>
        </w:rPr>
        <w:t>Thurik</w:t>
      </w:r>
      <w:proofErr w:type="spellEnd"/>
      <w:r>
        <w:rPr>
          <w:rFonts w:ascii="Times New Roman" w:eastAsia="Times New Roman" w:hAnsi="Times New Roman" w:cs="Times New Roman"/>
          <w:color w:val="000000"/>
          <w:sz w:val="24"/>
          <w:szCs w:val="24"/>
        </w:rPr>
        <w:t xml:space="preserve"> 2010).</w:t>
      </w:r>
    </w:p>
    <w:p w14:paraId="5C7DE0D9" w14:textId="77777777" w:rsidR="00472922" w:rsidRDefault="00B5152B">
      <w:pPr>
        <w:shd w:val="clear" w:color="auto" w:fill="FFFFFF"/>
        <w:spacing w:before="274" w:after="274"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Entrepreneurship is acknowledged worldwide as a factor that contributes to long-term economic development (CBN, 2004). Its importance in raising output, creating jobs, spreading income and ensuring wealth generation is gradually </w:t>
      </w:r>
      <w:proofErr w:type="spellStart"/>
      <w:r>
        <w:rPr>
          <w:rFonts w:ascii="Times New Roman" w:eastAsia="Times New Roman" w:hAnsi="Times New Roman" w:cs="Times New Roman"/>
          <w:color w:val="000000"/>
          <w:sz w:val="24"/>
          <w:szCs w:val="24"/>
        </w:rPr>
        <w:t>recognised</w:t>
      </w:r>
      <w:proofErr w:type="spellEnd"/>
      <w:r>
        <w:rPr>
          <w:rFonts w:ascii="Times New Roman" w:eastAsia="Times New Roman" w:hAnsi="Times New Roman" w:cs="Times New Roman"/>
          <w:color w:val="000000"/>
          <w:sz w:val="24"/>
          <w:szCs w:val="24"/>
        </w:rPr>
        <w:t xml:space="preserve"> (NISER, 2004). Roughly 87% of the total number of businesses in Nigeria is entrepreneurial businesses run as small and medium sized enterprises (SMEs) (USAID, 2005). While the </w:t>
      </w:r>
      <w:proofErr w:type="spellStart"/>
      <w:r>
        <w:rPr>
          <w:rFonts w:ascii="Times New Roman" w:eastAsia="Times New Roman" w:hAnsi="Times New Roman" w:cs="Times New Roman"/>
          <w:color w:val="000000"/>
          <w:sz w:val="24"/>
          <w:szCs w:val="24"/>
        </w:rPr>
        <w:t>industrialised</w:t>
      </w:r>
      <w:proofErr w:type="spellEnd"/>
      <w:r>
        <w:rPr>
          <w:rFonts w:ascii="Times New Roman" w:eastAsia="Times New Roman" w:hAnsi="Times New Roman" w:cs="Times New Roman"/>
          <w:color w:val="000000"/>
          <w:sz w:val="24"/>
          <w:szCs w:val="24"/>
        </w:rPr>
        <w:t xml:space="preserve"> countries contribute around 40% of GDP with SMEs (</w:t>
      </w:r>
      <w:proofErr w:type="spellStart"/>
      <w:r>
        <w:rPr>
          <w:rFonts w:ascii="Times New Roman" w:eastAsia="Times New Roman" w:hAnsi="Times New Roman" w:cs="Times New Roman"/>
          <w:color w:val="000000"/>
          <w:sz w:val="24"/>
          <w:szCs w:val="24"/>
        </w:rPr>
        <w:t>Mckernan</w:t>
      </w:r>
      <w:proofErr w:type="spellEnd"/>
      <w:r>
        <w:rPr>
          <w:rFonts w:ascii="Times New Roman" w:eastAsia="Times New Roman" w:hAnsi="Times New Roman" w:cs="Times New Roman"/>
          <w:color w:val="000000"/>
          <w:sz w:val="24"/>
          <w:szCs w:val="24"/>
        </w:rPr>
        <w:t>, 2002), the developing countries like Indonesia, Thailand, and India are also estimated to have SMEs contributing more than 20% of GDP (SMEDAN, 2007). Entrepreneurship is very important to Nigeria's socioeconomic life because entrepreneurs encounter a lot of challenges that hinder their optimal contribution to the economic development of Nigeria (NCI, 2001).</w:t>
      </w:r>
    </w:p>
    <w:p w14:paraId="6427D513" w14:textId="77777777" w:rsidR="00472922" w:rsidRDefault="00B5152B">
      <w:pPr>
        <w:shd w:val="clear" w:color="auto" w:fill="FFFFFF"/>
        <w:spacing w:before="274" w:after="274"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Successive Nigerian governments have adopted a number of policies and </w:t>
      </w:r>
      <w:proofErr w:type="spellStart"/>
      <w:r>
        <w:rPr>
          <w:rFonts w:ascii="Times New Roman" w:eastAsia="Times New Roman" w:hAnsi="Times New Roman" w:cs="Times New Roman"/>
          <w:color w:val="000000"/>
          <w:sz w:val="24"/>
          <w:szCs w:val="24"/>
        </w:rPr>
        <w:t>programmes</w:t>
      </w:r>
      <w:proofErr w:type="spellEnd"/>
      <w:r>
        <w:rPr>
          <w:rFonts w:ascii="Times New Roman" w:eastAsia="Times New Roman" w:hAnsi="Times New Roman" w:cs="Times New Roman"/>
          <w:color w:val="000000"/>
          <w:sz w:val="24"/>
          <w:szCs w:val="24"/>
        </w:rPr>
        <w:t xml:space="preserve"> that </w:t>
      </w:r>
      <w:proofErr w:type="spellStart"/>
      <w:r>
        <w:rPr>
          <w:rFonts w:ascii="Times New Roman" w:eastAsia="Times New Roman" w:hAnsi="Times New Roman" w:cs="Times New Roman"/>
          <w:color w:val="000000"/>
          <w:sz w:val="24"/>
          <w:szCs w:val="24"/>
        </w:rPr>
        <w:t>emphasise</w:t>
      </w:r>
      <w:proofErr w:type="spellEnd"/>
      <w:r>
        <w:rPr>
          <w:rFonts w:ascii="Times New Roman" w:eastAsia="Times New Roman" w:hAnsi="Times New Roman" w:cs="Times New Roman"/>
          <w:color w:val="000000"/>
          <w:sz w:val="24"/>
          <w:szCs w:val="24"/>
        </w:rPr>
        <w:t xml:space="preserve"> the importance of entrepreneurship as a driver of economic development and that seek to improve conditions for entrepreneurs. Yet, Ojo (2003) contended that none of these </w:t>
      </w:r>
      <w:proofErr w:type="spellStart"/>
      <w:r>
        <w:rPr>
          <w:rFonts w:ascii="Times New Roman" w:eastAsia="Times New Roman" w:hAnsi="Times New Roman" w:cs="Times New Roman"/>
          <w:color w:val="000000"/>
          <w:sz w:val="24"/>
          <w:szCs w:val="24"/>
        </w:rPr>
        <w:t>programmes</w:t>
      </w:r>
      <w:proofErr w:type="spellEnd"/>
      <w:r>
        <w:rPr>
          <w:rFonts w:ascii="Times New Roman" w:eastAsia="Times New Roman" w:hAnsi="Times New Roman" w:cs="Times New Roman"/>
          <w:color w:val="000000"/>
          <w:sz w:val="24"/>
          <w:szCs w:val="24"/>
        </w:rPr>
        <w:t xml:space="preserve"> have been successful in fostering the development of SMEs. According to </w:t>
      </w:r>
      <w:proofErr w:type="spellStart"/>
      <w:r>
        <w:rPr>
          <w:rFonts w:ascii="Times New Roman" w:eastAsia="Times New Roman" w:hAnsi="Times New Roman" w:cs="Times New Roman"/>
          <w:color w:val="000000"/>
          <w:sz w:val="24"/>
          <w:szCs w:val="24"/>
        </w:rPr>
        <w:t>Tumkella</w:t>
      </w:r>
      <w:proofErr w:type="spellEnd"/>
      <w:r>
        <w:rPr>
          <w:rFonts w:ascii="Times New Roman" w:eastAsia="Times New Roman" w:hAnsi="Times New Roman" w:cs="Times New Roman"/>
          <w:color w:val="000000"/>
          <w:sz w:val="24"/>
          <w:szCs w:val="24"/>
        </w:rPr>
        <w:t xml:space="preserve"> (2003), the reasons for the inability of these </w:t>
      </w:r>
      <w:proofErr w:type="spellStart"/>
      <w:r>
        <w:rPr>
          <w:rFonts w:ascii="Times New Roman" w:eastAsia="Times New Roman" w:hAnsi="Times New Roman" w:cs="Times New Roman"/>
          <w:color w:val="000000"/>
          <w:sz w:val="24"/>
          <w:szCs w:val="24"/>
        </w:rPr>
        <w:t>programmes</w:t>
      </w:r>
      <w:proofErr w:type="spellEnd"/>
      <w:r>
        <w:rPr>
          <w:rFonts w:ascii="Times New Roman" w:eastAsia="Times New Roman" w:hAnsi="Times New Roman" w:cs="Times New Roman"/>
          <w:color w:val="000000"/>
          <w:sz w:val="24"/>
          <w:szCs w:val="24"/>
        </w:rPr>
        <w:t xml:space="preserve"> to reach the objectives are abuses, inadequate project evaluation and monitoring, and moral hazards in spending public funds on private-sector enterprises. </w:t>
      </w:r>
      <w:proofErr w:type="spellStart"/>
      <w:r>
        <w:rPr>
          <w:rFonts w:ascii="Times New Roman" w:eastAsia="Times New Roman" w:hAnsi="Times New Roman" w:cs="Times New Roman"/>
          <w:color w:val="000000"/>
          <w:sz w:val="24"/>
          <w:szCs w:val="24"/>
        </w:rPr>
        <w:t>Variyam</w:t>
      </w:r>
      <w:proofErr w:type="spellEnd"/>
      <w:r>
        <w:rPr>
          <w:rFonts w:ascii="Times New Roman" w:eastAsia="Times New Roman" w:hAnsi="Times New Roman" w:cs="Times New Roman"/>
          <w:color w:val="000000"/>
          <w:sz w:val="24"/>
          <w:szCs w:val="24"/>
        </w:rPr>
        <w:t xml:space="preserve"> and Kraybill (1994) hypothesized that many entrepreneurship development </w:t>
      </w:r>
      <w:proofErr w:type="spellStart"/>
      <w:r>
        <w:rPr>
          <w:rFonts w:ascii="Times New Roman" w:eastAsia="Times New Roman" w:hAnsi="Times New Roman" w:cs="Times New Roman"/>
          <w:color w:val="000000"/>
          <w:sz w:val="24"/>
          <w:szCs w:val="24"/>
        </w:rPr>
        <w:t>programmes</w:t>
      </w:r>
      <w:proofErr w:type="spellEnd"/>
      <w:r>
        <w:rPr>
          <w:rFonts w:ascii="Times New Roman" w:eastAsia="Times New Roman" w:hAnsi="Times New Roman" w:cs="Times New Roman"/>
          <w:color w:val="000000"/>
          <w:sz w:val="24"/>
          <w:szCs w:val="24"/>
        </w:rPr>
        <w:t xml:space="preserve"> in the Sub-Saharan African countries that had been undertaken by cooperative services, mutual help associations, business planning and technology adoption, were not achieving small business sustained growth and development. Some of the factors mentioned were the fragility of small businesses to economic failure due to business and managerial skills, access to finance and macroeconomic policy challenges.</w:t>
      </w:r>
    </w:p>
    <w:p w14:paraId="6726177C" w14:textId="77777777" w:rsidR="00472922" w:rsidRDefault="00B5152B">
      <w:pPr>
        <w:shd w:val="clear" w:color="auto" w:fill="FFFFFF"/>
        <w:spacing w:before="274" w:after="274"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color w:val="000000"/>
          <w:sz w:val="24"/>
          <w:szCs w:val="24"/>
        </w:rPr>
        <w:t>As a result of the creation of the Small and Medium Enterprise Development Agency of Nigeria (SMEDAN) in 2003, the level of entrepreneurship and contribution of their business activities to the economy increased. While there has been a tremendous injection of funds into entrepreneurial skills development, the economy has been oscillating, and Nigeria has not created an investor-friendly environment, nor could the growth rate of the economy improve. Obviously, growth improved to 8% in 2010 from 5% in 2000 and fell to negative (-1.8) in 2020, mainly caused by the COVID-19 pandemic, resulting in economic contraction. Given the context above, this research aims to focus on the effect of entrepreneurship on economic growth in Nigeria.</w:t>
      </w:r>
    </w:p>
    <w:p w14:paraId="3B5FEB3B" w14:textId="77777777" w:rsidR="00472922" w:rsidRDefault="00B5152B">
      <w:pPr>
        <w:shd w:val="clear" w:color="auto" w:fill="FFFFFF"/>
        <w:spacing w:before="274" w:after="274"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New business density is one of the most popular indicators of entrepreneurship because it measures the rate of formal business formation, which is a measure of entrepreneurial dynamism, innovation, investment confidence and quality of the business environment (World Bank, 2023). According to the Innovation Theory (Schumpeter, 1934) and the Economic Theory of Entrepreneurship (Papanek, 1962; Harris, 1971), good economic conditions </w:t>
      </w:r>
      <w:proofErr w:type="spellStart"/>
      <w:r>
        <w:rPr>
          <w:rFonts w:ascii="Times New Roman" w:eastAsia="Times New Roman" w:hAnsi="Times New Roman" w:cs="Times New Roman"/>
          <w:color w:val="000000"/>
          <w:sz w:val="24"/>
          <w:szCs w:val="24"/>
        </w:rPr>
        <w:t>favour</w:t>
      </w:r>
      <w:proofErr w:type="spellEnd"/>
      <w:r>
        <w:rPr>
          <w:rFonts w:ascii="Times New Roman" w:eastAsia="Times New Roman" w:hAnsi="Times New Roman" w:cs="Times New Roman"/>
          <w:color w:val="000000"/>
          <w:sz w:val="24"/>
          <w:szCs w:val="24"/>
        </w:rPr>
        <w:t xml:space="preserve"> entrepreneurial efforts which increase productivity and economic growth. Most of the studies in Nigeria, however, have been based on primary survey data, dealing with either SME financing or entrepreneurship </w:t>
      </w:r>
      <w:proofErr w:type="spellStart"/>
      <w:r>
        <w:rPr>
          <w:rFonts w:ascii="Times New Roman" w:eastAsia="Times New Roman" w:hAnsi="Times New Roman" w:cs="Times New Roman"/>
          <w:color w:val="000000"/>
          <w:sz w:val="24"/>
          <w:szCs w:val="24"/>
        </w:rPr>
        <w:t>programmes</w:t>
      </w:r>
      <w:proofErr w:type="spellEnd"/>
      <w:r>
        <w:rPr>
          <w:rFonts w:ascii="Times New Roman" w:eastAsia="Times New Roman" w:hAnsi="Times New Roman" w:cs="Times New Roman"/>
          <w:color w:val="000000"/>
          <w:sz w:val="24"/>
          <w:szCs w:val="24"/>
        </w:rPr>
        <w:t xml:space="preserve"> or employment, with empirical evidence on the impact of new business density on economic growth in Nigeria being limited. The study is an attempt to fill these gaps by looking at the impact of new business density on economic growth in Nigeria using the autoregressive distributed lag (ARDL) modelling technique to provide solid evidence to guide entrepreneurship policy and enterprise development. </w:t>
      </w:r>
    </w:p>
    <w:p w14:paraId="69D00196" w14:textId="77777777" w:rsidR="00472922" w:rsidRDefault="00B5152B">
      <w:pPr>
        <w:pStyle w:val="Heading2"/>
        <w:spacing w:after="0"/>
        <w:rPr>
          <w:color w:val="000000"/>
          <w:sz w:val="24"/>
          <w:szCs w:val="24"/>
        </w:rPr>
      </w:pPr>
      <w:r>
        <w:rPr>
          <w:color w:val="000000"/>
          <w:sz w:val="24"/>
          <w:szCs w:val="24"/>
        </w:rPr>
        <w:t>2.0 Literature Review</w:t>
      </w:r>
    </w:p>
    <w:p w14:paraId="6BD9B872" w14:textId="77777777" w:rsidR="00472922" w:rsidRDefault="00B5152B">
      <w:pPr>
        <w:pStyle w:val="Heading3"/>
        <w:spacing w:before="0" w:line="240" w:lineRule="auto"/>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2.1 Conceptual Review</w:t>
      </w:r>
    </w:p>
    <w:p w14:paraId="1A85EF44" w14:textId="77777777" w:rsidR="00472922" w:rsidRDefault="00B5152B">
      <w:pPr>
        <w:pStyle w:val="Heading3"/>
        <w:spacing w:after="200" w:line="360" w:lineRule="auto"/>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New Business Density</w:t>
      </w:r>
    </w:p>
    <w:p w14:paraId="1F38D54D" w14:textId="77777777" w:rsidR="00472922" w:rsidRDefault="00B5152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The number of new businesses, typically defined by the number of new limited liability companies per 1,000 working-age adults, is a well-established measure of entrepreneurial activity due to its ability to capture the creation of new businesses in the formal sector and its relationship to the business dynamism, investor confidence and quality of the business environment (World Bank, 2023). More new businesses per person also lead to increases in innovation, job creation, productivity, and economic </w:t>
      </w:r>
      <w:proofErr w:type="spellStart"/>
      <w:r>
        <w:rPr>
          <w:rFonts w:ascii="Times New Roman" w:eastAsia="Times New Roman" w:hAnsi="Times New Roman" w:cs="Times New Roman"/>
          <w:color w:val="000000"/>
          <w:sz w:val="24"/>
          <w:szCs w:val="24"/>
        </w:rPr>
        <w:t>formalisation</w:t>
      </w:r>
      <w:proofErr w:type="spellEnd"/>
      <w:r>
        <w:rPr>
          <w:rFonts w:ascii="Times New Roman" w:eastAsia="Times New Roman" w:hAnsi="Times New Roman" w:cs="Times New Roman"/>
          <w:color w:val="000000"/>
          <w:sz w:val="24"/>
          <w:szCs w:val="24"/>
        </w:rPr>
        <w:t xml:space="preserve"> because they allow companies to acquire finance, government assistance and broader markets (OECD, 2022). In developing economies, however, </w:t>
      </w:r>
      <w:r>
        <w:rPr>
          <w:rFonts w:ascii="Times New Roman" w:eastAsia="Times New Roman" w:hAnsi="Times New Roman" w:cs="Times New Roman"/>
          <w:color w:val="000000"/>
          <w:sz w:val="24"/>
          <w:szCs w:val="24"/>
        </w:rPr>
        <w:lastRenderedPageBreak/>
        <w:t>regulatory barriers, poor infrastructure, poor institutions, political instabilities and lack of access to finance may limit the ability to register businesses. Despite the reforms undertaken in the country like online company registration and the simplification of company incorporation procedures through the Corporate Affairs Commission (CAC), these structural challenges persist and continue to hinder the creation of formal business. Therefore, continued efforts to improve the business climate are critical to boost new business concentration and improve its role in sustainable economic development.</w:t>
      </w:r>
    </w:p>
    <w:p w14:paraId="625BBD64" w14:textId="77777777" w:rsidR="00472922" w:rsidRDefault="00B5152B">
      <w:pPr>
        <w:spacing w:line="360" w:lineRule="auto"/>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b/>
          <w:bCs/>
          <w:i/>
          <w:iCs/>
          <w:color w:val="000000"/>
          <w:sz w:val="24"/>
          <w:szCs w:val="24"/>
        </w:rPr>
        <w:t>Economic Growth</w:t>
      </w:r>
    </w:p>
    <w:p w14:paraId="747D9E09" w14:textId="77777777" w:rsidR="00472922" w:rsidRDefault="00B5152B">
      <w:pPr>
        <w:pBdr>
          <w:top w:val="nil"/>
          <w:left w:val="nil"/>
          <w:bottom w:val="nil"/>
          <w:right w:val="nil"/>
          <w:between w:val="nil"/>
        </w:pBdr>
        <w:spacing w:before="28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Economic growth is an increase in the productive capacity of the economy over time, as measured by a rising level of national output, income, jobs and living standards (Haller, 2012; Todaro &amp; Smith, 2021). It is caused by factors like accumulation of capital, technological advance, human capital accumulation, institutional quality and entrepreneurship, among which innovation and knowledge production are </w:t>
      </w:r>
      <w:proofErr w:type="spellStart"/>
      <w:r>
        <w:rPr>
          <w:rFonts w:ascii="Times New Roman" w:eastAsia="Times New Roman" w:hAnsi="Times New Roman" w:cs="Times New Roman"/>
          <w:color w:val="000000"/>
          <w:sz w:val="24"/>
          <w:szCs w:val="24"/>
        </w:rPr>
        <w:t>emphasised</w:t>
      </w:r>
      <w:proofErr w:type="spellEnd"/>
      <w:r>
        <w:rPr>
          <w:rFonts w:ascii="Times New Roman" w:eastAsia="Times New Roman" w:hAnsi="Times New Roman" w:cs="Times New Roman"/>
          <w:color w:val="000000"/>
          <w:sz w:val="24"/>
          <w:szCs w:val="24"/>
        </w:rPr>
        <w:t xml:space="preserve"> by the endogenous growth theory, which argues that creation of new knowledge is one of the most important factors affecting long-run growth (Romer, 1986; Lucas, 1988). The most accepted measure of economic growth in empirical studies is the growth rate of the aggregate output represented by the real Gross Domestic Product (GDP).</w:t>
      </w:r>
    </w:p>
    <w:p w14:paraId="1224B104" w14:textId="77777777" w:rsidR="00472922" w:rsidRDefault="00B5152B">
      <w:pPr>
        <w:shd w:val="clear" w:color="auto" w:fill="FFFFFF"/>
        <w:spacing w:before="274" w:line="360" w:lineRule="auto"/>
        <w:jc w:val="both"/>
        <w:rPr>
          <w:rFonts w:ascii="Times New Roman" w:eastAsia="Times New Roman" w:hAnsi="Times New Roman" w:cs="Times New Roman"/>
          <w:b/>
          <w:bCs/>
          <w:i/>
          <w:iCs/>
          <w:color w:val="000000"/>
          <w:sz w:val="24"/>
          <w:szCs w:val="24"/>
        </w:rPr>
      </w:pPr>
      <w:r>
        <w:rPr>
          <w:rFonts w:ascii="Times New Roman" w:eastAsia="Times New Roman" w:hAnsi="Times New Roman" w:cs="Times New Roman"/>
          <w:b/>
          <w:bCs/>
          <w:i/>
          <w:iCs/>
          <w:color w:val="000000"/>
          <w:sz w:val="24"/>
          <w:szCs w:val="24"/>
        </w:rPr>
        <w:t xml:space="preserve">2.2 Theoretical Framework </w:t>
      </w:r>
    </w:p>
    <w:p w14:paraId="24A78FBE" w14:textId="77777777" w:rsidR="00472922" w:rsidRDefault="00B5152B">
      <w:pPr>
        <w:shd w:val="clear" w:color="auto" w:fill="FFFFFF"/>
        <w:spacing w:before="274"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The Economic Theory of Entrepreneurship and the Endogenous Growth theory are the two theories that this study is built on. Papanek (1962) and Harris (1971) advanced the Economic Theory of Entrepreneurship which suggests that entrepreneurial </w:t>
      </w:r>
      <w:proofErr w:type="spellStart"/>
      <w:r>
        <w:rPr>
          <w:rFonts w:ascii="Times New Roman" w:eastAsia="Times New Roman" w:hAnsi="Times New Roman" w:cs="Times New Roman"/>
          <w:color w:val="000000"/>
          <w:sz w:val="24"/>
          <w:szCs w:val="24"/>
        </w:rPr>
        <w:t>behaviour</w:t>
      </w:r>
      <w:proofErr w:type="spellEnd"/>
      <w:r>
        <w:rPr>
          <w:rFonts w:ascii="Times New Roman" w:eastAsia="Times New Roman" w:hAnsi="Times New Roman" w:cs="Times New Roman"/>
          <w:color w:val="000000"/>
          <w:sz w:val="24"/>
          <w:szCs w:val="24"/>
        </w:rPr>
        <w:t xml:space="preserve"> is motivated by economic incentives and macro-economic factors that are </w:t>
      </w:r>
      <w:proofErr w:type="spellStart"/>
      <w:r>
        <w:rPr>
          <w:rFonts w:ascii="Times New Roman" w:eastAsia="Times New Roman" w:hAnsi="Times New Roman" w:cs="Times New Roman"/>
          <w:color w:val="000000"/>
          <w:sz w:val="24"/>
          <w:szCs w:val="24"/>
        </w:rPr>
        <w:t>favourable</w:t>
      </w:r>
      <w:proofErr w:type="spellEnd"/>
      <w:r>
        <w:rPr>
          <w:rFonts w:ascii="Times New Roman" w:eastAsia="Times New Roman" w:hAnsi="Times New Roman" w:cs="Times New Roman"/>
          <w:color w:val="000000"/>
          <w:sz w:val="24"/>
          <w:szCs w:val="24"/>
        </w:rPr>
        <w:t xml:space="preserve">, such as the ability to access bank credit, to form capital, to obtain loanable funds at low interest rates, an increase in consumer demand, availability of productive resources and the effectiveness of fiscal and monetary policies. The theory's analytical power stems from its clear focus on the importance of an economic environment that enables entrepreneurship to flourish, with a strong focus on capital formation, credit availability and macroeconomic stability all being directly relevant to the </w:t>
      </w:r>
      <w:proofErr w:type="spellStart"/>
      <w:r>
        <w:rPr>
          <w:rFonts w:ascii="Times New Roman" w:eastAsia="Times New Roman" w:hAnsi="Times New Roman" w:cs="Times New Roman"/>
          <w:color w:val="000000"/>
          <w:sz w:val="24"/>
          <w:szCs w:val="24"/>
        </w:rPr>
        <w:t>operationalisation</w:t>
      </w:r>
      <w:proofErr w:type="spellEnd"/>
      <w:r>
        <w:rPr>
          <w:rFonts w:ascii="Times New Roman" w:eastAsia="Times New Roman" w:hAnsi="Times New Roman" w:cs="Times New Roman"/>
          <w:color w:val="000000"/>
          <w:sz w:val="24"/>
          <w:szCs w:val="24"/>
        </w:rPr>
        <w:t xml:space="preserve"> of entrepreneurship in the study through gross capital formation, new business density and </w:t>
      </w:r>
      <w:proofErr w:type="spellStart"/>
      <w:r>
        <w:rPr>
          <w:rFonts w:ascii="Times New Roman" w:eastAsia="Times New Roman" w:hAnsi="Times New Roman" w:cs="Times New Roman"/>
          <w:color w:val="000000"/>
          <w:sz w:val="24"/>
          <w:szCs w:val="24"/>
        </w:rPr>
        <w:t>labour</w:t>
      </w:r>
      <w:proofErr w:type="spellEnd"/>
      <w:r>
        <w:rPr>
          <w:rFonts w:ascii="Times New Roman" w:eastAsia="Times New Roman" w:hAnsi="Times New Roman" w:cs="Times New Roman"/>
          <w:color w:val="000000"/>
          <w:sz w:val="24"/>
          <w:szCs w:val="24"/>
        </w:rPr>
        <w:t xml:space="preserve"> force participation. On the other hand, the Endogenous Growth Theory by Arrow (1962), Romer (1986), and Lucas (1988) has been offered to account for the reasons behind long-run economic </w:t>
      </w:r>
      <w:r>
        <w:rPr>
          <w:rFonts w:ascii="Times New Roman" w:eastAsia="Times New Roman" w:hAnsi="Times New Roman" w:cs="Times New Roman"/>
          <w:color w:val="000000"/>
          <w:sz w:val="24"/>
          <w:szCs w:val="24"/>
        </w:rPr>
        <w:lastRenderedPageBreak/>
        <w:t xml:space="preserve">growth, namely the increase in the benefits of investment in human capital, research and development, and technological innovation, which creates growing returns and spillovers (Romer, 1994). The theory incorporates human capital, governance and institutional quality into the growth equation and thus offers a theoretical rationale to look at literacy rate as a proxy for human capital development and </w:t>
      </w:r>
      <w:proofErr w:type="spellStart"/>
      <w:r>
        <w:rPr>
          <w:rFonts w:ascii="Times New Roman" w:eastAsia="Times New Roman" w:hAnsi="Times New Roman" w:cs="Times New Roman"/>
          <w:color w:val="000000"/>
          <w:sz w:val="24"/>
          <w:szCs w:val="24"/>
        </w:rPr>
        <w:t>labour</w:t>
      </w:r>
      <w:proofErr w:type="spellEnd"/>
      <w:r>
        <w:rPr>
          <w:rFonts w:ascii="Times New Roman" w:eastAsia="Times New Roman" w:hAnsi="Times New Roman" w:cs="Times New Roman"/>
          <w:color w:val="000000"/>
          <w:sz w:val="24"/>
          <w:szCs w:val="24"/>
        </w:rPr>
        <w:t xml:space="preserve"> force participation as a measure of productive capacity.</w:t>
      </w:r>
    </w:p>
    <w:p w14:paraId="4B4222B9" w14:textId="77777777" w:rsidR="00472922" w:rsidRDefault="00B5152B">
      <w:pPr>
        <w:shd w:val="clear" w:color="auto" w:fill="FFFFFF"/>
        <w:spacing w:before="274" w:after="274"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The theories have a complementary nature which enables them to develop a comprehensive analytical framework at both the micro-level of entrepreneurial processes (economic theory) and the macro-level of growth dynamics (endogenous growth theory). Both theories make a clear statement on the key role of capital accumulation, </w:t>
      </w:r>
      <w:proofErr w:type="spellStart"/>
      <w:r>
        <w:rPr>
          <w:rFonts w:ascii="Times New Roman" w:eastAsia="Times New Roman" w:hAnsi="Times New Roman" w:cs="Times New Roman"/>
          <w:color w:val="000000"/>
          <w:sz w:val="24"/>
          <w:szCs w:val="24"/>
        </w:rPr>
        <w:t>labour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utilisation</w:t>
      </w:r>
      <w:proofErr w:type="spellEnd"/>
      <w:r>
        <w:rPr>
          <w:rFonts w:ascii="Times New Roman" w:eastAsia="Times New Roman" w:hAnsi="Times New Roman" w:cs="Times New Roman"/>
          <w:color w:val="000000"/>
          <w:sz w:val="24"/>
          <w:szCs w:val="24"/>
        </w:rPr>
        <w:t xml:space="preserve"> and knowledge building in economic performance. The theories are applicable to the Nigerian environment, as the various structural factors, like poor infrastructure, credit constraint and institutional quality, have inhibited entrepreneurial development in the country. The Endogenous Growth Theory's policy emphasis offers a theoretical foundation for policy recommendations, and the economic theory of entrepreneurship's treatment of economic incentives describes the patterns of entrepreneurial activity observed in various economic conditions. The theories provide a strong platform for the understanding of the linkage between entrepreneurship and economic growth in Nigeria, which includes the enabling factors that foster entrepreneurship and the trajectory through which this activity leads to sustained economic growth.</w:t>
      </w:r>
      <w:r>
        <w:rPr>
          <w:rFonts w:ascii="Times New Roman" w:eastAsia="Times New Roman" w:hAnsi="Times New Roman" w:cs="Times New Roman"/>
          <w:b/>
          <w:bCs/>
          <w:color w:val="000000"/>
          <w:sz w:val="24"/>
          <w:szCs w:val="24"/>
        </w:rPr>
        <w:t xml:space="preserve"> </w:t>
      </w:r>
    </w:p>
    <w:p w14:paraId="433ADD9C" w14:textId="77777777" w:rsidR="00472922" w:rsidRDefault="00B5152B">
      <w:pPr>
        <w:pStyle w:val="Heading2"/>
        <w:rPr>
          <w:i/>
          <w:iCs/>
          <w:color w:val="000000"/>
          <w:sz w:val="24"/>
          <w:szCs w:val="24"/>
        </w:rPr>
      </w:pPr>
      <w:r>
        <w:rPr>
          <w:i/>
          <w:iCs/>
          <w:color w:val="000000"/>
          <w:sz w:val="24"/>
          <w:szCs w:val="24"/>
        </w:rPr>
        <w:t>2.3 Empirical Review</w:t>
      </w:r>
    </w:p>
    <w:p w14:paraId="445491AC" w14:textId="77777777" w:rsidR="00472922" w:rsidRDefault="00B5152B">
      <w:pPr>
        <w:shd w:val="clear" w:color="auto" w:fill="FFFFFF"/>
        <w:spacing w:before="274" w:after="274"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color w:val="000000"/>
          <w:sz w:val="24"/>
          <w:szCs w:val="24"/>
        </w:rPr>
        <w:t>Ussif</w:t>
      </w:r>
      <w:proofErr w:type="spellEnd"/>
      <w:r>
        <w:rPr>
          <w:rFonts w:ascii="Times New Roman" w:eastAsia="Times New Roman" w:hAnsi="Times New Roman" w:cs="Times New Roman"/>
          <w:color w:val="000000"/>
          <w:sz w:val="24"/>
          <w:szCs w:val="24"/>
        </w:rPr>
        <w:t xml:space="preserve"> and Salifu (2020) studied the role of the SMEs in the economic development of the Sub-Saharan countries as concerns the creation of jobs and access to credit. The research was conducted using the data of 200 respondents across the 3 countries of Ghana, Nigeria and Togo and </w:t>
      </w:r>
      <w:proofErr w:type="spellStart"/>
      <w:r>
        <w:rPr>
          <w:rFonts w:ascii="Times New Roman" w:eastAsia="Times New Roman" w:hAnsi="Times New Roman" w:cs="Times New Roman"/>
          <w:color w:val="000000"/>
          <w:sz w:val="24"/>
          <w:szCs w:val="24"/>
        </w:rPr>
        <w:t>analysed</w:t>
      </w:r>
      <w:proofErr w:type="spellEnd"/>
      <w:r>
        <w:rPr>
          <w:rFonts w:ascii="Times New Roman" w:eastAsia="Times New Roman" w:hAnsi="Times New Roman" w:cs="Times New Roman"/>
          <w:color w:val="000000"/>
          <w:sz w:val="24"/>
          <w:szCs w:val="24"/>
        </w:rPr>
        <w:t xml:space="preserve"> with SPSS using statistical tools such as tables, charts, frequencies and percentages and showed that SMEs contribute significantly to creating jobs, generating GDP, reducing poverty, empowering women and supporting large companies. </w:t>
      </w:r>
      <w:proofErr w:type="spellStart"/>
      <w:r>
        <w:rPr>
          <w:rFonts w:ascii="Times New Roman" w:eastAsia="Times New Roman" w:hAnsi="Times New Roman" w:cs="Times New Roman"/>
          <w:color w:val="000000"/>
          <w:sz w:val="24"/>
          <w:szCs w:val="24"/>
        </w:rPr>
        <w:t>Roopchund</w:t>
      </w:r>
      <w:proofErr w:type="spellEnd"/>
      <w:r>
        <w:rPr>
          <w:rFonts w:ascii="Times New Roman" w:eastAsia="Times New Roman" w:hAnsi="Times New Roman" w:cs="Times New Roman"/>
          <w:color w:val="000000"/>
          <w:sz w:val="24"/>
          <w:szCs w:val="24"/>
        </w:rPr>
        <w:t xml:space="preserve"> (2020) conducted a descriptive analysis of SMEs' contribution to the Mauritian economy using macroeconomic variables such as economic growth rates, unemployment and SME growth rates. Findings indicate that between 2007 and 2013, SME employment grew by 15% from 229,700 to 264,900, and SME contribution to total employment rose from 46% to 48%.</w:t>
      </w:r>
    </w:p>
    <w:p w14:paraId="7B6551D1" w14:textId="77777777" w:rsidR="00472922" w:rsidRDefault="00B5152B">
      <w:pPr>
        <w:shd w:val="clear" w:color="auto" w:fill="FFFFFF"/>
        <w:spacing w:before="274" w:after="274"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color w:val="000000"/>
          <w:sz w:val="24"/>
          <w:szCs w:val="24"/>
        </w:rPr>
        <w:t xml:space="preserve">The study by </w:t>
      </w:r>
      <w:proofErr w:type="spellStart"/>
      <w:r>
        <w:rPr>
          <w:rFonts w:ascii="Times New Roman" w:eastAsia="Times New Roman" w:hAnsi="Times New Roman" w:cs="Times New Roman"/>
          <w:color w:val="000000"/>
          <w:sz w:val="24"/>
          <w:szCs w:val="24"/>
        </w:rPr>
        <w:t>Ihejiamaizu</w:t>
      </w:r>
      <w:proofErr w:type="spellEnd"/>
      <w:r>
        <w:rPr>
          <w:rFonts w:ascii="Times New Roman" w:eastAsia="Times New Roman" w:hAnsi="Times New Roman" w:cs="Times New Roman"/>
          <w:color w:val="000000"/>
          <w:sz w:val="24"/>
          <w:szCs w:val="24"/>
        </w:rPr>
        <w:t xml:space="preserve"> (2019) was on the role of entrepreneurship in rural development in the Cross River State of Nigeria using the Keynesian Classical Theory approach. Primary data were collected using the survey research design with cluster sampling and simple random sampling techniques, with the help of self-administered 4-point Likert-scaled questionnaires. It was found that entrepreneurship was a key determinant to the rural economic development which led to improved living standards, employment creation, poverty alleviation, </w:t>
      </w:r>
      <w:proofErr w:type="spellStart"/>
      <w:r>
        <w:rPr>
          <w:rFonts w:ascii="Times New Roman" w:eastAsia="Times New Roman" w:hAnsi="Times New Roman" w:cs="Times New Roman"/>
          <w:color w:val="000000"/>
          <w:sz w:val="24"/>
          <w:szCs w:val="24"/>
        </w:rPr>
        <w:t>utilisation</w:t>
      </w:r>
      <w:proofErr w:type="spellEnd"/>
      <w:r>
        <w:rPr>
          <w:rFonts w:ascii="Times New Roman" w:eastAsia="Times New Roman" w:hAnsi="Times New Roman" w:cs="Times New Roman"/>
          <w:color w:val="000000"/>
          <w:sz w:val="24"/>
          <w:szCs w:val="24"/>
        </w:rPr>
        <w:t xml:space="preserve"> of local resources and a decrease in rural-urban migration. Talal and Sumesh (2018) studied the effect of entrepreneurship on the economic growth of the United Kingdom and developed a regression model with the dependent variable being the change in annual GDP per capita. The analysis identified the unemployment rate as the most important variable which negatively influences the economic growth. The study was drawn to a conclusion that there is no significant influence of entrepreneurship on economic growth.</w:t>
      </w:r>
    </w:p>
    <w:p w14:paraId="7900B310" w14:textId="77777777" w:rsidR="00472922" w:rsidRDefault="00B5152B">
      <w:pPr>
        <w:shd w:val="clear" w:color="auto" w:fill="FFFFFF"/>
        <w:spacing w:before="274" w:after="274"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Ogunlana (2018) also investigated the role of entrepreneurship in economic growth, employing the narrative-textual case study approach and simple percentages to </w:t>
      </w:r>
      <w:proofErr w:type="spellStart"/>
      <w:r>
        <w:rPr>
          <w:rFonts w:ascii="Times New Roman" w:eastAsia="Times New Roman" w:hAnsi="Times New Roman" w:cs="Times New Roman"/>
          <w:color w:val="000000"/>
          <w:sz w:val="24"/>
          <w:szCs w:val="24"/>
        </w:rPr>
        <w:t>analyse</w:t>
      </w:r>
      <w:proofErr w:type="spellEnd"/>
      <w:r>
        <w:rPr>
          <w:rFonts w:ascii="Times New Roman" w:eastAsia="Times New Roman" w:hAnsi="Times New Roman" w:cs="Times New Roman"/>
          <w:color w:val="000000"/>
          <w:sz w:val="24"/>
          <w:szCs w:val="24"/>
        </w:rPr>
        <w:t xml:space="preserve"> the responses from the self-designed questionnaires. The study revealed that entrepreneurship has been playing an important role in achieving economic growth, employment, innovation, diversification of economic revenue sources, production and development of SMEs. Eze and Okpala (2015) used multiple regression with the ordinary least squares (OLS) method to quantitatively examine the effects of SMEs on Nigeria's economic growth for the period of 1993-2011. The Johansen co-integration test showed that there was evidence of a long-run equilibrium relationship between SMEs and economic growth. The findings, however, revealed that SMEs' contribution to the performance of Nigeria's economic growth is insignificant.</w:t>
      </w:r>
    </w:p>
    <w:p w14:paraId="2AE25BA2" w14:textId="77777777" w:rsidR="00472922" w:rsidRDefault="00B5152B">
      <w:pPr>
        <w:shd w:val="clear" w:color="auto" w:fill="FFFFFF"/>
        <w:spacing w:before="274" w:after="274"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Diyoke (2015) studied entrepreneurship development in Nigeria and the challenges facing the growth of private business in Nigeria. Primary data were </w:t>
      </w:r>
      <w:proofErr w:type="spellStart"/>
      <w:r>
        <w:rPr>
          <w:rFonts w:ascii="Times New Roman" w:eastAsia="Times New Roman" w:hAnsi="Times New Roman" w:cs="Times New Roman"/>
          <w:color w:val="000000"/>
          <w:sz w:val="24"/>
          <w:szCs w:val="24"/>
        </w:rPr>
        <w:t>analysed</w:t>
      </w:r>
      <w:proofErr w:type="spellEnd"/>
      <w:r>
        <w:rPr>
          <w:rFonts w:ascii="Times New Roman" w:eastAsia="Times New Roman" w:hAnsi="Times New Roman" w:cs="Times New Roman"/>
          <w:color w:val="000000"/>
          <w:sz w:val="24"/>
          <w:szCs w:val="24"/>
        </w:rPr>
        <w:t xml:space="preserve"> using mean scores and percentages, and secondary data used Chi-square. Results showed that apart from lack of funds and management skills, epileptic power supply, violent clashes, kidnapping and poor road networks were also problems. Afolabi (2015), using the narrative-textual case study method, concluded on the impact of entrepreneurship on economic growth and development in Nigeria. The research revealed that in the last decade the economy of Nigeria had seen improvements with the real GDP growth rate in the region of 7%, which shows that entrepreneurship can contribute </w:t>
      </w:r>
      <w:r>
        <w:rPr>
          <w:rFonts w:ascii="Times New Roman" w:eastAsia="Times New Roman" w:hAnsi="Times New Roman" w:cs="Times New Roman"/>
          <w:color w:val="000000"/>
          <w:sz w:val="24"/>
          <w:szCs w:val="24"/>
        </w:rPr>
        <w:lastRenderedPageBreak/>
        <w:t>to improving the economy through enhancing employment generation and promoting the development of MSMEs.</w:t>
      </w:r>
    </w:p>
    <w:p w14:paraId="48E22234" w14:textId="77777777" w:rsidR="00472922" w:rsidRDefault="00B5152B">
      <w:pPr>
        <w:shd w:val="clear" w:color="auto" w:fill="FFFFFF"/>
        <w:spacing w:before="274" w:after="274"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color w:val="000000"/>
          <w:sz w:val="24"/>
          <w:szCs w:val="24"/>
        </w:rPr>
        <w:t>Imoisi</w:t>
      </w:r>
      <w:proofErr w:type="spellEnd"/>
      <w:r>
        <w:rPr>
          <w:rFonts w:ascii="Times New Roman" w:eastAsia="Times New Roman" w:hAnsi="Times New Roman" w:cs="Times New Roman"/>
          <w:color w:val="000000"/>
          <w:sz w:val="24"/>
          <w:szCs w:val="24"/>
        </w:rPr>
        <w:t xml:space="preserve"> and Ephraim (2015) employed both OLS and cointegration models and error correction models to </w:t>
      </w:r>
      <w:proofErr w:type="spellStart"/>
      <w:r>
        <w:rPr>
          <w:rFonts w:ascii="Times New Roman" w:eastAsia="Times New Roman" w:hAnsi="Times New Roman" w:cs="Times New Roman"/>
          <w:color w:val="000000"/>
          <w:sz w:val="24"/>
          <w:szCs w:val="24"/>
        </w:rPr>
        <w:t>analyse</w:t>
      </w:r>
      <w:proofErr w:type="spellEnd"/>
      <w:r>
        <w:rPr>
          <w:rFonts w:ascii="Times New Roman" w:eastAsia="Times New Roman" w:hAnsi="Times New Roman" w:cs="Times New Roman"/>
          <w:color w:val="000000"/>
          <w:sz w:val="24"/>
          <w:szCs w:val="24"/>
        </w:rPr>
        <w:t xml:space="preserve"> the new and existing enterprise contribution to economic growth from 1970 to 2012. The variables used were GDP (dependent) and finance availability, interest rate and inflation rate (independent). The results indicated that finance availability had a positive relationship with economic growth, interest rate had a negative relationship with economic growth, and inflation rate had a positive relationship with economic growth. Chantai (2014) studied the impact of business enterprises with two linear regression equations in the case of Pakistan from 1981 to 2013, focusing on the impact of process innovation on SMEs and economic growth. The findings revealed that process innovation is positively significant and positively correlated with the growth of the SMEs which implies the positive effect and significant relationship between process innovation and SME growth.</w:t>
      </w:r>
    </w:p>
    <w:p w14:paraId="26470241" w14:textId="77777777" w:rsidR="00472922" w:rsidRDefault="00B5152B">
      <w:pPr>
        <w:pBdr>
          <w:top w:val="nil"/>
          <w:left w:val="nil"/>
          <w:bottom w:val="nil"/>
          <w:right w:val="nil"/>
          <w:between w:val="nil"/>
        </w:pBdr>
        <w:spacing w:before="28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The study of </w:t>
      </w:r>
      <w:proofErr w:type="spellStart"/>
      <w:r>
        <w:rPr>
          <w:rFonts w:ascii="Times New Roman" w:eastAsia="Times New Roman" w:hAnsi="Times New Roman" w:cs="Times New Roman"/>
          <w:color w:val="000000"/>
          <w:sz w:val="24"/>
          <w:szCs w:val="24"/>
        </w:rPr>
        <w:t>Gerceker</w:t>
      </w:r>
      <w:proofErr w:type="spellEnd"/>
      <w:r>
        <w:rPr>
          <w:rFonts w:ascii="Times New Roman" w:eastAsia="Times New Roman" w:hAnsi="Times New Roman" w:cs="Times New Roman"/>
          <w:color w:val="000000"/>
          <w:sz w:val="24"/>
          <w:szCs w:val="24"/>
        </w:rPr>
        <w:t>, Ozel and Ay (2014) examined the relationship between entrepreneurship and economic growth between 1988 and 2012; by incorporating control variables such as employment and savings, the ARDL technique was applied. The bound test results indicated that there was a long-run relationship between economic growth and entrepreneurship and that the relationship was positive and significant. Most previous studies measured entrepreneurship using indicators other than new business density, relied largely on primary data, and produced inconsistent findings due to differences in methodology and measurement. Limited studies have specifically investigated the effect of new business density on economic growth in Nigeria using the Autoregressive Distributed Lag (ARDL) framework capable of estimating both short-run and long-run dynamics.</w:t>
      </w:r>
    </w:p>
    <w:p w14:paraId="0D2E3788" w14:textId="77777777" w:rsidR="00472922" w:rsidRDefault="00B5152B">
      <w:pPr>
        <w:spacing w:before="280" w:line="36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3.0 Methodology</w:t>
      </w:r>
    </w:p>
    <w:p w14:paraId="41150D8F" w14:textId="77777777" w:rsidR="00472922" w:rsidRDefault="00B5152B">
      <w:pPr>
        <w:spacing w:before="28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The paper used an ex-post facto research design based on data obtained from secondary sources and gathered from reliable international databases, in this case the World Development Indicators (WDI). The selection of this design has been informed by the fact that it is necessary to </w:t>
      </w:r>
      <w:proofErr w:type="spellStart"/>
      <w:r>
        <w:rPr>
          <w:rFonts w:ascii="Times New Roman" w:eastAsia="Times New Roman" w:hAnsi="Times New Roman" w:cs="Times New Roman"/>
          <w:color w:val="000000"/>
          <w:sz w:val="24"/>
          <w:szCs w:val="24"/>
        </w:rPr>
        <w:t>analyse</w:t>
      </w:r>
      <w:proofErr w:type="spellEnd"/>
      <w:r>
        <w:rPr>
          <w:rFonts w:ascii="Times New Roman" w:eastAsia="Times New Roman" w:hAnsi="Times New Roman" w:cs="Times New Roman"/>
          <w:color w:val="000000"/>
          <w:sz w:val="24"/>
          <w:szCs w:val="24"/>
        </w:rPr>
        <w:t xml:space="preserve"> already existing macroeconomic and financial data devoid of manipulation. The study is for the </w:t>
      </w:r>
      <w:r>
        <w:rPr>
          <w:rFonts w:ascii="Times New Roman" w:eastAsia="Times New Roman" w:hAnsi="Times New Roman" w:cs="Times New Roman"/>
          <w:color w:val="000000"/>
          <w:sz w:val="24"/>
          <w:szCs w:val="24"/>
        </w:rPr>
        <w:lastRenderedPageBreak/>
        <w:t xml:space="preserve">period from 2004 to 2025, which was marked by the resurgence of entrepreneurship development interests on the part of successive Nigerian governments, numerous policy initiatives to diversify the economic base from oil reliance to entrepreneurship development and the increasing appreciation of the entrepreneurial sector as a contributor to employment creation and poverty alleviation. Nigeria is used as an example to illustrate the country's rich natural and human resources, yet the country continues to experience persistent economic problems such as high unemployment, inadequate infrastructure and volatile growth rates, which the paper dwells on as a case study. The relevance of Nigeria to this study is due to its entrepreneurial environments, multiple numbers of government intervention </w:t>
      </w:r>
      <w:proofErr w:type="spellStart"/>
      <w:r>
        <w:rPr>
          <w:rFonts w:ascii="Times New Roman" w:eastAsia="Times New Roman" w:hAnsi="Times New Roman" w:cs="Times New Roman"/>
          <w:color w:val="000000"/>
          <w:sz w:val="24"/>
          <w:szCs w:val="24"/>
        </w:rPr>
        <w:t>programmes</w:t>
      </w:r>
      <w:proofErr w:type="spellEnd"/>
      <w:r>
        <w:rPr>
          <w:rFonts w:ascii="Times New Roman" w:eastAsia="Times New Roman" w:hAnsi="Times New Roman" w:cs="Times New Roman"/>
          <w:color w:val="000000"/>
          <w:sz w:val="24"/>
          <w:szCs w:val="24"/>
        </w:rPr>
        <w:t xml:space="preserve"> and the enormous but untapped potential of the small and medium enterprises (SMEs) sector to produce economic growth. Therefore, the functional form of the model is expressed </w:t>
      </w:r>
      <w:proofErr w:type="gramStart"/>
      <w:r>
        <w:rPr>
          <w:rFonts w:ascii="Times New Roman" w:eastAsia="Times New Roman" w:hAnsi="Times New Roman" w:cs="Times New Roman"/>
          <w:color w:val="000000"/>
          <w:sz w:val="24"/>
          <w:szCs w:val="24"/>
        </w:rPr>
        <w:t>as:.</w:t>
      </w:r>
      <w:proofErr w:type="gramEnd"/>
    </w:p>
    <w:p w14:paraId="5FB606C8" w14:textId="77777777" w:rsidR="00472922" w:rsidRDefault="00B5152B">
      <w:pPr>
        <w:spacing w:line="360" w:lineRule="auto"/>
        <w:rPr>
          <w:rFonts w:ascii="Times New Roman" w:eastAsia="Times New Roman" w:hAnsi="Times New Roman" w:cs="Times New Roman"/>
          <w:color w:val="000000"/>
          <w:sz w:val="24"/>
          <w:szCs w:val="24"/>
        </w:rPr>
      </w:pPr>
      <m:oMath>
        <m:r>
          <w:rPr>
            <w:rFonts w:ascii="Cambria Math" w:eastAsia="Cambria Math" w:hAnsi="Cambria Math" w:cs="Cambria Math"/>
            <w:color w:val="000000"/>
            <w:sz w:val="24"/>
            <w:szCs w:val="24"/>
          </w:rPr>
          <m:t>GR=f</m:t>
        </m:r>
        <m:d>
          <m:dPr>
            <m:ctrlPr>
              <w:rPr>
                <w:rFonts w:ascii="Cambria Math" w:eastAsia="Cambria Math" w:hAnsi="Cambria Math" w:cs="Cambria Math"/>
                <w:color w:val="000000"/>
                <w:sz w:val="24"/>
                <w:szCs w:val="24"/>
              </w:rPr>
            </m:ctrlPr>
          </m:dPr>
          <m:e>
            <m:r>
              <w:rPr>
                <w:rFonts w:ascii="Cambria Math" w:eastAsia="Cambria Math" w:hAnsi="Cambria Math" w:cs="Cambria Math"/>
                <w:color w:val="000000"/>
                <w:sz w:val="24"/>
                <w:szCs w:val="24"/>
              </w:rPr>
              <m:t>NBD, ALR</m:t>
            </m:r>
          </m:e>
        </m:d>
        <m:r>
          <w:rPr>
            <w:rFonts w:ascii="Times New Roman" w:eastAsia="Times New Roman" w:hAnsi="Times New Roman" w:cs="Times New Roman"/>
            <w:color w:val="000000"/>
            <w:sz w:val="24"/>
            <w:szCs w:val="24"/>
          </w:rPr>
          <m:t>---------------------------</m:t>
        </m:r>
        <m:r>
          <w:rPr>
            <w:rFonts w:ascii="Cambria Math" w:eastAsia="Cambria Math" w:hAnsi="Cambria Math" w:cs="Cambria Math"/>
            <w:color w:val="000000"/>
            <w:sz w:val="24"/>
            <w:szCs w:val="24"/>
          </w:rPr>
          <m:t>(1)</m:t>
        </m:r>
      </m:oMath>
      <w:r>
        <w:rPr>
          <w:rFonts w:ascii="Times New Roman" w:eastAsia="Times New Roman" w:hAnsi="Times New Roman" w:cs="Times New Roman"/>
          <w:color w:val="000000"/>
          <w:sz w:val="24"/>
          <w:szCs w:val="24"/>
        </w:rPr>
        <w:t xml:space="preserve"> </w:t>
      </w:r>
    </w:p>
    <w:p w14:paraId="652F0CB5" w14:textId="77777777" w:rsidR="00472922" w:rsidRDefault="00B5152B">
      <w:pPr>
        <w:spacing w:before="28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Equation (1) is expressed econometrically as:</w:t>
      </w:r>
    </w:p>
    <w:p w14:paraId="590764BA" w14:textId="77777777" w:rsidR="00472922" w:rsidRDefault="00B5152B">
      <w:pPr>
        <w:spacing w:line="360" w:lineRule="auto"/>
        <w:rPr>
          <w:rFonts w:ascii="Times New Roman" w:eastAsia="Times New Roman" w:hAnsi="Times New Roman" w:cs="Times New Roman"/>
          <w:color w:val="000000"/>
          <w:sz w:val="24"/>
          <w:szCs w:val="24"/>
        </w:rPr>
      </w:pPr>
      <m:oMath>
        <m:r>
          <w:rPr>
            <w:rFonts w:ascii="Cambria Math" w:eastAsia="Cambria Math" w:hAnsi="Cambria Math" w:cs="Cambria Math"/>
            <w:color w:val="000000"/>
            <w:sz w:val="24"/>
            <w:szCs w:val="24"/>
          </w:rPr>
          <m:t>GR=β0+β1NBD+β2ALR +εt</m:t>
        </m:r>
        <m:r>
          <w:rPr>
            <w:rFonts w:ascii="Times New Roman" w:eastAsia="Times New Roman" w:hAnsi="Times New Roman" w:cs="Times New Roman"/>
            <w:color w:val="000000"/>
            <w:sz w:val="24"/>
            <w:szCs w:val="24"/>
          </w:rPr>
          <m:t>---------------------</m:t>
        </m:r>
        <m:r>
          <w:rPr>
            <w:rFonts w:ascii="Cambria Math" w:eastAsia="Cambria Math" w:hAnsi="Cambria Math" w:cs="Cambria Math"/>
            <w:color w:val="000000"/>
            <w:sz w:val="24"/>
            <w:szCs w:val="24"/>
          </w:rPr>
          <m:t>(2)</m:t>
        </m:r>
      </m:oMath>
      <w:r>
        <w:rPr>
          <w:rFonts w:ascii="Times New Roman" w:eastAsia="Times New Roman" w:hAnsi="Times New Roman" w:cs="Times New Roman"/>
          <w:color w:val="000000"/>
          <w:sz w:val="24"/>
          <w:szCs w:val="24"/>
        </w:rPr>
        <w:t xml:space="preserve"> </w:t>
      </w:r>
    </w:p>
    <w:p w14:paraId="0BB01FC5" w14:textId="77777777" w:rsidR="00472922" w:rsidRDefault="00B5152B">
      <w:pPr>
        <w:spacing w:before="28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where: GR = Economic growth rate measured by real Gross Domestic Product (GDP) growth rate; NBD = New business density measured by the number of newly registered businesses per 1,000 working-age population; ALR = Literacy Rate; β</w:t>
      </w:r>
      <w:r>
        <w:rPr>
          <w:rFonts w:ascii="Cambria Math" w:eastAsia="Cambria Math" w:hAnsi="Cambria Math" w:cs="Cambria Math"/>
          <w:color w:val="000000"/>
          <w:sz w:val="24"/>
          <w:szCs w:val="24"/>
        </w:rPr>
        <w:t>₀</w:t>
      </w:r>
      <w:r>
        <w:rPr>
          <w:rFonts w:ascii="Times New Roman" w:eastAsia="Times New Roman" w:hAnsi="Times New Roman" w:cs="Times New Roman"/>
          <w:color w:val="000000"/>
          <w:sz w:val="24"/>
          <w:szCs w:val="24"/>
        </w:rPr>
        <w:t xml:space="preserve"> = Constant term; β</w:t>
      </w:r>
      <w:r>
        <w:rPr>
          <w:rFonts w:ascii="Cambria Math" w:eastAsia="Cambria Math" w:hAnsi="Cambria Math" w:cs="Cambria Math"/>
          <w:color w:val="000000"/>
          <w:sz w:val="24"/>
          <w:szCs w:val="24"/>
        </w:rPr>
        <w:t>₁</w:t>
      </w:r>
      <w:r>
        <w:rPr>
          <w:rFonts w:ascii="Times New Roman" w:eastAsia="Times New Roman" w:hAnsi="Times New Roman" w:cs="Times New Roman"/>
          <w:color w:val="000000"/>
          <w:sz w:val="24"/>
          <w:szCs w:val="24"/>
        </w:rPr>
        <w:t>- β</w:t>
      </w:r>
      <w:r>
        <w:rPr>
          <w:rFonts w:ascii="Times New Roman" w:eastAsia="Times New Roman" w:hAnsi="Times New Roman" w:cs="Times New Roman"/>
          <w:color w:val="000000"/>
          <w:sz w:val="24"/>
          <w:szCs w:val="24"/>
          <w:vertAlign w:val="subscript"/>
        </w:rPr>
        <w:t>2</w:t>
      </w:r>
      <w:r>
        <w:rPr>
          <w:rFonts w:ascii="Times New Roman" w:eastAsia="Times New Roman" w:hAnsi="Times New Roman" w:cs="Times New Roman"/>
          <w:color w:val="000000"/>
          <w:sz w:val="24"/>
          <w:szCs w:val="24"/>
        </w:rPr>
        <w:t xml:space="preserve"> = Parameter estimate of new business density; and </w:t>
      </w:r>
      <w:proofErr w:type="spellStart"/>
      <w:r>
        <w:rPr>
          <w:rFonts w:ascii="Times New Roman" w:eastAsia="Times New Roman" w:hAnsi="Times New Roman" w:cs="Times New Roman"/>
          <w:color w:val="000000"/>
          <w:sz w:val="24"/>
          <w:szCs w:val="24"/>
        </w:rPr>
        <w:t>εt</w:t>
      </w:r>
      <w:proofErr w:type="spellEnd"/>
      <w:r>
        <w:rPr>
          <w:rFonts w:ascii="Times New Roman" w:eastAsia="Times New Roman" w:hAnsi="Times New Roman" w:cs="Times New Roman"/>
          <w:color w:val="000000"/>
          <w:sz w:val="24"/>
          <w:szCs w:val="24"/>
        </w:rPr>
        <w:t xml:space="preserve"> = Stochastic error term.</w:t>
      </w:r>
    </w:p>
    <w:p w14:paraId="7EBF8721" w14:textId="77777777" w:rsidR="00472922" w:rsidRDefault="00B5152B">
      <w:pPr>
        <w:spacing w:before="28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The empirical model was estimated by using the Autoregressive Distributed Lag (ARDL) bounds testing approach suggested by Pesaran, Shin and Smith (2001). Because the ARDL estimation method allows for the integration of level-order variables (</w:t>
      </w:r>
      <w:proofErr w:type="gramStart"/>
      <w:r>
        <w:rPr>
          <w:rFonts w:ascii="Times New Roman" w:eastAsia="Times New Roman" w:hAnsi="Times New Roman" w:cs="Times New Roman"/>
          <w:color w:val="000000"/>
          <w:sz w:val="24"/>
          <w:szCs w:val="24"/>
        </w:rPr>
        <w:t>I(</w:t>
      </w:r>
      <w:proofErr w:type="gramEnd"/>
      <w:r>
        <w:rPr>
          <w:rFonts w:ascii="Times New Roman" w:eastAsia="Times New Roman" w:hAnsi="Times New Roman" w:cs="Times New Roman"/>
          <w:color w:val="000000"/>
          <w:sz w:val="24"/>
          <w:szCs w:val="24"/>
        </w:rPr>
        <w:t>0)) and first-order variables (</w:t>
      </w:r>
      <w:proofErr w:type="gramStart"/>
      <w:r>
        <w:rPr>
          <w:rFonts w:ascii="Times New Roman" w:eastAsia="Times New Roman" w:hAnsi="Times New Roman" w:cs="Times New Roman"/>
          <w:color w:val="000000"/>
          <w:sz w:val="24"/>
          <w:szCs w:val="24"/>
        </w:rPr>
        <w:t>I(</w:t>
      </w:r>
      <w:proofErr w:type="gramEnd"/>
      <w:r>
        <w:rPr>
          <w:rFonts w:ascii="Times New Roman" w:eastAsia="Times New Roman" w:hAnsi="Times New Roman" w:cs="Times New Roman"/>
          <w:color w:val="000000"/>
          <w:sz w:val="24"/>
          <w:szCs w:val="24"/>
        </w:rPr>
        <w:t>1)), the method was deemed appropriate since it does not require variables to be all of the same order of integration. The method is also applicable to relatively small sample sizes and gives estimates of both the short- and long-run relationship between the variables as well as short-run dynamics. In view of this, the unrestricted ARDL error correction model estimated in this study is specified as:</w:t>
      </w:r>
    </w:p>
    <w:p w14:paraId="14AFF088" w14:textId="77777777" w:rsidR="00472922" w:rsidRDefault="00000000">
      <w:pPr>
        <w:rPr>
          <w:rFonts w:ascii="Cambria Math" w:eastAsia="Cambria Math" w:hAnsi="Cambria Math" w:cs="Cambria Math"/>
          <w:color w:val="000000"/>
          <w:sz w:val="24"/>
          <w:szCs w:val="24"/>
        </w:rPr>
      </w:pPr>
      <m:oMathPara>
        <m:oMath>
          <m:sSub>
            <m:sSubPr>
              <m:ctrlPr>
                <w:rPr>
                  <w:rFonts w:ascii="Cambria Math" w:eastAsia="Cambria Math" w:hAnsi="Cambria Math" w:cs="Cambria Math"/>
                  <w:color w:val="000000"/>
                  <w:sz w:val="24"/>
                  <w:szCs w:val="24"/>
                </w:rPr>
              </m:ctrlPr>
            </m:sSubPr>
            <m:e>
              <m:r>
                <w:rPr>
                  <w:rFonts w:ascii="Cambria Math" w:hAnsi="Cambria Math"/>
                </w:rPr>
                <m:t>Δ</m:t>
              </m:r>
              <m:r>
                <w:rPr>
                  <w:rFonts w:ascii="Cambria Math" w:eastAsia="Cambria Math" w:hAnsi="Cambria Math" w:cs="Cambria Math"/>
                  <w:color w:val="000000"/>
                  <w:sz w:val="24"/>
                  <w:szCs w:val="24"/>
                </w:rPr>
                <m:t>GR</m:t>
              </m:r>
            </m:e>
            <m:sub>
              <m:r>
                <w:rPr>
                  <w:rFonts w:ascii="Cambria Math" w:eastAsia="Cambria Math" w:hAnsi="Cambria Math" w:cs="Cambria Math"/>
                  <w:color w:val="000000"/>
                  <w:sz w:val="24"/>
                  <w:szCs w:val="24"/>
                </w:rPr>
                <m:t>t</m:t>
              </m:r>
            </m:sub>
          </m:sSub>
          <m:r>
            <w:rPr>
              <w:rFonts w:ascii="Cambria Math" w:eastAsia="Cambria Math" w:hAnsi="Cambria Math" w:cs="Cambria Math"/>
              <w:color w:val="000000"/>
              <w:sz w:val="24"/>
              <w:szCs w:val="24"/>
            </w:rPr>
            <m:t>=</m:t>
          </m:r>
          <m:sSub>
            <m:sSubPr>
              <m:ctrlPr>
                <w:rPr>
                  <w:rFonts w:ascii="Cambria Math" w:eastAsia="Cambria Math" w:hAnsi="Cambria Math" w:cs="Cambria Math"/>
                  <w:color w:val="000000"/>
                  <w:sz w:val="24"/>
                  <w:szCs w:val="24"/>
                </w:rPr>
              </m:ctrlPr>
            </m:sSubPr>
            <m:e>
              <m:r>
                <w:rPr>
                  <w:rFonts w:ascii="Cambria Math" w:eastAsia="Cambria Math" w:hAnsi="Cambria Math" w:cs="Cambria Math"/>
                  <w:color w:val="000000"/>
                  <w:sz w:val="24"/>
                  <w:szCs w:val="24"/>
                </w:rPr>
                <m:t>β</m:t>
              </m:r>
            </m:e>
            <m:sub>
              <m:r>
                <w:rPr>
                  <w:rFonts w:ascii="Cambria Math" w:eastAsia="Cambria Math" w:hAnsi="Cambria Math" w:cs="Cambria Math"/>
                  <w:color w:val="000000"/>
                  <w:sz w:val="24"/>
                  <w:szCs w:val="24"/>
                </w:rPr>
                <m:t>0</m:t>
              </m:r>
            </m:sub>
          </m:sSub>
          <m:r>
            <w:rPr>
              <w:rFonts w:ascii="Cambria Math" w:eastAsia="Cambria Math" w:hAnsi="Cambria Math" w:cs="Cambria Math"/>
              <w:color w:val="000000"/>
              <w:sz w:val="24"/>
              <w:szCs w:val="24"/>
            </w:rPr>
            <m:t>+</m:t>
          </m:r>
          <m:nary>
            <m:naryPr>
              <m:chr m:val="∑"/>
              <m:ctrlPr>
                <w:rPr>
                  <w:rFonts w:ascii="Cambria Math" w:eastAsia="Cambria Math" w:hAnsi="Cambria Math" w:cs="Cambria Math"/>
                  <w:color w:val="000000"/>
                  <w:sz w:val="24"/>
                  <w:szCs w:val="24"/>
                </w:rPr>
              </m:ctrlPr>
            </m:naryPr>
            <m:sub>
              <m:r>
                <w:rPr>
                  <w:rFonts w:ascii="Cambria Math" w:eastAsia="Cambria Math" w:hAnsi="Cambria Math" w:cs="Cambria Math"/>
                  <w:color w:val="000000"/>
                  <w:sz w:val="24"/>
                  <w:szCs w:val="24"/>
                </w:rPr>
                <m:t>i=1</m:t>
              </m:r>
            </m:sub>
            <m:sup>
              <m:r>
                <w:rPr>
                  <w:rFonts w:ascii="Cambria Math" w:eastAsia="Cambria Math" w:hAnsi="Cambria Math" w:cs="Cambria Math"/>
                  <w:color w:val="000000"/>
                  <w:sz w:val="24"/>
                  <w:szCs w:val="24"/>
                </w:rPr>
                <m:t>p</m:t>
              </m:r>
            </m:sup>
            <m:e/>
          </m:nary>
          <m:sSub>
            <m:sSubPr>
              <m:ctrlPr>
                <w:rPr>
                  <w:rFonts w:ascii="Cambria Math" w:eastAsia="Cambria Math" w:hAnsi="Cambria Math" w:cs="Cambria Math"/>
                  <w:color w:val="000000"/>
                  <w:sz w:val="24"/>
                  <w:szCs w:val="24"/>
                </w:rPr>
              </m:ctrlPr>
            </m:sSubPr>
            <m:e>
              <m:r>
                <w:rPr>
                  <w:rFonts w:ascii="Cambria Math" w:eastAsia="Cambria Math" w:hAnsi="Cambria Math" w:cs="Cambria Math"/>
                  <w:color w:val="000000"/>
                  <w:sz w:val="24"/>
                  <w:szCs w:val="24"/>
                </w:rPr>
                <m:t>β</m:t>
              </m:r>
            </m:e>
            <m:sub>
              <m:r>
                <w:rPr>
                  <w:rFonts w:ascii="Cambria Math" w:eastAsia="Cambria Math" w:hAnsi="Cambria Math" w:cs="Cambria Math"/>
                  <w:color w:val="000000"/>
                  <w:sz w:val="24"/>
                  <w:szCs w:val="24"/>
                </w:rPr>
                <m:t>1</m:t>
              </m:r>
            </m:sub>
          </m:sSub>
          <m:sSub>
            <m:sSubPr>
              <m:ctrlPr>
                <w:rPr>
                  <w:rFonts w:ascii="Cambria Math" w:eastAsia="Cambria Math" w:hAnsi="Cambria Math" w:cs="Cambria Math"/>
                  <w:color w:val="000000"/>
                  <w:sz w:val="24"/>
                  <w:szCs w:val="24"/>
                </w:rPr>
              </m:ctrlPr>
            </m:sSubPr>
            <m:e>
              <m:r>
                <w:rPr>
                  <w:rFonts w:ascii="Cambria Math" w:eastAsia="Cambria Math" w:hAnsi="Cambria Math" w:cs="Cambria Math"/>
                  <w:color w:val="000000"/>
                  <w:sz w:val="24"/>
                  <w:szCs w:val="24"/>
                </w:rPr>
                <m:t>ΔGR</m:t>
              </m:r>
            </m:e>
            <m:sub>
              <m:r>
                <w:rPr>
                  <w:rFonts w:ascii="Cambria Math" w:eastAsia="Cambria Math" w:hAnsi="Cambria Math" w:cs="Cambria Math"/>
                  <w:color w:val="000000"/>
                  <w:sz w:val="24"/>
                  <w:szCs w:val="24"/>
                </w:rPr>
                <m:t>t</m:t>
              </m:r>
              <m:r>
                <w:rPr>
                  <w:rFonts w:ascii="Times New Roman" w:eastAsia="Times New Roman" w:hAnsi="Times New Roman" w:cs="Times New Roman"/>
                  <w:color w:val="000000"/>
                  <w:sz w:val="24"/>
                  <w:szCs w:val="24"/>
                </w:rPr>
                <m:t>-</m:t>
              </m:r>
              <m:r>
                <w:rPr>
                  <w:rFonts w:ascii="Cambria Math" w:eastAsia="Cambria Math" w:hAnsi="Cambria Math" w:cs="Cambria Math"/>
                  <w:color w:val="000000"/>
                  <w:sz w:val="24"/>
                  <w:szCs w:val="24"/>
                </w:rPr>
                <m:t>i</m:t>
              </m:r>
            </m:sub>
          </m:sSub>
          <m:r>
            <w:rPr>
              <w:rFonts w:ascii="Cambria Math" w:eastAsia="Cambria Math" w:hAnsi="Cambria Math" w:cs="Cambria Math"/>
              <w:color w:val="000000"/>
              <w:sz w:val="24"/>
              <w:szCs w:val="24"/>
            </w:rPr>
            <m:t>+</m:t>
          </m:r>
          <m:nary>
            <m:naryPr>
              <m:chr m:val="∑"/>
              <m:ctrlPr>
                <w:rPr>
                  <w:rFonts w:ascii="Cambria Math" w:eastAsia="Cambria Math" w:hAnsi="Cambria Math" w:cs="Cambria Math"/>
                  <w:color w:val="000000"/>
                  <w:sz w:val="24"/>
                  <w:szCs w:val="24"/>
                </w:rPr>
              </m:ctrlPr>
            </m:naryPr>
            <m:sub>
              <m:r>
                <w:rPr>
                  <w:rFonts w:ascii="Cambria Math" w:eastAsia="Cambria Math" w:hAnsi="Cambria Math" w:cs="Cambria Math"/>
                  <w:color w:val="000000"/>
                  <w:sz w:val="24"/>
                  <w:szCs w:val="24"/>
                </w:rPr>
                <m:t>i=1</m:t>
              </m:r>
            </m:sub>
            <m:sup>
              <m:r>
                <w:rPr>
                  <w:rFonts w:ascii="Cambria Math" w:eastAsia="Cambria Math" w:hAnsi="Cambria Math" w:cs="Cambria Math"/>
                  <w:color w:val="000000"/>
                  <w:sz w:val="24"/>
                  <w:szCs w:val="24"/>
                </w:rPr>
                <m:t>p</m:t>
              </m:r>
            </m:sup>
            <m:e/>
          </m:nary>
          <m:sSub>
            <m:sSubPr>
              <m:ctrlPr>
                <w:rPr>
                  <w:rFonts w:ascii="Cambria Math" w:eastAsia="Cambria Math" w:hAnsi="Cambria Math" w:cs="Cambria Math"/>
                  <w:color w:val="000000"/>
                  <w:sz w:val="24"/>
                  <w:szCs w:val="24"/>
                </w:rPr>
              </m:ctrlPr>
            </m:sSubPr>
            <m:e>
              <m:r>
                <w:rPr>
                  <w:rFonts w:ascii="Cambria Math" w:eastAsia="Cambria Math" w:hAnsi="Cambria Math" w:cs="Cambria Math"/>
                  <w:color w:val="000000"/>
                  <w:sz w:val="24"/>
                  <w:szCs w:val="24"/>
                </w:rPr>
                <m:t>β</m:t>
              </m:r>
            </m:e>
            <m:sub>
              <m:r>
                <w:rPr>
                  <w:rFonts w:ascii="Cambria Math" w:eastAsia="Cambria Math" w:hAnsi="Cambria Math" w:cs="Cambria Math"/>
                  <w:color w:val="000000"/>
                  <w:sz w:val="24"/>
                  <w:szCs w:val="24"/>
                </w:rPr>
                <m:t>2</m:t>
              </m:r>
            </m:sub>
          </m:sSub>
          <m:sSub>
            <m:sSubPr>
              <m:ctrlPr>
                <w:rPr>
                  <w:rFonts w:ascii="Cambria Math" w:eastAsia="Cambria Math" w:hAnsi="Cambria Math" w:cs="Cambria Math"/>
                  <w:color w:val="000000"/>
                  <w:sz w:val="24"/>
                  <w:szCs w:val="24"/>
                </w:rPr>
              </m:ctrlPr>
            </m:sSubPr>
            <m:e>
              <m:r>
                <w:rPr>
                  <w:rFonts w:ascii="Cambria Math" w:eastAsia="Cambria Math" w:hAnsi="Cambria Math" w:cs="Cambria Math"/>
                  <w:color w:val="000000"/>
                  <w:sz w:val="24"/>
                  <w:szCs w:val="24"/>
                </w:rPr>
                <m:t>ΔNBD</m:t>
              </m:r>
            </m:e>
            <m:sub>
              <m:r>
                <w:rPr>
                  <w:rFonts w:ascii="Cambria Math" w:eastAsia="Cambria Math" w:hAnsi="Cambria Math" w:cs="Cambria Math"/>
                  <w:color w:val="000000"/>
                  <w:sz w:val="24"/>
                  <w:szCs w:val="24"/>
                </w:rPr>
                <m:t>t</m:t>
              </m:r>
              <m:r>
                <w:rPr>
                  <w:rFonts w:ascii="Times New Roman" w:eastAsia="Times New Roman" w:hAnsi="Times New Roman" w:cs="Times New Roman"/>
                  <w:color w:val="000000"/>
                  <w:sz w:val="24"/>
                  <w:szCs w:val="24"/>
                </w:rPr>
                <m:t>-</m:t>
              </m:r>
              <m:r>
                <w:rPr>
                  <w:rFonts w:ascii="Cambria Math" w:eastAsia="Cambria Math" w:hAnsi="Cambria Math" w:cs="Cambria Math"/>
                  <w:color w:val="000000"/>
                  <w:sz w:val="24"/>
                  <w:szCs w:val="24"/>
                </w:rPr>
                <m:t>i</m:t>
              </m:r>
            </m:sub>
          </m:sSub>
          <m:r>
            <w:rPr>
              <w:rFonts w:ascii="Cambria Math" w:eastAsia="Cambria Math" w:hAnsi="Cambria Math" w:cs="Cambria Math"/>
              <w:color w:val="000000"/>
              <w:sz w:val="24"/>
              <w:szCs w:val="24"/>
            </w:rPr>
            <m:t>+</m:t>
          </m:r>
          <m:nary>
            <m:naryPr>
              <m:chr m:val="∑"/>
              <m:ctrlPr>
                <w:rPr>
                  <w:rFonts w:ascii="Cambria Math" w:eastAsia="Cambria Math" w:hAnsi="Cambria Math" w:cs="Cambria Math"/>
                  <w:color w:val="000000"/>
                  <w:sz w:val="24"/>
                  <w:szCs w:val="24"/>
                </w:rPr>
              </m:ctrlPr>
            </m:naryPr>
            <m:sub>
              <m:r>
                <w:rPr>
                  <w:rFonts w:ascii="Cambria Math" w:eastAsia="Cambria Math" w:hAnsi="Cambria Math" w:cs="Cambria Math"/>
                  <w:color w:val="000000"/>
                  <w:sz w:val="24"/>
                  <w:szCs w:val="24"/>
                </w:rPr>
                <m:t>i=1</m:t>
              </m:r>
            </m:sub>
            <m:sup>
              <m:r>
                <w:rPr>
                  <w:rFonts w:ascii="Cambria Math" w:eastAsia="Cambria Math" w:hAnsi="Cambria Math" w:cs="Cambria Math"/>
                  <w:color w:val="000000"/>
                  <w:sz w:val="24"/>
                  <w:szCs w:val="24"/>
                </w:rPr>
                <m:t>p</m:t>
              </m:r>
            </m:sup>
            <m:e/>
          </m:nary>
          <m:sSub>
            <m:sSubPr>
              <m:ctrlPr>
                <w:rPr>
                  <w:rFonts w:ascii="Cambria Math" w:eastAsia="Cambria Math" w:hAnsi="Cambria Math" w:cs="Cambria Math"/>
                  <w:color w:val="000000"/>
                  <w:sz w:val="24"/>
                  <w:szCs w:val="24"/>
                </w:rPr>
              </m:ctrlPr>
            </m:sSubPr>
            <m:e>
              <m:r>
                <w:rPr>
                  <w:rFonts w:ascii="Cambria Math" w:eastAsia="Cambria Math" w:hAnsi="Cambria Math" w:cs="Cambria Math"/>
                  <w:color w:val="000000"/>
                  <w:sz w:val="24"/>
                  <w:szCs w:val="24"/>
                </w:rPr>
                <m:t>β</m:t>
              </m:r>
            </m:e>
            <m:sub>
              <m:r>
                <w:rPr>
                  <w:rFonts w:ascii="Cambria Math" w:eastAsia="Cambria Math" w:hAnsi="Cambria Math" w:cs="Cambria Math"/>
                  <w:color w:val="000000"/>
                  <w:sz w:val="24"/>
                  <w:szCs w:val="24"/>
                </w:rPr>
                <m:t>3</m:t>
              </m:r>
            </m:sub>
          </m:sSub>
          <m:sSub>
            <m:sSubPr>
              <m:ctrlPr>
                <w:rPr>
                  <w:rFonts w:ascii="Cambria Math" w:eastAsia="Cambria Math" w:hAnsi="Cambria Math" w:cs="Cambria Math"/>
                  <w:color w:val="000000"/>
                  <w:sz w:val="24"/>
                  <w:szCs w:val="24"/>
                </w:rPr>
              </m:ctrlPr>
            </m:sSubPr>
            <m:e>
              <m:r>
                <w:rPr>
                  <w:rFonts w:ascii="Cambria Math" w:eastAsia="Cambria Math" w:hAnsi="Cambria Math" w:cs="Cambria Math"/>
                  <w:color w:val="000000"/>
                  <w:sz w:val="24"/>
                  <w:szCs w:val="24"/>
                </w:rPr>
                <m:t>ΔALR</m:t>
              </m:r>
            </m:e>
            <m:sub>
              <m:r>
                <w:rPr>
                  <w:rFonts w:ascii="Cambria Math" w:eastAsia="Cambria Math" w:hAnsi="Cambria Math" w:cs="Cambria Math"/>
                  <w:color w:val="000000"/>
                  <w:sz w:val="24"/>
                  <w:szCs w:val="24"/>
                </w:rPr>
                <m:t>t</m:t>
              </m:r>
              <m:r>
                <w:rPr>
                  <w:rFonts w:ascii="Times New Roman" w:eastAsia="Times New Roman" w:hAnsi="Times New Roman" w:cs="Times New Roman"/>
                  <w:color w:val="000000"/>
                  <w:sz w:val="24"/>
                  <w:szCs w:val="24"/>
                </w:rPr>
                <m:t>-</m:t>
              </m:r>
              <m:r>
                <w:rPr>
                  <w:rFonts w:ascii="Cambria Math" w:eastAsia="Cambria Math" w:hAnsi="Cambria Math" w:cs="Cambria Math"/>
                  <w:color w:val="000000"/>
                  <w:sz w:val="24"/>
                  <w:szCs w:val="24"/>
                </w:rPr>
                <m:t>i</m:t>
              </m:r>
            </m:sub>
          </m:sSub>
          <m:r>
            <w:rPr>
              <w:rFonts w:ascii="Cambria Math" w:eastAsia="Cambria Math" w:hAnsi="Cambria Math" w:cs="Cambria Math"/>
              <w:color w:val="000000"/>
              <w:sz w:val="24"/>
              <w:szCs w:val="24"/>
            </w:rPr>
            <m:t>+</m:t>
          </m:r>
          <m:sSub>
            <m:sSubPr>
              <m:ctrlPr>
                <w:rPr>
                  <w:rFonts w:ascii="Cambria Math" w:eastAsia="Cambria Math" w:hAnsi="Cambria Math" w:cs="Cambria Math"/>
                  <w:color w:val="000000"/>
                  <w:sz w:val="24"/>
                  <w:szCs w:val="24"/>
                </w:rPr>
              </m:ctrlPr>
            </m:sSubPr>
            <m:e>
              <m:sSub>
                <m:sSubPr>
                  <m:ctrlPr>
                    <w:rPr>
                      <w:rFonts w:ascii="Cambria Math" w:eastAsia="Cambria Math" w:hAnsi="Cambria Math" w:cs="Cambria Math"/>
                      <w:color w:val="000000"/>
                      <w:sz w:val="24"/>
                      <w:szCs w:val="24"/>
                    </w:rPr>
                  </m:ctrlPr>
                </m:sSubPr>
                <m:e>
                  <m:r>
                    <w:rPr>
                      <w:rFonts w:ascii="Cambria Math" w:eastAsia="Cambria Math" w:hAnsi="Cambria Math" w:cs="Cambria Math"/>
                      <w:color w:val="000000"/>
                      <w:sz w:val="24"/>
                      <w:szCs w:val="24"/>
                    </w:rPr>
                    <m:t>λ</m:t>
                  </m:r>
                </m:e>
                <m:sub>
                  <m:r>
                    <w:rPr>
                      <w:rFonts w:ascii="Cambria Math" w:eastAsia="Cambria Math" w:hAnsi="Cambria Math" w:cs="Cambria Math"/>
                      <w:color w:val="000000"/>
                      <w:sz w:val="24"/>
                      <w:szCs w:val="24"/>
                    </w:rPr>
                    <m:t>1</m:t>
                  </m:r>
                </m:sub>
              </m:sSub>
              <m:r>
                <w:rPr>
                  <w:rFonts w:ascii="Cambria Math" w:eastAsia="Cambria Math" w:hAnsi="Cambria Math" w:cs="Cambria Math"/>
                  <w:color w:val="000000"/>
                  <w:sz w:val="24"/>
                  <w:szCs w:val="24"/>
                </w:rPr>
                <m:t>ΔGR</m:t>
              </m:r>
            </m:e>
            <m:sub>
              <m:r>
                <w:rPr>
                  <w:rFonts w:ascii="Cambria Math" w:eastAsia="Cambria Math" w:hAnsi="Cambria Math" w:cs="Cambria Math"/>
                  <w:color w:val="000000"/>
                  <w:sz w:val="24"/>
                  <w:szCs w:val="24"/>
                </w:rPr>
                <m:t>t</m:t>
              </m:r>
              <m:r>
                <w:rPr>
                  <w:rFonts w:ascii="Times New Roman" w:eastAsia="Times New Roman" w:hAnsi="Times New Roman" w:cs="Times New Roman"/>
                  <w:color w:val="000000"/>
                  <w:sz w:val="24"/>
                  <w:szCs w:val="24"/>
                </w:rPr>
                <m:t>-</m:t>
              </m:r>
              <m:r>
                <w:rPr>
                  <w:rFonts w:ascii="Cambria Math" w:eastAsia="Cambria Math" w:hAnsi="Cambria Math" w:cs="Cambria Math"/>
                  <w:color w:val="000000"/>
                  <w:sz w:val="24"/>
                  <w:szCs w:val="24"/>
                </w:rPr>
                <m:t>1</m:t>
              </m:r>
            </m:sub>
          </m:sSub>
          <m:r>
            <w:rPr>
              <w:rFonts w:ascii="Cambria Math" w:eastAsia="Cambria Math" w:hAnsi="Cambria Math" w:cs="Cambria Math"/>
              <w:color w:val="000000"/>
              <w:sz w:val="24"/>
              <w:szCs w:val="24"/>
            </w:rPr>
            <m:t>+</m:t>
          </m:r>
          <m:sSub>
            <m:sSubPr>
              <m:ctrlPr>
                <w:rPr>
                  <w:rFonts w:ascii="Cambria Math" w:eastAsia="Cambria Math" w:hAnsi="Cambria Math" w:cs="Cambria Math"/>
                  <w:color w:val="000000"/>
                  <w:sz w:val="24"/>
                  <w:szCs w:val="24"/>
                </w:rPr>
              </m:ctrlPr>
            </m:sSubPr>
            <m:e>
              <m:sSub>
                <m:sSubPr>
                  <m:ctrlPr>
                    <w:rPr>
                      <w:rFonts w:ascii="Cambria Math" w:eastAsia="Cambria Math" w:hAnsi="Cambria Math" w:cs="Cambria Math"/>
                      <w:color w:val="000000"/>
                      <w:sz w:val="24"/>
                      <w:szCs w:val="24"/>
                    </w:rPr>
                  </m:ctrlPr>
                </m:sSubPr>
                <m:e>
                  <m:r>
                    <w:rPr>
                      <w:rFonts w:ascii="Cambria Math" w:eastAsia="Cambria Math" w:hAnsi="Cambria Math" w:cs="Cambria Math"/>
                      <w:color w:val="000000"/>
                      <w:sz w:val="24"/>
                      <w:szCs w:val="24"/>
                    </w:rPr>
                    <m:t>λ</m:t>
                  </m:r>
                </m:e>
                <m:sub>
                  <m:r>
                    <w:rPr>
                      <w:rFonts w:ascii="Cambria Math" w:eastAsia="Cambria Math" w:hAnsi="Cambria Math" w:cs="Cambria Math"/>
                      <w:color w:val="000000"/>
                      <w:sz w:val="24"/>
                      <w:szCs w:val="24"/>
                    </w:rPr>
                    <m:t>2</m:t>
                  </m:r>
                </m:sub>
              </m:sSub>
              <m:r>
                <w:rPr>
                  <w:rFonts w:ascii="Cambria Math" w:eastAsia="Cambria Math" w:hAnsi="Cambria Math" w:cs="Cambria Math"/>
                  <w:color w:val="000000"/>
                  <w:sz w:val="24"/>
                  <w:szCs w:val="24"/>
                </w:rPr>
                <m:t>ΔNBD</m:t>
              </m:r>
            </m:e>
            <m:sub>
              <m:r>
                <w:rPr>
                  <w:rFonts w:ascii="Cambria Math" w:eastAsia="Cambria Math" w:hAnsi="Cambria Math" w:cs="Cambria Math"/>
                  <w:color w:val="000000"/>
                  <w:sz w:val="24"/>
                  <w:szCs w:val="24"/>
                </w:rPr>
                <m:t>t</m:t>
              </m:r>
              <m:r>
                <w:rPr>
                  <w:rFonts w:ascii="Times New Roman" w:eastAsia="Times New Roman" w:hAnsi="Times New Roman" w:cs="Times New Roman"/>
                  <w:color w:val="000000"/>
                  <w:sz w:val="24"/>
                  <w:szCs w:val="24"/>
                </w:rPr>
                <m:t>-</m:t>
              </m:r>
              <m:r>
                <w:rPr>
                  <w:rFonts w:ascii="Cambria Math" w:eastAsia="Cambria Math" w:hAnsi="Cambria Math" w:cs="Cambria Math"/>
                  <w:color w:val="000000"/>
                  <w:sz w:val="24"/>
                  <w:szCs w:val="24"/>
                </w:rPr>
                <m:t>1</m:t>
              </m:r>
            </m:sub>
          </m:sSub>
          <m:r>
            <w:rPr>
              <w:rFonts w:ascii="Cambria Math" w:eastAsia="Cambria Math" w:hAnsi="Cambria Math" w:cs="Cambria Math"/>
              <w:color w:val="000000"/>
              <w:sz w:val="24"/>
              <w:szCs w:val="24"/>
            </w:rPr>
            <m:t>+</m:t>
          </m:r>
          <m:sSub>
            <m:sSubPr>
              <m:ctrlPr>
                <w:rPr>
                  <w:rFonts w:ascii="Cambria Math" w:eastAsia="Cambria Math" w:hAnsi="Cambria Math" w:cs="Cambria Math"/>
                  <w:color w:val="000000"/>
                  <w:sz w:val="24"/>
                  <w:szCs w:val="24"/>
                </w:rPr>
              </m:ctrlPr>
            </m:sSubPr>
            <m:e>
              <m:sSub>
                <m:sSubPr>
                  <m:ctrlPr>
                    <w:rPr>
                      <w:rFonts w:ascii="Cambria Math" w:eastAsia="Cambria Math" w:hAnsi="Cambria Math" w:cs="Cambria Math"/>
                      <w:color w:val="000000"/>
                      <w:sz w:val="24"/>
                      <w:szCs w:val="24"/>
                    </w:rPr>
                  </m:ctrlPr>
                </m:sSubPr>
                <m:e>
                  <m:r>
                    <w:rPr>
                      <w:rFonts w:ascii="Cambria Math" w:eastAsia="Cambria Math" w:hAnsi="Cambria Math" w:cs="Cambria Math"/>
                      <w:color w:val="000000"/>
                      <w:sz w:val="24"/>
                      <w:szCs w:val="24"/>
                    </w:rPr>
                    <m:t>λ</m:t>
                  </m:r>
                </m:e>
                <m:sub>
                  <m:r>
                    <w:rPr>
                      <w:rFonts w:ascii="Cambria Math" w:eastAsia="Cambria Math" w:hAnsi="Cambria Math" w:cs="Cambria Math"/>
                      <w:color w:val="000000"/>
                      <w:sz w:val="24"/>
                      <w:szCs w:val="24"/>
                    </w:rPr>
                    <m:t>3</m:t>
                  </m:r>
                </m:sub>
              </m:sSub>
              <m:r>
                <w:rPr>
                  <w:rFonts w:ascii="Cambria Math" w:eastAsia="Cambria Math" w:hAnsi="Cambria Math" w:cs="Cambria Math"/>
                  <w:color w:val="000000"/>
                  <w:sz w:val="24"/>
                  <w:szCs w:val="24"/>
                </w:rPr>
                <m:t>ΔALR</m:t>
              </m:r>
            </m:e>
            <m:sub>
              <m:r>
                <w:rPr>
                  <w:rFonts w:ascii="Cambria Math" w:eastAsia="Cambria Math" w:hAnsi="Cambria Math" w:cs="Cambria Math"/>
                  <w:color w:val="000000"/>
                  <w:sz w:val="24"/>
                  <w:szCs w:val="24"/>
                </w:rPr>
                <m:t>t</m:t>
              </m:r>
              <m:r>
                <w:rPr>
                  <w:rFonts w:ascii="Times New Roman" w:eastAsia="Times New Roman" w:hAnsi="Times New Roman" w:cs="Times New Roman"/>
                  <w:color w:val="000000"/>
                  <w:sz w:val="24"/>
                  <w:szCs w:val="24"/>
                </w:rPr>
                <m:t>-</m:t>
              </m:r>
              <m:r>
                <w:rPr>
                  <w:rFonts w:ascii="Cambria Math" w:eastAsia="Cambria Math" w:hAnsi="Cambria Math" w:cs="Cambria Math"/>
                  <w:color w:val="000000"/>
                  <w:sz w:val="24"/>
                  <w:szCs w:val="24"/>
                </w:rPr>
                <m:t>1</m:t>
              </m:r>
            </m:sub>
          </m:sSub>
          <m:r>
            <w:rPr>
              <w:rFonts w:ascii="Cambria Math" w:eastAsia="Cambria Math" w:hAnsi="Cambria Math" w:cs="Cambria Math"/>
              <w:color w:val="000000"/>
              <w:sz w:val="24"/>
              <w:szCs w:val="24"/>
            </w:rPr>
            <m:t>+</m:t>
          </m:r>
          <m:sSub>
            <m:sSubPr>
              <m:ctrlPr>
                <w:rPr>
                  <w:rFonts w:ascii="Cambria Math" w:eastAsia="Cambria Math" w:hAnsi="Cambria Math" w:cs="Cambria Math"/>
                  <w:color w:val="000000"/>
                  <w:sz w:val="24"/>
                  <w:szCs w:val="24"/>
                </w:rPr>
              </m:ctrlPr>
            </m:sSubPr>
            <m:e>
              <m:r>
                <w:rPr>
                  <w:rFonts w:ascii="Cambria Math" w:eastAsia="Cambria Math" w:hAnsi="Cambria Math" w:cs="Cambria Math"/>
                  <w:color w:val="000000"/>
                  <w:sz w:val="24"/>
                  <w:szCs w:val="24"/>
                </w:rPr>
                <m:t>ε</m:t>
              </m:r>
            </m:e>
            <m:sub>
              <m:r>
                <w:rPr>
                  <w:rFonts w:ascii="Cambria Math" w:eastAsia="Cambria Math" w:hAnsi="Cambria Math" w:cs="Cambria Math"/>
                  <w:color w:val="000000"/>
                  <w:sz w:val="24"/>
                  <w:szCs w:val="24"/>
                </w:rPr>
                <m:t>t</m:t>
              </m:r>
            </m:sub>
          </m:sSub>
          <m:r>
            <w:rPr>
              <w:rFonts w:ascii="Times New Roman" w:eastAsia="Times New Roman" w:hAnsi="Times New Roman" w:cs="Times New Roman"/>
              <w:color w:val="000000"/>
              <w:sz w:val="24"/>
              <w:szCs w:val="24"/>
            </w:rPr>
            <m:t>----------------------</m:t>
          </m:r>
          <m:r>
            <w:rPr>
              <w:rFonts w:ascii="Cambria Math" w:eastAsia="Cambria Math" w:hAnsi="Cambria Math" w:cs="Cambria Math"/>
              <w:color w:val="000000"/>
              <w:sz w:val="24"/>
              <w:szCs w:val="24"/>
            </w:rPr>
            <m:t>(3)</m:t>
          </m:r>
        </m:oMath>
      </m:oMathPara>
    </w:p>
    <w:p w14:paraId="3CAB487B" w14:textId="77777777" w:rsidR="00472922" w:rsidRDefault="00B5152B">
      <w:pPr>
        <w:spacing w:before="28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Where: Δ = First difference operator; GR = Economic growth rate; NBD = New business density; ALR = Literacy Rate; p = Optimal lag length selected using the Akaike Information Criterion (AIC); β</w:t>
      </w:r>
      <w:r>
        <w:rPr>
          <w:rFonts w:ascii="Cambria Math" w:eastAsia="Cambria Math" w:hAnsi="Cambria Math" w:cs="Cambria Math"/>
          <w:color w:val="000000"/>
          <w:sz w:val="24"/>
          <w:szCs w:val="24"/>
        </w:rPr>
        <w:t>₀</w:t>
      </w:r>
      <w:r>
        <w:rPr>
          <w:rFonts w:ascii="Times New Roman" w:eastAsia="Times New Roman" w:hAnsi="Times New Roman" w:cs="Times New Roman"/>
          <w:color w:val="000000"/>
          <w:sz w:val="24"/>
          <w:szCs w:val="24"/>
        </w:rPr>
        <w:t xml:space="preserve"> = Intercept; β</w:t>
      </w:r>
      <w:r>
        <w:rPr>
          <w:rFonts w:ascii="Cambria Math" w:eastAsia="Cambria Math" w:hAnsi="Cambria Math" w:cs="Cambria Math"/>
          <w:color w:val="000000"/>
          <w:sz w:val="24"/>
          <w:szCs w:val="24"/>
        </w:rPr>
        <w:t>₁</w:t>
      </w:r>
      <w:r>
        <w:rPr>
          <w:rFonts w:ascii="Times New Roman" w:eastAsia="Times New Roman" w:hAnsi="Times New Roman" w:cs="Times New Roman"/>
          <w:color w:val="000000"/>
          <w:sz w:val="24"/>
          <w:szCs w:val="24"/>
        </w:rPr>
        <w:t>–β</w:t>
      </w:r>
      <w:r>
        <w:rPr>
          <w:rFonts w:ascii="Cambria Math" w:eastAsia="Cambria Math" w:hAnsi="Cambria Math" w:cs="Cambria Math"/>
          <w:color w:val="000000"/>
          <w:sz w:val="24"/>
          <w:szCs w:val="24"/>
        </w:rPr>
        <w:t>₂</w:t>
      </w:r>
      <w:r>
        <w:rPr>
          <w:rFonts w:ascii="Times New Roman" w:eastAsia="Times New Roman" w:hAnsi="Times New Roman" w:cs="Times New Roman"/>
          <w:color w:val="000000"/>
          <w:sz w:val="24"/>
          <w:szCs w:val="24"/>
        </w:rPr>
        <w:t xml:space="preserve"> = Short-run dynamic coefficients; λ</w:t>
      </w:r>
      <w:r>
        <w:rPr>
          <w:rFonts w:ascii="Cambria Math" w:eastAsia="Cambria Math" w:hAnsi="Cambria Math" w:cs="Cambria Math"/>
          <w:color w:val="000000"/>
          <w:sz w:val="24"/>
          <w:szCs w:val="24"/>
        </w:rPr>
        <w:t>₁</w:t>
      </w:r>
      <w:r>
        <w:rPr>
          <w:rFonts w:ascii="Times New Roman" w:eastAsia="Times New Roman" w:hAnsi="Times New Roman" w:cs="Times New Roman"/>
          <w:color w:val="000000"/>
          <w:sz w:val="24"/>
          <w:szCs w:val="24"/>
        </w:rPr>
        <w:t>–λ</w:t>
      </w:r>
      <w:r>
        <w:rPr>
          <w:rFonts w:ascii="Cambria Math" w:eastAsia="Cambria Math" w:hAnsi="Cambria Math" w:cs="Cambria Math"/>
          <w:color w:val="000000"/>
          <w:sz w:val="24"/>
          <w:szCs w:val="24"/>
        </w:rPr>
        <w:t>₂</w:t>
      </w:r>
      <w:r>
        <w:rPr>
          <w:rFonts w:ascii="Times New Roman" w:eastAsia="Times New Roman" w:hAnsi="Times New Roman" w:cs="Times New Roman"/>
          <w:color w:val="000000"/>
          <w:sz w:val="24"/>
          <w:szCs w:val="24"/>
        </w:rPr>
        <w:t xml:space="preserve"> = Long-run coefficients; and </w:t>
      </w:r>
      <m:oMath>
        <m:sSub>
          <m:sSubPr>
            <m:ctrlPr>
              <w:rPr>
                <w:rFonts w:ascii="Cambria Math" w:eastAsia="Cambria Math" w:hAnsi="Cambria Math" w:cs="Cambria Math"/>
                <w:color w:val="000000"/>
                <w:sz w:val="24"/>
                <w:szCs w:val="24"/>
              </w:rPr>
            </m:ctrlPr>
          </m:sSubPr>
          <m:e>
            <m:r>
              <w:rPr>
                <w:rFonts w:ascii="Cambria Math" w:hAnsi="Cambria Math"/>
              </w:rPr>
              <m:t>ε</m:t>
            </m:r>
          </m:e>
          <m:sub>
            <m:r>
              <w:rPr>
                <w:rFonts w:ascii="Cambria Math" w:eastAsia="Cambria Math" w:hAnsi="Cambria Math" w:cs="Cambria Math"/>
                <w:color w:val="000000"/>
                <w:sz w:val="24"/>
                <w:szCs w:val="24"/>
              </w:rPr>
              <m:t>t</m:t>
            </m:r>
          </m:sub>
        </m:sSub>
      </m:oMath>
      <w:r>
        <w:rPr>
          <w:rFonts w:ascii="Times New Roman" w:eastAsia="Times New Roman" w:hAnsi="Times New Roman" w:cs="Times New Roman"/>
          <w:color w:val="000000"/>
          <w:sz w:val="24"/>
          <w:szCs w:val="24"/>
        </w:rPr>
        <w:t xml:space="preserve"> = White-noise error term.</w:t>
      </w:r>
    </w:p>
    <w:p w14:paraId="12085D92" w14:textId="77777777" w:rsidR="00472922" w:rsidRDefault="00B5152B">
      <w:pPr>
        <w:spacing w:before="28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The stationarity of the variables was tested before estimating the ARDL model by using the Augmented Dickey–Fuller (ADF) unit root test to make sure that no variable was integrated beyond the first order. Next, the ARDL Bounds Cointegration Test was run to check for the long-run equilibrium relationship between new business density and economic growth. The cointegration was confirmed, and the long-run coefficients and the corresponding Error Correction Model (ECM) were estimated. The robustness of the estimated model was also assessed using the following diagnostic tests: Breusch–Godfrey Serial Correlation LM Test, Breusch–Pagan–Godfrey Heteroskedasticity Test, Jarque–Bera Normality Test and Ramsey RESET Specification Test.</w:t>
      </w:r>
    </w:p>
    <w:p w14:paraId="65FA5712" w14:textId="77777777" w:rsidR="00472922" w:rsidRDefault="00B5152B">
      <w:pPr>
        <w:spacing w:before="280" w:after="28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4.0 Results and Discussion</w:t>
      </w:r>
    </w:p>
    <w:p w14:paraId="4FEB2DBF" w14:textId="77777777" w:rsidR="00472922" w:rsidRDefault="00B5152B">
      <w:pPr>
        <w:pBdr>
          <w:top w:val="nil"/>
          <w:left w:val="nil"/>
          <w:bottom w:val="nil"/>
          <w:right w:val="nil"/>
          <w:between w:val="nil"/>
        </w:pBdr>
        <w:spacing w:after="0" w:line="240" w:lineRule="auto"/>
        <w:ind w:right="982" w:firstLine="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Table 1: Descriptive Statistics of the Variables </w:t>
      </w:r>
    </w:p>
    <w:tbl>
      <w:tblPr>
        <w:tblStyle w:val="a"/>
        <w:tblW w:w="9576" w:type="dxa"/>
        <w:tblInd w:w="-115" w:type="dxa"/>
        <w:tblLayout w:type="fixed"/>
        <w:tblLook w:val="0400" w:firstRow="0" w:lastRow="0" w:firstColumn="0" w:lastColumn="0" w:noHBand="0" w:noVBand="1"/>
      </w:tblPr>
      <w:tblGrid>
        <w:gridCol w:w="3078"/>
        <w:gridCol w:w="2323"/>
        <w:gridCol w:w="2294"/>
        <w:gridCol w:w="1881"/>
      </w:tblGrid>
      <w:tr w:rsidR="00472922" w14:paraId="79DCDCDA" w14:textId="77777777">
        <w:trPr>
          <w:cantSplit/>
          <w:trHeight w:val="338"/>
          <w:tblHeader/>
        </w:trPr>
        <w:tc>
          <w:tcPr>
            <w:tcW w:w="3078" w:type="dxa"/>
            <w:tcBorders>
              <w:top w:val="single" w:sz="8" w:space="0" w:color="000000"/>
              <w:left w:val="nil"/>
              <w:bottom w:val="single" w:sz="8" w:space="0" w:color="000000"/>
              <w:right w:val="nil"/>
            </w:tcBorders>
          </w:tcPr>
          <w:p w14:paraId="0C46DAEC" w14:textId="77777777" w:rsidR="00472922" w:rsidRDefault="00B5152B">
            <w:pPr>
              <w:pBdr>
                <w:top w:val="nil"/>
                <w:left w:val="nil"/>
                <w:bottom w:val="nil"/>
                <w:right w:val="nil"/>
                <w:between w:val="nil"/>
              </w:pBdr>
              <w:spacing w:after="0" w:line="240" w:lineRule="auto"/>
              <w:ind w:right="10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2323" w:type="dxa"/>
            <w:tcBorders>
              <w:top w:val="single" w:sz="8" w:space="0" w:color="000000"/>
              <w:left w:val="nil"/>
              <w:bottom w:val="single" w:sz="8" w:space="0" w:color="000000"/>
              <w:right w:val="nil"/>
            </w:tcBorders>
          </w:tcPr>
          <w:p w14:paraId="15493DBE" w14:textId="77777777" w:rsidR="00472922" w:rsidRDefault="00B5152B">
            <w:pPr>
              <w:pBdr>
                <w:top w:val="nil"/>
                <w:left w:val="nil"/>
                <w:bottom w:val="nil"/>
                <w:right w:val="nil"/>
                <w:between w:val="nil"/>
              </w:pBdr>
              <w:spacing w:after="0" w:line="240" w:lineRule="auto"/>
              <w:ind w:left="32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GR </w:t>
            </w:r>
          </w:p>
        </w:tc>
        <w:tc>
          <w:tcPr>
            <w:tcW w:w="2294" w:type="dxa"/>
            <w:tcBorders>
              <w:top w:val="single" w:sz="8" w:space="0" w:color="000000"/>
              <w:left w:val="nil"/>
              <w:bottom w:val="single" w:sz="8" w:space="0" w:color="000000"/>
              <w:right w:val="nil"/>
            </w:tcBorders>
          </w:tcPr>
          <w:p w14:paraId="35D269BB" w14:textId="77777777" w:rsidR="00472922" w:rsidRDefault="00B5152B">
            <w:pPr>
              <w:pBdr>
                <w:top w:val="nil"/>
                <w:left w:val="nil"/>
                <w:bottom w:val="nil"/>
                <w:right w:val="nil"/>
                <w:between w:val="nil"/>
              </w:pBdr>
              <w:spacing w:after="0" w:line="240" w:lineRule="auto"/>
              <w:ind w:left="22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NBD </w:t>
            </w:r>
          </w:p>
        </w:tc>
        <w:tc>
          <w:tcPr>
            <w:tcW w:w="1881" w:type="dxa"/>
            <w:tcBorders>
              <w:top w:val="single" w:sz="8" w:space="0" w:color="000000"/>
              <w:left w:val="nil"/>
              <w:bottom w:val="single" w:sz="8" w:space="0" w:color="000000"/>
              <w:right w:val="nil"/>
            </w:tcBorders>
          </w:tcPr>
          <w:p w14:paraId="642EFE41" w14:textId="77777777" w:rsidR="00472922" w:rsidRDefault="00B5152B">
            <w:pPr>
              <w:pBdr>
                <w:top w:val="nil"/>
                <w:left w:val="nil"/>
                <w:bottom w:val="nil"/>
                <w:right w:val="nil"/>
                <w:between w:val="nil"/>
              </w:pBdr>
              <w:spacing w:after="0" w:line="240" w:lineRule="auto"/>
              <w:ind w:left="24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ALR </w:t>
            </w:r>
          </w:p>
        </w:tc>
      </w:tr>
      <w:tr w:rsidR="00472922" w14:paraId="1DB4B28D" w14:textId="77777777">
        <w:trPr>
          <w:cantSplit/>
          <w:trHeight w:val="329"/>
          <w:tblHeader/>
        </w:trPr>
        <w:tc>
          <w:tcPr>
            <w:tcW w:w="3078" w:type="dxa"/>
            <w:tcBorders>
              <w:top w:val="single" w:sz="8" w:space="0" w:color="000000"/>
              <w:left w:val="nil"/>
              <w:bottom w:val="nil"/>
              <w:right w:val="nil"/>
            </w:tcBorders>
          </w:tcPr>
          <w:p w14:paraId="29117DD9" w14:textId="77777777" w:rsidR="00472922" w:rsidRDefault="00B5152B">
            <w:pPr>
              <w:pBdr>
                <w:top w:val="nil"/>
                <w:left w:val="nil"/>
                <w:bottom w:val="nil"/>
                <w:right w:val="nil"/>
                <w:between w:val="nil"/>
              </w:pBdr>
              <w:spacing w:after="0" w:line="240" w:lineRule="auto"/>
              <w:ind w:left="1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Mean </w:t>
            </w:r>
          </w:p>
        </w:tc>
        <w:tc>
          <w:tcPr>
            <w:tcW w:w="2323" w:type="dxa"/>
            <w:tcBorders>
              <w:top w:val="single" w:sz="8" w:space="0" w:color="000000"/>
              <w:left w:val="nil"/>
              <w:bottom w:val="nil"/>
              <w:right w:val="nil"/>
            </w:tcBorders>
          </w:tcPr>
          <w:p w14:paraId="1F15C1FB" w14:textId="77777777" w:rsidR="00472922" w:rsidRDefault="00B5152B">
            <w:pPr>
              <w:pBdr>
                <w:top w:val="nil"/>
                <w:left w:val="nil"/>
                <w:bottom w:val="nil"/>
                <w:right w:val="nil"/>
                <w:between w:val="nil"/>
              </w:pBdr>
              <w:spacing w:after="0" w:line="240" w:lineRule="auto"/>
              <w:ind w:left="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5.304762 </w:t>
            </w:r>
          </w:p>
        </w:tc>
        <w:tc>
          <w:tcPr>
            <w:tcW w:w="2294" w:type="dxa"/>
            <w:tcBorders>
              <w:top w:val="single" w:sz="8" w:space="0" w:color="000000"/>
              <w:left w:val="nil"/>
              <w:bottom w:val="nil"/>
              <w:right w:val="nil"/>
            </w:tcBorders>
          </w:tcPr>
          <w:p w14:paraId="20BF6CFD" w14:textId="77777777" w:rsidR="00472922" w:rsidRDefault="00B5152B">
            <w:pPr>
              <w:pBdr>
                <w:top w:val="nil"/>
                <w:left w:val="nil"/>
                <w:bottom w:val="nil"/>
                <w:right w:val="nil"/>
                <w:between w:val="nil"/>
              </w:pBdr>
              <w:spacing w:after="0" w:line="240" w:lineRule="auto"/>
              <w:ind w:left="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0.774667 </w:t>
            </w:r>
          </w:p>
        </w:tc>
        <w:tc>
          <w:tcPr>
            <w:tcW w:w="1881" w:type="dxa"/>
            <w:tcBorders>
              <w:top w:val="single" w:sz="8" w:space="0" w:color="000000"/>
              <w:left w:val="nil"/>
              <w:bottom w:val="nil"/>
              <w:right w:val="nil"/>
            </w:tcBorders>
          </w:tcPr>
          <w:p w14:paraId="6AC4DF3A" w14:textId="77777777" w:rsidR="00472922" w:rsidRDefault="00B5152B">
            <w:pPr>
              <w:pBdr>
                <w:top w:val="nil"/>
                <w:left w:val="nil"/>
                <w:bottom w:val="nil"/>
                <w:right w:val="nil"/>
                <w:between w:val="nil"/>
              </w:pBdr>
              <w:spacing w:after="0" w:line="240" w:lineRule="auto"/>
              <w:ind w:left="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91.36721 </w:t>
            </w:r>
          </w:p>
        </w:tc>
      </w:tr>
      <w:tr w:rsidR="00472922" w14:paraId="5E6E3EF6" w14:textId="77777777">
        <w:trPr>
          <w:cantSplit/>
          <w:trHeight w:val="317"/>
          <w:tblHeader/>
        </w:trPr>
        <w:tc>
          <w:tcPr>
            <w:tcW w:w="3078" w:type="dxa"/>
            <w:tcBorders>
              <w:top w:val="nil"/>
              <w:left w:val="nil"/>
              <w:bottom w:val="nil"/>
              <w:right w:val="nil"/>
            </w:tcBorders>
          </w:tcPr>
          <w:p w14:paraId="38329614" w14:textId="77777777" w:rsidR="00472922" w:rsidRDefault="00B5152B">
            <w:pPr>
              <w:pBdr>
                <w:top w:val="nil"/>
                <w:left w:val="nil"/>
                <w:bottom w:val="nil"/>
                <w:right w:val="nil"/>
                <w:between w:val="nil"/>
              </w:pBdr>
              <w:spacing w:after="0" w:line="240" w:lineRule="auto"/>
              <w:ind w:left="1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Median </w:t>
            </w:r>
          </w:p>
        </w:tc>
        <w:tc>
          <w:tcPr>
            <w:tcW w:w="2323" w:type="dxa"/>
            <w:tcBorders>
              <w:top w:val="nil"/>
              <w:left w:val="nil"/>
              <w:bottom w:val="nil"/>
              <w:right w:val="nil"/>
            </w:tcBorders>
          </w:tcPr>
          <w:p w14:paraId="07B4425A" w14:textId="77777777" w:rsidR="00472922" w:rsidRDefault="00B5152B">
            <w:pPr>
              <w:pBdr>
                <w:top w:val="nil"/>
                <w:left w:val="nil"/>
                <w:bottom w:val="nil"/>
                <w:right w:val="nil"/>
                <w:between w:val="nil"/>
              </w:pBdr>
              <w:spacing w:after="0" w:line="240" w:lineRule="auto"/>
              <w:ind w:left="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6.100000 </w:t>
            </w:r>
          </w:p>
        </w:tc>
        <w:tc>
          <w:tcPr>
            <w:tcW w:w="2294" w:type="dxa"/>
            <w:tcBorders>
              <w:top w:val="nil"/>
              <w:left w:val="nil"/>
              <w:bottom w:val="nil"/>
              <w:right w:val="nil"/>
            </w:tcBorders>
          </w:tcPr>
          <w:p w14:paraId="29623C4E" w14:textId="77777777" w:rsidR="00472922" w:rsidRDefault="00B5152B">
            <w:pPr>
              <w:pBdr>
                <w:top w:val="nil"/>
                <w:left w:val="nil"/>
                <w:bottom w:val="nil"/>
                <w:right w:val="nil"/>
                <w:between w:val="nil"/>
              </w:pBdr>
              <w:spacing w:after="0" w:line="240" w:lineRule="auto"/>
              <w:ind w:left="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0.800000 </w:t>
            </w:r>
          </w:p>
        </w:tc>
        <w:tc>
          <w:tcPr>
            <w:tcW w:w="1881" w:type="dxa"/>
            <w:tcBorders>
              <w:top w:val="nil"/>
              <w:left w:val="nil"/>
              <w:bottom w:val="nil"/>
              <w:right w:val="nil"/>
            </w:tcBorders>
          </w:tcPr>
          <w:p w14:paraId="38B04C5C" w14:textId="77777777" w:rsidR="00472922" w:rsidRDefault="00B5152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92.92560 </w:t>
            </w:r>
          </w:p>
        </w:tc>
      </w:tr>
      <w:tr w:rsidR="00472922" w14:paraId="20D2AE69" w14:textId="77777777">
        <w:trPr>
          <w:cantSplit/>
          <w:trHeight w:val="318"/>
          <w:tblHeader/>
        </w:trPr>
        <w:tc>
          <w:tcPr>
            <w:tcW w:w="3078" w:type="dxa"/>
            <w:tcBorders>
              <w:top w:val="nil"/>
              <w:left w:val="nil"/>
              <w:bottom w:val="nil"/>
              <w:right w:val="nil"/>
            </w:tcBorders>
          </w:tcPr>
          <w:p w14:paraId="46723F87" w14:textId="77777777" w:rsidR="00472922" w:rsidRDefault="00B5152B">
            <w:pPr>
              <w:pBdr>
                <w:top w:val="nil"/>
                <w:left w:val="nil"/>
                <w:bottom w:val="nil"/>
                <w:right w:val="nil"/>
                <w:between w:val="nil"/>
              </w:pBdr>
              <w:spacing w:after="0" w:line="240" w:lineRule="auto"/>
              <w:ind w:left="1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Maximum </w:t>
            </w:r>
          </w:p>
        </w:tc>
        <w:tc>
          <w:tcPr>
            <w:tcW w:w="2323" w:type="dxa"/>
            <w:tcBorders>
              <w:top w:val="nil"/>
              <w:left w:val="nil"/>
              <w:bottom w:val="nil"/>
              <w:right w:val="nil"/>
            </w:tcBorders>
          </w:tcPr>
          <w:p w14:paraId="27FC07EB" w14:textId="77777777" w:rsidR="00472922" w:rsidRDefault="00B5152B">
            <w:pPr>
              <w:pBdr>
                <w:top w:val="nil"/>
                <w:left w:val="nil"/>
                <w:bottom w:val="nil"/>
                <w:right w:val="nil"/>
                <w:between w:val="nil"/>
              </w:pBdr>
              <w:spacing w:after="0" w:line="240" w:lineRule="auto"/>
              <w:ind w:left="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15.30000 </w:t>
            </w:r>
          </w:p>
        </w:tc>
        <w:tc>
          <w:tcPr>
            <w:tcW w:w="2294" w:type="dxa"/>
            <w:tcBorders>
              <w:top w:val="nil"/>
              <w:left w:val="nil"/>
              <w:bottom w:val="nil"/>
              <w:right w:val="nil"/>
            </w:tcBorders>
          </w:tcPr>
          <w:p w14:paraId="0AC88F1A" w14:textId="77777777" w:rsidR="00472922" w:rsidRDefault="00B5152B">
            <w:pPr>
              <w:pBdr>
                <w:top w:val="nil"/>
                <w:left w:val="nil"/>
                <w:bottom w:val="nil"/>
                <w:right w:val="nil"/>
                <w:between w:val="nil"/>
              </w:pBdr>
              <w:spacing w:after="0" w:line="240" w:lineRule="auto"/>
              <w:ind w:left="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0.910000 </w:t>
            </w:r>
          </w:p>
        </w:tc>
        <w:tc>
          <w:tcPr>
            <w:tcW w:w="1881" w:type="dxa"/>
            <w:tcBorders>
              <w:top w:val="nil"/>
              <w:left w:val="nil"/>
              <w:bottom w:val="nil"/>
              <w:right w:val="nil"/>
            </w:tcBorders>
          </w:tcPr>
          <w:p w14:paraId="4B268BEC" w14:textId="77777777" w:rsidR="00472922" w:rsidRDefault="00B5152B">
            <w:pPr>
              <w:pBdr>
                <w:top w:val="nil"/>
                <w:left w:val="nil"/>
                <w:bottom w:val="nil"/>
                <w:right w:val="nil"/>
                <w:between w:val="nil"/>
              </w:pBdr>
              <w:spacing w:after="0" w:line="240" w:lineRule="auto"/>
              <w:ind w:left="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95.37991 </w:t>
            </w:r>
          </w:p>
        </w:tc>
      </w:tr>
      <w:tr w:rsidR="00472922" w14:paraId="15E2724C" w14:textId="77777777">
        <w:trPr>
          <w:cantSplit/>
          <w:trHeight w:val="318"/>
          <w:tblHeader/>
        </w:trPr>
        <w:tc>
          <w:tcPr>
            <w:tcW w:w="3078" w:type="dxa"/>
            <w:tcBorders>
              <w:top w:val="nil"/>
              <w:left w:val="nil"/>
              <w:bottom w:val="nil"/>
              <w:right w:val="nil"/>
            </w:tcBorders>
          </w:tcPr>
          <w:p w14:paraId="4D79A52C" w14:textId="77777777" w:rsidR="00472922" w:rsidRDefault="00B5152B">
            <w:pPr>
              <w:pBdr>
                <w:top w:val="nil"/>
                <w:left w:val="nil"/>
                <w:bottom w:val="nil"/>
                <w:right w:val="nil"/>
                <w:between w:val="nil"/>
              </w:pBdr>
              <w:spacing w:after="0" w:line="240" w:lineRule="auto"/>
              <w:ind w:left="1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Minimum </w:t>
            </w:r>
          </w:p>
        </w:tc>
        <w:tc>
          <w:tcPr>
            <w:tcW w:w="2323" w:type="dxa"/>
            <w:tcBorders>
              <w:top w:val="nil"/>
              <w:left w:val="nil"/>
              <w:bottom w:val="nil"/>
              <w:right w:val="nil"/>
            </w:tcBorders>
          </w:tcPr>
          <w:p w14:paraId="4EC25735" w14:textId="77777777" w:rsidR="00472922" w:rsidRDefault="00B5152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-1.800000 </w:t>
            </w:r>
          </w:p>
        </w:tc>
        <w:tc>
          <w:tcPr>
            <w:tcW w:w="2294" w:type="dxa"/>
            <w:tcBorders>
              <w:top w:val="nil"/>
              <w:left w:val="nil"/>
              <w:bottom w:val="nil"/>
              <w:right w:val="nil"/>
            </w:tcBorders>
          </w:tcPr>
          <w:p w14:paraId="10987E5F" w14:textId="77777777" w:rsidR="00472922" w:rsidRDefault="00B5152B">
            <w:pPr>
              <w:pBdr>
                <w:top w:val="nil"/>
                <w:left w:val="nil"/>
                <w:bottom w:val="nil"/>
                <w:right w:val="nil"/>
                <w:between w:val="nil"/>
              </w:pBdr>
              <w:spacing w:after="0" w:line="240" w:lineRule="auto"/>
              <w:ind w:left="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0.500000 </w:t>
            </w:r>
          </w:p>
        </w:tc>
        <w:tc>
          <w:tcPr>
            <w:tcW w:w="1881" w:type="dxa"/>
            <w:tcBorders>
              <w:top w:val="nil"/>
              <w:left w:val="nil"/>
              <w:bottom w:val="nil"/>
              <w:right w:val="nil"/>
            </w:tcBorders>
          </w:tcPr>
          <w:p w14:paraId="4534CE7D" w14:textId="77777777" w:rsidR="00472922" w:rsidRDefault="00B5152B">
            <w:pPr>
              <w:pBdr>
                <w:top w:val="nil"/>
                <w:left w:val="nil"/>
                <w:bottom w:val="nil"/>
                <w:right w:val="nil"/>
                <w:between w:val="nil"/>
              </w:pBdr>
              <w:spacing w:after="0" w:line="240" w:lineRule="auto"/>
              <w:ind w:left="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76.76000 </w:t>
            </w:r>
          </w:p>
        </w:tc>
      </w:tr>
      <w:tr w:rsidR="00472922" w14:paraId="21CE9034" w14:textId="77777777">
        <w:trPr>
          <w:cantSplit/>
          <w:trHeight w:val="317"/>
          <w:tblHeader/>
        </w:trPr>
        <w:tc>
          <w:tcPr>
            <w:tcW w:w="3078" w:type="dxa"/>
            <w:tcBorders>
              <w:top w:val="nil"/>
              <w:left w:val="nil"/>
              <w:bottom w:val="nil"/>
              <w:right w:val="nil"/>
            </w:tcBorders>
          </w:tcPr>
          <w:p w14:paraId="2B477BC4" w14:textId="77777777" w:rsidR="00472922" w:rsidRDefault="00B5152B">
            <w:pPr>
              <w:pBdr>
                <w:top w:val="nil"/>
                <w:left w:val="nil"/>
                <w:bottom w:val="nil"/>
                <w:right w:val="nil"/>
                <w:between w:val="nil"/>
              </w:pBdr>
              <w:spacing w:after="0" w:line="240" w:lineRule="auto"/>
              <w:ind w:left="1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Std. Dev. </w:t>
            </w:r>
          </w:p>
        </w:tc>
        <w:tc>
          <w:tcPr>
            <w:tcW w:w="2323" w:type="dxa"/>
            <w:tcBorders>
              <w:top w:val="nil"/>
              <w:left w:val="nil"/>
              <w:bottom w:val="nil"/>
              <w:right w:val="nil"/>
            </w:tcBorders>
          </w:tcPr>
          <w:p w14:paraId="7063E3D8" w14:textId="77777777" w:rsidR="00472922" w:rsidRDefault="00B5152B">
            <w:pPr>
              <w:pBdr>
                <w:top w:val="nil"/>
                <w:left w:val="nil"/>
                <w:bottom w:val="nil"/>
                <w:right w:val="nil"/>
                <w:between w:val="nil"/>
              </w:pBdr>
              <w:spacing w:after="0" w:line="240" w:lineRule="auto"/>
              <w:ind w:left="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3.815688 </w:t>
            </w:r>
          </w:p>
        </w:tc>
        <w:tc>
          <w:tcPr>
            <w:tcW w:w="2294" w:type="dxa"/>
            <w:tcBorders>
              <w:top w:val="nil"/>
              <w:left w:val="nil"/>
              <w:bottom w:val="nil"/>
              <w:right w:val="nil"/>
            </w:tcBorders>
          </w:tcPr>
          <w:p w14:paraId="4328C6E9" w14:textId="77777777" w:rsidR="00472922" w:rsidRDefault="00B5152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0.104394 </w:t>
            </w:r>
          </w:p>
        </w:tc>
        <w:tc>
          <w:tcPr>
            <w:tcW w:w="1881" w:type="dxa"/>
            <w:tcBorders>
              <w:top w:val="nil"/>
              <w:left w:val="nil"/>
              <w:bottom w:val="nil"/>
              <w:right w:val="nil"/>
            </w:tcBorders>
          </w:tcPr>
          <w:p w14:paraId="0E63B2C9" w14:textId="77777777" w:rsidR="00472922" w:rsidRDefault="00B5152B">
            <w:pPr>
              <w:pBdr>
                <w:top w:val="nil"/>
                <w:left w:val="nil"/>
                <w:bottom w:val="nil"/>
                <w:right w:val="nil"/>
                <w:between w:val="nil"/>
              </w:pBdr>
              <w:spacing w:after="0" w:line="240" w:lineRule="auto"/>
              <w:ind w:left="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4.992210 </w:t>
            </w:r>
          </w:p>
        </w:tc>
      </w:tr>
      <w:tr w:rsidR="00472922" w14:paraId="0B5616D9" w14:textId="77777777">
        <w:trPr>
          <w:cantSplit/>
          <w:trHeight w:val="326"/>
          <w:tblHeader/>
        </w:trPr>
        <w:tc>
          <w:tcPr>
            <w:tcW w:w="3078" w:type="dxa"/>
            <w:tcBorders>
              <w:top w:val="nil"/>
              <w:left w:val="nil"/>
              <w:bottom w:val="single" w:sz="8" w:space="0" w:color="000000"/>
              <w:right w:val="nil"/>
            </w:tcBorders>
          </w:tcPr>
          <w:p w14:paraId="0C7EE3CD" w14:textId="77777777" w:rsidR="00472922" w:rsidRDefault="00B5152B">
            <w:pPr>
              <w:pBdr>
                <w:top w:val="nil"/>
                <w:left w:val="nil"/>
                <w:bottom w:val="nil"/>
                <w:right w:val="nil"/>
                <w:between w:val="nil"/>
              </w:pBdr>
              <w:spacing w:after="0" w:line="240" w:lineRule="auto"/>
              <w:ind w:left="1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Observations </w:t>
            </w:r>
          </w:p>
        </w:tc>
        <w:tc>
          <w:tcPr>
            <w:tcW w:w="2323" w:type="dxa"/>
            <w:tcBorders>
              <w:top w:val="nil"/>
              <w:left w:val="nil"/>
              <w:bottom w:val="single" w:sz="8" w:space="0" w:color="000000"/>
              <w:right w:val="nil"/>
            </w:tcBorders>
          </w:tcPr>
          <w:p w14:paraId="7AF5D8D4" w14:textId="77777777" w:rsidR="00472922" w:rsidRDefault="00B5152B">
            <w:pPr>
              <w:pBdr>
                <w:top w:val="nil"/>
                <w:left w:val="nil"/>
                <w:bottom w:val="nil"/>
                <w:right w:val="nil"/>
                <w:between w:val="nil"/>
              </w:pBdr>
              <w:spacing w:after="0" w:line="240" w:lineRule="auto"/>
              <w:ind w:left="33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21 </w:t>
            </w:r>
          </w:p>
        </w:tc>
        <w:tc>
          <w:tcPr>
            <w:tcW w:w="2294" w:type="dxa"/>
            <w:tcBorders>
              <w:top w:val="nil"/>
              <w:left w:val="nil"/>
              <w:bottom w:val="single" w:sz="8" w:space="0" w:color="000000"/>
              <w:right w:val="nil"/>
            </w:tcBorders>
          </w:tcPr>
          <w:p w14:paraId="448C4769" w14:textId="77777777" w:rsidR="00472922" w:rsidRDefault="00B5152B">
            <w:pPr>
              <w:pBdr>
                <w:top w:val="nil"/>
                <w:left w:val="nil"/>
                <w:bottom w:val="nil"/>
                <w:right w:val="nil"/>
                <w:between w:val="nil"/>
              </w:pBdr>
              <w:spacing w:after="0" w:line="240" w:lineRule="auto"/>
              <w:ind w:left="33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15 </w:t>
            </w:r>
          </w:p>
        </w:tc>
        <w:tc>
          <w:tcPr>
            <w:tcW w:w="1881" w:type="dxa"/>
            <w:tcBorders>
              <w:top w:val="nil"/>
              <w:left w:val="nil"/>
              <w:bottom w:val="single" w:sz="8" w:space="0" w:color="000000"/>
              <w:right w:val="nil"/>
            </w:tcBorders>
          </w:tcPr>
          <w:p w14:paraId="549C4D80" w14:textId="77777777" w:rsidR="00472922" w:rsidRDefault="00B5152B">
            <w:pPr>
              <w:pBdr>
                <w:top w:val="nil"/>
                <w:left w:val="nil"/>
                <w:bottom w:val="nil"/>
                <w:right w:val="nil"/>
                <w:between w:val="nil"/>
              </w:pBdr>
              <w:spacing w:after="0" w:line="240" w:lineRule="auto"/>
              <w:ind w:left="3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21 </w:t>
            </w:r>
          </w:p>
        </w:tc>
      </w:tr>
    </w:tbl>
    <w:p w14:paraId="00B7332A" w14:textId="77777777" w:rsidR="00472922" w:rsidRDefault="00B5152B">
      <w:pPr>
        <w:spacing w:after="0" w:line="480" w:lineRule="auto"/>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Source: Author’s computation from EViews 10 (2026)</w:t>
      </w:r>
    </w:p>
    <w:p w14:paraId="0F328BCE" w14:textId="77777777" w:rsidR="00472922" w:rsidRDefault="00000000">
      <w:pPr>
        <w:spacing w:before="280" w:after="280" w:line="360" w:lineRule="auto"/>
        <w:jc w:val="both"/>
        <w:rPr>
          <w:rFonts w:ascii="Times New Roman" w:eastAsia="Times New Roman" w:hAnsi="Times New Roman" w:cs="Times New Roman"/>
          <w:color w:val="000000"/>
          <w:sz w:val="24"/>
          <w:szCs w:val="24"/>
        </w:rPr>
      </w:pPr>
      <w:sdt>
        <w:sdtPr>
          <w:tag w:val="goog_rdk_0"/>
          <w:id w:val="-864489357"/>
        </w:sdtPr>
        <w:sdtContent>
          <w:r w:rsidR="00B5152B">
            <w:rPr>
              <w:rFonts w:ascii="Gungsuh" w:eastAsia="Gungsuh" w:hAnsi="Gungsuh" w:cs="Gungsuh"/>
              <w:color w:val="000000"/>
              <w:sz w:val="24"/>
              <w:szCs w:val="24"/>
            </w:rPr>
            <w:t xml:space="preserve">The findings in Table 1 revealed that the economic growth rate (GR) of Nigeria during the study period ranged from a maximum of 15.30% to a </w:t>
          </w:r>
          <w:r w:rsidR="00B5152B">
            <w:rPr>
              <w:rFonts w:ascii="Gungsuh" w:eastAsia="Gungsuh" w:hAnsi="Gungsuh" w:cs="Gungsuh"/>
              <w:color w:val="000000"/>
              <w:sz w:val="24"/>
              <w:szCs w:val="24"/>
            </w:rPr>
            <w:lastRenderedPageBreak/>
            <w:t>minimum of −1.80% with an average of 5.30%, showing a high level of macroeconomic volatility caused by internal and external shocks. The economic growth was also relatively unstable, further suggested by a high standard deviation of 3.82. The mean value for new business density (NBD) was 0.77 newly registered businesses per 1,000 working-age population, ranging from 0.50 to 0.91, and had a relatively low standard deviation of 0.10, which means that the level of business registration was relatively stable despite the fluctuations experienced in economic performance. The mean literacy rate (ALR) was 91.37% (ranging from 76.76% to 95.38%) and had a standard deviation of 4.99, indicating slight improvements in human capital development over the period. The descriptive statistics show that there was an adequate variation in the variables for econometric estimation and that entrepreneurship and literacy were fairly steady over the years while the economic level continued with some economic volatility. After the descriptive analysis, a stationarity test was performed as illustrated in Table 2.</w:t>
          </w:r>
        </w:sdtContent>
      </w:sdt>
    </w:p>
    <w:p w14:paraId="212A247F" w14:textId="77777777" w:rsidR="00472922" w:rsidRDefault="00B5152B">
      <w:pPr>
        <w:pBdr>
          <w:top w:val="nil"/>
          <w:left w:val="nil"/>
          <w:bottom w:val="nil"/>
          <w:right w:val="nil"/>
          <w:between w:val="nil"/>
        </w:pBdr>
        <w:spacing w:after="0" w:line="265" w:lineRule="auto"/>
        <w:ind w:right="982" w:firstLine="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Table 2: Results of Augmented Dickey Fuller unit root test </w:t>
      </w:r>
    </w:p>
    <w:tbl>
      <w:tblPr>
        <w:tblStyle w:val="a0"/>
        <w:tblW w:w="9576" w:type="dxa"/>
        <w:tblInd w:w="-115" w:type="dxa"/>
        <w:tblBorders>
          <w:top w:val="single" w:sz="8" w:space="0" w:color="000000"/>
          <w:bottom w:val="single" w:sz="8" w:space="0" w:color="000000"/>
        </w:tblBorders>
        <w:tblLayout w:type="fixed"/>
        <w:tblLook w:val="0600" w:firstRow="0" w:lastRow="0" w:firstColumn="0" w:lastColumn="0" w:noHBand="1" w:noVBand="1"/>
      </w:tblPr>
      <w:tblGrid>
        <w:gridCol w:w="1641"/>
        <w:gridCol w:w="1366"/>
        <w:gridCol w:w="1287"/>
        <w:gridCol w:w="1427"/>
        <w:gridCol w:w="1297"/>
        <w:gridCol w:w="1320"/>
        <w:gridCol w:w="1238"/>
      </w:tblGrid>
      <w:tr w:rsidR="00472922" w14:paraId="3FEA4521" w14:textId="77777777">
        <w:trPr>
          <w:trHeight w:val="269"/>
        </w:trPr>
        <w:tc>
          <w:tcPr>
            <w:tcW w:w="1641" w:type="dxa"/>
            <w:tcBorders>
              <w:top w:val="single" w:sz="8" w:space="0" w:color="000000"/>
              <w:left w:val="nil"/>
              <w:bottom w:val="single" w:sz="8" w:space="0" w:color="000000"/>
              <w:right w:val="nil"/>
            </w:tcBorders>
          </w:tcPr>
          <w:p w14:paraId="68C6E620" w14:textId="77777777" w:rsidR="00472922" w:rsidRDefault="00B5152B">
            <w:pPr>
              <w:pBdr>
                <w:top w:val="nil"/>
                <w:left w:val="nil"/>
                <w:bottom w:val="nil"/>
                <w:right w:val="nil"/>
                <w:between w:val="nil"/>
              </w:pBdr>
              <w:spacing w:after="195"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Variable</w:t>
            </w:r>
          </w:p>
        </w:tc>
        <w:tc>
          <w:tcPr>
            <w:tcW w:w="1366" w:type="dxa"/>
            <w:tcBorders>
              <w:top w:val="single" w:sz="8" w:space="0" w:color="000000"/>
              <w:left w:val="nil"/>
              <w:bottom w:val="single" w:sz="8" w:space="0" w:color="000000"/>
              <w:right w:val="nil"/>
            </w:tcBorders>
          </w:tcPr>
          <w:p w14:paraId="317754D9" w14:textId="77777777" w:rsidR="00472922" w:rsidRDefault="00B5152B">
            <w:pPr>
              <w:pBdr>
                <w:top w:val="nil"/>
                <w:left w:val="nil"/>
                <w:bottom w:val="nil"/>
                <w:right w:val="nil"/>
                <w:between w:val="nil"/>
              </w:pBdr>
              <w:spacing w:after="195" w:line="240" w:lineRule="auto"/>
              <w:ind w:left="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Level</w:t>
            </w:r>
          </w:p>
        </w:tc>
        <w:tc>
          <w:tcPr>
            <w:tcW w:w="1287" w:type="dxa"/>
            <w:tcBorders>
              <w:top w:val="single" w:sz="8" w:space="0" w:color="000000"/>
              <w:left w:val="nil"/>
              <w:bottom w:val="single" w:sz="8" w:space="0" w:color="000000"/>
              <w:right w:val="nil"/>
            </w:tcBorders>
          </w:tcPr>
          <w:p w14:paraId="49FEC453" w14:textId="77777777" w:rsidR="00472922" w:rsidRDefault="00B5152B">
            <w:pPr>
              <w:pBdr>
                <w:top w:val="nil"/>
                <w:left w:val="nil"/>
                <w:bottom w:val="nil"/>
                <w:right w:val="nil"/>
                <w:between w:val="nil"/>
              </w:pBdr>
              <w:spacing w:after="195"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ADF critical value</w:t>
            </w:r>
          </w:p>
        </w:tc>
        <w:tc>
          <w:tcPr>
            <w:tcW w:w="1427" w:type="dxa"/>
            <w:tcBorders>
              <w:top w:val="single" w:sz="8" w:space="0" w:color="000000"/>
              <w:left w:val="nil"/>
              <w:bottom w:val="single" w:sz="8" w:space="0" w:color="000000"/>
              <w:right w:val="nil"/>
            </w:tcBorders>
          </w:tcPr>
          <w:p w14:paraId="4DBE8688" w14:textId="77777777" w:rsidR="00472922" w:rsidRDefault="00B5152B">
            <w:pPr>
              <w:pBdr>
                <w:top w:val="nil"/>
                <w:left w:val="nil"/>
                <w:bottom w:val="nil"/>
                <w:right w:val="nil"/>
                <w:between w:val="nil"/>
              </w:pBdr>
              <w:spacing w:after="195" w:line="240" w:lineRule="auto"/>
              <w:ind w:left="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vertAlign w:val="superscript"/>
              </w:rPr>
              <w:t>st</w:t>
            </w:r>
            <w:r>
              <w:rPr>
                <w:rFonts w:ascii="Times New Roman" w:eastAsia="Times New Roman" w:hAnsi="Times New Roman" w:cs="Times New Roman"/>
                <w:color w:val="000000"/>
                <w:sz w:val="24"/>
                <w:szCs w:val="24"/>
              </w:rPr>
              <w:t xml:space="preserve"> difference </w:t>
            </w:r>
          </w:p>
        </w:tc>
        <w:tc>
          <w:tcPr>
            <w:tcW w:w="1297" w:type="dxa"/>
            <w:tcBorders>
              <w:top w:val="single" w:sz="8" w:space="0" w:color="000000"/>
              <w:left w:val="nil"/>
              <w:bottom w:val="single" w:sz="8" w:space="0" w:color="000000"/>
              <w:right w:val="nil"/>
            </w:tcBorders>
          </w:tcPr>
          <w:p w14:paraId="213BFC34" w14:textId="77777777" w:rsidR="00472922" w:rsidRDefault="00B5152B">
            <w:pPr>
              <w:pBdr>
                <w:top w:val="nil"/>
                <w:left w:val="nil"/>
                <w:bottom w:val="nil"/>
                <w:right w:val="nil"/>
                <w:between w:val="nil"/>
              </w:pBdr>
              <w:spacing w:after="195" w:line="240" w:lineRule="auto"/>
              <w:ind w:left="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ADF critical value</w:t>
            </w:r>
          </w:p>
        </w:tc>
        <w:tc>
          <w:tcPr>
            <w:tcW w:w="1320" w:type="dxa"/>
            <w:tcBorders>
              <w:top w:val="single" w:sz="8" w:space="0" w:color="000000"/>
              <w:left w:val="nil"/>
              <w:bottom w:val="single" w:sz="8" w:space="0" w:color="000000"/>
              <w:right w:val="nil"/>
            </w:tcBorders>
          </w:tcPr>
          <w:p w14:paraId="154726D8" w14:textId="77777777" w:rsidR="00472922" w:rsidRDefault="00472922">
            <w:pPr>
              <w:pBdr>
                <w:top w:val="nil"/>
                <w:left w:val="nil"/>
                <w:bottom w:val="nil"/>
                <w:right w:val="nil"/>
                <w:between w:val="nil"/>
              </w:pBdr>
              <w:spacing w:after="195" w:line="240" w:lineRule="auto"/>
              <w:rPr>
                <w:rFonts w:ascii="Times New Roman" w:eastAsia="Times New Roman" w:hAnsi="Times New Roman" w:cs="Times New Roman"/>
                <w:color w:val="000000"/>
                <w:sz w:val="24"/>
                <w:szCs w:val="24"/>
              </w:rPr>
            </w:pPr>
          </w:p>
        </w:tc>
        <w:tc>
          <w:tcPr>
            <w:tcW w:w="1238" w:type="dxa"/>
            <w:tcBorders>
              <w:top w:val="single" w:sz="8" w:space="0" w:color="000000"/>
              <w:left w:val="nil"/>
              <w:bottom w:val="single" w:sz="8" w:space="0" w:color="000000"/>
              <w:right w:val="nil"/>
            </w:tcBorders>
          </w:tcPr>
          <w:p w14:paraId="65A9D8AD" w14:textId="77777777" w:rsidR="00472922" w:rsidRDefault="00472922">
            <w:pPr>
              <w:pBdr>
                <w:top w:val="nil"/>
                <w:left w:val="nil"/>
                <w:bottom w:val="nil"/>
                <w:right w:val="nil"/>
                <w:between w:val="nil"/>
              </w:pBdr>
              <w:spacing w:after="195" w:line="240" w:lineRule="auto"/>
              <w:ind w:left="1"/>
              <w:jc w:val="both"/>
              <w:rPr>
                <w:rFonts w:ascii="Times New Roman" w:eastAsia="Times New Roman" w:hAnsi="Times New Roman" w:cs="Times New Roman"/>
                <w:color w:val="000000"/>
                <w:sz w:val="24"/>
                <w:szCs w:val="24"/>
              </w:rPr>
            </w:pPr>
          </w:p>
        </w:tc>
      </w:tr>
      <w:tr w:rsidR="00472922" w14:paraId="0FA5E3BA" w14:textId="77777777">
        <w:trPr>
          <w:trHeight w:val="269"/>
        </w:trPr>
        <w:tc>
          <w:tcPr>
            <w:tcW w:w="1641" w:type="dxa"/>
          </w:tcPr>
          <w:p w14:paraId="196AEC7D" w14:textId="77777777" w:rsidR="00472922" w:rsidRDefault="00B5152B">
            <w:pPr>
              <w:pBdr>
                <w:top w:val="nil"/>
                <w:left w:val="nil"/>
                <w:bottom w:val="nil"/>
                <w:right w:val="nil"/>
                <w:between w:val="nil"/>
              </w:pBdr>
              <w:spacing w:after="195"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GR </w:t>
            </w:r>
          </w:p>
        </w:tc>
        <w:tc>
          <w:tcPr>
            <w:tcW w:w="1366" w:type="dxa"/>
          </w:tcPr>
          <w:p w14:paraId="35FF47A9" w14:textId="77777777" w:rsidR="00472922" w:rsidRDefault="00B5152B">
            <w:pPr>
              <w:pBdr>
                <w:top w:val="nil"/>
                <w:left w:val="nil"/>
                <w:bottom w:val="nil"/>
                <w:right w:val="nil"/>
                <w:between w:val="nil"/>
              </w:pBdr>
              <w:spacing w:after="195" w:line="240" w:lineRule="auto"/>
              <w:ind w:left="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0.251289 </w:t>
            </w:r>
          </w:p>
        </w:tc>
        <w:tc>
          <w:tcPr>
            <w:tcW w:w="1287" w:type="dxa"/>
          </w:tcPr>
          <w:p w14:paraId="1D6CE67A" w14:textId="77777777" w:rsidR="00472922" w:rsidRDefault="00B5152B">
            <w:pPr>
              <w:pBdr>
                <w:top w:val="nil"/>
                <w:left w:val="nil"/>
                <w:bottom w:val="nil"/>
                <w:right w:val="nil"/>
                <w:between w:val="nil"/>
              </w:pBdr>
              <w:spacing w:after="195"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-3.052169 </w:t>
            </w:r>
          </w:p>
        </w:tc>
        <w:tc>
          <w:tcPr>
            <w:tcW w:w="1427" w:type="dxa"/>
          </w:tcPr>
          <w:p w14:paraId="75D2A61E" w14:textId="77777777" w:rsidR="00472922" w:rsidRDefault="00B5152B">
            <w:pPr>
              <w:pBdr>
                <w:top w:val="nil"/>
                <w:left w:val="nil"/>
                <w:bottom w:val="nil"/>
                <w:right w:val="nil"/>
                <w:between w:val="nil"/>
              </w:pBdr>
              <w:spacing w:after="195" w:line="240" w:lineRule="auto"/>
              <w:ind w:left="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-3.999773 </w:t>
            </w:r>
          </w:p>
        </w:tc>
        <w:tc>
          <w:tcPr>
            <w:tcW w:w="1297" w:type="dxa"/>
          </w:tcPr>
          <w:p w14:paraId="2D3BB7E6" w14:textId="77777777" w:rsidR="00472922" w:rsidRDefault="00B5152B">
            <w:pPr>
              <w:pBdr>
                <w:top w:val="nil"/>
                <w:left w:val="nil"/>
                <w:bottom w:val="nil"/>
                <w:right w:val="nil"/>
                <w:between w:val="nil"/>
              </w:pBdr>
              <w:spacing w:after="195" w:line="240" w:lineRule="auto"/>
              <w:ind w:left="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-3.052169 </w:t>
            </w:r>
          </w:p>
        </w:tc>
        <w:tc>
          <w:tcPr>
            <w:tcW w:w="1320" w:type="dxa"/>
          </w:tcPr>
          <w:p w14:paraId="670AB4B7" w14:textId="77777777" w:rsidR="00472922" w:rsidRDefault="00B5152B">
            <w:pPr>
              <w:pBdr>
                <w:top w:val="nil"/>
                <w:left w:val="nil"/>
                <w:bottom w:val="nil"/>
                <w:right w:val="nil"/>
                <w:between w:val="nil"/>
              </w:pBdr>
              <w:spacing w:after="195"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I(</w:t>
            </w:r>
            <w:proofErr w:type="gramEnd"/>
            <w:r>
              <w:rPr>
                <w:rFonts w:ascii="Times New Roman" w:eastAsia="Times New Roman" w:hAnsi="Times New Roman" w:cs="Times New Roman"/>
                <w:color w:val="000000"/>
                <w:sz w:val="24"/>
                <w:szCs w:val="24"/>
              </w:rPr>
              <w:t xml:space="preserve">1) </w:t>
            </w:r>
          </w:p>
        </w:tc>
        <w:tc>
          <w:tcPr>
            <w:tcW w:w="1238" w:type="dxa"/>
          </w:tcPr>
          <w:p w14:paraId="20C3B93C" w14:textId="77777777" w:rsidR="00472922" w:rsidRDefault="00B5152B">
            <w:pPr>
              <w:pBdr>
                <w:top w:val="nil"/>
                <w:left w:val="nil"/>
                <w:bottom w:val="nil"/>
                <w:right w:val="nil"/>
                <w:between w:val="nil"/>
              </w:pBdr>
              <w:spacing w:after="195" w:line="240" w:lineRule="auto"/>
              <w:ind w:left="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Stationary </w:t>
            </w:r>
          </w:p>
        </w:tc>
      </w:tr>
      <w:tr w:rsidR="00472922" w14:paraId="0BAB2153" w14:textId="77777777">
        <w:trPr>
          <w:trHeight w:val="318"/>
        </w:trPr>
        <w:tc>
          <w:tcPr>
            <w:tcW w:w="1641" w:type="dxa"/>
          </w:tcPr>
          <w:p w14:paraId="6A1E217F" w14:textId="77777777" w:rsidR="00472922" w:rsidRDefault="00B5152B">
            <w:pPr>
              <w:pBdr>
                <w:top w:val="nil"/>
                <w:left w:val="nil"/>
                <w:bottom w:val="nil"/>
                <w:right w:val="nil"/>
                <w:between w:val="nil"/>
              </w:pBdr>
              <w:spacing w:after="195"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NBD </w:t>
            </w:r>
          </w:p>
        </w:tc>
        <w:tc>
          <w:tcPr>
            <w:tcW w:w="1366" w:type="dxa"/>
          </w:tcPr>
          <w:p w14:paraId="20F7F78E" w14:textId="77777777" w:rsidR="00472922" w:rsidRDefault="00B5152B">
            <w:pPr>
              <w:pBdr>
                <w:top w:val="nil"/>
                <w:left w:val="nil"/>
                <w:bottom w:val="nil"/>
                <w:right w:val="nil"/>
                <w:between w:val="nil"/>
              </w:pBdr>
              <w:spacing w:after="195" w:line="240" w:lineRule="auto"/>
              <w:ind w:left="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-3.879074 </w:t>
            </w:r>
          </w:p>
        </w:tc>
        <w:tc>
          <w:tcPr>
            <w:tcW w:w="1287" w:type="dxa"/>
          </w:tcPr>
          <w:p w14:paraId="63E0C412" w14:textId="77777777" w:rsidR="00472922" w:rsidRDefault="00B5152B">
            <w:pPr>
              <w:pBdr>
                <w:top w:val="nil"/>
                <w:left w:val="nil"/>
                <w:bottom w:val="nil"/>
                <w:right w:val="nil"/>
                <w:between w:val="nil"/>
              </w:pBdr>
              <w:spacing w:after="195" w:line="240" w:lineRule="auto"/>
              <w:ind w:left="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-3.119910 </w:t>
            </w:r>
          </w:p>
        </w:tc>
        <w:tc>
          <w:tcPr>
            <w:tcW w:w="1427" w:type="dxa"/>
          </w:tcPr>
          <w:p w14:paraId="40CEDD4D" w14:textId="77777777" w:rsidR="00472922" w:rsidRDefault="00B5152B">
            <w:pPr>
              <w:pBdr>
                <w:top w:val="nil"/>
                <w:left w:val="nil"/>
                <w:bottom w:val="nil"/>
                <w:right w:val="nil"/>
                <w:between w:val="nil"/>
              </w:pBdr>
              <w:spacing w:after="195" w:line="240" w:lineRule="auto"/>
              <w:ind w:left="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-9.162673 </w:t>
            </w:r>
          </w:p>
        </w:tc>
        <w:tc>
          <w:tcPr>
            <w:tcW w:w="1297" w:type="dxa"/>
          </w:tcPr>
          <w:p w14:paraId="5B0CA8FD" w14:textId="77777777" w:rsidR="00472922" w:rsidRDefault="00B5152B">
            <w:pPr>
              <w:pBdr>
                <w:top w:val="nil"/>
                <w:left w:val="nil"/>
                <w:bottom w:val="nil"/>
                <w:right w:val="nil"/>
                <w:between w:val="nil"/>
              </w:pBdr>
              <w:spacing w:after="195" w:line="240" w:lineRule="auto"/>
              <w:ind w:left="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-2.971853 </w:t>
            </w:r>
          </w:p>
        </w:tc>
        <w:tc>
          <w:tcPr>
            <w:tcW w:w="1320" w:type="dxa"/>
          </w:tcPr>
          <w:p w14:paraId="0FBBDFD5" w14:textId="77777777" w:rsidR="00472922" w:rsidRDefault="00B5152B">
            <w:pPr>
              <w:pBdr>
                <w:top w:val="nil"/>
                <w:left w:val="nil"/>
                <w:bottom w:val="nil"/>
                <w:right w:val="nil"/>
                <w:between w:val="nil"/>
              </w:pBdr>
              <w:spacing w:after="195"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I(</w:t>
            </w:r>
            <w:proofErr w:type="gramEnd"/>
            <w:r>
              <w:rPr>
                <w:rFonts w:ascii="Times New Roman" w:eastAsia="Times New Roman" w:hAnsi="Times New Roman" w:cs="Times New Roman"/>
                <w:color w:val="000000"/>
                <w:sz w:val="24"/>
                <w:szCs w:val="24"/>
              </w:rPr>
              <w:t xml:space="preserve">0) </w:t>
            </w:r>
          </w:p>
        </w:tc>
        <w:tc>
          <w:tcPr>
            <w:tcW w:w="1238" w:type="dxa"/>
          </w:tcPr>
          <w:p w14:paraId="3586B3C3" w14:textId="77777777" w:rsidR="00472922" w:rsidRDefault="00B5152B">
            <w:pPr>
              <w:pBdr>
                <w:top w:val="nil"/>
                <w:left w:val="nil"/>
                <w:bottom w:val="nil"/>
                <w:right w:val="nil"/>
                <w:between w:val="nil"/>
              </w:pBdr>
              <w:spacing w:after="195" w:line="240" w:lineRule="auto"/>
              <w:ind w:left="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Stationary </w:t>
            </w:r>
          </w:p>
        </w:tc>
      </w:tr>
      <w:tr w:rsidR="00472922" w14:paraId="56D24A3B" w14:textId="77777777">
        <w:trPr>
          <w:trHeight w:val="267"/>
        </w:trPr>
        <w:tc>
          <w:tcPr>
            <w:tcW w:w="1641" w:type="dxa"/>
          </w:tcPr>
          <w:p w14:paraId="3F2A2CB1" w14:textId="77777777" w:rsidR="00472922" w:rsidRDefault="00B5152B">
            <w:pPr>
              <w:pBdr>
                <w:top w:val="nil"/>
                <w:left w:val="nil"/>
                <w:bottom w:val="nil"/>
                <w:right w:val="nil"/>
                <w:between w:val="nil"/>
              </w:pBdr>
              <w:spacing w:after="195"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LR </w:t>
            </w:r>
          </w:p>
        </w:tc>
        <w:tc>
          <w:tcPr>
            <w:tcW w:w="1366" w:type="dxa"/>
          </w:tcPr>
          <w:p w14:paraId="50015D57" w14:textId="77777777" w:rsidR="00472922" w:rsidRDefault="00B5152B">
            <w:pPr>
              <w:pBdr>
                <w:top w:val="nil"/>
                <w:left w:val="nil"/>
                <w:bottom w:val="nil"/>
                <w:right w:val="nil"/>
                <w:between w:val="nil"/>
              </w:pBdr>
              <w:spacing w:after="195" w:line="240" w:lineRule="auto"/>
              <w:ind w:left="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-0.985543 </w:t>
            </w:r>
          </w:p>
        </w:tc>
        <w:tc>
          <w:tcPr>
            <w:tcW w:w="1287" w:type="dxa"/>
          </w:tcPr>
          <w:p w14:paraId="5F66A0AE" w14:textId="77777777" w:rsidR="00472922" w:rsidRDefault="00B5152B">
            <w:pPr>
              <w:pBdr>
                <w:top w:val="nil"/>
                <w:left w:val="nil"/>
                <w:bottom w:val="nil"/>
                <w:right w:val="nil"/>
                <w:between w:val="nil"/>
              </w:pBdr>
              <w:spacing w:after="195" w:line="240" w:lineRule="auto"/>
              <w:ind w:left="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-3.020686 </w:t>
            </w:r>
          </w:p>
        </w:tc>
        <w:tc>
          <w:tcPr>
            <w:tcW w:w="1427" w:type="dxa"/>
          </w:tcPr>
          <w:p w14:paraId="7F2F1763" w14:textId="77777777" w:rsidR="00472922" w:rsidRDefault="00B5152B">
            <w:pPr>
              <w:pBdr>
                <w:top w:val="nil"/>
                <w:left w:val="nil"/>
                <w:bottom w:val="nil"/>
                <w:right w:val="nil"/>
                <w:between w:val="nil"/>
              </w:pBdr>
              <w:spacing w:after="195" w:line="240" w:lineRule="auto"/>
              <w:ind w:left="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-4.523820 </w:t>
            </w:r>
          </w:p>
        </w:tc>
        <w:tc>
          <w:tcPr>
            <w:tcW w:w="1297" w:type="dxa"/>
          </w:tcPr>
          <w:p w14:paraId="4CA12B8C" w14:textId="77777777" w:rsidR="00472922" w:rsidRDefault="00B5152B">
            <w:pPr>
              <w:pBdr>
                <w:top w:val="nil"/>
                <w:left w:val="nil"/>
                <w:bottom w:val="nil"/>
                <w:right w:val="nil"/>
                <w:between w:val="nil"/>
              </w:pBdr>
              <w:spacing w:after="195" w:line="240" w:lineRule="auto"/>
              <w:ind w:left="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-3.029970 </w:t>
            </w:r>
          </w:p>
        </w:tc>
        <w:tc>
          <w:tcPr>
            <w:tcW w:w="1320" w:type="dxa"/>
          </w:tcPr>
          <w:p w14:paraId="5E1079FE" w14:textId="77777777" w:rsidR="00472922" w:rsidRDefault="00B5152B">
            <w:pPr>
              <w:pBdr>
                <w:top w:val="nil"/>
                <w:left w:val="nil"/>
                <w:bottom w:val="nil"/>
                <w:right w:val="nil"/>
                <w:between w:val="nil"/>
              </w:pBdr>
              <w:spacing w:after="195" w:line="240" w:lineRule="auto"/>
              <w:ind w:left="36"/>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I(</w:t>
            </w:r>
            <w:proofErr w:type="gramEnd"/>
            <w:r>
              <w:rPr>
                <w:rFonts w:ascii="Times New Roman" w:eastAsia="Times New Roman" w:hAnsi="Times New Roman" w:cs="Times New Roman"/>
                <w:color w:val="000000"/>
                <w:sz w:val="24"/>
                <w:szCs w:val="24"/>
              </w:rPr>
              <w:t xml:space="preserve">1) </w:t>
            </w:r>
          </w:p>
        </w:tc>
        <w:tc>
          <w:tcPr>
            <w:tcW w:w="1238" w:type="dxa"/>
          </w:tcPr>
          <w:p w14:paraId="3924E0D6" w14:textId="77777777" w:rsidR="00472922" w:rsidRDefault="00B5152B">
            <w:pPr>
              <w:pBdr>
                <w:top w:val="nil"/>
                <w:left w:val="nil"/>
                <w:bottom w:val="nil"/>
                <w:right w:val="nil"/>
                <w:between w:val="nil"/>
              </w:pBdr>
              <w:spacing w:after="195" w:line="240" w:lineRule="auto"/>
              <w:ind w:left="3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Stationary </w:t>
            </w:r>
          </w:p>
        </w:tc>
      </w:tr>
    </w:tbl>
    <w:p w14:paraId="5C76A721" w14:textId="77777777" w:rsidR="00472922" w:rsidRDefault="00B5152B">
      <w:pPr>
        <w:pBdr>
          <w:top w:val="nil"/>
          <w:left w:val="nil"/>
          <w:bottom w:val="nil"/>
          <w:right w:val="nil"/>
          <w:between w:val="nil"/>
        </w:pBdr>
        <w:spacing w:after="9" w:line="240" w:lineRule="auto"/>
        <w:ind w:right="1028" w:firstLine="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Note: 5% critical value was used for ADF test  </w:t>
      </w:r>
    </w:p>
    <w:p w14:paraId="4EF673D4" w14:textId="77777777" w:rsidR="00472922" w:rsidRDefault="00B5152B">
      <w:pPr>
        <w:pBdr>
          <w:top w:val="nil"/>
          <w:left w:val="nil"/>
          <w:bottom w:val="nil"/>
          <w:right w:val="nil"/>
          <w:between w:val="nil"/>
        </w:pBdr>
        <w:spacing w:after="0" w:line="240" w:lineRule="auto"/>
        <w:ind w:left="9" w:firstLine="4"/>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Source: Author's Computation from EViews 10 (2026)</w:t>
      </w:r>
    </w:p>
    <w:p w14:paraId="5FC679DC" w14:textId="77777777" w:rsidR="00472922" w:rsidRDefault="00B5152B">
      <w:pPr>
        <w:spacing w:before="280" w:after="28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sdt>
        <w:sdtPr>
          <w:tag w:val="goog_rdk_1"/>
          <w:id w:val="-1137030118"/>
        </w:sdtPr>
        <w:sdtContent>
          <w:r>
            <w:rPr>
              <w:rFonts w:ascii="Gungsuh" w:eastAsia="Gungsuh" w:hAnsi="Gungsuh" w:cs="Gungsuh"/>
              <w:color w:val="000000"/>
              <w:sz w:val="24"/>
              <w:szCs w:val="24"/>
            </w:rPr>
            <w:t>The test result in Table 2 indicated that new business density (NBD) is at level integrated of order zero (</w:t>
          </w:r>
          <w:proofErr w:type="gramStart"/>
          <w:r>
            <w:rPr>
              <w:rFonts w:ascii="Gungsuh" w:eastAsia="Gungsuh" w:hAnsi="Gungsuh" w:cs="Gungsuh"/>
              <w:color w:val="000000"/>
              <w:sz w:val="24"/>
              <w:szCs w:val="24"/>
            </w:rPr>
            <w:t>I(</w:t>
          </w:r>
          <w:proofErr w:type="gramEnd"/>
          <w:r>
            <w:rPr>
              <w:rFonts w:ascii="Gungsuh" w:eastAsia="Gungsuh" w:hAnsi="Gungsuh" w:cs="Gungsuh"/>
              <w:color w:val="000000"/>
              <w:sz w:val="24"/>
              <w:szCs w:val="24"/>
            </w:rPr>
            <w:t xml:space="preserve">0)), with a test statistic </w:t>
          </w:r>
          <w:r>
            <w:rPr>
              <w:rFonts w:ascii="Gungsuh" w:eastAsia="Gungsuh" w:hAnsi="Gungsuh" w:cs="Gungsuh"/>
              <w:color w:val="000000"/>
              <w:sz w:val="24"/>
              <w:szCs w:val="24"/>
            </w:rPr>
            <w:lastRenderedPageBreak/>
            <w:t xml:space="preserve">(−3.879074) value which is less than the 5% critical value (−3.119910). On the other hand, economic growth (GR) and literacy rate (LR) are both non-stationary at level but stationary after first differencing, which means that both variables are </w:t>
          </w:r>
          <w:proofErr w:type="gramStart"/>
          <w:r>
            <w:rPr>
              <w:rFonts w:ascii="Gungsuh" w:eastAsia="Gungsuh" w:hAnsi="Gungsuh" w:cs="Gungsuh"/>
              <w:color w:val="000000"/>
              <w:sz w:val="24"/>
              <w:szCs w:val="24"/>
            </w:rPr>
            <w:t>I(</w:t>
          </w:r>
          <w:proofErr w:type="gramEnd"/>
          <w:r>
            <w:rPr>
              <w:rFonts w:ascii="Gungsuh" w:eastAsia="Gungsuh" w:hAnsi="Gungsuh" w:cs="Gungsuh"/>
              <w:color w:val="000000"/>
              <w:sz w:val="24"/>
              <w:szCs w:val="24"/>
            </w:rPr>
            <w:t xml:space="preserve">1). At first difference, the ADF statistics for GR (−3.999773) and LR (−4.523820) are greater than their 5% critical values, respectively, in absolute value and thus confirm the stationarity after differencing. However, the presence of a mixture of </w:t>
          </w:r>
          <w:proofErr w:type="gramStart"/>
          <w:r>
            <w:rPr>
              <w:rFonts w:ascii="Gungsuh" w:eastAsia="Gungsuh" w:hAnsi="Gungsuh" w:cs="Gungsuh"/>
              <w:color w:val="000000"/>
              <w:sz w:val="24"/>
              <w:szCs w:val="24"/>
            </w:rPr>
            <w:t>I(</w:t>
          </w:r>
          <w:proofErr w:type="gramEnd"/>
          <w:r>
            <w:rPr>
              <w:rFonts w:ascii="Gungsuh" w:eastAsia="Gungsuh" w:hAnsi="Gungsuh" w:cs="Gungsuh"/>
              <w:color w:val="000000"/>
              <w:sz w:val="24"/>
              <w:szCs w:val="24"/>
            </w:rPr>
            <w:t xml:space="preserve">0) and </w:t>
          </w:r>
          <w:proofErr w:type="gramStart"/>
          <w:r>
            <w:rPr>
              <w:rFonts w:ascii="Gungsuh" w:eastAsia="Gungsuh" w:hAnsi="Gungsuh" w:cs="Gungsuh"/>
              <w:color w:val="000000"/>
              <w:sz w:val="24"/>
              <w:szCs w:val="24"/>
            </w:rPr>
            <w:t>I(</w:t>
          </w:r>
          <w:proofErr w:type="gramEnd"/>
          <w:r>
            <w:rPr>
              <w:rFonts w:ascii="Gungsuh" w:eastAsia="Gungsuh" w:hAnsi="Gungsuh" w:cs="Gungsuh"/>
              <w:color w:val="000000"/>
              <w:sz w:val="24"/>
              <w:szCs w:val="24"/>
            </w:rPr>
            <w:t xml:space="preserve">1) variables is ensuring that the underlying assumption of the application of the bounds testing approach for the ARDL model proposed by Pesaran, Shin and Smith (2001) </w:t>
          </w:r>
          <w:proofErr w:type="gramStart"/>
          <w:r>
            <w:rPr>
              <w:rFonts w:ascii="Gungsuh" w:eastAsia="Gungsuh" w:hAnsi="Gungsuh" w:cs="Gungsuh"/>
              <w:color w:val="000000"/>
              <w:sz w:val="24"/>
              <w:szCs w:val="24"/>
            </w:rPr>
            <w:t>is</w:t>
          </w:r>
          <w:proofErr w:type="gramEnd"/>
          <w:r>
            <w:rPr>
              <w:rFonts w:ascii="Gungsuh" w:eastAsia="Gungsuh" w:hAnsi="Gungsuh" w:cs="Gungsuh"/>
              <w:color w:val="000000"/>
              <w:sz w:val="24"/>
              <w:szCs w:val="24"/>
            </w:rPr>
            <w:t xml:space="preserve"> not violated in that the variables are not integrated of order two, </w:t>
          </w:r>
          <w:proofErr w:type="gramStart"/>
          <w:r>
            <w:rPr>
              <w:rFonts w:ascii="Gungsuh" w:eastAsia="Gungsuh" w:hAnsi="Gungsuh" w:cs="Gungsuh"/>
              <w:color w:val="000000"/>
              <w:sz w:val="24"/>
              <w:szCs w:val="24"/>
            </w:rPr>
            <w:t>I(</w:t>
          </w:r>
          <w:proofErr w:type="gramEnd"/>
          <w:r>
            <w:rPr>
              <w:rFonts w:ascii="Gungsuh" w:eastAsia="Gungsuh" w:hAnsi="Gungsuh" w:cs="Gungsuh"/>
              <w:color w:val="000000"/>
              <w:sz w:val="24"/>
              <w:szCs w:val="24"/>
            </w:rPr>
            <w:t>2). Therefore, the unit root results support the use of the ARDL technique for the study of the short-run and long-run relationship between new business density, literacy rate and economic growth in Nigeria. A shorter lag length results in a higher quality model. In this study, to determine the appropriate model specification, the Akaike information criteria (AIC) and Schwartz information criteria (SIC) are considered, and the results are presented in Table 3.</w:t>
          </w:r>
        </w:sdtContent>
      </w:sdt>
    </w:p>
    <w:p w14:paraId="5C3DD1B3" w14:textId="77777777" w:rsidR="00472922" w:rsidRDefault="00B5152B">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Table 3 Lag Order Selection Criteria</w:t>
      </w:r>
    </w:p>
    <w:tbl>
      <w:tblPr>
        <w:tblStyle w:val="a1"/>
        <w:tblW w:w="9576" w:type="dxa"/>
        <w:tblInd w:w="-108" w:type="dxa"/>
        <w:tblBorders>
          <w:top w:val="single" w:sz="8" w:space="0" w:color="000000"/>
          <w:bottom w:val="single" w:sz="8" w:space="0" w:color="000000"/>
        </w:tblBorders>
        <w:tblLayout w:type="fixed"/>
        <w:tblLook w:val="06A0" w:firstRow="1" w:lastRow="0" w:firstColumn="1" w:lastColumn="0" w:noHBand="1" w:noVBand="1"/>
      </w:tblPr>
      <w:tblGrid>
        <w:gridCol w:w="1103"/>
        <w:gridCol w:w="1413"/>
        <w:gridCol w:w="1412"/>
        <w:gridCol w:w="1413"/>
        <w:gridCol w:w="1412"/>
        <w:gridCol w:w="1413"/>
        <w:gridCol w:w="1410"/>
      </w:tblGrid>
      <w:tr w:rsidR="00472922" w14:paraId="2C5F5B8C" w14:textId="77777777" w:rsidTr="00472922">
        <w:trPr>
          <w:cnfStyle w:val="100000000000" w:firstRow="1" w:lastRow="0" w:firstColumn="0" w:lastColumn="0" w:oddVBand="0" w:evenVBand="0" w:oddHBand="0"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03" w:type="dxa"/>
          </w:tcPr>
          <w:p w14:paraId="4AA2A5A1" w14:textId="77777777" w:rsidR="00472922" w:rsidRDefault="00B5152B">
            <w:pPr>
              <w:jc w:val="center"/>
              <w:rPr>
                <w:rFonts w:ascii="Times New Roman" w:eastAsia="Times New Roman" w:hAnsi="Times New Roman" w:cs="Times New Roman"/>
                <w:sz w:val="24"/>
                <w:szCs w:val="24"/>
              </w:rPr>
            </w:pPr>
            <w:r>
              <w:rPr>
                <w:rFonts w:ascii="Times New Roman" w:eastAsia="Times New Roman" w:hAnsi="Times New Roman" w:cs="Times New Roman"/>
                <w:b w:val="0"/>
                <w:bCs w:val="0"/>
                <w:sz w:val="24"/>
                <w:szCs w:val="24"/>
              </w:rPr>
              <w:t> Lag</w:t>
            </w:r>
          </w:p>
        </w:tc>
        <w:tc>
          <w:tcPr>
            <w:tcW w:w="1413" w:type="dxa"/>
          </w:tcPr>
          <w:p w14:paraId="5CB8F704" w14:textId="77777777" w:rsidR="00472922" w:rsidRDefault="00B5152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Pr>
                <w:rFonts w:ascii="Times New Roman" w:eastAsia="Times New Roman" w:hAnsi="Times New Roman" w:cs="Times New Roman"/>
                <w:b w:val="0"/>
                <w:bCs w:val="0"/>
                <w:sz w:val="24"/>
                <w:szCs w:val="24"/>
              </w:rPr>
              <w:t>LogL</w:t>
            </w:r>
            <w:proofErr w:type="spellEnd"/>
          </w:p>
        </w:tc>
        <w:tc>
          <w:tcPr>
            <w:tcW w:w="1412" w:type="dxa"/>
          </w:tcPr>
          <w:p w14:paraId="3EE93303" w14:textId="77777777" w:rsidR="00472922" w:rsidRDefault="00B5152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b w:val="0"/>
                <w:bCs w:val="0"/>
                <w:sz w:val="24"/>
                <w:szCs w:val="24"/>
              </w:rPr>
              <w:t>LR</w:t>
            </w:r>
          </w:p>
        </w:tc>
        <w:tc>
          <w:tcPr>
            <w:tcW w:w="1413" w:type="dxa"/>
          </w:tcPr>
          <w:p w14:paraId="1356DCC6" w14:textId="77777777" w:rsidR="00472922" w:rsidRDefault="00B5152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b w:val="0"/>
                <w:bCs w:val="0"/>
                <w:sz w:val="24"/>
                <w:szCs w:val="24"/>
              </w:rPr>
              <w:t>FPE</w:t>
            </w:r>
          </w:p>
        </w:tc>
        <w:tc>
          <w:tcPr>
            <w:tcW w:w="1412" w:type="dxa"/>
          </w:tcPr>
          <w:p w14:paraId="066053E0" w14:textId="77777777" w:rsidR="00472922" w:rsidRDefault="00B5152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b w:val="0"/>
                <w:bCs w:val="0"/>
                <w:sz w:val="24"/>
                <w:szCs w:val="24"/>
              </w:rPr>
              <w:t>AIC</w:t>
            </w:r>
          </w:p>
        </w:tc>
        <w:tc>
          <w:tcPr>
            <w:tcW w:w="1413" w:type="dxa"/>
          </w:tcPr>
          <w:p w14:paraId="387E77D7" w14:textId="77777777" w:rsidR="00472922" w:rsidRDefault="00B5152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b w:val="0"/>
                <w:bCs w:val="0"/>
                <w:sz w:val="24"/>
                <w:szCs w:val="24"/>
              </w:rPr>
              <w:t>SC</w:t>
            </w:r>
          </w:p>
        </w:tc>
        <w:tc>
          <w:tcPr>
            <w:tcW w:w="1410" w:type="dxa"/>
          </w:tcPr>
          <w:p w14:paraId="66C8472C" w14:textId="77777777" w:rsidR="00472922" w:rsidRDefault="00B5152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b w:val="0"/>
                <w:bCs w:val="0"/>
                <w:sz w:val="24"/>
                <w:szCs w:val="24"/>
              </w:rPr>
              <w:t>HQ</w:t>
            </w:r>
          </w:p>
        </w:tc>
      </w:tr>
      <w:tr w:rsidR="00472922" w14:paraId="6865163B" w14:textId="77777777" w:rsidTr="00472922">
        <w:trPr>
          <w:trHeight w:val="225"/>
        </w:trPr>
        <w:tc>
          <w:tcPr>
            <w:cnfStyle w:val="001000000000" w:firstRow="0" w:lastRow="0" w:firstColumn="1" w:lastColumn="0" w:oddVBand="0" w:evenVBand="0" w:oddHBand="0" w:evenHBand="0" w:firstRowFirstColumn="0" w:firstRowLastColumn="0" w:lastRowFirstColumn="0" w:lastRowLastColumn="0"/>
            <w:tcW w:w="1103" w:type="dxa"/>
          </w:tcPr>
          <w:p w14:paraId="6147C74D" w14:textId="77777777" w:rsidR="00472922" w:rsidRDefault="00B5152B">
            <w:pPr>
              <w:jc w:val="center"/>
              <w:rPr>
                <w:rFonts w:ascii="Times New Roman" w:eastAsia="Times New Roman" w:hAnsi="Times New Roman" w:cs="Times New Roman"/>
                <w:sz w:val="24"/>
                <w:szCs w:val="24"/>
              </w:rPr>
            </w:pPr>
            <w:r>
              <w:rPr>
                <w:rFonts w:ascii="Times New Roman" w:eastAsia="Times New Roman" w:hAnsi="Times New Roman" w:cs="Times New Roman"/>
                <w:b w:val="0"/>
                <w:bCs w:val="0"/>
                <w:sz w:val="24"/>
                <w:szCs w:val="24"/>
              </w:rPr>
              <w:t>0</w:t>
            </w:r>
          </w:p>
        </w:tc>
        <w:tc>
          <w:tcPr>
            <w:tcW w:w="1413" w:type="dxa"/>
          </w:tcPr>
          <w:p w14:paraId="19B5ACB7" w14:textId="77777777" w:rsidR="00472922"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-61.94301</w:t>
            </w:r>
          </w:p>
        </w:tc>
        <w:tc>
          <w:tcPr>
            <w:tcW w:w="1412" w:type="dxa"/>
          </w:tcPr>
          <w:p w14:paraId="69AFB6DA" w14:textId="77777777" w:rsidR="00472922"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NA </w:t>
            </w:r>
          </w:p>
        </w:tc>
        <w:tc>
          <w:tcPr>
            <w:tcW w:w="1413" w:type="dxa"/>
          </w:tcPr>
          <w:p w14:paraId="1506C940" w14:textId="77777777" w:rsidR="00472922"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2.148290</w:t>
            </w:r>
          </w:p>
        </w:tc>
        <w:tc>
          <w:tcPr>
            <w:tcW w:w="1412" w:type="dxa"/>
          </w:tcPr>
          <w:p w14:paraId="40635FFC" w14:textId="77777777" w:rsidR="00472922"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9.277572</w:t>
            </w:r>
          </w:p>
        </w:tc>
        <w:tc>
          <w:tcPr>
            <w:tcW w:w="1413" w:type="dxa"/>
          </w:tcPr>
          <w:p w14:paraId="3F66282E" w14:textId="77777777" w:rsidR="00472922"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9.414513</w:t>
            </w:r>
          </w:p>
        </w:tc>
        <w:tc>
          <w:tcPr>
            <w:tcW w:w="1410" w:type="dxa"/>
          </w:tcPr>
          <w:p w14:paraId="4D203A30" w14:textId="77777777" w:rsidR="00472922"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9.264896</w:t>
            </w:r>
          </w:p>
        </w:tc>
      </w:tr>
      <w:tr w:rsidR="00472922" w14:paraId="3AE8B515" w14:textId="77777777" w:rsidTr="00472922">
        <w:trPr>
          <w:trHeight w:val="225"/>
        </w:trPr>
        <w:tc>
          <w:tcPr>
            <w:cnfStyle w:val="001000000000" w:firstRow="0" w:lastRow="0" w:firstColumn="1" w:lastColumn="0" w:oddVBand="0" w:evenVBand="0" w:oddHBand="0" w:evenHBand="0" w:firstRowFirstColumn="0" w:firstRowLastColumn="0" w:lastRowFirstColumn="0" w:lastRowLastColumn="0"/>
            <w:tcW w:w="1103" w:type="dxa"/>
          </w:tcPr>
          <w:p w14:paraId="0912CAA0" w14:textId="77777777" w:rsidR="00472922" w:rsidRDefault="00B5152B">
            <w:pPr>
              <w:jc w:val="center"/>
              <w:rPr>
                <w:rFonts w:ascii="Times New Roman" w:eastAsia="Times New Roman" w:hAnsi="Times New Roman" w:cs="Times New Roman"/>
                <w:sz w:val="24"/>
                <w:szCs w:val="24"/>
              </w:rPr>
            </w:pPr>
            <w:r>
              <w:rPr>
                <w:rFonts w:ascii="Times New Roman" w:eastAsia="Times New Roman" w:hAnsi="Times New Roman" w:cs="Times New Roman"/>
                <w:b w:val="0"/>
                <w:bCs w:val="0"/>
                <w:sz w:val="24"/>
                <w:szCs w:val="24"/>
              </w:rPr>
              <w:t>1</w:t>
            </w:r>
          </w:p>
        </w:tc>
        <w:tc>
          <w:tcPr>
            <w:tcW w:w="1413" w:type="dxa"/>
          </w:tcPr>
          <w:p w14:paraId="30F412E6" w14:textId="77777777" w:rsidR="00472922"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-47.18335</w:t>
            </w:r>
          </w:p>
        </w:tc>
        <w:tc>
          <w:tcPr>
            <w:tcW w:w="1412" w:type="dxa"/>
          </w:tcPr>
          <w:p w14:paraId="1E85D2EE" w14:textId="77777777" w:rsidR="00472922"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21.08523*</w:t>
            </w:r>
          </w:p>
        </w:tc>
        <w:tc>
          <w:tcPr>
            <w:tcW w:w="1413" w:type="dxa"/>
          </w:tcPr>
          <w:p w14:paraId="0EF9B1FB" w14:textId="77777777" w:rsidR="00472922"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0.990255*</w:t>
            </w:r>
          </w:p>
        </w:tc>
        <w:tc>
          <w:tcPr>
            <w:tcW w:w="1412" w:type="dxa"/>
          </w:tcPr>
          <w:p w14:paraId="1C2DA288" w14:textId="77777777" w:rsidR="00472922"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8.454764*</w:t>
            </w:r>
          </w:p>
        </w:tc>
        <w:tc>
          <w:tcPr>
            <w:tcW w:w="1413" w:type="dxa"/>
          </w:tcPr>
          <w:p w14:paraId="1DC105AA" w14:textId="77777777" w:rsidR="00472922"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9.002527*</w:t>
            </w:r>
          </w:p>
        </w:tc>
        <w:tc>
          <w:tcPr>
            <w:tcW w:w="1410" w:type="dxa"/>
          </w:tcPr>
          <w:p w14:paraId="1102FE76" w14:textId="77777777" w:rsidR="00472922"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8.404058*</w:t>
            </w:r>
          </w:p>
        </w:tc>
      </w:tr>
    </w:tbl>
    <w:p w14:paraId="0C77B3A9" w14:textId="77777777" w:rsidR="00472922" w:rsidRDefault="00B5152B">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Source: Author's Computation from EViews 10 (2026)</w:t>
      </w:r>
    </w:p>
    <w:p w14:paraId="67340361" w14:textId="77777777" w:rsidR="00472922" w:rsidRDefault="00B5152B">
      <w:pPr>
        <w:spacing w:before="280" w:after="280" w:line="36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The results of Table 3 showed that lag one (1) was used and chosen as the optimal lag length in the system since it yielded minimum values with all three criteria: the Akaike information criterion, the Schwarz criterion and the Hannan–Quinn criterion. Choosing the best lag length is important because it will ensure that the model estimated correctly represents the dynamic relationship between the variables and also will prevent issues of over-</w:t>
      </w:r>
      <w:proofErr w:type="spellStart"/>
      <w:r>
        <w:rPr>
          <w:rFonts w:ascii="Times New Roman" w:eastAsia="Times New Roman" w:hAnsi="Times New Roman" w:cs="Times New Roman"/>
          <w:color w:val="000000"/>
          <w:sz w:val="24"/>
          <w:szCs w:val="24"/>
        </w:rPr>
        <w:t>parameterisation</w:t>
      </w:r>
      <w:proofErr w:type="spellEnd"/>
      <w:r>
        <w:rPr>
          <w:rFonts w:ascii="Times New Roman" w:eastAsia="Times New Roman" w:hAnsi="Times New Roman" w:cs="Times New Roman"/>
          <w:color w:val="000000"/>
          <w:sz w:val="24"/>
          <w:szCs w:val="24"/>
        </w:rPr>
        <w:t xml:space="preserve"> and residual serial correlation. Thus, the choice of lag length 1 is a good basis for the next ARDL bounds </w:t>
      </w:r>
      <w:r>
        <w:rPr>
          <w:rFonts w:ascii="Times New Roman" w:eastAsia="Times New Roman" w:hAnsi="Times New Roman" w:cs="Times New Roman"/>
          <w:color w:val="000000"/>
          <w:sz w:val="24"/>
          <w:szCs w:val="24"/>
        </w:rPr>
        <w:lastRenderedPageBreak/>
        <w:t xml:space="preserve">cointegration analysis and the estimation of the short-run and long-run effects of new business density on economic growth in Nigeria. Therefore, </w:t>
      </w:r>
      <w:proofErr w:type="gramStart"/>
      <w:r>
        <w:rPr>
          <w:rFonts w:ascii="Times New Roman" w:eastAsia="Times New Roman" w:hAnsi="Times New Roman" w:cs="Times New Roman"/>
          <w:color w:val="000000"/>
          <w:sz w:val="24"/>
          <w:szCs w:val="24"/>
        </w:rPr>
        <w:t>I(</w:t>
      </w:r>
      <w:proofErr w:type="gramEnd"/>
      <w:r>
        <w:rPr>
          <w:rFonts w:ascii="Times New Roman" w:eastAsia="Times New Roman" w:hAnsi="Times New Roman" w:cs="Times New Roman"/>
          <w:color w:val="000000"/>
          <w:sz w:val="24"/>
          <w:szCs w:val="24"/>
        </w:rPr>
        <w:t xml:space="preserve">0) and </w:t>
      </w:r>
      <w:proofErr w:type="gramStart"/>
      <w:r>
        <w:rPr>
          <w:rFonts w:ascii="Times New Roman" w:eastAsia="Times New Roman" w:hAnsi="Times New Roman" w:cs="Times New Roman"/>
          <w:color w:val="000000"/>
          <w:sz w:val="24"/>
          <w:szCs w:val="24"/>
        </w:rPr>
        <w:t>I(</w:t>
      </w:r>
      <w:proofErr w:type="gramEnd"/>
      <w:r>
        <w:rPr>
          <w:rFonts w:ascii="Times New Roman" w:eastAsia="Times New Roman" w:hAnsi="Times New Roman" w:cs="Times New Roman"/>
          <w:color w:val="000000"/>
          <w:sz w:val="24"/>
          <w:szCs w:val="24"/>
        </w:rPr>
        <w:t>1) are the series, and the bound cointegration test is presented in Table 4.</w:t>
      </w:r>
    </w:p>
    <w:p w14:paraId="517287CA" w14:textId="77777777" w:rsidR="00472922" w:rsidRDefault="00B5152B">
      <w:pPr>
        <w:pBdr>
          <w:top w:val="nil"/>
          <w:left w:val="nil"/>
          <w:bottom w:val="nil"/>
          <w:right w:val="nil"/>
          <w:between w:val="nil"/>
        </w:pBdr>
        <w:spacing w:after="0" w:line="240" w:lineRule="auto"/>
        <w:ind w:right="982" w:firstLine="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Table 4: Co-integration Bound Test Result </w:t>
      </w:r>
    </w:p>
    <w:tbl>
      <w:tblPr>
        <w:tblStyle w:val="a2"/>
        <w:tblW w:w="9590" w:type="dxa"/>
        <w:tblInd w:w="-233" w:type="dxa"/>
        <w:tblLayout w:type="fixed"/>
        <w:tblLook w:val="0400" w:firstRow="0" w:lastRow="0" w:firstColumn="0" w:lastColumn="0" w:noHBand="0" w:noVBand="1"/>
      </w:tblPr>
      <w:tblGrid>
        <w:gridCol w:w="2036"/>
        <w:gridCol w:w="4038"/>
        <w:gridCol w:w="3516"/>
      </w:tblGrid>
      <w:tr w:rsidR="00472922" w14:paraId="1761F98E" w14:textId="77777777">
        <w:trPr>
          <w:cantSplit/>
          <w:trHeight w:val="338"/>
          <w:tblHeader/>
        </w:trPr>
        <w:tc>
          <w:tcPr>
            <w:tcW w:w="2036" w:type="dxa"/>
            <w:tcBorders>
              <w:top w:val="single" w:sz="8" w:space="0" w:color="000000"/>
              <w:left w:val="nil"/>
              <w:bottom w:val="single" w:sz="8" w:space="0" w:color="000000"/>
              <w:right w:val="nil"/>
            </w:tcBorders>
          </w:tcPr>
          <w:p w14:paraId="31D02B46" w14:textId="77777777" w:rsidR="00472922" w:rsidRDefault="00B5152B">
            <w:pPr>
              <w:pBdr>
                <w:top w:val="nil"/>
                <w:left w:val="nil"/>
                <w:bottom w:val="nil"/>
                <w:right w:val="nil"/>
                <w:between w:val="nil"/>
              </w:pBdr>
              <w:spacing w:after="0" w:line="240" w:lineRule="auto"/>
              <w:ind w:left="1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Test Statistic </w:t>
            </w:r>
          </w:p>
        </w:tc>
        <w:tc>
          <w:tcPr>
            <w:tcW w:w="4038" w:type="dxa"/>
            <w:tcBorders>
              <w:top w:val="single" w:sz="8" w:space="0" w:color="000000"/>
              <w:left w:val="nil"/>
              <w:bottom w:val="single" w:sz="8" w:space="0" w:color="000000"/>
              <w:right w:val="nil"/>
            </w:tcBorders>
          </w:tcPr>
          <w:p w14:paraId="1A18DC92" w14:textId="77777777" w:rsidR="00472922" w:rsidRDefault="00B5152B">
            <w:pPr>
              <w:pBdr>
                <w:top w:val="nil"/>
                <w:left w:val="nil"/>
                <w:bottom w:val="nil"/>
                <w:right w:val="nil"/>
                <w:between w:val="nil"/>
              </w:pBdr>
              <w:tabs>
                <w:tab w:val="center" w:pos="1916"/>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Value</w:t>
            </w:r>
            <w:r>
              <w:rPr>
                <w:rFonts w:ascii="Times New Roman" w:eastAsia="Times New Roman" w:hAnsi="Times New Roman" w:cs="Times New Roman"/>
                <w:color w:val="000000"/>
                <w:sz w:val="24"/>
                <w:szCs w:val="24"/>
              </w:rPr>
              <w:tab/>
              <w:t xml:space="preserve"> </w:t>
            </w:r>
          </w:p>
        </w:tc>
        <w:tc>
          <w:tcPr>
            <w:tcW w:w="3516" w:type="dxa"/>
            <w:tcBorders>
              <w:top w:val="single" w:sz="8" w:space="0" w:color="000000"/>
              <w:left w:val="nil"/>
              <w:bottom w:val="single" w:sz="8" w:space="0" w:color="000000"/>
              <w:right w:val="nil"/>
            </w:tcBorders>
          </w:tcPr>
          <w:p w14:paraId="46D29319" w14:textId="77777777" w:rsidR="00472922" w:rsidRDefault="00B5152B">
            <w:pPr>
              <w:pBdr>
                <w:top w:val="nil"/>
                <w:left w:val="nil"/>
                <w:bottom w:val="nil"/>
                <w:right w:val="nil"/>
                <w:between w:val="nil"/>
              </w:pBdr>
              <w:spacing w:after="0" w:line="240" w:lineRule="auto"/>
              <w:ind w:left="206"/>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 </w:t>
            </w:r>
          </w:p>
        </w:tc>
      </w:tr>
      <w:tr w:rsidR="00472922" w14:paraId="4F7DDB50" w14:textId="77777777">
        <w:trPr>
          <w:cantSplit/>
          <w:trHeight w:val="646"/>
          <w:tblHeader/>
        </w:trPr>
        <w:tc>
          <w:tcPr>
            <w:tcW w:w="2036" w:type="dxa"/>
            <w:tcBorders>
              <w:top w:val="single" w:sz="8" w:space="0" w:color="000000"/>
              <w:left w:val="nil"/>
              <w:bottom w:val="nil"/>
              <w:right w:val="nil"/>
            </w:tcBorders>
          </w:tcPr>
          <w:p w14:paraId="24AF7D67" w14:textId="77777777" w:rsidR="00472922" w:rsidRDefault="00B5152B">
            <w:pPr>
              <w:pBdr>
                <w:top w:val="nil"/>
                <w:left w:val="nil"/>
                <w:bottom w:val="nil"/>
                <w:right w:val="nil"/>
                <w:between w:val="nil"/>
              </w:pBdr>
              <w:spacing w:after="0" w:line="240" w:lineRule="auto"/>
              <w:ind w:left="1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F-statistics </w:t>
            </w:r>
          </w:p>
        </w:tc>
        <w:tc>
          <w:tcPr>
            <w:tcW w:w="4038" w:type="dxa"/>
            <w:tcBorders>
              <w:top w:val="single" w:sz="8" w:space="0" w:color="000000"/>
              <w:left w:val="nil"/>
              <w:bottom w:val="nil"/>
              <w:right w:val="nil"/>
            </w:tcBorders>
          </w:tcPr>
          <w:p w14:paraId="7B6A9076" w14:textId="77777777" w:rsidR="00472922" w:rsidRDefault="00B5152B">
            <w:pPr>
              <w:pBdr>
                <w:top w:val="nil"/>
                <w:left w:val="nil"/>
                <w:bottom w:val="nil"/>
                <w:right w:val="nil"/>
                <w:between w:val="nil"/>
              </w:pBdr>
              <w:tabs>
                <w:tab w:val="center" w:pos="1914"/>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5.753045</w:t>
            </w:r>
            <w:r>
              <w:rPr>
                <w:rFonts w:ascii="Times New Roman" w:eastAsia="Times New Roman" w:hAnsi="Times New Roman" w:cs="Times New Roman"/>
                <w:color w:val="000000"/>
                <w:sz w:val="24"/>
                <w:szCs w:val="24"/>
              </w:rPr>
              <w:tab/>
              <w:t xml:space="preserve"> </w:t>
            </w:r>
          </w:p>
          <w:p w14:paraId="4234F9F9" w14:textId="77777777" w:rsidR="00472922" w:rsidRDefault="00B5152B">
            <w:pPr>
              <w:pBdr>
                <w:top w:val="nil"/>
                <w:left w:val="nil"/>
                <w:bottom w:val="nil"/>
                <w:right w:val="nil"/>
                <w:between w:val="nil"/>
              </w:pBdr>
              <w:spacing w:after="0" w:line="240" w:lineRule="auto"/>
              <w:ind w:right="73"/>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Critical Bounds Value </w:t>
            </w:r>
          </w:p>
        </w:tc>
        <w:tc>
          <w:tcPr>
            <w:tcW w:w="3516" w:type="dxa"/>
            <w:tcBorders>
              <w:top w:val="single" w:sz="8" w:space="0" w:color="000000"/>
              <w:left w:val="nil"/>
              <w:bottom w:val="nil"/>
              <w:right w:val="nil"/>
            </w:tcBorders>
          </w:tcPr>
          <w:p w14:paraId="0566B015" w14:textId="77777777" w:rsidR="00472922" w:rsidRDefault="00B5152B">
            <w:pPr>
              <w:pBdr>
                <w:top w:val="nil"/>
                <w:left w:val="nil"/>
                <w:bottom w:val="nil"/>
                <w:right w:val="nil"/>
                <w:between w:val="nil"/>
              </w:pBdr>
              <w:spacing w:after="0" w:line="240" w:lineRule="auto"/>
              <w:ind w:left="148"/>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w:t>
            </w:r>
          </w:p>
        </w:tc>
      </w:tr>
      <w:tr w:rsidR="00472922" w14:paraId="257BC969" w14:textId="77777777">
        <w:trPr>
          <w:cantSplit/>
          <w:trHeight w:val="318"/>
          <w:tblHeader/>
        </w:trPr>
        <w:tc>
          <w:tcPr>
            <w:tcW w:w="2036" w:type="dxa"/>
            <w:tcBorders>
              <w:top w:val="nil"/>
              <w:left w:val="nil"/>
              <w:bottom w:val="nil"/>
              <w:right w:val="nil"/>
            </w:tcBorders>
          </w:tcPr>
          <w:p w14:paraId="2A53630E" w14:textId="77777777" w:rsidR="00472922" w:rsidRDefault="00B5152B">
            <w:pPr>
              <w:pBdr>
                <w:top w:val="nil"/>
                <w:left w:val="nil"/>
                <w:bottom w:val="nil"/>
                <w:right w:val="nil"/>
                <w:between w:val="nil"/>
              </w:pBdr>
              <w:spacing w:after="0" w:line="240" w:lineRule="auto"/>
              <w:ind w:left="1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Significance level </w:t>
            </w:r>
          </w:p>
        </w:tc>
        <w:tc>
          <w:tcPr>
            <w:tcW w:w="4038" w:type="dxa"/>
            <w:tcBorders>
              <w:top w:val="nil"/>
              <w:left w:val="nil"/>
              <w:bottom w:val="nil"/>
              <w:right w:val="nil"/>
            </w:tcBorders>
          </w:tcPr>
          <w:p w14:paraId="5C0BE581" w14:textId="77777777" w:rsidR="00472922" w:rsidRDefault="00B5152B">
            <w:pPr>
              <w:pBdr>
                <w:top w:val="nil"/>
                <w:left w:val="nil"/>
                <w:bottom w:val="nil"/>
                <w:right w:val="nil"/>
                <w:between w:val="nil"/>
              </w:pBdr>
              <w:spacing w:after="0" w:line="240" w:lineRule="auto"/>
              <w:ind w:left="6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Lower bound </w:t>
            </w:r>
            <w:proofErr w:type="gramStart"/>
            <w:r>
              <w:rPr>
                <w:rFonts w:ascii="Times New Roman" w:eastAsia="Times New Roman" w:hAnsi="Times New Roman" w:cs="Times New Roman"/>
                <w:color w:val="000000"/>
                <w:sz w:val="24"/>
                <w:szCs w:val="24"/>
              </w:rPr>
              <w:t>I(</w:t>
            </w:r>
            <w:proofErr w:type="gramEnd"/>
            <w:r>
              <w:rPr>
                <w:rFonts w:ascii="Times New Roman" w:eastAsia="Times New Roman" w:hAnsi="Times New Roman" w:cs="Times New Roman"/>
                <w:color w:val="000000"/>
                <w:sz w:val="24"/>
                <w:szCs w:val="24"/>
              </w:rPr>
              <w:t>0)</w:t>
            </w:r>
          </w:p>
        </w:tc>
        <w:tc>
          <w:tcPr>
            <w:tcW w:w="3516" w:type="dxa"/>
            <w:tcBorders>
              <w:top w:val="nil"/>
              <w:left w:val="nil"/>
              <w:bottom w:val="nil"/>
              <w:right w:val="nil"/>
            </w:tcBorders>
          </w:tcPr>
          <w:p w14:paraId="4F706266" w14:textId="77777777" w:rsidR="00472922" w:rsidRDefault="00B5152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Upper bound </w:t>
            </w:r>
            <w:proofErr w:type="gramStart"/>
            <w:r>
              <w:rPr>
                <w:rFonts w:ascii="Times New Roman" w:eastAsia="Times New Roman" w:hAnsi="Times New Roman" w:cs="Times New Roman"/>
                <w:color w:val="000000"/>
                <w:sz w:val="24"/>
                <w:szCs w:val="24"/>
              </w:rPr>
              <w:t>I(</w:t>
            </w:r>
            <w:proofErr w:type="gramEnd"/>
            <w:r>
              <w:rPr>
                <w:rFonts w:ascii="Times New Roman" w:eastAsia="Times New Roman" w:hAnsi="Times New Roman" w:cs="Times New Roman"/>
                <w:color w:val="000000"/>
                <w:sz w:val="24"/>
                <w:szCs w:val="24"/>
              </w:rPr>
              <w:t>1)</w:t>
            </w:r>
          </w:p>
        </w:tc>
      </w:tr>
      <w:tr w:rsidR="00472922" w14:paraId="5D66275A" w14:textId="77777777">
        <w:trPr>
          <w:cantSplit/>
          <w:trHeight w:val="318"/>
          <w:tblHeader/>
        </w:trPr>
        <w:tc>
          <w:tcPr>
            <w:tcW w:w="2036" w:type="dxa"/>
            <w:tcBorders>
              <w:top w:val="nil"/>
              <w:left w:val="nil"/>
              <w:bottom w:val="nil"/>
              <w:right w:val="nil"/>
            </w:tcBorders>
          </w:tcPr>
          <w:p w14:paraId="18EA7945" w14:textId="77777777" w:rsidR="00472922" w:rsidRDefault="00B5152B">
            <w:pPr>
              <w:pBdr>
                <w:top w:val="nil"/>
                <w:left w:val="nil"/>
                <w:bottom w:val="nil"/>
                <w:right w:val="nil"/>
                <w:between w:val="nil"/>
              </w:pBdr>
              <w:spacing w:after="0" w:line="240" w:lineRule="auto"/>
              <w:ind w:left="1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10% </w:t>
            </w:r>
          </w:p>
        </w:tc>
        <w:tc>
          <w:tcPr>
            <w:tcW w:w="4038" w:type="dxa"/>
            <w:tcBorders>
              <w:top w:val="nil"/>
              <w:left w:val="nil"/>
              <w:bottom w:val="nil"/>
              <w:right w:val="nil"/>
            </w:tcBorders>
            <w:vAlign w:val="bottom"/>
          </w:tcPr>
          <w:p w14:paraId="763B016A" w14:textId="77777777" w:rsidR="00472922" w:rsidRDefault="00B5152B">
            <w:pPr>
              <w:spacing w:after="0" w:line="240" w:lineRule="auto"/>
              <w:ind w:right="1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2.63</w:t>
            </w:r>
          </w:p>
        </w:tc>
        <w:tc>
          <w:tcPr>
            <w:tcW w:w="3516" w:type="dxa"/>
            <w:tcBorders>
              <w:top w:val="nil"/>
              <w:left w:val="nil"/>
              <w:bottom w:val="nil"/>
              <w:right w:val="nil"/>
            </w:tcBorders>
            <w:vAlign w:val="bottom"/>
          </w:tcPr>
          <w:p w14:paraId="50B225EF" w14:textId="77777777" w:rsidR="00472922" w:rsidRDefault="00B5152B">
            <w:pPr>
              <w:spacing w:after="0" w:line="240" w:lineRule="auto"/>
              <w:ind w:right="1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3.35</w:t>
            </w:r>
          </w:p>
        </w:tc>
      </w:tr>
      <w:tr w:rsidR="00472922" w14:paraId="3A15880D" w14:textId="77777777">
        <w:trPr>
          <w:cantSplit/>
          <w:trHeight w:val="317"/>
          <w:tblHeader/>
        </w:trPr>
        <w:tc>
          <w:tcPr>
            <w:tcW w:w="2036" w:type="dxa"/>
            <w:tcBorders>
              <w:top w:val="nil"/>
              <w:left w:val="nil"/>
              <w:bottom w:val="nil"/>
              <w:right w:val="nil"/>
            </w:tcBorders>
          </w:tcPr>
          <w:p w14:paraId="33008642" w14:textId="77777777" w:rsidR="00472922" w:rsidRDefault="00B5152B">
            <w:pPr>
              <w:pBdr>
                <w:top w:val="nil"/>
                <w:left w:val="nil"/>
                <w:bottom w:val="nil"/>
                <w:right w:val="nil"/>
                <w:between w:val="nil"/>
              </w:pBdr>
              <w:spacing w:after="0" w:line="240" w:lineRule="auto"/>
              <w:ind w:left="1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w:t>
            </w:r>
          </w:p>
        </w:tc>
        <w:tc>
          <w:tcPr>
            <w:tcW w:w="4038" w:type="dxa"/>
            <w:tcBorders>
              <w:top w:val="nil"/>
              <w:left w:val="nil"/>
              <w:bottom w:val="nil"/>
              <w:right w:val="nil"/>
            </w:tcBorders>
            <w:vAlign w:val="bottom"/>
          </w:tcPr>
          <w:p w14:paraId="362B4E4B" w14:textId="77777777" w:rsidR="00472922" w:rsidRDefault="00B5152B">
            <w:pPr>
              <w:spacing w:after="0" w:line="240" w:lineRule="auto"/>
              <w:ind w:right="1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w:t>
            </w:r>
          </w:p>
        </w:tc>
        <w:tc>
          <w:tcPr>
            <w:tcW w:w="3516" w:type="dxa"/>
            <w:tcBorders>
              <w:top w:val="nil"/>
              <w:left w:val="nil"/>
              <w:bottom w:val="nil"/>
              <w:right w:val="nil"/>
            </w:tcBorders>
            <w:vAlign w:val="bottom"/>
          </w:tcPr>
          <w:p w14:paraId="3667758E" w14:textId="77777777" w:rsidR="00472922" w:rsidRDefault="00B5152B">
            <w:pPr>
              <w:spacing w:after="0" w:line="240" w:lineRule="auto"/>
              <w:ind w:right="1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3.87</w:t>
            </w:r>
          </w:p>
        </w:tc>
      </w:tr>
      <w:tr w:rsidR="00472922" w14:paraId="5F4FA2CC" w14:textId="77777777">
        <w:trPr>
          <w:cantSplit/>
          <w:trHeight w:val="317"/>
          <w:tblHeader/>
        </w:trPr>
        <w:tc>
          <w:tcPr>
            <w:tcW w:w="2036" w:type="dxa"/>
            <w:tcBorders>
              <w:top w:val="nil"/>
              <w:left w:val="nil"/>
              <w:bottom w:val="nil"/>
              <w:right w:val="nil"/>
            </w:tcBorders>
          </w:tcPr>
          <w:p w14:paraId="67112ECA" w14:textId="77777777" w:rsidR="00472922" w:rsidRDefault="00B5152B">
            <w:pPr>
              <w:pBdr>
                <w:top w:val="nil"/>
                <w:left w:val="nil"/>
                <w:bottom w:val="nil"/>
                <w:right w:val="nil"/>
                <w:between w:val="nil"/>
              </w:pBdr>
              <w:spacing w:after="0" w:line="240" w:lineRule="auto"/>
              <w:ind w:left="1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2.5% </w:t>
            </w:r>
          </w:p>
        </w:tc>
        <w:tc>
          <w:tcPr>
            <w:tcW w:w="4038" w:type="dxa"/>
            <w:tcBorders>
              <w:top w:val="nil"/>
              <w:left w:val="nil"/>
              <w:bottom w:val="nil"/>
              <w:right w:val="nil"/>
            </w:tcBorders>
            <w:vAlign w:val="bottom"/>
          </w:tcPr>
          <w:p w14:paraId="193CF3F2" w14:textId="77777777" w:rsidR="00472922" w:rsidRDefault="00B5152B">
            <w:pPr>
              <w:spacing w:after="0" w:line="240" w:lineRule="auto"/>
              <w:ind w:right="1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3.55</w:t>
            </w:r>
          </w:p>
        </w:tc>
        <w:tc>
          <w:tcPr>
            <w:tcW w:w="3516" w:type="dxa"/>
            <w:tcBorders>
              <w:top w:val="nil"/>
              <w:left w:val="nil"/>
              <w:bottom w:val="nil"/>
              <w:right w:val="nil"/>
            </w:tcBorders>
            <w:vAlign w:val="bottom"/>
          </w:tcPr>
          <w:p w14:paraId="5267485B" w14:textId="77777777" w:rsidR="00472922" w:rsidRDefault="00B5152B">
            <w:pPr>
              <w:spacing w:after="0" w:line="240" w:lineRule="auto"/>
              <w:ind w:right="1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4.38</w:t>
            </w:r>
          </w:p>
        </w:tc>
      </w:tr>
      <w:tr w:rsidR="00472922" w14:paraId="61DAEA23" w14:textId="77777777">
        <w:trPr>
          <w:cantSplit/>
          <w:trHeight w:val="326"/>
          <w:tblHeader/>
        </w:trPr>
        <w:tc>
          <w:tcPr>
            <w:tcW w:w="2036" w:type="dxa"/>
            <w:tcBorders>
              <w:top w:val="nil"/>
              <w:left w:val="nil"/>
              <w:bottom w:val="single" w:sz="8" w:space="0" w:color="000000"/>
              <w:right w:val="nil"/>
            </w:tcBorders>
          </w:tcPr>
          <w:p w14:paraId="0D2560DA" w14:textId="77777777" w:rsidR="00472922" w:rsidRDefault="00B5152B">
            <w:pPr>
              <w:pBdr>
                <w:top w:val="nil"/>
                <w:left w:val="nil"/>
                <w:bottom w:val="nil"/>
                <w:right w:val="nil"/>
                <w:between w:val="nil"/>
              </w:pBdr>
              <w:spacing w:after="0" w:line="240" w:lineRule="auto"/>
              <w:ind w:left="1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w:t>
            </w:r>
          </w:p>
        </w:tc>
        <w:tc>
          <w:tcPr>
            <w:tcW w:w="4038" w:type="dxa"/>
            <w:tcBorders>
              <w:top w:val="nil"/>
              <w:left w:val="nil"/>
              <w:bottom w:val="single" w:sz="8" w:space="0" w:color="000000"/>
              <w:right w:val="nil"/>
            </w:tcBorders>
            <w:vAlign w:val="bottom"/>
          </w:tcPr>
          <w:p w14:paraId="6E013E85" w14:textId="77777777" w:rsidR="00472922" w:rsidRDefault="00B5152B">
            <w:pPr>
              <w:spacing w:after="0" w:line="240" w:lineRule="auto"/>
              <w:ind w:right="1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4.13</w:t>
            </w:r>
          </w:p>
        </w:tc>
        <w:tc>
          <w:tcPr>
            <w:tcW w:w="3516" w:type="dxa"/>
            <w:tcBorders>
              <w:top w:val="nil"/>
              <w:left w:val="nil"/>
              <w:bottom w:val="single" w:sz="8" w:space="0" w:color="000000"/>
              <w:right w:val="nil"/>
            </w:tcBorders>
            <w:vAlign w:val="bottom"/>
          </w:tcPr>
          <w:p w14:paraId="40C85E6A" w14:textId="77777777" w:rsidR="00472922" w:rsidRDefault="00B5152B">
            <w:pPr>
              <w:spacing w:after="0" w:line="240" w:lineRule="auto"/>
              <w:ind w:right="1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r>
    </w:tbl>
    <w:p w14:paraId="2655348E" w14:textId="77777777" w:rsidR="00472922" w:rsidRDefault="00B5152B">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Note: K = Number of Variables</w:t>
      </w:r>
    </w:p>
    <w:p w14:paraId="2DCDFE62" w14:textId="77777777" w:rsidR="00472922" w:rsidRDefault="00B5152B">
      <w:pPr>
        <w:pBdr>
          <w:top w:val="nil"/>
          <w:left w:val="nil"/>
          <w:bottom w:val="nil"/>
          <w:right w:val="nil"/>
          <w:between w:val="nil"/>
        </w:pBdr>
        <w:shd w:val="clear" w:color="auto" w:fill="FFFFFF"/>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Source: Author's Computation from EViews 10 (2026)</w:t>
      </w:r>
    </w:p>
    <w:p w14:paraId="52A4C46D" w14:textId="77777777" w:rsidR="00472922" w:rsidRDefault="00B5152B">
      <w:pPr>
        <w:spacing w:after="0" w:line="36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The results of the ARDL Bounds Cointegration Test are presented in Table 4. The estimated F-statistic (5.753045) is greater than the critical values for the 10%, 5%, 2.5% and 1% significance levels; thus, the null hypothesis of no cointegration is rejected. This verifies that a long-run stable relationship exists in Nigeria between economic growth, new business density and literacy rate. The result suggests the use of the ARDL long-run model and the error correction model (ECM) to study the long-run and short-run </w:t>
      </w:r>
      <w:proofErr w:type="spellStart"/>
      <w:r>
        <w:rPr>
          <w:rFonts w:ascii="Times New Roman" w:eastAsia="Times New Roman" w:hAnsi="Times New Roman" w:cs="Times New Roman"/>
          <w:color w:val="000000"/>
          <w:sz w:val="24"/>
          <w:szCs w:val="24"/>
        </w:rPr>
        <w:t>behaviour</w:t>
      </w:r>
      <w:proofErr w:type="spellEnd"/>
      <w:r>
        <w:rPr>
          <w:rFonts w:ascii="Times New Roman" w:eastAsia="Times New Roman" w:hAnsi="Times New Roman" w:cs="Times New Roman"/>
          <w:color w:val="000000"/>
          <w:sz w:val="24"/>
          <w:szCs w:val="24"/>
        </w:rPr>
        <w:t xml:space="preserve"> of the relationship. Additional diagnostic testing was also done to validate the estimated model and is included in Table 5.</w:t>
      </w:r>
    </w:p>
    <w:p w14:paraId="161066BD" w14:textId="77777777" w:rsidR="00472922" w:rsidRDefault="00B5152B">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Table 5: Diagnostic Test Results</w:t>
      </w:r>
    </w:p>
    <w:tbl>
      <w:tblPr>
        <w:tblStyle w:val="a3"/>
        <w:tblW w:w="9576" w:type="dxa"/>
        <w:tblInd w:w="-115" w:type="dxa"/>
        <w:tblBorders>
          <w:top w:val="single" w:sz="8" w:space="0" w:color="000000"/>
          <w:bottom w:val="single" w:sz="8" w:space="0" w:color="000000"/>
        </w:tblBorders>
        <w:tblLayout w:type="fixed"/>
        <w:tblLook w:val="0600" w:firstRow="0" w:lastRow="0" w:firstColumn="0" w:lastColumn="0" w:noHBand="1" w:noVBand="1"/>
      </w:tblPr>
      <w:tblGrid>
        <w:gridCol w:w="6150"/>
        <w:gridCol w:w="1967"/>
        <w:gridCol w:w="1459"/>
      </w:tblGrid>
      <w:tr w:rsidR="00472922" w14:paraId="055C9160" w14:textId="77777777">
        <w:tc>
          <w:tcPr>
            <w:tcW w:w="6150" w:type="dxa"/>
            <w:tcBorders>
              <w:top w:val="single" w:sz="8" w:space="0" w:color="000000"/>
              <w:left w:val="nil"/>
              <w:bottom w:val="single" w:sz="8" w:space="0" w:color="000000"/>
              <w:right w:val="nil"/>
            </w:tcBorders>
          </w:tcPr>
          <w:p w14:paraId="0E420BAC" w14:textId="77777777" w:rsidR="00472922" w:rsidRDefault="00B5152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Diagnostic Tests</w:t>
            </w:r>
          </w:p>
        </w:tc>
        <w:tc>
          <w:tcPr>
            <w:tcW w:w="1967" w:type="dxa"/>
            <w:tcBorders>
              <w:top w:val="single" w:sz="8" w:space="0" w:color="000000"/>
              <w:left w:val="nil"/>
              <w:bottom w:val="single" w:sz="8" w:space="0" w:color="000000"/>
              <w:right w:val="nil"/>
            </w:tcBorders>
          </w:tcPr>
          <w:p w14:paraId="16C68301" w14:textId="77777777" w:rsidR="00472922" w:rsidRDefault="00B5152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F-statistics</w:t>
            </w:r>
          </w:p>
        </w:tc>
        <w:tc>
          <w:tcPr>
            <w:tcW w:w="1459" w:type="dxa"/>
            <w:tcBorders>
              <w:top w:val="single" w:sz="8" w:space="0" w:color="000000"/>
              <w:left w:val="nil"/>
              <w:bottom w:val="single" w:sz="8" w:space="0" w:color="000000"/>
              <w:right w:val="nil"/>
            </w:tcBorders>
          </w:tcPr>
          <w:p w14:paraId="589C75B5" w14:textId="77777777" w:rsidR="00472922" w:rsidRDefault="00B5152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Probability</w:t>
            </w:r>
          </w:p>
        </w:tc>
      </w:tr>
      <w:tr w:rsidR="00472922" w14:paraId="74274CF7" w14:textId="77777777">
        <w:tc>
          <w:tcPr>
            <w:tcW w:w="6150" w:type="dxa"/>
          </w:tcPr>
          <w:p w14:paraId="4B41C393" w14:textId="77777777" w:rsidR="00472922" w:rsidRDefault="00B5152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Jarque-Bera</w:t>
            </w:r>
          </w:p>
        </w:tc>
        <w:tc>
          <w:tcPr>
            <w:tcW w:w="1967" w:type="dxa"/>
          </w:tcPr>
          <w:p w14:paraId="34F8C4FB" w14:textId="77777777" w:rsidR="00472922" w:rsidRDefault="00B5152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0.678049</w:t>
            </w:r>
          </w:p>
        </w:tc>
        <w:tc>
          <w:tcPr>
            <w:tcW w:w="1459" w:type="dxa"/>
          </w:tcPr>
          <w:p w14:paraId="46A99E36" w14:textId="77777777" w:rsidR="00472922" w:rsidRDefault="00B5152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0.7124</w:t>
            </w:r>
          </w:p>
        </w:tc>
      </w:tr>
      <w:tr w:rsidR="00472922" w14:paraId="2659D457" w14:textId="77777777">
        <w:tc>
          <w:tcPr>
            <w:tcW w:w="6150" w:type="dxa"/>
          </w:tcPr>
          <w:p w14:paraId="22C08749" w14:textId="77777777" w:rsidR="00472922" w:rsidRDefault="00B5152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Breusch-Godfrey Serial Correlation LM Test</w:t>
            </w:r>
          </w:p>
        </w:tc>
        <w:tc>
          <w:tcPr>
            <w:tcW w:w="1967" w:type="dxa"/>
          </w:tcPr>
          <w:p w14:paraId="4F12B032" w14:textId="77777777" w:rsidR="00472922" w:rsidRDefault="00B5152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5.616898</w:t>
            </w:r>
          </w:p>
        </w:tc>
        <w:tc>
          <w:tcPr>
            <w:tcW w:w="1459" w:type="dxa"/>
          </w:tcPr>
          <w:p w14:paraId="1AFE3C3E" w14:textId="77777777" w:rsidR="00472922" w:rsidRDefault="00B5152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0.1511</w:t>
            </w:r>
          </w:p>
        </w:tc>
      </w:tr>
      <w:tr w:rsidR="00472922" w14:paraId="629C519E" w14:textId="77777777">
        <w:tc>
          <w:tcPr>
            <w:tcW w:w="6150" w:type="dxa"/>
          </w:tcPr>
          <w:p w14:paraId="5F33E1D3" w14:textId="77777777" w:rsidR="00472922" w:rsidRDefault="00B5152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Heteroskedasticity Test: Breusch-Pagan-Godfrey</w:t>
            </w:r>
          </w:p>
        </w:tc>
        <w:tc>
          <w:tcPr>
            <w:tcW w:w="1967" w:type="dxa"/>
          </w:tcPr>
          <w:p w14:paraId="646B3BC9" w14:textId="77777777" w:rsidR="00472922" w:rsidRDefault="00B5152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0.423409</w:t>
            </w:r>
          </w:p>
        </w:tc>
        <w:tc>
          <w:tcPr>
            <w:tcW w:w="1459" w:type="dxa"/>
          </w:tcPr>
          <w:p w14:paraId="00E16996" w14:textId="77777777" w:rsidR="00472922" w:rsidRDefault="00B5152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0.8601</w:t>
            </w:r>
          </w:p>
        </w:tc>
      </w:tr>
      <w:tr w:rsidR="00472922" w14:paraId="131BF7CD" w14:textId="77777777">
        <w:tc>
          <w:tcPr>
            <w:tcW w:w="6150" w:type="dxa"/>
          </w:tcPr>
          <w:p w14:paraId="21F40819" w14:textId="77777777" w:rsidR="00472922" w:rsidRDefault="00B5152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Ramsey RESET Test</w:t>
            </w:r>
          </w:p>
        </w:tc>
        <w:tc>
          <w:tcPr>
            <w:tcW w:w="1967" w:type="dxa"/>
          </w:tcPr>
          <w:p w14:paraId="29E76307" w14:textId="77777777" w:rsidR="00472922" w:rsidRDefault="00B5152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0.005464</w:t>
            </w:r>
          </w:p>
        </w:tc>
        <w:tc>
          <w:tcPr>
            <w:tcW w:w="1459" w:type="dxa"/>
          </w:tcPr>
          <w:p w14:paraId="2CCEC302" w14:textId="77777777" w:rsidR="00472922" w:rsidRDefault="00B5152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0.9457</w:t>
            </w:r>
          </w:p>
        </w:tc>
      </w:tr>
    </w:tbl>
    <w:p w14:paraId="32FE1F4F" w14:textId="77777777" w:rsidR="00472922" w:rsidRDefault="00B5152B">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Source: Author's Computation from EViews 10 (2026)</w:t>
      </w:r>
    </w:p>
    <w:p w14:paraId="5A03D724" w14:textId="77777777" w:rsidR="00472922" w:rsidRDefault="00B5152B">
      <w:pPr>
        <w:spacing w:before="280" w:after="28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The diagnostic test results for testing the reliability of the estimated ARDL model are shown in Table 5. The Jarque–Bera test (Prob. = 0.7124) showed that the residuals are normally distributed, and the Breusch–Godfrey Serial Correlation LM Test (Prob. = 0.1511) showed that there was no serial correlation. More similarly, the Breusch–Pagan–Godfrey test (Prob. = 0.8601) found that the residuals are </w:t>
      </w:r>
      <w:proofErr w:type="spellStart"/>
      <w:r>
        <w:rPr>
          <w:rFonts w:ascii="Times New Roman" w:eastAsia="Times New Roman" w:hAnsi="Times New Roman" w:cs="Times New Roman"/>
          <w:color w:val="000000"/>
          <w:sz w:val="24"/>
          <w:szCs w:val="24"/>
        </w:rPr>
        <w:t>homoskedastic</w:t>
      </w:r>
      <w:proofErr w:type="spellEnd"/>
      <w:r>
        <w:rPr>
          <w:rFonts w:ascii="Times New Roman" w:eastAsia="Times New Roman" w:hAnsi="Times New Roman" w:cs="Times New Roman"/>
          <w:color w:val="000000"/>
          <w:sz w:val="24"/>
          <w:szCs w:val="24"/>
        </w:rPr>
        <w:t xml:space="preserve">, and the Ramsey RESET test (Prob. = 0.9457) confirmed that the </w:t>
      </w:r>
      <w:r>
        <w:rPr>
          <w:rFonts w:ascii="Times New Roman" w:eastAsia="Times New Roman" w:hAnsi="Times New Roman" w:cs="Times New Roman"/>
          <w:color w:val="000000"/>
          <w:sz w:val="24"/>
          <w:szCs w:val="24"/>
        </w:rPr>
        <w:lastRenderedPageBreak/>
        <w:t xml:space="preserve">model is correctly specified. The findings supported that the estimated ARDL model is robust, reliable and appropriate for making valid statistical inferences. Table 6 presents the results of both long run (LR) and short run (SR) ARDLs. </w:t>
      </w:r>
    </w:p>
    <w:p w14:paraId="606157D1" w14:textId="77777777" w:rsidR="00472922" w:rsidRDefault="00B5152B">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Table 6 ARDL Estimated Results</w:t>
      </w:r>
    </w:p>
    <w:tbl>
      <w:tblPr>
        <w:tblStyle w:val="a4"/>
        <w:tblW w:w="9576" w:type="dxa"/>
        <w:tblInd w:w="-108" w:type="dxa"/>
        <w:tblBorders>
          <w:top w:val="single" w:sz="8" w:space="0" w:color="000000"/>
          <w:bottom w:val="single" w:sz="8" w:space="0" w:color="000000"/>
        </w:tblBorders>
        <w:tblLayout w:type="fixed"/>
        <w:tblLook w:val="06A0" w:firstRow="1" w:lastRow="0" w:firstColumn="1" w:lastColumn="0" w:noHBand="1" w:noVBand="1"/>
      </w:tblPr>
      <w:tblGrid>
        <w:gridCol w:w="2353"/>
        <w:gridCol w:w="2353"/>
        <w:gridCol w:w="1306"/>
        <w:gridCol w:w="1263"/>
        <w:gridCol w:w="1263"/>
        <w:gridCol w:w="1038"/>
      </w:tblGrid>
      <w:tr w:rsidR="00472922" w14:paraId="2F7AE8A7" w14:textId="77777777" w:rsidTr="00472922">
        <w:trPr>
          <w:cnfStyle w:val="100000000000" w:firstRow="1" w:lastRow="0" w:firstColumn="0" w:lastColumn="0" w:oddVBand="0" w:evenVBand="0" w:oddHBand="0"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2353" w:type="dxa"/>
            <w:vMerge w:val="restart"/>
          </w:tcPr>
          <w:p w14:paraId="1172E1AB" w14:textId="77777777" w:rsidR="00472922" w:rsidRDefault="00B5152B">
            <w:pPr>
              <w:jc w:val="center"/>
              <w:rPr>
                <w:rFonts w:ascii="Times New Roman" w:eastAsia="Times New Roman" w:hAnsi="Times New Roman" w:cs="Times New Roman"/>
                <w:sz w:val="24"/>
                <w:szCs w:val="24"/>
              </w:rPr>
            </w:pPr>
            <w:r>
              <w:rPr>
                <w:rFonts w:ascii="Times New Roman" w:eastAsia="Times New Roman" w:hAnsi="Times New Roman" w:cs="Times New Roman"/>
                <w:b w:val="0"/>
                <w:bCs w:val="0"/>
                <w:sz w:val="24"/>
                <w:szCs w:val="24"/>
              </w:rPr>
              <w:t>Long Run Estimated Results</w:t>
            </w:r>
          </w:p>
        </w:tc>
        <w:tc>
          <w:tcPr>
            <w:tcW w:w="2353" w:type="dxa"/>
          </w:tcPr>
          <w:p w14:paraId="7F481072" w14:textId="77777777" w:rsidR="00472922" w:rsidRDefault="00B5152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b w:val="0"/>
                <w:bCs w:val="0"/>
                <w:sz w:val="24"/>
                <w:szCs w:val="24"/>
              </w:rPr>
              <w:t>Variable</w:t>
            </w:r>
          </w:p>
        </w:tc>
        <w:tc>
          <w:tcPr>
            <w:tcW w:w="1306" w:type="dxa"/>
          </w:tcPr>
          <w:p w14:paraId="0AABCF84" w14:textId="77777777" w:rsidR="00472922" w:rsidRDefault="00B5152B">
            <w:pPr>
              <w:ind w:right="10"/>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b w:val="0"/>
                <w:bCs w:val="0"/>
                <w:sz w:val="24"/>
                <w:szCs w:val="24"/>
              </w:rPr>
              <w:t>Coefficient</w:t>
            </w:r>
          </w:p>
        </w:tc>
        <w:tc>
          <w:tcPr>
            <w:tcW w:w="1263" w:type="dxa"/>
          </w:tcPr>
          <w:p w14:paraId="7C44B638" w14:textId="77777777" w:rsidR="00472922" w:rsidRDefault="00B5152B">
            <w:pPr>
              <w:ind w:right="10"/>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b w:val="0"/>
                <w:bCs w:val="0"/>
                <w:sz w:val="24"/>
                <w:szCs w:val="24"/>
              </w:rPr>
              <w:t>Std. Error</w:t>
            </w:r>
          </w:p>
        </w:tc>
        <w:tc>
          <w:tcPr>
            <w:tcW w:w="1263" w:type="dxa"/>
          </w:tcPr>
          <w:p w14:paraId="730F762E" w14:textId="77777777" w:rsidR="00472922" w:rsidRDefault="00B5152B">
            <w:pPr>
              <w:ind w:right="10"/>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b w:val="0"/>
                <w:bCs w:val="0"/>
                <w:sz w:val="24"/>
                <w:szCs w:val="24"/>
              </w:rPr>
              <w:t>t-Statistic</w:t>
            </w:r>
          </w:p>
        </w:tc>
        <w:tc>
          <w:tcPr>
            <w:tcW w:w="1038" w:type="dxa"/>
          </w:tcPr>
          <w:p w14:paraId="3335BC05" w14:textId="77777777" w:rsidR="00472922" w:rsidRDefault="00B5152B">
            <w:pPr>
              <w:ind w:right="10"/>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b w:val="0"/>
                <w:bCs w:val="0"/>
                <w:sz w:val="24"/>
                <w:szCs w:val="24"/>
              </w:rPr>
              <w:t>Prob.   </w:t>
            </w:r>
          </w:p>
        </w:tc>
      </w:tr>
      <w:tr w:rsidR="00472922" w14:paraId="109D4B01" w14:textId="77777777" w:rsidTr="00472922">
        <w:trPr>
          <w:trHeight w:val="225"/>
        </w:trPr>
        <w:tc>
          <w:tcPr>
            <w:cnfStyle w:val="001000000000" w:firstRow="0" w:lastRow="0" w:firstColumn="1" w:lastColumn="0" w:oddVBand="0" w:evenVBand="0" w:oddHBand="0" w:evenHBand="0" w:firstRowFirstColumn="0" w:firstRowLastColumn="0" w:lastRowFirstColumn="0" w:lastRowLastColumn="0"/>
            <w:tcW w:w="2353" w:type="dxa"/>
            <w:vMerge/>
          </w:tcPr>
          <w:p w14:paraId="193C2A88" w14:textId="77777777" w:rsidR="00472922" w:rsidRDefault="0047292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353" w:type="dxa"/>
          </w:tcPr>
          <w:p w14:paraId="34387168" w14:textId="77777777" w:rsidR="00472922"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NBD</w:t>
            </w:r>
          </w:p>
        </w:tc>
        <w:tc>
          <w:tcPr>
            <w:tcW w:w="1306" w:type="dxa"/>
          </w:tcPr>
          <w:p w14:paraId="74637FFD"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10.09451</w:t>
            </w:r>
          </w:p>
        </w:tc>
        <w:tc>
          <w:tcPr>
            <w:tcW w:w="1263" w:type="dxa"/>
          </w:tcPr>
          <w:p w14:paraId="28320B9E"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7.393791</w:t>
            </w:r>
          </w:p>
        </w:tc>
        <w:tc>
          <w:tcPr>
            <w:tcW w:w="1263" w:type="dxa"/>
          </w:tcPr>
          <w:p w14:paraId="22F465DF"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1.365268</w:t>
            </w:r>
          </w:p>
        </w:tc>
        <w:tc>
          <w:tcPr>
            <w:tcW w:w="1038" w:type="dxa"/>
          </w:tcPr>
          <w:p w14:paraId="14F4DBB4"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0.2439</w:t>
            </w:r>
          </w:p>
        </w:tc>
      </w:tr>
      <w:tr w:rsidR="00472922" w14:paraId="7D9B32A7" w14:textId="77777777" w:rsidTr="00472922">
        <w:trPr>
          <w:trHeight w:val="225"/>
        </w:trPr>
        <w:tc>
          <w:tcPr>
            <w:cnfStyle w:val="001000000000" w:firstRow="0" w:lastRow="0" w:firstColumn="1" w:lastColumn="0" w:oddVBand="0" w:evenVBand="0" w:oddHBand="0" w:evenHBand="0" w:firstRowFirstColumn="0" w:firstRowLastColumn="0" w:lastRowFirstColumn="0" w:lastRowLastColumn="0"/>
            <w:tcW w:w="2353" w:type="dxa"/>
          </w:tcPr>
          <w:p w14:paraId="7D532B31" w14:textId="77777777" w:rsidR="00472922" w:rsidRDefault="00472922">
            <w:pPr>
              <w:jc w:val="center"/>
              <w:rPr>
                <w:rFonts w:ascii="Times New Roman" w:eastAsia="Times New Roman" w:hAnsi="Times New Roman" w:cs="Times New Roman"/>
                <w:sz w:val="24"/>
                <w:szCs w:val="24"/>
              </w:rPr>
            </w:pPr>
          </w:p>
        </w:tc>
        <w:tc>
          <w:tcPr>
            <w:tcW w:w="2353" w:type="dxa"/>
          </w:tcPr>
          <w:p w14:paraId="7AAD0217" w14:textId="77777777" w:rsidR="00472922"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ALR</w:t>
            </w:r>
          </w:p>
        </w:tc>
        <w:tc>
          <w:tcPr>
            <w:tcW w:w="1306" w:type="dxa"/>
          </w:tcPr>
          <w:p w14:paraId="5A361FF8"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-2.812466</w:t>
            </w:r>
          </w:p>
        </w:tc>
        <w:tc>
          <w:tcPr>
            <w:tcW w:w="1263" w:type="dxa"/>
          </w:tcPr>
          <w:p w14:paraId="6975516C"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0.513797</w:t>
            </w:r>
          </w:p>
        </w:tc>
        <w:tc>
          <w:tcPr>
            <w:tcW w:w="1263" w:type="dxa"/>
          </w:tcPr>
          <w:p w14:paraId="54C17E64"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-5.473887</w:t>
            </w:r>
          </w:p>
        </w:tc>
        <w:tc>
          <w:tcPr>
            <w:tcW w:w="1038" w:type="dxa"/>
          </w:tcPr>
          <w:p w14:paraId="1E1A9A39"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0.0054</w:t>
            </w:r>
          </w:p>
        </w:tc>
      </w:tr>
      <w:tr w:rsidR="00472922" w14:paraId="1F752FA2" w14:textId="77777777" w:rsidTr="00472922">
        <w:trPr>
          <w:trHeight w:val="225"/>
        </w:trPr>
        <w:tc>
          <w:tcPr>
            <w:cnfStyle w:val="001000000000" w:firstRow="0" w:lastRow="0" w:firstColumn="1" w:lastColumn="0" w:oddVBand="0" w:evenVBand="0" w:oddHBand="0" w:evenHBand="0" w:firstRowFirstColumn="0" w:firstRowLastColumn="0" w:lastRowFirstColumn="0" w:lastRowLastColumn="0"/>
            <w:tcW w:w="2353" w:type="dxa"/>
          </w:tcPr>
          <w:p w14:paraId="45F3287A" w14:textId="77777777" w:rsidR="00472922" w:rsidRDefault="00472922">
            <w:pPr>
              <w:jc w:val="center"/>
              <w:rPr>
                <w:rFonts w:ascii="Times New Roman" w:eastAsia="Times New Roman" w:hAnsi="Times New Roman" w:cs="Times New Roman"/>
                <w:sz w:val="24"/>
                <w:szCs w:val="24"/>
              </w:rPr>
            </w:pPr>
          </w:p>
        </w:tc>
        <w:tc>
          <w:tcPr>
            <w:tcW w:w="2353" w:type="dxa"/>
          </w:tcPr>
          <w:p w14:paraId="1C64BB3F" w14:textId="77777777" w:rsidR="00472922"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C</w:t>
            </w:r>
          </w:p>
        </w:tc>
        <w:tc>
          <w:tcPr>
            <w:tcW w:w="1306" w:type="dxa"/>
          </w:tcPr>
          <w:p w14:paraId="5F701B14"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260.3524</w:t>
            </w:r>
          </w:p>
        </w:tc>
        <w:tc>
          <w:tcPr>
            <w:tcW w:w="1263" w:type="dxa"/>
          </w:tcPr>
          <w:p w14:paraId="6ACBBB22"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48.43454</w:t>
            </w:r>
          </w:p>
        </w:tc>
        <w:tc>
          <w:tcPr>
            <w:tcW w:w="1263" w:type="dxa"/>
          </w:tcPr>
          <w:p w14:paraId="24D704A2"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5.375347</w:t>
            </w:r>
          </w:p>
        </w:tc>
        <w:tc>
          <w:tcPr>
            <w:tcW w:w="1038" w:type="dxa"/>
          </w:tcPr>
          <w:p w14:paraId="67D9894D"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0.0058</w:t>
            </w:r>
          </w:p>
        </w:tc>
      </w:tr>
      <w:tr w:rsidR="00472922" w14:paraId="7CB72E78" w14:textId="77777777" w:rsidTr="00472922">
        <w:trPr>
          <w:trHeight w:val="225"/>
        </w:trPr>
        <w:tc>
          <w:tcPr>
            <w:cnfStyle w:val="001000000000" w:firstRow="0" w:lastRow="0" w:firstColumn="1" w:lastColumn="0" w:oddVBand="0" w:evenVBand="0" w:oddHBand="0" w:evenHBand="0" w:firstRowFirstColumn="0" w:firstRowLastColumn="0" w:lastRowFirstColumn="0" w:lastRowLastColumn="0"/>
            <w:tcW w:w="2353" w:type="dxa"/>
            <w:vMerge w:val="restart"/>
          </w:tcPr>
          <w:p w14:paraId="6DB11977" w14:textId="77777777" w:rsidR="00472922" w:rsidRDefault="00B5152B">
            <w:pPr>
              <w:jc w:val="center"/>
              <w:rPr>
                <w:rFonts w:ascii="Times New Roman" w:eastAsia="Times New Roman" w:hAnsi="Times New Roman" w:cs="Times New Roman"/>
                <w:sz w:val="24"/>
                <w:szCs w:val="24"/>
              </w:rPr>
            </w:pPr>
            <w:r>
              <w:rPr>
                <w:rFonts w:ascii="Times New Roman" w:eastAsia="Times New Roman" w:hAnsi="Times New Roman" w:cs="Times New Roman"/>
                <w:b w:val="0"/>
                <w:bCs w:val="0"/>
                <w:sz w:val="24"/>
                <w:szCs w:val="24"/>
              </w:rPr>
              <w:t>Short Run Estimated Results</w:t>
            </w:r>
          </w:p>
        </w:tc>
        <w:tc>
          <w:tcPr>
            <w:tcW w:w="2353" w:type="dxa"/>
          </w:tcPr>
          <w:p w14:paraId="3E2ACC3D" w14:textId="77777777" w:rsidR="00472922"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Variable</w:t>
            </w:r>
          </w:p>
        </w:tc>
        <w:tc>
          <w:tcPr>
            <w:tcW w:w="1306" w:type="dxa"/>
          </w:tcPr>
          <w:p w14:paraId="0AEA0A1E"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Coefficient</w:t>
            </w:r>
          </w:p>
        </w:tc>
        <w:tc>
          <w:tcPr>
            <w:tcW w:w="1263" w:type="dxa"/>
          </w:tcPr>
          <w:p w14:paraId="4F92DF17"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Std. Error</w:t>
            </w:r>
          </w:p>
        </w:tc>
        <w:tc>
          <w:tcPr>
            <w:tcW w:w="1263" w:type="dxa"/>
          </w:tcPr>
          <w:p w14:paraId="5085460D"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t-Statistic</w:t>
            </w:r>
          </w:p>
        </w:tc>
        <w:tc>
          <w:tcPr>
            <w:tcW w:w="1038" w:type="dxa"/>
          </w:tcPr>
          <w:p w14:paraId="23DD529E"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Prob.   </w:t>
            </w:r>
          </w:p>
        </w:tc>
      </w:tr>
      <w:tr w:rsidR="00472922" w14:paraId="0EEEC3FB" w14:textId="77777777" w:rsidTr="00472922">
        <w:trPr>
          <w:trHeight w:val="225"/>
        </w:trPr>
        <w:tc>
          <w:tcPr>
            <w:cnfStyle w:val="001000000000" w:firstRow="0" w:lastRow="0" w:firstColumn="1" w:lastColumn="0" w:oddVBand="0" w:evenVBand="0" w:oddHBand="0" w:evenHBand="0" w:firstRowFirstColumn="0" w:firstRowLastColumn="0" w:lastRowFirstColumn="0" w:lastRowLastColumn="0"/>
            <w:tcW w:w="2353" w:type="dxa"/>
            <w:vMerge/>
          </w:tcPr>
          <w:p w14:paraId="1A7E9ED8" w14:textId="77777777" w:rsidR="00472922" w:rsidRDefault="0047292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353" w:type="dxa"/>
          </w:tcPr>
          <w:p w14:paraId="06A071A8" w14:textId="77777777" w:rsidR="00472922"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D(</w:t>
            </w:r>
            <w:proofErr w:type="gramStart"/>
            <w:r>
              <w:rPr>
                <w:rFonts w:ascii="Times New Roman" w:eastAsia="Times New Roman" w:hAnsi="Times New Roman" w:cs="Times New Roman"/>
                <w:sz w:val="24"/>
                <w:szCs w:val="24"/>
              </w:rPr>
              <w:t>GR(</w:t>
            </w:r>
            <w:proofErr w:type="gramEnd"/>
            <w:r>
              <w:rPr>
                <w:rFonts w:ascii="Times New Roman" w:eastAsia="Times New Roman" w:hAnsi="Times New Roman" w:cs="Times New Roman"/>
                <w:sz w:val="24"/>
                <w:szCs w:val="24"/>
              </w:rPr>
              <w:t>-1))</w:t>
            </w:r>
          </w:p>
        </w:tc>
        <w:tc>
          <w:tcPr>
            <w:tcW w:w="1306" w:type="dxa"/>
          </w:tcPr>
          <w:p w14:paraId="5434DB73"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0.692423</w:t>
            </w:r>
          </w:p>
        </w:tc>
        <w:tc>
          <w:tcPr>
            <w:tcW w:w="1263" w:type="dxa"/>
          </w:tcPr>
          <w:p w14:paraId="0AD3A512"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0.138032</w:t>
            </w:r>
          </w:p>
        </w:tc>
        <w:tc>
          <w:tcPr>
            <w:tcW w:w="1263" w:type="dxa"/>
          </w:tcPr>
          <w:p w14:paraId="7470524B"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5.016388</w:t>
            </w:r>
          </w:p>
        </w:tc>
        <w:tc>
          <w:tcPr>
            <w:tcW w:w="1038" w:type="dxa"/>
          </w:tcPr>
          <w:p w14:paraId="1411EE47"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0.0074</w:t>
            </w:r>
          </w:p>
        </w:tc>
      </w:tr>
      <w:tr w:rsidR="00472922" w14:paraId="22B4B440" w14:textId="77777777" w:rsidTr="00472922">
        <w:trPr>
          <w:trHeight w:val="225"/>
        </w:trPr>
        <w:tc>
          <w:tcPr>
            <w:cnfStyle w:val="001000000000" w:firstRow="0" w:lastRow="0" w:firstColumn="1" w:lastColumn="0" w:oddVBand="0" w:evenVBand="0" w:oddHBand="0" w:evenHBand="0" w:firstRowFirstColumn="0" w:firstRowLastColumn="0" w:lastRowFirstColumn="0" w:lastRowLastColumn="0"/>
            <w:tcW w:w="2353" w:type="dxa"/>
          </w:tcPr>
          <w:p w14:paraId="78E131C6" w14:textId="77777777" w:rsidR="00472922" w:rsidRDefault="00472922">
            <w:pPr>
              <w:jc w:val="center"/>
              <w:rPr>
                <w:rFonts w:ascii="Times New Roman" w:eastAsia="Times New Roman" w:hAnsi="Times New Roman" w:cs="Times New Roman"/>
                <w:sz w:val="24"/>
                <w:szCs w:val="24"/>
              </w:rPr>
            </w:pPr>
          </w:p>
        </w:tc>
        <w:tc>
          <w:tcPr>
            <w:tcW w:w="2353" w:type="dxa"/>
          </w:tcPr>
          <w:p w14:paraId="723F5E9B" w14:textId="77777777" w:rsidR="00472922"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D(NBD)</w:t>
            </w:r>
          </w:p>
        </w:tc>
        <w:tc>
          <w:tcPr>
            <w:tcW w:w="1306" w:type="dxa"/>
          </w:tcPr>
          <w:p w14:paraId="041D4CE2"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-10.39124</w:t>
            </w:r>
          </w:p>
        </w:tc>
        <w:tc>
          <w:tcPr>
            <w:tcW w:w="1263" w:type="dxa"/>
          </w:tcPr>
          <w:p w14:paraId="731B3538"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3.480604</w:t>
            </w:r>
          </w:p>
        </w:tc>
        <w:tc>
          <w:tcPr>
            <w:tcW w:w="1263" w:type="dxa"/>
          </w:tcPr>
          <w:p w14:paraId="75D58B3E"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-2.985471</w:t>
            </w:r>
          </w:p>
        </w:tc>
        <w:tc>
          <w:tcPr>
            <w:tcW w:w="1038" w:type="dxa"/>
          </w:tcPr>
          <w:p w14:paraId="1C4BCAED"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0.0405</w:t>
            </w:r>
          </w:p>
        </w:tc>
      </w:tr>
      <w:tr w:rsidR="00472922" w14:paraId="24719C18" w14:textId="77777777" w:rsidTr="00472922">
        <w:trPr>
          <w:trHeight w:val="225"/>
        </w:trPr>
        <w:tc>
          <w:tcPr>
            <w:cnfStyle w:val="001000000000" w:firstRow="0" w:lastRow="0" w:firstColumn="1" w:lastColumn="0" w:oddVBand="0" w:evenVBand="0" w:oddHBand="0" w:evenHBand="0" w:firstRowFirstColumn="0" w:firstRowLastColumn="0" w:lastRowFirstColumn="0" w:lastRowLastColumn="0"/>
            <w:tcW w:w="2353" w:type="dxa"/>
          </w:tcPr>
          <w:p w14:paraId="0973C00A" w14:textId="77777777" w:rsidR="00472922" w:rsidRDefault="00472922">
            <w:pPr>
              <w:jc w:val="center"/>
              <w:rPr>
                <w:rFonts w:ascii="Times New Roman" w:eastAsia="Times New Roman" w:hAnsi="Times New Roman" w:cs="Times New Roman"/>
                <w:sz w:val="24"/>
                <w:szCs w:val="24"/>
              </w:rPr>
            </w:pPr>
          </w:p>
        </w:tc>
        <w:tc>
          <w:tcPr>
            <w:tcW w:w="2353" w:type="dxa"/>
          </w:tcPr>
          <w:p w14:paraId="389AE95E" w14:textId="77777777" w:rsidR="00472922"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D(</w:t>
            </w:r>
            <w:proofErr w:type="gramStart"/>
            <w:r>
              <w:rPr>
                <w:rFonts w:ascii="Times New Roman" w:eastAsia="Times New Roman" w:hAnsi="Times New Roman" w:cs="Times New Roman"/>
                <w:sz w:val="24"/>
                <w:szCs w:val="24"/>
              </w:rPr>
              <w:t>NBD(</w:t>
            </w:r>
            <w:proofErr w:type="gramEnd"/>
            <w:r>
              <w:rPr>
                <w:rFonts w:ascii="Times New Roman" w:eastAsia="Times New Roman" w:hAnsi="Times New Roman" w:cs="Times New Roman"/>
                <w:sz w:val="24"/>
                <w:szCs w:val="24"/>
              </w:rPr>
              <w:t>-1))</w:t>
            </w:r>
          </w:p>
        </w:tc>
        <w:tc>
          <w:tcPr>
            <w:tcW w:w="1306" w:type="dxa"/>
          </w:tcPr>
          <w:p w14:paraId="29F79BA8"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-0.447717</w:t>
            </w:r>
          </w:p>
        </w:tc>
        <w:tc>
          <w:tcPr>
            <w:tcW w:w="1263" w:type="dxa"/>
          </w:tcPr>
          <w:p w14:paraId="1B1B5413"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4.227260</w:t>
            </w:r>
          </w:p>
        </w:tc>
        <w:tc>
          <w:tcPr>
            <w:tcW w:w="1263" w:type="dxa"/>
          </w:tcPr>
          <w:p w14:paraId="027520CB"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-0.105912</w:t>
            </w:r>
          </w:p>
        </w:tc>
        <w:tc>
          <w:tcPr>
            <w:tcW w:w="1038" w:type="dxa"/>
          </w:tcPr>
          <w:p w14:paraId="6277AE96"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0.9208</w:t>
            </w:r>
          </w:p>
        </w:tc>
      </w:tr>
      <w:tr w:rsidR="00472922" w14:paraId="3FD64793" w14:textId="77777777" w:rsidTr="00472922">
        <w:trPr>
          <w:trHeight w:val="225"/>
        </w:trPr>
        <w:tc>
          <w:tcPr>
            <w:cnfStyle w:val="001000000000" w:firstRow="0" w:lastRow="0" w:firstColumn="1" w:lastColumn="0" w:oddVBand="0" w:evenVBand="0" w:oddHBand="0" w:evenHBand="0" w:firstRowFirstColumn="0" w:firstRowLastColumn="0" w:lastRowFirstColumn="0" w:lastRowLastColumn="0"/>
            <w:tcW w:w="2353" w:type="dxa"/>
          </w:tcPr>
          <w:p w14:paraId="357E08E8" w14:textId="77777777" w:rsidR="00472922" w:rsidRDefault="00472922">
            <w:pPr>
              <w:jc w:val="center"/>
              <w:rPr>
                <w:rFonts w:ascii="Times New Roman" w:eastAsia="Times New Roman" w:hAnsi="Times New Roman" w:cs="Times New Roman"/>
                <w:sz w:val="24"/>
                <w:szCs w:val="24"/>
              </w:rPr>
            </w:pPr>
          </w:p>
        </w:tc>
        <w:tc>
          <w:tcPr>
            <w:tcW w:w="2353" w:type="dxa"/>
          </w:tcPr>
          <w:p w14:paraId="3F286AFF" w14:textId="77777777" w:rsidR="00472922"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D(ALR)</w:t>
            </w:r>
          </w:p>
        </w:tc>
        <w:tc>
          <w:tcPr>
            <w:tcW w:w="1306" w:type="dxa"/>
          </w:tcPr>
          <w:p w14:paraId="0C9D93C1"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0.005095</w:t>
            </w:r>
          </w:p>
        </w:tc>
        <w:tc>
          <w:tcPr>
            <w:tcW w:w="1263" w:type="dxa"/>
          </w:tcPr>
          <w:p w14:paraId="143A01CC"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0.048173</w:t>
            </w:r>
          </w:p>
        </w:tc>
        <w:tc>
          <w:tcPr>
            <w:tcW w:w="1263" w:type="dxa"/>
          </w:tcPr>
          <w:p w14:paraId="1063A8CF"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0.105755</w:t>
            </w:r>
          </w:p>
        </w:tc>
        <w:tc>
          <w:tcPr>
            <w:tcW w:w="1038" w:type="dxa"/>
          </w:tcPr>
          <w:p w14:paraId="5A4FBB6E"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0.9209</w:t>
            </w:r>
          </w:p>
        </w:tc>
      </w:tr>
      <w:tr w:rsidR="00472922" w14:paraId="4DCF6394" w14:textId="77777777" w:rsidTr="00472922">
        <w:trPr>
          <w:trHeight w:val="225"/>
        </w:trPr>
        <w:tc>
          <w:tcPr>
            <w:cnfStyle w:val="001000000000" w:firstRow="0" w:lastRow="0" w:firstColumn="1" w:lastColumn="0" w:oddVBand="0" w:evenVBand="0" w:oddHBand="0" w:evenHBand="0" w:firstRowFirstColumn="0" w:firstRowLastColumn="0" w:lastRowFirstColumn="0" w:lastRowLastColumn="0"/>
            <w:tcW w:w="2353" w:type="dxa"/>
          </w:tcPr>
          <w:p w14:paraId="1A84995D" w14:textId="77777777" w:rsidR="00472922" w:rsidRDefault="00472922">
            <w:pPr>
              <w:jc w:val="center"/>
              <w:rPr>
                <w:rFonts w:ascii="Times New Roman" w:eastAsia="Times New Roman" w:hAnsi="Times New Roman" w:cs="Times New Roman"/>
                <w:sz w:val="24"/>
                <w:szCs w:val="24"/>
              </w:rPr>
            </w:pPr>
          </w:p>
        </w:tc>
        <w:tc>
          <w:tcPr>
            <w:tcW w:w="2353" w:type="dxa"/>
          </w:tcPr>
          <w:p w14:paraId="6BFC38C8" w14:textId="77777777" w:rsidR="00472922"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D(</w:t>
            </w:r>
            <w:proofErr w:type="gramStart"/>
            <w:r>
              <w:rPr>
                <w:rFonts w:ascii="Times New Roman" w:eastAsia="Times New Roman" w:hAnsi="Times New Roman" w:cs="Times New Roman"/>
                <w:sz w:val="24"/>
                <w:szCs w:val="24"/>
              </w:rPr>
              <w:t>ALR(</w:t>
            </w:r>
            <w:proofErr w:type="gramEnd"/>
            <w:r>
              <w:rPr>
                <w:rFonts w:ascii="Times New Roman" w:eastAsia="Times New Roman" w:hAnsi="Times New Roman" w:cs="Times New Roman"/>
                <w:sz w:val="24"/>
                <w:szCs w:val="24"/>
              </w:rPr>
              <w:t>-1))</w:t>
            </w:r>
          </w:p>
        </w:tc>
        <w:tc>
          <w:tcPr>
            <w:tcW w:w="1306" w:type="dxa"/>
          </w:tcPr>
          <w:p w14:paraId="461B531B"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3.270261</w:t>
            </w:r>
          </w:p>
        </w:tc>
        <w:tc>
          <w:tcPr>
            <w:tcW w:w="1263" w:type="dxa"/>
          </w:tcPr>
          <w:p w14:paraId="215015CB"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0.484981</w:t>
            </w:r>
          </w:p>
        </w:tc>
        <w:tc>
          <w:tcPr>
            <w:tcW w:w="1263" w:type="dxa"/>
          </w:tcPr>
          <w:p w14:paraId="1860BE34"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6.743069</w:t>
            </w:r>
          </w:p>
        </w:tc>
        <w:tc>
          <w:tcPr>
            <w:tcW w:w="1038" w:type="dxa"/>
          </w:tcPr>
          <w:p w14:paraId="526D7FDF"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0.0025</w:t>
            </w:r>
          </w:p>
        </w:tc>
      </w:tr>
      <w:tr w:rsidR="00472922" w14:paraId="3A122B53" w14:textId="77777777" w:rsidTr="00472922">
        <w:trPr>
          <w:trHeight w:val="225"/>
        </w:trPr>
        <w:tc>
          <w:tcPr>
            <w:cnfStyle w:val="001000000000" w:firstRow="0" w:lastRow="0" w:firstColumn="1" w:lastColumn="0" w:oddVBand="0" w:evenVBand="0" w:oddHBand="0" w:evenHBand="0" w:firstRowFirstColumn="0" w:firstRowLastColumn="0" w:lastRowFirstColumn="0" w:lastRowLastColumn="0"/>
            <w:tcW w:w="2353" w:type="dxa"/>
          </w:tcPr>
          <w:p w14:paraId="282C0F3E" w14:textId="77777777" w:rsidR="00472922" w:rsidRDefault="00472922">
            <w:pPr>
              <w:jc w:val="center"/>
              <w:rPr>
                <w:rFonts w:ascii="Times New Roman" w:eastAsia="Times New Roman" w:hAnsi="Times New Roman" w:cs="Times New Roman"/>
                <w:sz w:val="24"/>
                <w:szCs w:val="24"/>
              </w:rPr>
            </w:pPr>
          </w:p>
        </w:tc>
        <w:tc>
          <w:tcPr>
            <w:tcW w:w="2353" w:type="dxa"/>
          </w:tcPr>
          <w:p w14:paraId="3D517545" w14:textId="77777777" w:rsidR="00472922"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CointEq</w:t>
            </w:r>
            <w:proofErr w:type="spellEnd"/>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1)*</w:t>
            </w:r>
            <w:proofErr w:type="gramEnd"/>
          </w:p>
        </w:tc>
        <w:tc>
          <w:tcPr>
            <w:tcW w:w="1306" w:type="dxa"/>
          </w:tcPr>
          <w:p w14:paraId="790CB74C"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-1.126805</w:t>
            </w:r>
          </w:p>
        </w:tc>
        <w:tc>
          <w:tcPr>
            <w:tcW w:w="1263" w:type="dxa"/>
          </w:tcPr>
          <w:p w14:paraId="77E0D9A3"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0.177562</w:t>
            </w:r>
          </w:p>
        </w:tc>
        <w:tc>
          <w:tcPr>
            <w:tcW w:w="1263" w:type="dxa"/>
          </w:tcPr>
          <w:p w14:paraId="080A4C50"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-6.345968</w:t>
            </w:r>
          </w:p>
        </w:tc>
        <w:tc>
          <w:tcPr>
            <w:tcW w:w="1038" w:type="dxa"/>
          </w:tcPr>
          <w:p w14:paraId="0E1E438D" w14:textId="77777777" w:rsidR="00472922"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0.0032</w:t>
            </w:r>
          </w:p>
        </w:tc>
      </w:tr>
    </w:tbl>
    <w:p w14:paraId="6614E458" w14:textId="77777777" w:rsidR="00472922" w:rsidRDefault="00B5152B">
      <w:pPr>
        <w:shd w:val="clear" w:color="auto" w:fill="FFFFFF"/>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Source: Author's Computation from EViews 10 (2026)</w:t>
      </w:r>
    </w:p>
    <w:p w14:paraId="4A88F1F7" w14:textId="77777777" w:rsidR="00472922" w:rsidRDefault="00B5152B">
      <w:pPr>
        <w:pBdr>
          <w:top w:val="nil"/>
          <w:left w:val="nil"/>
          <w:bottom w:val="nil"/>
          <w:right w:val="nil"/>
          <w:between w:val="nil"/>
        </w:pBdr>
        <w:spacing w:before="280" w:after="28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Findings presented in Table 6 showed that new business density (NBD) has a positive, but statistically insignificant long-run effect on economic growth (β = 10.0945, p = 0.2439) in Nigeria. The positive correlation coefficient indicates that the rise in newly registered enterprises per 1,000 workers of working age may lead to economic growth, but the magnitude of the coefficient is not significant, meaning that business creation may not have contributed to the economic growth during the study period. This may be attributed to the many structural problems faced by the Nigerian entrepreneurs, such as inadequate infrastructure, inability to access finance, multiple taxation, policy inconsistencies and insecurity, which hinder the growth and productivity of newly established firms. This discovery supports the economic theory of entrepreneurship (Papanek, 1962; Harris, 1971) that states that entrepreneurship plays a positive role in the process of economic growth by creating new enterprises, innovating and investing productively in the economy provided the pre-existent conditions are conducive. This clearly meant that new business continues to play a vital role in economic transition, but the small contribution it makes signifies that the existing business system has yet to harness its growth potential. The result is in line with Talal and Sumesh (2018), who reported that an entrepreneur's role did not significantly influence economic growth in the United Kingdom; however, it is in contrast with the result of Carree and </w:t>
      </w:r>
      <w:proofErr w:type="spellStart"/>
      <w:r>
        <w:rPr>
          <w:rFonts w:ascii="Times New Roman" w:eastAsia="Times New Roman" w:hAnsi="Times New Roman" w:cs="Times New Roman"/>
          <w:color w:val="000000"/>
          <w:sz w:val="24"/>
          <w:szCs w:val="24"/>
        </w:rPr>
        <w:lastRenderedPageBreak/>
        <w:t>Thurik</w:t>
      </w:r>
      <w:proofErr w:type="spellEnd"/>
      <w:r>
        <w:rPr>
          <w:rFonts w:ascii="Times New Roman" w:eastAsia="Times New Roman" w:hAnsi="Times New Roman" w:cs="Times New Roman"/>
          <w:color w:val="000000"/>
          <w:sz w:val="24"/>
          <w:szCs w:val="24"/>
        </w:rPr>
        <w:t xml:space="preserve"> (1999), Chantai (2014) and </w:t>
      </w:r>
      <w:proofErr w:type="spellStart"/>
      <w:r>
        <w:rPr>
          <w:rFonts w:ascii="Times New Roman" w:eastAsia="Times New Roman" w:hAnsi="Times New Roman" w:cs="Times New Roman"/>
          <w:color w:val="000000"/>
          <w:sz w:val="24"/>
          <w:szCs w:val="24"/>
        </w:rPr>
        <w:t>Gerceker</w:t>
      </w:r>
      <w:proofErr w:type="spellEnd"/>
      <w:r>
        <w:rPr>
          <w:rFonts w:ascii="Times New Roman" w:eastAsia="Times New Roman" w:hAnsi="Times New Roman" w:cs="Times New Roman"/>
          <w:color w:val="000000"/>
          <w:sz w:val="24"/>
          <w:szCs w:val="24"/>
        </w:rPr>
        <w:t>, Ozel and Ay (2014), who reported that an entrepreneur's role had a positive and significant influence on economic growth.</w:t>
      </w:r>
    </w:p>
    <w:p w14:paraId="02B75D16" w14:textId="77777777" w:rsidR="00472922" w:rsidRDefault="00B5152B">
      <w:pPr>
        <w:pBdr>
          <w:top w:val="nil"/>
          <w:left w:val="nil"/>
          <w:bottom w:val="nil"/>
          <w:right w:val="nil"/>
          <w:between w:val="nil"/>
        </w:pBdr>
        <w:spacing w:before="280" w:after="28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sdt>
        <w:sdtPr>
          <w:tag w:val="goog_rdk_2"/>
          <w:id w:val="-1257215107"/>
        </w:sdtPr>
        <w:sdtContent>
          <w:r>
            <w:rPr>
              <w:rFonts w:ascii="Cardo" w:eastAsia="Cardo" w:hAnsi="Cardo" w:cs="Cardo"/>
              <w:color w:val="000000"/>
              <w:sz w:val="24"/>
              <w:szCs w:val="24"/>
            </w:rPr>
            <w:t xml:space="preserve">The results also showed that literacy rate (ALR) negatively and statistically significantly affects economic growth (β = −2.8125, p = 0.0054) with a long-run effect over a period of time in Nigeria. The outcome indicates that the positive development in literacy skills has not led to better economic growth, which may be related to the fact that the school has not sufficiently developed the entrepreneurial, technical and innovative skills needed to improve the productivity and competitiveness of enterprises. Therefore, higher literacy rates do not necessarily lead to economic growth if quality education, capability and an enabling business environment are lacking. This result is partially in line with the endogenous growth theory, which sees human capital as a driver of economic growth through knowledge creation and innovation. However, beyond educational attainment, the theory also </w:t>
          </w:r>
          <w:proofErr w:type="spellStart"/>
          <w:r>
            <w:rPr>
              <w:rFonts w:ascii="Cardo" w:eastAsia="Cardo" w:hAnsi="Cardo" w:cs="Cardo"/>
              <w:color w:val="000000"/>
              <w:sz w:val="24"/>
              <w:szCs w:val="24"/>
            </w:rPr>
            <w:t>emphasises</w:t>
          </w:r>
          <w:proofErr w:type="spellEnd"/>
          <w:r>
            <w:rPr>
              <w:rFonts w:ascii="Cardo" w:eastAsia="Cardo" w:hAnsi="Cardo" w:cs="Cardo"/>
              <w:color w:val="000000"/>
              <w:sz w:val="24"/>
              <w:szCs w:val="24"/>
            </w:rPr>
            <w:t xml:space="preserve"> the quality and productive use of human capital, suggesting that literacy may not necessarily have the same growth impacts if it is not accompanied by employable and entrepreneurial skills.</w:t>
          </w:r>
        </w:sdtContent>
      </w:sdt>
    </w:p>
    <w:p w14:paraId="4F7ACBFD" w14:textId="77777777" w:rsidR="00472922" w:rsidRDefault="00B5152B">
      <w:pPr>
        <w:pBdr>
          <w:top w:val="nil"/>
          <w:left w:val="nil"/>
          <w:bottom w:val="nil"/>
          <w:right w:val="nil"/>
          <w:between w:val="nil"/>
        </w:pBdr>
        <w:spacing w:before="280" w:after="28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However, new business density has a negative and statistically significant relationship with economic growth in the short run, suggesting that an increase of newly registered businesses in the short run would decrease economic growth. This result could be due to the high start-up cost, low survival rate and operational difficulties of newly established businesses in their initial operating life before they become productive contributors to the nation's output. This is in line with the study by Talal and Sumesh (2018). On the other hand, the past education-outcome measure, literacy rate, has a positive and statistically significant impact on economic growth, so that increased educational attainment takes some time to yield increases in productivity and economic performance. In terms of adult literacy rate, the coefficient is positive but statistically not significant (β = 0.0051, p = 0.9209), suggesting that the current increase of the adult literacy rate does not significantly affect economic growth. In addition, the coefficient of error correction is negative and significantly high, which validates the presence of a stable long-run relationship between the variables and could suggest that any deviations from the equilibrium level of variables are corrected quickly. The results further highlight that the creation of an enabling business </w:t>
      </w:r>
      <w:r>
        <w:rPr>
          <w:rFonts w:ascii="Times New Roman" w:eastAsia="Times New Roman" w:hAnsi="Times New Roman" w:cs="Times New Roman"/>
          <w:color w:val="000000"/>
          <w:sz w:val="24"/>
          <w:szCs w:val="24"/>
        </w:rPr>
        <w:lastRenderedPageBreak/>
        <w:t>environment and education and training, both in the context of entrepreneurship and skills, are crucial to making new business density work as an accelerator of economic development in Nigeria.</w:t>
      </w:r>
    </w:p>
    <w:p w14:paraId="34F08F31" w14:textId="77777777" w:rsidR="00472922" w:rsidRDefault="00B5152B">
      <w:pPr>
        <w:pBdr>
          <w:top w:val="nil"/>
          <w:left w:val="nil"/>
          <w:bottom w:val="nil"/>
          <w:right w:val="nil"/>
          <w:between w:val="nil"/>
        </w:pBdr>
        <w:spacing w:before="280" w:after="280"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5.0 Conclusion and Recommendations</w:t>
      </w:r>
    </w:p>
    <w:p w14:paraId="0BB212F6" w14:textId="77777777" w:rsidR="00472922" w:rsidRDefault="00B5152B">
      <w:pPr>
        <w:pBdr>
          <w:top w:val="nil"/>
          <w:left w:val="nil"/>
          <w:bottom w:val="nil"/>
          <w:right w:val="nil"/>
          <w:between w:val="nil"/>
        </w:pBdr>
        <w:spacing w:before="280" w:after="280"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The study reveals positive but non-significant and negative and significant impacts for new business density in the long run and short run, respectively, on economic growth. This implies that while business creation has the capacity of stimulating economic growth through entrepreneurship, innovation and job creation, Nigeria's start-up businesses are handicapped in their immediate and long-run contribution to economic growth due to various start-up constraints. By contrast, adult literacy rate is negatively and statistically significantly associated with economic growth in the long run but significantly and positively associated in the SR, suggesting that increases in literacy rate alone are not enough to contribute to sustainable economic growth unless coupled with entrepreneurial skills, innovation, quality education and a conducive business environment. The results indicate that the development of entrepreneurship will play a more significant role in the economic growth of Nigeria if it is supported by an enabling business environment, enhanced access to finance and a human capital development system that focuses on skill development that facilitates entrepreneurial activity as opposed to literacy. The study recommends that:</w:t>
      </w:r>
    </w:p>
    <w:p w14:paraId="498E17C5" w14:textId="77777777" w:rsidR="00472922" w:rsidRDefault="00B5152B">
      <w:pPr>
        <w:numPr>
          <w:ilvl w:val="0"/>
          <w:numId w:val="1"/>
        </w:numPr>
        <w:pBdr>
          <w:top w:val="nil"/>
          <w:left w:val="nil"/>
          <w:bottom w:val="nil"/>
          <w:right w:val="nil"/>
          <w:between w:val="nil"/>
        </w:pBdr>
        <w:spacing w:before="280"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Federal Ministry of Industry, Trade and Investment (FMITI), the Corporate Affairs Commission (CAC), the Small and Medium Enterprises Development Agency of Nigeria (SMEDAN) and the Bank of Industry (BOI) should work together to enhance the entrepreneurial ecosystem through the following: decreasing the time and cost of business registration; increasing access to affordable start-up financing and business incubation services; and providing targeted technical support for newly established businesses. It will enhance the viability of new businesses and help entrepreneurial activities contribute more to the economic development of Nigeria.</w:t>
      </w:r>
    </w:p>
    <w:p w14:paraId="6B32C771" w14:textId="77777777" w:rsidR="00472922" w:rsidRDefault="00B5152B">
      <w:pPr>
        <w:numPr>
          <w:ilvl w:val="0"/>
          <w:numId w:val="1"/>
        </w:numPr>
        <w:pBdr>
          <w:top w:val="nil"/>
          <w:left w:val="nil"/>
          <w:bottom w:val="nil"/>
          <w:right w:val="nil"/>
          <w:between w:val="nil"/>
        </w:pBdr>
        <w:spacing w:after="28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Federal Ministry of Education (FME), National Universities Commission (NUC), National Board for Technical Education (NBTE) and National Commission for Colleges of Education (NCCE) need to overhaul the education system by incorporating entrepreneurship, innovation and digital skills in the curricula of all levels and enhancing </w:t>
      </w:r>
      <w:r>
        <w:rPr>
          <w:rFonts w:ascii="Times New Roman" w:eastAsia="Times New Roman" w:hAnsi="Times New Roman" w:cs="Times New Roman"/>
          <w:color w:val="000000"/>
          <w:sz w:val="24"/>
          <w:szCs w:val="24"/>
        </w:rPr>
        <w:lastRenderedPageBreak/>
        <w:t>linkages between educational institutions and industry. This will ensure that the gains of literacy are transferred to productive entrepreneurial skills and skills in the workforce that can sustain economic growth.</w:t>
      </w:r>
    </w:p>
    <w:p w14:paraId="161A22F4" w14:textId="77777777" w:rsidR="00B5152B" w:rsidRPr="00B5152B" w:rsidRDefault="00B5152B" w:rsidP="00B5152B">
      <w:pPr>
        <w:spacing w:after="0" w:line="240" w:lineRule="auto"/>
        <w:ind w:left="360"/>
        <w:rPr>
          <w:rFonts w:ascii="Times New Roman" w:hAnsi="Times New Roman" w:cs="Times New Roman"/>
          <w:b/>
        </w:rPr>
      </w:pPr>
      <w:bookmarkStart w:id="0" w:name="_Hlk234486585"/>
      <w:bookmarkStart w:id="1" w:name="_Hlk234075571"/>
      <w:bookmarkStart w:id="2" w:name="_Hlk232755622"/>
      <w:r w:rsidRPr="00B5152B">
        <w:rPr>
          <w:rFonts w:ascii="Times New Roman" w:hAnsi="Times New Roman" w:cs="Times New Roman"/>
          <w:b/>
        </w:rPr>
        <w:t>Declaration of AI Use</w:t>
      </w:r>
    </w:p>
    <w:p w14:paraId="03BBA982" w14:textId="77777777" w:rsidR="00B5152B" w:rsidRPr="00B5152B" w:rsidRDefault="00B5152B" w:rsidP="00B5152B">
      <w:pPr>
        <w:spacing w:after="0" w:line="240" w:lineRule="auto"/>
        <w:ind w:left="360"/>
        <w:rPr>
          <w:rFonts w:ascii="Times New Roman" w:hAnsi="Times New Roman" w:cs="Times New Roman"/>
        </w:rPr>
      </w:pPr>
      <w:bookmarkStart w:id="3" w:name="_Hlk234486575"/>
      <w:bookmarkEnd w:id="0"/>
    </w:p>
    <w:p w14:paraId="5162A2E9" w14:textId="77777777" w:rsidR="00B5152B" w:rsidRPr="00B5152B" w:rsidRDefault="00B5152B" w:rsidP="00B5152B">
      <w:pPr>
        <w:spacing w:after="0" w:line="240" w:lineRule="auto"/>
        <w:ind w:left="360"/>
        <w:jc w:val="both"/>
        <w:rPr>
          <w:rFonts w:ascii="Times New Roman" w:hAnsi="Times New Roman" w:cs="Times New Roman"/>
        </w:rPr>
      </w:pPr>
      <w:r w:rsidRPr="00B5152B">
        <w:rPr>
          <w:rFonts w:ascii="Times New Roman" w:hAnsi="Times New Roman"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bookmarkEnd w:id="1"/>
      <w:r w:rsidRPr="00B5152B">
        <w:rPr>
          <w:rFonts w:ascii="Times New Roman" w:hAnsi="Times New Roman" w:cs="Times New Roman"/>
        </w:rPr>
        <w:t>.</w:t>
      </w:r>
    </w:p>
    <w:bookmarkEnd w:id="2"/>
    <w:bookmarkEnd w:id="3"/>
    <w:p w14:paraId="5010B7CF" w14:textId="77777777" w:rsidR="00B5152B" w:rsidRDefault="00B5152B" w:rsidP="00B5152B">
      <w:pPr>
        <w:pBdr>
          <w:top w:val="nil"/>
          <w:left w:val="nil"/>
          <w:bottom w:val="nil"/>
          <w:right w:val="nil"/>
          <w:between w:val="nil"/>
        </w:pBdr>
        <w:spacing w:after="280" w:line="360" w:lineRule="auto"/>
        <w:jc w:val="both"/>
        <w:rPr>
          <w:rFonts w:ascii="Times New Roman" w:eastAsia="Times New Roman" w:hAnsi="Times New Roman" w:cs="Times New Roman"/>
          <w:color w:val="000000"/>
          <w:sz w:val="24"/>
          <w:szCs w:val="24"/>
        </w:rPr>
      </w:pPr>
    </w:p>
    <w:p w14:paraId="2C686102" w14:textId="77777777" w:rsidR="00472922" w:rsidRDefault="00472922">
      <w:pPr>
        <w:pBdr>
          <w:top w:val="nil"/>
          <w:left w:val="nil"/>
          <w:bottom w:val="nil"/>
          <w:right w:val="nil"/>
          <w:between w:val="nil"/>
        </w:pBdr>
        <w:spacing w:before="280" w:after="280" w:line="360" w:lineRule="auto"/>
        <w:jc w:val="both"/>
        <w:rPr>
          <w:rFonts w:ascii="Times New Roman" w:eastAsia="Times New Roman" w:hAnsi="Times New Roman" w:cs="Times New Roman"/>
          <w:color w:val="000000"/>
          <w:sz w:val="24"/>
          <w:szCs w:val="24"/>
        </w:rPr>
      </w:pPr>
    </w:p>
    <w:p w14:paraId="3B5E5747" w14:textId="77777777" w:rsidR="00472922" w:rsidRDefault="00B5152B">
      <w:pPr>
        <w:pBdr>
          <w:top w:val="nil"/>
          <w:left w:val="nil"/>
          <w:bottom w:val="nil"/>
          <w:right w:val="nil"/>
          <w:between w:val="nil"/>
        </w:pBdr>
        <w:spacing w:before="280" w:after="280" w:line="36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REFERENCES</w:t>
      </w:r>
    </w:p>
    <w:p w14:paraId="2D47188F" w14:textId="77777777" w:rsidR="00472922" w:rsidRDefault="00B5152B">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Afolabi, A. (2015). </w:t>
      </w:r>
      <w:r>
        <w:rPr>
          <w:rFonts w:ascii="Times New Roman" w:eastAsia="Times New Roman" w:hAnsi="Times New Roman" w:cs="Times New Roman"/>
          <w:i/>
          <w:iCs/>
          <w:color w:val="000000"/>
          <w:sz w:val="24"/>
          <w:szCs w:val="24"/>
        </w:rPr>
        <w:t>The effect of entrepreneurship on economy growth and development in Nigeria</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International Journal of Development and Economic Sustainability, 3</w:t>
      </w:r>
      <w:r>
        <w:rPr>
          <w:rFonts w:ascii="Times New Roman" w:eastAsia="Times New Roman" w:hAnsi="Times New Roman" w:cs="Times New Roman"/>
          <w:color w:val="000000"/>
          <w:sz w:val="24"/>
          <w:szCs w:val="24"/>
        </w:rPr>
        <w:t>(2), 49–65.</w:t>
      </w:r>
    </w:p>
    <w:p w14:paraId="1B85F0A8" w14:textId="77777777" w:rsidR="00472922" w:rsidRDefault="00B5152B">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Carree, M. A., &amp; </w:t>
      </w:r>
      <w:proofErr w:type="spellStart"/>
      <w:r>
        <w:rPr>
          <w:rFonts w:ascii="Times New Roman" w:eastAsia="Times New Roman" w:hAnsi="Times New Roman" w:cs="Times New Roman"/>
          <w:color w:val="000000"/>
          <w:sz w:val="24"/>
          <w:szCs w:val="24"/>
        </w:rPr>
        <w:t>Thurik</w:t>
      </w:r>
      <w:proofErr w:type="spellEnd"/>
      <w:r>
        <w:rPr>
          <w:rFonts w:ascii="Times New Roman" w:eastAsia="Times New Roman" w:hAnsi="Times New Roman" w:cs="Times New Roman"/>
          <w:color w:val="000000"/>
          <w:sz w:val="24"/>
          <w:szCs w:val="24"/>
        </w:rPr>
        <w:t xml:space="preserve">, A. R. (2010). </w:t>
      </w:r>
      <w:r>
        <w:rPr>
          <w:rFonts w:ascii="Times New Roman" w:eastAsia="Times New Roman" w:hAnsi="Times New Roman" w:cs="Times New Roman"/>
          <w:i/>
          <w:iCs/>
          <w:color w:val="000000"/>
          <w:sz w:val="24"/>
          <w:szCs w:val="24"/>
        </w:rPr>
        <w:t>The impact of entrepreneurship on economic growth</w:t>
      </w:r>
      <w:r>
        <w:rPr>
          <w:rFonts w:ascii="Times New Roman" w:eastAsia="Times New Roman" w:hAnsi="Times New Roman" w:cs="Times New Roman"/>
          <w:color w:val="000000"/>
          <w:sz w:val="24"/>
          <w:szCs w:val="24"/>
        </w:rPr>
        <w:t xml:space="preserve">. Retrieved June 12, 2020, from https://www.researchgate.net/publication/226229868 </w:t>
      </w:r>
    </w:p>
    <w:p w14:paraId="7C6E142D" w14:textId="77777777" w:rsidR="00472922" w:rsidRDefault="00B5152B">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Carree, M., &amp; </w:t>
      </w:r>
      <w:proofErr w:type="spellStart"/>
      <w:r>
        <w:rPr>
          <w:rFonts w:ascii="Times New Roman" w:eastAsia="Times New Roman" w:hAnsi="Times New Roman" w:cs="Times New Roman"/>
          <w:color w:val="000000"/>
          <w:sz w:val="24"/>
          <w:szCs w:val="24"/>
        </w:rPr>
        <w:t>Thurik</w:t>
      </w:r>
      <w:proofErr w:type="spellEnd"/>
      <w:r>
        <w:rPr>
          <w:rFonts w:ascii="Times New Roman" w:eastAsia="Times New Roman" w:hAnsi="Times New Roman" w:cs="Times New Roman"/>
          <w:color w:val="000000"/>
          <w:sz w:val="24"/>
          <w:szCs w:val="24"/>
        </w:rPr>
        <w:t xml:space="preserve">, R. (1999). Linking entrepreneurship and economic growth. </w:t>
      </w:r>
      <w:r>
        <w:rPr>
          <w:rFonts w:ascii="Times New Roman" w:eastAsia="Times New Roman" w:hAnsi="Times New Roman" w:cs="Times New Roman"/>
          <w:i/>
          <w:iCs/>
          <w:color w:val="000000"/>
          <w:sz w:val="24"/>
          <w:szCs w:val="24"/>
        </w:rPr>
        <w:t>Small Business Economics, 13</w:t>
      </w:r>
      <w:r>
        <w:rPr>
          <w:rFonts w:ascii="Times New Roman" w:eastAsia="Times New Roman" w:hAnsi="Times New Roman" w:cs="Times New Roman"/>
          <w:color w:val="000000"/>
          <w:sz w:val="24"/>
          <w:szCs w:val="24"/>
        </w:rPr>
        <w:t xml:space="preserve">(1), 27–56. </w:t>
      </w:r>
    </w:p>
    <w:p w14:paraId="2608F690" w14:textId="77777777" w:rsidR="00472922" w:rsidRDefault="00B5152B">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Central Bank of Nigeria. (2004). </w:t>
      </w:r>
      <w:r>
        <w:rPr>
          <w:rFonts w:ascii="Times New Roman" w:eastAsia="Times New Roman" w:hAnsi="Times New Roman" w:cs="Times New Roman"/>
          <w:i/>
          <w:iCs/>
          <w:color w:val="000000"/>
          <w:sz w:val="24"/>
          <w:szCs w:val="24"/>
        </w:rPr>
        <w:t>Draft national microfinance policy and regulatory guidelines for Nigeria</w:t>
      </w:r>
      <w:r>
        <w:rPr>
          <w:rFonts w:ascii="Times New Roman" w:eastAsia="Times New Roman" w:hAnsi="Times New Roman" w:cs="Times New Roman"/>
          <w:color w:val="000000"/>
          <w:sz w:val="24"/>
          <w:szCs w:val="24"/>
        </w:rPr>
        <w:t xml:space="preserve">. Abuja, Nigeria: Central Bank of Nigeria. </w:t>
      </w:r>
    </w:p>
    <w:p w14:paraId="40E7C1A9" w14:textId="77777777" w:rsidR="00472922" w:rsidRDefault="00B5152B">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Chantai, M. W. (2014). </w:t>
      </w:r>
      <w:r>
        <w:rPr>
          <w:rFonts w:ascii="Times New Roman" w:eastAsia="Times New Roman" w:hAnsi="Times New Roman" w:cs="Times New Roman"/>
          <w:i/>
          <w:iCs/>
          <w:color w:val="000000"/>
          <w:sz w:val="24"/>
          <w:szCs w:val="24"/>
        </w:rPr>
        <w:t>Impact of entrepreneurship to economic growth: Evidence from Pakistan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Standard Research Journal of Business Management</w:t>
      </w:r>
      <w:r>
        <w:rPr>
          <w:rFonts w:ascii="Times New Roman" w:eastAsia="Times New Roman" w:hAnsi="Times New Roman" w:cs="Times New Roman"/>
          <w:color w:val="000000"/>
          <w:sz w:val="24"/>
          <w:szCs w:val="24"/>
        </w:rPr>
        <w:t xml:space="preserve">. </w:t>
      </w:r>
    </w:p>
    <w:p w14:paraId="15FD57F3" w14:textId="77777777" w:rsidR="00472922" w:rsidRDefault="00B5152B">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Imoisi, A. I., &amp; Ephraim, J. (2015). Business enterprising and economic growth in Nigeria. </w:t>
      </w:r>
      <w:r>
        <w:rPr>
          <w:rFonts w:ascii="Times New Roman" w:eastAsia="Times New Roman" w:hAnsi="Times New Roman" w:cs="Times New Roman"/>
          <w:i/>
          <w:iCs/>
          <w:color w:val="000000"/>
          <w:sz w:val="24"/>
          <w:szCs w:val="24"/>
        </w:rPr>
        <w:t>International Journal of Business and Management</w:t>
      </w:r>
      <w:r>
        <w:rPr>
          <w:rFonts w:ascii="Times New Roman" w:eastAsia="Times New Roman" w:hAnsi="Times New Roman" w:cs="Times New Roman"/>
          <w:color w:val="000000"/>
          <w:sz w:val="24"/>
          <w:szCs w:val="24"/>
        </w:rPr>
        <w:t xml:space="preserve">. </w:t>
      </w:r>
    </w:p>
    <w:p w14:paraId="3323B9CE" w14:textId="77777777" w:rsidR="00472922" w:rsidRDefault="00B5152B">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Lucas, R. E. (1988). On the mechanics of economic development. </w:t>
      </w:r>
      <w:r>
        <w:rPr>
          <w:rFonts w:ascii="Times New Roman" w:eastAsia="Times New Roman" w:hAnsi="Times New Roman" w:cs="Times New Roman"/>
          <w:i/>
          <w:iCs/>
          <w:color w:val="000000"/>
          <w:sz w:val="24"/>
          <w:szCs w:val="24"/>
        </w:rPr>
        <w:t>Journal of Monetary Economics, 22</w:t>
      </w:r>
      <w:r>
        <w:rPr>
          <w:rFonts w:ascii="Times New Roman" w:eastAsia="Times New Roman" w:hAnsi="Times New Roman" w:cs="Times New Roman"/>
          <w:color w:val="000000"/>
          <w:sz w:val="24"/>
          <w:szCs w:val="24"/>
        </w:rPr>
        <w:t xml:space="preserve">, 3–42. </w:t>
      </w:r>
    </w:p>
    <w:p w14:paraId="7C9BD3F9" w14:textId="77777777" w:rsidR="00472922" w:rsidRDefault="00B5152B">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Mckernan</w:t>
      </w:r>
      <w:proofErr w:type="spellEnd"/>
      <w:r>
        <w:rPr>
          <w:rFonts w:ascii="Times New Roman" w:eastAsia="Times New Roman" w:hAnsi="Times New Roman" w:cs="Times New Roman"/>
          <w:color w:val="000000"/>
          <w:sz w:val="24"/>
          <w:szCs w:val="24"/>
        </w:rPr>
        <w:t xml:space="preserve">, S. M., &amp; Chen, H. (2005). </w:t>
      </w:r>
      <w:r>
        <w:rPr>
          <w:rFonts w:ascii="Times New Roman" w:eastAsia="Times New Roman" w:hAnsi="Times New Roman" w:cs="Times New Roman"/>
          <w:i/>
          <w:iCs/>
          <w:color w:val="000000"/>
          <w:sz w:val="24"/>
          <w:szCs w:val="24"/>
        </w:rPr>
        <w:t>Small business and micro enterprise as an opportunity and asset building strategy</w:t>
      </w:r>
      <w:r>
        <w:rPr>
          <w:rFonts w:ascii="Times New Roman" w:eastAsia="Times New Roman" w:hAnsi="Times New Roman" w:cs="Times New Roman"/>
          <w:color w:val="000000"/>
          <w:sz w:val="24"/>
          <w:szCs w:val="24"/>
        </w:rPr>
        <w:t xml:space="preserve">. Washington, DC: The Urban Institute. </w:t>
      </w:r>
    </w:p>
    <w:p w14:paraId="011FE3E2" w14:textId="77777777" w:rsidR="00472922" w:rsidRDefault="00B5152B">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Muritala, T. A., </w:t>
      </w:r>
      <w:proofErr w:type="spellStart"/>
      <w:r>
        <w:rPr>
          <w:rFonts w:ascii="Times New Roman" w:eastAsia="Times New Roman" w:hAnsi="Times New Roman" w:cs="Times New Roman"/>
          <w:color w:val="000000"/>
          <w:sz w:val="24"/>
          <w:szCs w:val="24"/>
        </w:rPr>
        <w:t>Awolaja</w:t>
      </w:r>
      <w:proofErr w:type="spellEnd"/>
      <w:r>
        <w:rPr>
          <w:rFonts w:ascii="Times New Roman" w:eastAsia="Times New Roman" w:hAnsi="Times New Roman" w:cs="Times New Roman"/>
          <w:color w:val="000000"/>
          <w:sz w:val="24"/>
          <w:szCs w:val="24"/>
        </w:rPr>
        <w:t xml:space="preserve">, A. M., &amp; Bako, Y. A. (2012). Small and medium enterprises and economic growth in Nigeria. </w:t>
      </w:r>
      <w:r>
        <w:rPr>
          <w:rFonts w:ascii="Times New Roman" w:eastAsia="Times New Roman" w:hAnsi="Times New Roman" w:cs="Times New Roman"/>
          <w:i/>
          <w:iCs/>
          <w:color w:val="000000"/>
          <w:sz w:val="24"/>
          <w:szCs w:val="24"/>
        </w:rPr>
        <w:t xml:space="preserve">Acta Universitatis </w:t>
      </w:r>
      <w:proofErr w:type="spellStart"/>
      <w:r>
        <w:rPr>
          <w:rFonts w:ascii="Times New Roman" w:eastAsia="Times New Roman" w:hAnsi="Times New Roman" w:cs="Times New Roman"/>
          <w:i/>
          <w:iCs/>
          <w:color w:val="000000"/>
          <w:sz w:val="24"/>
          <w:szCs w:val="24"/>
        </w:rPr>
        <w:t>Danubius</w:t>
      </w:r>
      <w:proofErr w:type="spellEnd"/>
      <w:r>
        <w:rPr>
          <w:rFonts w:ascii="Times New Roman" w:eastAsia="Times New Roman" w:hAnsi="Times New Roman" w:cs="Times New Roman"/>
          <w:i/>
          <w:iCs/>
          <w:color w:val="000000"/>
          <w:sz w:val="24"/>
          <w:szCs w:val="24"/>
        </w:rPr>
        <w:t>, 8</w:t>
      </w:r>
      <w:r>
        <w:rPr>
          <w:rFonts w:ascii="Times New Roman" w:eastAsia="Times New Roman" w:hAnsi="Times New Roman" w:cs="Times New Roman"/>
          <w:color w:val="000000"/>
          <w:sz w:val="24"/>
          <w:szCs w:val="24"/>
        </w:rPr>
        <w:t xml:space="preserve">(3), 45–53. </w:t>
      </w:r>
    </w:p>
    <w:p w14:paraId="3F760249" w14:textId="77777777" w:rsidR="00472922" w:rsidRDefault="00B5152B">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National Council on Industry. (2001). </w:t>
      </w:r>
      <w:r>
        <w:rPr>
          <w:rFonts w:ascii="Times New Roman" w:eastAsia="Times New Roman" w:hAnsi="Times New Roman" w:cs="Times New Roman"/>
          <w:i/>
          <w:iCs/>
          <w:color w:val="000000"/>
          <w:sz w:val="24"/>
          <w:szCs w:val="24"/>
        </w:rPr>
        <w:t>Report of the 13th meeting held in Makurdi, Benue State, July 2001</w:t>
      </w:r>
      <w:r>
        <w:rPr>
          <w:rFonts w:ascii="Times New Roman" w:eastAsia="Times New Roman" w:hAnsi="Times New Roman" w:cs="Times New Roman"/>
          <w:color w:val="000000"/>
          <w:sz w:val="24"/>
          <w:szCs w:val="24"/>
        </w:rPr>
        <w:t xml:space="preserve">. Abuja, Nigeria: National Council on Industry. </w:t>
      </w:r>
    </w:p>
    <w:p w14:paraId="2D42724E" w14:textId="77777777" w:rsidR="00472922" w:rsidRDefault="00B5152B">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Nigerian Institute of Social and Economic Research. (2004). </w:t>
      </w:r>
      <w:r>
        <w:rPr>
          <w:rFonts w:ascii="Times New Roman" w:eastAsia="Times New Roman" w:hAnsi="Times New Roman" w:cs="Times New Roman"/>
          <w:i/>
          <w:iCs/>
          <w:color w:val="000000"/>
          <w:sz w:val="24"/>
          <w:szCs w:val="24"/>
        </w:rPr>
        <w:t>Baseline economic survey of small and medium scale industries in Nigeria: National synthesis final report</w:t>
      </w:r>
      <w:r>
        <w:rPr>
          <w:rFonts w:ascii="Times New Roman" w:eastAsia="Times New Roman" w:hAnsi="Times New Roman" w:cs="Times New Roman"/>
          <w:color w:val="000000"/>
          <w:sz w:val="24"/>
          <w:szCs w:val="24"/>
        </w:rPr>
        <w:t>. Ibadan, Nigeria: NISER.</w:t>
      </w:r>
    </w:p>
    <w:p w14:paraId="6927D9B9" w14:textId="77777777" w:rsidR="00472922" w:rsidRDefault="00B5152B">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Oberlo</w:t>
      </w:r>
      <w:proofErr w:type="spellEnd"/>
      <w:r>
        <w:rPr>
          <w:rFonts w:ascii="Times New Roman" w:eastAsia="Times New Roman" w:hAnsi="Times New Roman" w:cs="Times New Roman"/>
          <w:color w:val="000000"/>
          <w:sz w:val="24"/>
          <w:szCs w:val="24"/>
        </w:rPr>
        <w:t xml:space="preserve">. (2020). </w:t>
      </w:r>
      <w:r>
        <w:rPr>
          <w:rFonts w:ascii="Times New Roman" w:eastAsia="Times New Roman" w:hAnsi="Times New Roman" w:cs="Times New Roman"/>
          <w:i/>
          <w:iCs/>
          <w:color w:val="000000"/>
          <w:sz w:val="24"/>
          <w:szCs w:val="24"/>
        </w:rPr>
        <w:t>Small businesses in the USA from 2017 to 2020</w:t>
      </w:r>
      <w:r>
        <w:rPr>
          <w:rFonts w:ascii="Times New Roman" w:eastAsia="Times New Roman" w:hAnsi="Times New Roman" w:cs="Times New Roman"/>
          <w:color w:val="000000"/>
          <w:sz w:val="24"/>
          <w:szCs w:val="24"/>
        </w:rPr>
        <w:t xml:space="preserve">. Retrieved January 12, 2023, from https://ng.oberlo.com/statistics/number-of-small-business-in-the-us </w:t>
      </w:r>
    </w:p>
    <w:p w14:paraId="38D881AC" w14:textId="77777777" w:rsidR="00472922" w:rsidRDefault="00B5152B">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Ojo, A. T. (2003). </w:t>
      </w:r>
      <w:r>
        <w:rPr>
          <w:rFonts w:ascii="Times New Roman" w:eastAsia="Times New Roman" w:hAnsi="Times New Roman" w:cs="Times New Roman"/>
          <w:i/>
          <w:iCs/>
          <w:color w:val="000000"/>
          <w:sz w:val="24"/>
          <w:szCs w:val="24"/>
        </w:rPr>
        <w:t>Partnership and strategic alliance for effective SME development</w:t>
      </w:r>
      <w:r>
        <w:rPr>
          <w:rFonts w:ascii="Times New Roman" w:eastAsia="Times New Roman" w:hAnsi="Times New Roman" w:cs="Times New Roman"/>
          <w:color w:val="000000"/>
          <w:sz w:val="24"/>
          <w:szCs w:val="24"/>
        </w:rPr>
        <w:t xml:space="preserve">. In </w:t>
      </w:r>
      <w:r>
        <w:rPr>
          <w:rFonts w:ascii="Times New Roman" w:eastAsia="Times New Roman" w:hAnsi="Times New Roman" w:cs="Times New Roman"/>
          <w:i/>
          <w:iCs/>
          <w:color w:val="000000"/>
          <w:sz w:val="24"/>
          <w:szCs w:val="24"/>
        </w:rPr>
        <w:t>Small and Medium Enterprises Development and SMIEIS: Effective Implementation Strategies</w:t>
      </w:r>
      <w:r>
        <w:rPr>
          <w:rFonts w:ascii="Times New Roman" w:eastAsia="Times New Roman" w:hAnsi="Times New Roman" w:cs="Times New Roman"/>
          <w:color w:val="000000"/>
          <w:sz w:val="24"/>
          <w:szCs w:val="24"/>
        </w:rPr>
        <w:t xml:space="preserve">. Lagos, Nigeria: CIBN Press Ltd. </w:t>
      </w:r>
    </w:p>
    <w:p w14:paraId="64F379CD" w14:textId="77777777" w:rsidR="00472922" w:rsidRDefault="00B5152B">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Organisation</w:t>
      </w:r>
      <w:proofErr w:type="spellEnd"/>
      <w:r>
        <w:rPr>
          <w:rFonts w:ascii="Times New Roman" w:eastAsia="Times New Roman" w:hAnsi="Times New Roman" w:cs="Times New Roman"/>
          <w:color w:val="000000"/>
          <w:sz w:val="24"/>
          <w:szCs w:val="24"/>
        </w:rPr>
        <w:t xml:space="preserve"> for Economic Co-operation and Development. (2020). </w:t>
      </w:r>
      <w:r>
        <w:rPr>
          <w:rFonts w:ascii="Times New Roman" w:eastAsia="Times New Roman" w:hAnsi="Times New Roman" w:cs="Times New Roman"/>
          <w:i/>
          <w:iCs/>
          <w:color w:val="000000"/>
          <w:sz w:val="24"/>
          <w:szCs w:val="24"/>
        </w:rPr>
        <w:t>Financing SMEs and entrepreneurs 2020</w:t>
      </w:r>
      <w:r>
        <w:rPr>
          <w:rFonts w:ascii="Times New Roman" w:eastAsia="Times New Roman" w:hAnsi="Times New Roman" w:cs="Times New Roman"/>
          <w:color w:val="000000"/>
          <w:sz w:val="24"/>
          <w:szCs w:val="24"/>
        </w:rPr>
        <w:t xml:space="preserve">. Retrieved March 12, 2021, from </w:t>
      </w:r>
      <w:hyperlink r:id="rId8">
        <w:r>
          <w:rPr>
            <w:rFonts w:ascii="Times New Roman" w:eastAsia="Times New Roman" w:hAnsi="Times New Roman" w:cs="Times New Roman"/>
            <w:color w:val="0000FF"/>
            <w:sz w:val="24"/>
            <w:szCs w:val="24"/>
            <w:u w:val="single"/>
          </w:rPr>
          <w:t>https://www.oecd-ilibrary.org</w:t>
        </w:r>
      </w:hyperlink>
      <w:r>
        <w:rPr>
          <w:rFonts w:ascii="Times New Roman" w:eastAsia="Times New Roman" w:hAnsi="Times New Roman" w:cs="Times New Roman"/>
          <w:color w:val="000000"/>
          <w:sz w:val="24"/>
          <w:szCs w:val="24"/>
        </w:rPr>
        <w:t xml:space="preserve"> </w:t>
      </w:r>
    </w:p>
    <w:p w14:paraId="6B9490E6" w14:textId="77777777" w:rsidR="00472922" w:rsidRDefault="00B5152B">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Rastogi, V. (2020). </w:t>
      </w:r>
      <w:r>
        <w:rPr>
          <w:rFonts w:ascii="Times New Roman" w:eastAsia="Times New Roman" w:hAnsi="Times New Roman" w:cs="Times New Roman"/>
          <w:i/>
          <w:iCs/>
          <w:color w:val="000000"/>
          <w:sz w:val="24"/>
          <w:szCs w:val="24"/>
        </w:rPr>
        <w:t>Micro, small, and medium enterprises in India: An explainer</w:t>
      </w:r>
      <w:r>
        <w:rPr>
          <w:rFonts w:ascii="Times New Roman" w:eastAsia="Times New Roman" w:hAnsi="Times New Roman" w:cs="Times New Roman"/>
          <w:color w:val="000000"/>
          <w:sz w:val="24"/>
          <w:szCs w:val="24"/>
        </w:rPr>
        <w:t xml:space="preserve">. Retrieved January 12, 2023, from </w:t>
      </w:r>
      <w:hyperlink r:id="rId9">
        <w:r>
          <w:rPr>
            <w:rFonts w:ascii="Times New Roman" w:eastAsia="Times New Roman" w:hAnsi="Times New Roman" w:cs="Times New Roman"/>
            <w:color w:val="0000FF"/>
            <w:sz w:val="24"/>
            <w:szCs w:val="24"/>
            <w:u w:val="single"/>
          </w:rPr>
          <w:t>https://www.india-briefing.com/news/micro-small-medium-enterprises-india-explainer-17887.html</w:t>
        </w:r>
      </w:hyperlink>
      <w:r>
        <w:rPr>
          <w:rFonts w:ascii="Times New Roman" w:eastAsia="Times New Roman" w:hAnsi="Times New Roman" w:cs="Times New Roman"/>
          <w:color w:val="000000"/>
          <w:sz w:val="24"/>
          <w:szCs w:val="24"/>
        </w:rPr>
        <w:t xml:space="preserve"> </w:t>
      </w:r>
    </w:p>
    <w:p w14:paraId="3D87C92E" w14:textId="77777777" w:rsidR="00472922" w:rsidRDefault="00B5152B">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Roopchund</w:t>
      </w:r>
      <w:proofErr w:type="spellEnd"/>
      <w:r>
        <w:rPr>
          <w:rFonts w:ascii="Times New Roman" w:eastAsia="Times New Roman" w:hAnsi="Times New Roman" w:cs="Times New Roman"/>
          <w:color w:val="000000"/>
          <w:sz w:val="24"/>
          <w:szCs w:val="24"/>
        </w:rPr>
        <w:t xml:space="preserve">, R. (2020). SMEs in Mauritius: Economic growth, employment and entrepreneurial culture. </w:t>
      </w:r>
      <w:r>
        <w:rPr>
          <w:rFonts w:ascii="Times New Roman" w:eastAsia="Times New Roman" w:hAnsi="Times New Roman" w:cs="Times New Roman"/>
          <w:i/>
          <w:iCs/>
          <w:color w:val="000000"/>
          <w:sz w:val="24"/>
          <w:szCs w:val="24"/>
        </w:rPr>
        <w:t>International Journal of Entrepreneurship and Small Business, 39</w:t>
      </w:r>
      <w:r>
        <w:rPr>
          <w:rFonts w:ascii="Times New Roman" w:eastAsia="Times New Roman" w:hAnsi="Times New Roman" w:cs="Times New Roman"/>
          <w:color w:val="000000"/>
          <w:sz w:val="24"/>
          <w:szCs w:val="24"/>
        </w:rPr>
        <w:t xml:space="preserve">(4), 585–596. </w:t>
      </w:r>
    </w:p>
    <w:p w14:paraId="1D3DCCD8" w14:textId="77777777" w:rsidR="00472922" w:rsidRDefault="00B5152B">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Small and Medium Enterprises Development Agency of Nigeria. (2007). </w:t>
      </w:r>
      <w:r>
        <w:rPr>
          <w:rFonts w:ascii="Times New Roman" w:eastAsia="Times New Roman" w:hAnsi="Times New Roman" w:cs="Times New Roman"/>
          <w:i/>
          <w:iCs/>
          <w:color w:val="000000"/>
          <w:sz w:val="24"/>
          <w:szCs w:val="24"/>
        </w:rPr>
        <w:t>National policy on micro, small and medium enterprises</w:t>
      </w:r>
      <w:r>
        <w:rPr>
          <w:rFonts w:ascii="Times New Roman" w:eastAsia="Times New Roman" w:hAnsi="Times New Roman" w:cs="Times New Roman"/>
          <w:color w:val="000000"/>
          <w:sz w:val="24"/>
          <w:szCs w:val="24"/>
        </w:rPr>
        <w:t xml:space="preserve">. Abuja, Nigeria: SMEDAN. </w:t>
      </w:r>
    </w:p>
    <w:p w14:paraId="66E839DB" w14:textId="77777777" w:rsidR="00472922" w:rsidRDefault="00B5152B">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Todaro, M. P., &amp; Smith, S. C. (2005). </w:t>
      </w:r>
      <w:r>
        <w:rPr>
          <w:rFonts w:ascii="Times New Roman" w:eastAsia="Times New Roman" w:hAnsi="Times New Roman" w:cs="Times New Roman"/>
          <w:i/>
          <w:iCs/>
          <w:color w:val="000000"/>
          <w:sz w:val="24"/>
          <w:szCs w:val="24"/>
        </w:rPr>
        <w:t>Economic development</w:t>
      </w:r>
      <w:r>
        <w:rPr>
          <w:rFonts w:ascii="Times New Roman" w:eastAsia="Times New Roman" w:hAnsi="Times New Roman" w:cs="Times New Roman"/>
          <w:color w:val="000000"/>
          <w:sz w:val="24"/>
          <w:szCs w:val="24"/>
        </w:rPr>
        <w:t xml:space="preserve">. Singapore: Pearson Education. </w:t>
      </w:r>
    </w:p>
    <w:p w14:paraId="76007A05" w14:textId="77777777" w:rsidR="00472922" w:rsidRDefault="00B5152B">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Tumkella</w:t>
      </w:r>
      <w:proofErr w:type="spellEnd"/>
      <w:r>
        <w:rPr>
          <w:rFonts w:ascii="Times New Roman" w:eastAsia="Times New Roman" w:hAnsi="Times New Roman" w:cs="Times New Roman"/>
          <w:color w:val="000000"/>
          <w:sz w:val="24"/>
          <w:szCs w:val="24"/>
        </w:rPr>
        <w:t xml:space="preserve">, K. (2003, June 10). </w:t>
      </w:r>
      <w:r>
        <w:rPr>
          <w:rFonts w:ascii="Times New Roman" w:eastAsia="Times New Roman" w:hAnsi="Times New Roman" w:cs="Times New Roman"/>
          <w:i/>
          <w:iCs/>
          <w:color w:val="000000"/>
          <w:sz w:val="24"/>
          <w:szCs w:val="24"/>
        </w:rPr>
        <w:t xml:space="preserve">The challenge of </w:t>
      </w:r>
      <w:proofErr w:type="spellStart"/>
      <w:r>
        <w:rPr>
          <w:rFonts w:ascii="Times New Roman" w:eastAsia="Times New Roman" w:hAnsi="Times New Roman" w:cs="Times New Roman"/>
          <w:i/>
          <w:iCs/>
          <w:color w:val="000000"/>
          <w:sz w:val="24"/>
          <w:szCs w:val="24"/>
        </w:rPr>
        <w:t>globalisation</w:t>
      </w:r>
      <w:proofErr w:type="spellEnd"/>
      <w:r>
        <w:rPr>
          <w:rFonts w:ascii="Times New Roman" w:eastAsia="Times New Roman" w:hAnsi="Times New Roman" w:cs="Times New Roman"/>
          <w:i/>
          <w:iCs/>
          <w:color w:val="000000"/>
          <w:sz w:val="24"/>
          <w:szCs w:val="24"/>
        </w:rPr>
        <w:t xml:space="preserve"> and SME sector in Nigeria: Repositioning through technology and innovation</w:t>
      </w:r>
      <w:r>
        <w:rPr>
          <w:rFonts w:ascii="Times New Roman" w:eastAsia="Times New Roman" w:hAnsi="Times New Roman" w:cs="Times New Roman"/>
          <w:color w:val="000000"/>
          <w:sz w:val="24"/>
          <w:szCs w:val="24"/>
        </w:rPr>
        <w:t xml:space="preserve">. Paper presented at the National Summit on SMIEIS, Bankers' Committee and Lagos Chamber of Commerce and Industry, Lagos, Nigeria. </w:t>
      </w:r>
    </w:p>
    <w:p w14:paraId="0B560E80" w14:textId="77777777" w:rsidR="00472922" w:rsidRDefault="00B5152B">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Udoka, C., &amp; </w:t>
      </w:r>
      <w:proofErr w:type="spellStart"/>
      <w:r>
        <w:rPr>
          <w:rFonts w:ascii="Times New Roman" w:eastAsia="Times New Roman" w:hAnsi="Times New Roman" w:cs="Times New Roman"/>
          <w:color w:val="000000"/>
          <w:sz w:val="24"/>
          <w:szCs w:val="24"/>
        </w:rPr>
        <w:t>Anyingang</w:t>
      </w:r>
      <w:proofErr w:type="spellEnd"/>
      <w:r>
        <w:rPr>
          <w:rFonts w:ascii="Times New Roman" w:eastAsia="Times New Roman" w:hAnsi="Times New Roman" w:cs="Times New Roman"/>
          <w:color w:val="000000"/>
          <w:sz w:val="24"/>
          <w:szCs w:val="24"/>
        </w:rPr>
        <w:t xml:space="preserve">, E. (2015). Factors constraining the growth and survival of SMEs in Nigeria: Implications for poverty alleviation. </w:t>
      </w:r>
      <w:r>
        <w:rPr>
          <w:rFonts w:ascii="Times New Roman" w:eastAsia="Times New Roman" w:hAnsi="Times New Roman" w:cs="Times New Roman"/>
          <w:i/>
          <w:iCs/>
          <w:color w:val="000000"/>
          <w:sz w:val="24"/>
          <w:szCs w:val="24"/>
        </w:rPr>
        <w:t>Management Research Review, 34</w:t>
      </w:r>
      <w:r>
        <w:rPr>
          <w:rFonts w:ascii="Times New Roman" w:eastAsia="Times New Roman" w:hAnsi="Times New Roman" w:cs="Times New Roman"/>
          <w:color w:val="000000"/>
          <w:sz w:val="24"/>
          <w:szCs w:val="24"/>
        </w:rPr>
        <w:t xml:space="preserve">(2), 156–171. https://doi.org/10.1108/01409171111102786 </w:t>
      </w:r>
    </w:p>
    <w:p w14:paraId="7F770190" w14:textId="77777777" w:rsidR="00472922" w:rsidRDefault="00B5152B">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Ussif</w:t>
      </w:r>
      <w:proofErr w:type="spellEnd"/>
      <w:r>
        <w:rPr>
          <w:rFonts w:ascii="Times New Roman" w:eastAsia="Times New Roman" w:hAnsi="Times New Roman" w:cs="Times New Roman"/>
          <w:color w:val="000000"/>
          <w:sz w:val="24"/>
          <w:szCs w:val="24"/>
        </w:rPr>
        <w:t xml:space="preserve">, R., &amp; Salifu, K. (2020). Contributions of small and medium enterprises to economic development in Sub-Saharan Africa. </w:t>
      </w:r>
      <w:r>
        <w:rPr>
          <w:rFonts w:ascii="Times New Roman" w:eastAsia="Times New Roman" w:hAnsi="Times New Roman" w:cs="Times New Roman"/>
          <w:i/>
          <w:iCs/>
          <w:color w:val="000000"/>
          <w:sz w:val="24"/>
          <w:szCs w:val="24"/>
        </w:rPr>
        <w:t>International Journal of Academic Accounting, Finance &amp; Management Research, 4</w:t>
      </w:r>
      <w:r>
        <w:rPr>
          <w:rFonts w:ascii="Times New Roman" w:eastAsia="Times New Roman" w:hAnsi="Times New Roman" w:cs="Times New Roman"/>
          <w:color w:val="000000"/>
          <w:sz w:val="24"/>
          <w:szCs w:val="24"/>
        </w:rPr>
        <w:t xml:space="preserve">(3), 63–78. </w:t>
      </w:r>
    </w:p>
    <w:p w14:paraId="1383F2F1" w14:textId="77777777" w:rsidR="00472922" w:rsidRDefault="00B5152B">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Variyam</w:t>
      </w:r>
      <w:proofErr w:type="spellEnd"/>
      <w:r>
        <w:rPr>
          <w:rFonts w:ascii="Times New Roman" w:eastAsia="Times New Roman" w:hAnsi="Times New Roman" w:cs="Times New Roman"/>
          <w:color w:val="000000"/>
          <w:sz w:val="24"/>
          <w:szCs w:val="24"/>
        </w:rPr>
        <w:t xml:space="preserve">, J., &amp; Kraybill, D. (1994). Managerial inputs and the growth of rural small firms. </w:t>
      </w:r>
      <w:r>
        <w:rPr>
          <w:rFonts w:ascii="Times New Roman" w:eastAsia="Times New Roman" w:hAnsi="Times New Roman" w:cs="Times New Roman"/>
          <w:i/>
          <w:iCs/>
          <w:color w:val="000000"/>
          <w:sz w:val="24"/>
          <w:szCs w:val="24"/>
        </w:rPr>
        <w:t>American Journal of Agricultural Economics, 76</w:t>
      </w:r>
      <w:r>
        <w:rPr>
          <w:rFonts w:ascii="Times New Roman" w:eastAsia="Times New Roman" w:hAnsi="Times New Roman" w:cs="Times New Roman"/>
          <w:color w:val="000000"/>
          <w:sz w:val="24"/>
          <w:szCs w:val="24"/>
        </w:rPr>
        <w:t xml:space="preserve">(3), 568–575. </w:t>
      </w:r>
    </w:p>
    <w:p w14:paraId="480BC451" w14:textId="77777777" w:rsidR="00472922" w:rsidRDefault="00B5152B">
      <w:pPr>
        <w:pBdr>
          <w:top w:val="nil"/>
          <w:left w:val="nil"/>
          <w:bottom w:val="nil"/>
          <w:right w:val="nil"/>
          <w:between w:val="nil"/>
        </w:pBdr>
        <w:spacing w:line="24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World Bank. (2020). </w:t>
      </w:r>
      <w:r>
        <w:rPr>
          <w:rFonts w:ascii="Times New Roman" w:eastAsia="Times New Roman" w:hAnsi="Times New Roman" w:cs="Times New Roman"/>
          <w:i/>
          <w:iCs/>
          <w:color w:val="000000"/>
          <w:sz w:val="24"/>
          <w:szCs w:val="24"/>
        </w:rPr>
        <w:t>Micro, small and medium enterprises contribution to employment</w:t>
      </w:r>
      <w:r>
        <w:rPr>
          <w:rFonts w:ascii="Times New Roman" w:eastAsia="Times New Roman" w:hAnsi="Times New Roman" w:cs="Times New Roman"/>
          <w:color w:val="000000"/>
          <w:sz w:val="24"/>
          <w:szCs w:val="24"/>
        </w:rPr>
        <w:t>. Washington, DC: World Bank.</w:t>
      </w:r>
    </w:p>
    <w:p w14:paraId="06773D2F" w14:textId="77777777" w:rsidR="00472922" w:rsidRDefault="00472922">
      <w:pPr>
        <w:jc w:val="both"/>
        <w:rPr>
          <w:rFonts w:ascii="Times New Roman" w:eastAsia="Times New Roman" w:hAnsi="Times New Roman" w:cs="Times New Roman"/>
          <w:color w:val="000000"/>
          <w:sz w:val="24"/>
          <w:szCs w:val="24"/>
        </w:rPr>
      </w:pPr>
    </w:p>
    <w:sectPr w:rsidR="00472922">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E5706" w14:textId="77777777" w:rsidR="001C7CC0" w:rsidRDefault="001C7CC0" w:rsidP="007008EF">
      <w:pPr>
        <w:spacing w:after="0" w:line="240" w:lineRule="auto"/>
      </w:pPr>
      <w:r>
        <w:separator/>
      </w:r>
    </w:p>
  </w:endnote>
  <w:endnote w:type="continuationSeparator" w:id="0">
    <w:p w14:paraId="0FBF4B6D" w14:textId="77777777" w:rsidR="001C7CC0" w:rsidRDefault="001C7CC0" w:rsidP="007008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4F926F2C-7B73-4C0B-A71E-2E464D7667D6}"/>
    <w:embedBold r:id="rId2" w:fontKey="{04AB37D5-CF1C-49E7-B1C1-62F97D6B7326}"/>
    <w:embedItalic r:id="rId3" w:fontKey="{727360EE-FAB8-4ED5-93B3-B2823F753E17}"/>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674FAF7B-AF0A-420B-A4A0-1C4F619D2314}"/>
    <w:embedBold r:id="rId5" w:fontKey="{8BFEE1D7-22C0-4979-A51C-41D0FB4012A3}"/>
    <w:embedBoldItalic r:id="rId6" w:fontKey="{A619A401-FA6F-4352-BD33-0409FF7F60D3}"/>
  </w:font>
  <w:font w:name="Georgia">
    <w:panose1 w:val="02040502050405020303"/>
    <w:charset w:val="00"/>
    <w:family w:val="roman"/>
    <w:pitch w:val="variable"/>
    <w:sig w:usb0="00000287" w:usb1="00000000" w:usb2="00000000" w:usb3="00000000" w:csb0="0000009F" w:csb1="00000000"/>
    <w:embedItalic r:id="rId7" w:fontKey="{10894CF4-8797-451D-875D-A7A17844F667}"/>
  </w:font>
  <w:font w:name="Cambria Math">
    <w:panose1 w:val="02040503050406030204"/>
    <w:charset w:val="00"/>
    <w:family w:val="roman"/>
    <w:pitch w:val="variable"/>
    <w:sig w:usb0="E00006FF" w:usb1="420024FF" w:usb2="02000000" w:usb3="00000000" w:csb0="0000019F" w:csb1="00000000"/>
    <w:embedRegular r:id="rId8" w:fontKey="{A7124190-5D07-46F8-A043-E8FA3AC8DAFB}"/>
    <w:embedItalic r:id="rId9" w:fontKey="{22A698D6-1C31-4042-B4BC-9AE60188F595}"/>
  </w:font>
  <w:font w:name="Gungsuh">
    <w:charset w:val="81"/>
    <w:family w:val="roman"/>
    <w:pitch w:val="variable"/>
    <w:sig w:usb0="B00002AF" w:usb1="69D77CFB" w:usb2="00000030" w:usb3="00000000" w:csb0="0008009F" w:csb1="00000000"/>
    <w:embedRegular r:id="rId10" w:subsetted="1" w:fontKey="{C45C6B97-A658-4B91-8734-DED87C66A8DD}"/>
  </w:font>
  <w:font w:name="Cardo">
    <w:charset w:val="00"/>
    <w:family w:val="auto"/>
    <w:pitch w:val="default"/>
    <w:embedRegular r:id="rId11" w:fontKey="{ED4C7B55-5164-4C3E-8091-5FAD5FA1009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33DBD" w14:textId="77777777" w:rsidR="007008EF" w:rsidRDefault="007008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D4F03" w14:textId="77777777" w:rsidR="007008EF" w:rsidRDefault="007008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B2584" w14:textId="77777777" w:rsidR="007008EF" w:rsidRDefault="007008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B63C2" w14:textId="77777777" w:rsidR="001C7CC0" w:rsidRDefault="001C7CC0" w:rsidP="007008EF">
      <w:pPr>
        <w:spacing w:after="0" w:line="240" w:lineRule="auto"/>
      </w:pPr>
      <w:r>
        <w:separator/>
      </w:r>
    </w:p>
  </w:footnote>
  <w:footnote w:type="continuationSeparator" w:id="0">
    <w:p w14:paraId="245BAA4A" w14:textId="77777777" w:rsidR="001C7CC0" w:rsidRDefault="001C7CC0" w:rsidP="007008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36C49" w14:textId="32040085" w:rsidR="007008EF" w:rsidRDefault="007008EF">
    <w:pPr>
      <w:pStyle w:val="Header"/>
    </w:pPr>
    <w:r>
      <w:rPr>
        <w:noProof/>
      </w:rPr>
      <w:pict w14:anchorId="0D5286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0146751"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9DAA0" w14:textId="38F42A95" w:rsidR="007008EF" w:rsidRDefault="007008EF">
    <w:pPr>
      <w:pStyle w:val="Header"/>
    </w:pPr>
    <w:r>
      <w:rPr>
        <w:noProof/>
      </w:rPr>
      <w:pict w14:anchorId="2352C2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0146752"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96168" w14:textId="3BCE2618" w:rsidR="007008EF" w:rsidRDefault="007008EF">
    <w:pPr>
      <w:pStyle w:val="Header"/>
    </w:pPr>
    <w:r>
      <w:rPr>
        <w:noProof/>
      </w:rPr>
      <w:pict w14:anchorId="5E3BEB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0146750"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7624B"/>
    <w:multiLevelType w:val="multilevel"/>
    <w:tmpl w:val="5D506138"/>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127457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922"/>
    <w:rsid w:val="001C7CC0"/>
    <w:rsid w:val="003D65CA"/>
    <w:rsid w:val="00472922"/>
    <w:rsid w:val="007008EF"/>
    <w:rsid w:val="00B515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BA6F6"/>
  <w15:docId w15:val="{8632576A-C060-47E1-9F7A-94EB29094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I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line="240" w:lineRule="auto"/>
      <w:outlineLvl w:val="0"/>
    </w:pPr>
    <w:rPr>
      <w:rFonts w:ascii="Times New Roman" w:eastAsia="Times New Roman" w:hAnsi="Times New Roman" w:cs="Times New Roman"/>
      <w:b/>
      <w:bCs/>
      <w:sz w:val="48"/>
      <w:szCs w:val="48"/>
    </w:rPr>
  </w:style>
  <w:style w:type="paragraph" w:styleId="Heading2">
    <w:name w:val="heading 2"/>
    <w:basedOn w:val="Normal"/>
    <w:next w:val="Normal"/>
    <w:uiPriority w:val="9"/>
    <w:unhideWhenUsed/>
    <w:qFormat/>
    <w:pPr>
      <w:spacing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uiPriority w:val="9"/>
    <w:unhideWhenUsed/>
    <w:qFormat/>
    <w:pPr>
      <w:keepNext/>
      <w:keepLines/>
      <w:spacing w:before="200" w:after="0"/>
      <w:outlineLvl w:val="2"/>
    </w:pPr>
    <w:rPr>
      <w:rFonts w:ascii="Cambria" w:eastAsia="Cambria" w:hAnsi="Cambria" w:cs="Cambria"/>
      <w:b/>
      <w:bCs/>
      <w:color w:val="4F81BD"/>
    </w:rPr>
  </w:style>
  <w:style w:type="paragraph" w:styleId="Heading4">
    <w:name w:val="heading 4"/>
    <w:basedOn w:val="Normal"/>
    <w:next w:val="Normal"/>
    <w:uiPriority w:val="9"/>
    <w:semiHidden/>
    <w:unhideWhenUsed/>
    <w:qFormat/>
    <w:pPr>
      <w:keepNext/>
      <w:keepLines/>
      <w:spacing w:before="200" w:after="0"/>
      <w:outlineLvl w:val="3"/>
    </w:pPr>
    <w:rPr>
      <w:rFonts w:ascii="Cambria" w:eastAsia="Cambria" w:hAnsi="Cambria" w:cs="Cambria"/>
      <w:b/>
      <w:bCs/>
      <w:i/>
      <w:iCs/>
      <w:color w:val="4F81BD"/>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pPr>
      <w:spacing w:after="0" w:line="240" w:lineRule="auto"/>
    </w:pPr>
    <w:rPr>
      <w:color w:val="000000"/>
    </w:rPr>
    <w:tblPr>
      <w:tblStyleRowBandSize w:val="1"/>
      <w:tblStyleColBandSize w:val="1"/>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pPr>
      <w:spacing w:after="0" w:line="240" w:lineRule="auto"/>
    </w:pPr>
    <w:rPr>
      <w:color w:val="000000"/>
    </w:rPr>
    <w:tblPr>
      <w:tblStyleRowBandSize w:val="1"/>
      <w:tblStyleColBandSize w:val="1"/>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ListParagraph">
    <w:name w:val="List Paragraph"/>
    <w:basedOn w:val="Normal"/>
    <w:uiPriority w:val="34"/>
    <w:qFormat/>
    <w:rsid w:val="00B5152B"/>
    <w:pPr>
      <w:ind w:left="720"/>
      <w:contextualSpacing/>
    </w:pPr>
  </w:style>
  <w:style w:type="paragraph" w:styleId="Header">
    <w:name w:val="header"/>
    <w:basedOn w:val="Normal"/>
    <w:link w:val="HeaderChar"/>
    <w:uiPriority w:val="99"/>
    <w:unhideWhenUsed/>
    <w:rsid w:val="007008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08EF"/>
  </w:style>
  <w:style w:type="paragraph" w:styleId="Footer">
    <w:name w:val="footer"/>
    <w:basedOn w:val="Normal"/>
    <w:link w:val="FooterChar"/>
    <w:uiPriority w:val="99"/>
    <w:unhideWhenUsed/>
    <w:rsid w:val="007008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08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oecd-ilibrary.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india-briefing.com/news/micro-small-medium-enterprises-india-explainer-17887.html"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weXUz6o5SM5H0t9KgbYV2WiTvQ==">CgMxLjAaJQoBMBIgCh4IB0IaCg9UaW1lcyBOZXcgUm9tYW4SB0d1bmdzdWgaJQoBMRIgCh4IB0IaCg9UaW1lcyBOZXcgUm9tYW4SB0d1bmdzdWgaIwoBMhIeChwIB0IYCg9UaW1lcyBOZXcgUm9tYW4SBUNhcmRvOAByITFnRFJ6RUVkS2NySV9YRVVhTTV4SWlIdzJtU1o1RmZ4bg==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6428</Words>
  <Characters>36642</Characters>
  <Application>Microsoft Office Word</Application>
  <DocSecurity>0</DocSecurity>
  <Lines>305</Lines>
  <Paragraphs>85</Paragraphs>
  <ScaleCrop>false</ScaleCrop>
  <Company/>
  <LinksUpToDate>false</LinksUpToDate>
  <CharactersWithSpaces>42985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SDI 1166</cp:lastModifiedBy>
  <cp:revision>3</cp:revision>
  <dcterms:created xsi:type="dcterms:W3CDTF">2026-07-31T05:45:00Z</dcterms:created>
  <dcterms:modified xsi:type="dcterms:W3CDTF">2026-07-31T09:36:00Z</dcterms:modified>
</cp:coreProperties>
</file>