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9CBCB" w14:textId="4213D862" w:rsidR="000A5DBF" w:rsidRDefault="000A5DBF" w:rsidP="000A5DBF">
      <w:pPr>
        <w:pStyle w:val="Heading1"/>
      </w:pPr>
      <w:r w:rsidRPr="000A5DBF">
        <w:t>Competitive Strategies and Firm Performance in Kenya's Energy Sector: An Empirical Critical Review</w:t>
      </w:r>
    </w:p>
    <w:p w14:paraId="0CA6B7F2" w14:textId="77777777" w:rsidR="000A5DBF" w:rsidRDefault="000A5DBF">
      <w:pPr>
        <w:keepNext/>
        <w:jc w:val="center"/>
        <w:rPr>
          <w:b/>
          <w:sz w:val="24"/>
        </w:rPr>
      </w:pPr>
    </w:p>
    <w:p w14:paraId="1931F3DD" w14:textId="745C1BE3" w:rsidR="00823FE6" w:rsidRDefault="006D076A">
      <w:pPr>
        <w:keepNext/>
        <w:jc w:val="center"/>
      </w:pPr>
      <w:r>
        <w:rPr>
          <w:b/>
          <w:sz w:val="24"/>
        </w:rPr>
        <w:t>Abstract</w:t>
      </w:r>
    </w:p>
    <w:p w14:paraId="2C652D25" w14:textId="77777777" w:rsidR="00823FE6" w:rsidRDefault="006D076A">
      <w:pPr>
        <w:pStyle w:val="AbstractBody"/>
        <w:jc w:val="both"/>
      </w:pPr>
      <w:r>
        <w:t>Kenya's energy sector combines state-owned utilities, regulated petroleum markets, independent power producers, and rapidly evolving off-grid enterprises. This institutional diversity makes the relationship between competitive strategy and firm performance more complex than conventional market-positioning models imply. This critical narrative review evaluates empirical evidence on cost leadership, differentiation, focus, innovation, collaboration, organisational alignment, and business-model adaptation across electricity, petroleum, liquefied petroleum gas, solar, and mini-grid activities. Literature published from 1980 to 1 June 2026 was identified through accessible scholarly indexes, DOI and metadata services, institutional repositories, citation searching, and authoritative energy-sector sources. The synthesis indicates that competitive strategies are generally associated with improved financial, operational, market, project, or service outcomes, but the strength of this conclusion is limited. Most Kenya-specific studies use cross-sectional questionnaires, managerial perceptions, single-informant designs, and simple regression models; few use objective longitudinal performance data or address endogeneity. Cost leadership is most credible when interpreted as logistics efficiency, asset utilisation, procurement discipline, loss reduction, and working-capital control rather than unrestricted price competition. Differentiation operates through reliability, safety, convenience, digital interfaces, customer service, and clean-energy positioning. Focus strategies are particularly important in rural, low-income, and off-grid markets, although affordability, demand density, payment risk, and regulatory uncertainty constrain their returns. Innovation and collaboration can strengthen resilience, but their effects depend on complementary capabilities, organisational clarity, institutional fit, and the distribution of risks across partners. The review concludes that Kenya's energy firms gain less from isolated generic strategies than from coherent configurations that align positioning, capabilities, business models, and regulatory adaptation. More credible inference requires matched firm-level panels, quasi-experimental designs, objective performance indicators, and explicit comparison across subsectors.</w:t>
      </w:r>
    </w:p>
    <w:p w14:paraId="40819F56" w14:textId="77777777" w:rsidR="00823FE6" w:rsidRDefault="006D076A">
      <w:pPr>
        <w:pStyle w:val="Keywords"/>
      </w:pPr>
      <w:r>
        <w:rPr>
          <w:b/>
        </w:rPr>
        <w:t xml:space="preserve">Keywords: </w:t>
      </w:r>
      <w:r>
        <w:t>competitive strategy; dynamic capabilities; energy firms; firm performance; Kenya; mini-grids; oil marketing; strategic implementation</w:t>
      </w:r>
    </w:p>
    <w:p w14:paraId="47CA773D" w14:textId="77777777" w:rsidR="00823FE6" w:rsidRDefault="006D076A">
      <w:pPr>
        <w:pStyle w:val="Heading1"/>
      </w:pPr>
      <w:r>
        <w:t>1. Introduction</w:t>
      </w:r>
    </w:p>
    <w:p w14:paraId="3D4D4690" w14:textId="77777777" w:rsidR="00823FE6" w:rsidRDefault="006D076A">
      <w:pPr>
        <w:pStyle w:val="BodyText"/>
        <w:jc w:val="both"/>
      </w:pPr>
      <w:r>
        <w:t>Energy firms compete under unusually demanding conditions because they must reconcile commercial performance with infrastructure reliability, public-service obligations, environmental constraints, capital intensity, and regulatory oversight. In Kenya, these tensions are visible within a sector that includes vertically separated electricity institutions, state corporations, private generators, regulated petroleum and liquefied petroleum gas (LPG) distributors, solar-home-system providers, and private mini-grid developers. The sector is therefore neither a conventional competitive market nor a single public utility system. It is better understood as a set of linked but institutionally distinct arenas in which the meaning of competition varies from price and distribution rivalry to bidding for projects, securing licences, mobilising finance, shaping regulation, and designing services for underserved customers (Energy and Petroleum Regulatory Authority [EPRA], 2024; Gratwick &amp; Eberhard, 2008; Newell &amp; Phillips, 2016).</w:t>
      </w:r>
    </w:p>
    <w:p w14:paraId="5898CF43" w14:textId="77777777" w:rsidR="00823FE6" w:rsidRDefault="006D076A">
      <w:pPr>
        <w:pStyle w:val="BodyText"/>
        <w:ind w:firstLine="432"/>
        <w:jc w:val="both"/>
      </w:pPr>
      <w:r>
        <w:t xml:space="preserve">This diversity matters for strategy research. Porterian strategy distinguishes cost leadership, differentiation, and focus as alternative positions for creating superior value (Porter, 1980, 1985). Yet price regulation, long-term power-purchase contracts, network monopolies, and public ownership can suppress or redirect the competitive mechanisms assumed in generic-strategy theory. A petroleum marketer may compete through depot access, retail coverage, brand trust, convenience, and cost control while pump-price ceilings narrow direct price discretion. A generation company may improve performance through project execution, </w:t>
      </w:r>
      <w:r>
        <w:lastRenderedPageBreak/>
        <w:t>asset availability, procurement, and portfolio choices rather than through retail differentiation. A mini-grid developer must simultaneously design a technology, tariff, financing model, customer relationship, and institutional arrangement capable of surviving uncertain demand and possible grid arrival. Competitive strategy in the sector is consequently an architecture of positioning, capabilities, business models, and institutional adaptation rather than a single market choice.</w:t>
      </w:r>
    </w:p>
    <w:p w14:paraId="79542C15" w14:textId="77777777" w:rsidR="00823FE6" w:rsidRDefault="006D076A">
      <w:pPr>
        <w:pStyle w:val="BodyText"/>
        <w:ind w:firstLine="432"/>
        <w:jc w:val="both"/>
      </w:pPr>
      <w:r>
        <w:t>The empirical literature in Kenya has expanded, but it remains fragmented. Studies of oil marketing companies examine pricing, corporate strategy, collaboration, technology, organisational structure, and financial performance (Ingabo &amp; Kihara, 2018; Mtange &amp; Deya, 2024; Mutisya &amp; Gachanja, 2024; William &amp; Joyce, 2020; Yabarow &amp; Muathe, 2020). Research on electricity and energy-sector state corporations considers strategic clarity, leadership attributes, inventory control, and organisational performance (Mbaruku et al., 2025; Njeru &amp; Osoro, 2024; Wairimu et al., 2026). Solar and mini-grid scholarship provides richer qualitative evidence on niche formation, hybrid commercial-social logics, service design, and business-model innovation (Lambe et al., 2024; Ogeya et al., 2025; Pedersen &amp; Nygaard, 2018; Pedersen et al., 2020). These streams often use different theories, performance outcomes, units of analysis, and standards of causal inference. Their findings are therefore difficult to compare without a critical integrative framework.</w:t>
      </w:r>
    </w:p>
    <w:p w14:paraId="2D2C0D4D" w14:textId="77777777" w:rsidR="00823FE6" w:rsidRDefault="006D076A">
      <w:pPr>
        <w:pStyle w:val="BodyText"/>
        <w:ind w:firstLine="432"/>
        <w:jc w:val="both"/>
      </w:pPr>
      <w:r>
        <w:t>The policy context further raises the stakes. Kenya has developed a comparatively diverse electricity mix and a substantial off-grid market, while access and service-quality gaps remain. Sector development depends on the financial viability of utilities and private investors, the effectiveness of procurement and regulation, the quality of networks, and the ability of firms to serve heterogeneous consumers (Apergi et al., 2024; Eberhard et al., 2017; Pueyo, 2018; Rotich et al., 2024). Strategies that raise private performance but undermine affordability, safety, reliability, or public legitimacy may be commercially fragile and socially counterproductive. Conversely, public-service mandates without operational discipline can weaken firms' capacity to maintain assets and finance expansion. A credible review must therefore treat firm performance as multidimensional and distinguish short-term commercial gains from durable organisational and system-level value.</w:t>
      </w:r>
    </w:p>
    <w:p w14:paraId="0E071D90" w14:textId="77777777" w:rsidR="00823FE6" w:rsidRDefault="006D076A">
      <w:pPr>
        <w:pStyle w:val="BodyText"/>
        <w:ind w:firstLine="432"/>
        <w:jc w:val="both"/>
      </w:pPr>
      <w:r>
        <w:t>Existing reviews of generic competitive strategy and the resource-based view show that performance effects depend on measurement, implementation, complementarity, and context (Campbell-Hunt, 2000; Newbert, 2007; Spanos &amp; Lioukas, 2001). Business-model research similarly warns that innovation claims are often conceptually broad and empirically non-cumulative (Foss &amp; Saebi, 2017). These general insights are highly relevant to Kenya's energy sector, but they do not resolve its sector-specific questions: how regulation changes the meaning of cost leadership; when differentiation is valuable in infrastructure services; how focus strategies operate where demand is thin; whether collaboration genuinely improves performance; and which organisational capabilities convert intended strategy into realised outcomes.</w:t>
      </w:r>
    </w:p>
    <w:p w14:paraId="4205E7F1" w14:textId="77777777" w:rsidR="00823FE6" w:rsidRDefault="006D076A">
      <w:pPr>
        <w:pStyle w:val="Heading2"/>
      </w:pPr>
      <w:r>
        <w:t>1.1 Scope, Research Gap and Objectives</w:t>
      </w:r>
    </w:p>
    <w:p w14:paraId="779FDF17" w14:textId="77777777" w:rsidR="00823FE6" w:rsidRDefault="006D076A">
      <w:pPr>
        <w:pStyle w:val="BodyText"/>
        <w:jc w:val="both"/>
      </w:pPr>
      <w:r>
        <w:t>This review examines competitive strategies and firm performance within Kenya's electricity, petroleum, LPG, solar, and private mini-grid subsectors. It covers generic positioning strategies, innovation and business-model strategies, strategic collaboration, and organisational conditions that enable implementation. Firm performance is treated as a portfolio of financial, market, operational, project, service, customer, social, and environmental outcomes. The review excludes studies concerned only with engineering performance, household energy behaviour, or macroeconomic energy demand unless they directly illuminate firms' competitive choices or operating environment.</w:t>
      </w:r>
    </w:p>
    <w:p w14:paraId="4B3E6DB1" w14:textId="77777777" w:rsidR="00823FE6" w:rsidRDefault="006D076A">
      <w:pPr>
        <w:pStyle w:val="BodyText"/>
        <w:ind w:firstLine="432"/>
        <w:jc w:val="both"/>
      </w:pPr>
      <w:r>
        <w:t xml:space="preserve">The principal gap is the absence of an integrated empirical assessment that compares evidence across Kenya's energy subsectors while explicitly evaluating research design, measurement quality, causal credibility, and institutional boundary conditions. The objectives are to clarify the theoretical mechanisms connecting strategy with performance; synthesise and compare Kenya-specific findings; identify contradictions and </w:t>
      </w:r>
      <w:r>
        <w:lastRenderedPageBreak/>
        <w:t>reasons for them; assess confidence in current conclusions; and propose research and managerial priorities that reflect the sector's regulated, capital-intensive, and socially consequential character.</w:t>
      </w:r>
    </w:p>
    <w:p w14:paraId="3502EE5A" w14:textId="77777777" w:rsidR="00823FE6" w:rsidRDefault="006D076A">
      <w:pPr>
        <w:pStyle w:val="Heading1"/>
      </w:pPr>
      <w:r>
        <w:t>2. Methods for Literature Selection</w:t>
      </w:r>
    </w:p>
    <w:p w14:paraId="4C7EBE5F" w14:textId="77777777" w:rsidR="00823FE6" w:rsidRDefault="006D076A">
      <w:pPr>
        <w:pStyle w:val="Heading2"/>
      </w:pPr>
      <w:r>
        <w:t>2.1 Review Design and Rationale</w:t>
      </w:r>
    </w:p>
    <w:p w14:paraId="355A2DE3" w14:textId="77777777" w:rsidR="00823FE6" w:rsidRDefault="006D076A">
      <w:pPr>
        <w:pStyle w:val="BodyText"/>
        <w:jc w:val="both"/>
      </w:pPr>
      <w:r>
        <w:t>A critical narrative review was selected because the evidence base is heterogeneous in design and purpose. It includes cross-sectional management surveys, case studies, sector analyses, conceptual papers, regulatory reports, and studies of business-model adaptation. The constructs and outcomes are too diverse for a defensible pooled effect estimate, while a purely systematic catalogue would not by itself explain how regulatory structure and subsector conditions alter strategy-performance mechanisms. Narrative review nevertheless requires transparent searching, critical appraisal, and disciplined synthesis rather than selective description (Ferrari, 2015; Green et al., 2006).</w:t>
      </w:r>
    </w:p>
    <w:p w14:paraId="5F9F1C1A" w14:textId="77777777" w:rsidR="00823FE6" w:rsidRDefault="006D076A">
      <w:pPr>
        <w:pStyle w:val="Heading2"/>
      </w:pPr>
      <w:r>
        <w:t>2.2 Information Sources</w:t>
      </w:r>
    </w:p>
    <w:p w14:paraId="76060BF3" w14:textId="77777777" w:rsidR="00823FE6" w:rsidRDefault="006D076A">
      <w:pPr>
        <w:pStyle w:val="BodyText"/>
        <w:jc w:val="both"/>
      </w:pPr>
      <w:r>
        <w:t>Searches were undertaken through the Directory of Open Access Journals, Semantic Scholar, CORE, Crossref metadata and DOI resolution services, and accessible institutional repositories, including those of Kenyatta University, the University of Nairobi, and United States International University-Africa. Backward and forward citation searching was conducted from relevant journal articles and recent sector studies. Official contextual evidence was obtained from EPRA, the Ministry of Energy and Petroleum, and World Bank data pages. Subscription databases were not represented as fully searched because complete direct access and export functionality were not available.</w:t>
      </w:r>
    </w:p>
    <w:p w14:paraId="610568CE" w14:textId="77777777" w:rsidR="00823FE6" w:rsidRDefault="006D076A">
      <w:pPr>
        <w:pStyle w:val="Heading2"/>
      </w:pPr>
      <w:r>
        <w:t>2.3 Search Strategy and Search Period</w:t>
      </w:r>
    </w:p>
    <w:p w14:paraId="279286AC" w14:textId="77777777" w:rsidR="00823FE6" w:rsidRDefault="006D076A">
      <w:pPr>
        <w:pStyle w:val="BodyText"/>
        <w:jc w:val="both"/>
      </w:pPr>
      <w:r>
        <w:t>The search combined geographical, sectoral, strategic, and performance concepts. Representative strings included (Kenya AND energy sector AND competitive strateg* AND performance), (oil marketing compan* AND Kenya AND pricing OR differentiation OR collaboration), (electricity OR power OR energy parastatal* AND strategy implementation AND performance), and (solar OR mini-grid OR pay-as-you-go AND Kenya AND business model OR innovation OR competitiveness). Additional searches combined dynamic capabilities, resource-based view, strategic fit, regulation, project performance, operational efficiency, customer service, and organisational structure. The principal publication period was January 1980 to 1 June 2026, allowing inclusion of foundational strategy theory and the subsequent development of Kenya-specific energy evidence.</w:t>
      </w:r>
    </w:p>
    <w:p w14:paraId="3B45342D" w14:textId="77777777" w:rsidR="00823FE6" w:rsidRDefault="006D076A">
      <w:pPr>
        <w:pStyle w:val="Heading2"/>
      </w:pPr>
      <w:r>
        <w:t>2.4 Eligibility Criteria</w:t>
      </w:r>
    </w:p>
    <w:p w14:paraId="68EF64F5" w14:textId="77777777" w:rsidR="00823FE6" w:rsidRDefault="006D076A">
      <w:pPr>
        <w:pStyle w:val="BodyText"/>
        <w:jc w:val="both"/>
      </w:pPr>
      <w:r>
        <w:t>Eligible sources were English-language peer-reviewed journal articles, methodologically relevant reviews, and authoritative institutional reports that directly addressed competitive strategy, strategic capabilities, implementation, business models, sector structure, or firm-level performance. Kenya-specific evidence was prioritised, while African and international studies were included when they supplied theory, methods, or a comparator necessary to interpret the Kenyan findings. Sources were excluded when bibliographic identity could not be verified, the outlet or evidence was unreliable, the article addressed technical energy performance without an organisational mechanism, or the claim was based only on promotional or journalistic material. Foundational books were retained where they defined major theoretical constructs.</w:t>
      </w:r>
    </w:p>
    <w:p w14:paraId="4300F733" w14:textId="77777777" w:rsidR="00823FE6" w:rsidRDefault="006D076A">
      <w:pPr>
        <w:pStyle w:val="Heading2"/>
      </w:pPr>
      <w:r>
        <w:t>2.5 Screening, Duplicate Handling and Study Selection</w:t>
      </w:r>
    </w:p>
    <w:p w14:paraId="17184475" w14:textId="77777777" w:rsidR="00823FE6" w:rsidRDefault="006D076A">
      <w:pPr>
        <w:pStyle w:val="BodyText"/>
        <w:jc w:val="both"/>
      </w:pPr>
      <w:r>
        <w:t xml:space="preserve">Titles and abstracts were first assessed for conceptual relevance, after which accessible full texts, detailed abstracts, or authoritative metadata records were checked. Duplicate records were reconciled by title, author, </w:t>
      </w:r>
      <w:r>
        <w:lastRenderedPageBreak/>
        <w:t>year, and DOI. Where repository metadata and journal pages differed, the version of record and DOI metadata were preferred. Sources with incomplete authorship, uncertain pagination, unresolved DOI discrepancies, or insufficient claim support were not retained. No screening counts are reported because the review was designed as a critical narrative synthesis rather than a systematic review with a prospectively documented flow of records.</w:t>
      </w:r>
    </w:p>
    <w:p w14:paraId="190709AF" w14:textId="77777777" w:rsidR="00823FE6" w:rsidRDefault="006D076A">
      <w:pPr>
        <w:pStyle w:val="Heading2"/>
      </w:pPr>
      <w:r>
        <w:t>2.6 Critical Appraisal and Evidence Synthesis</w:t>
      </w:r>
    </w:p>
    <w:p w14:paraId="3E0B357F" w14:textId="77777777" w:rsidR="00823FE6" w:rsidRDefault="006D076A">
      <w:pPr>
        <w:pStyle w:val="BodyText"/>
        <w:jc w:val="both"/>
      </w:pPr>
      <w:r>
        <w:t>Evidence was appraised according to research design, sample coverage, construct validity, source of performance data, treatment of confounding, statistical adequacy, temporal ordering, external validity, and alignment between claims and results. Greater interpretive weight was assigned to studies that used transparent samples, multiple data sources, objective outcomes, longitudinal or comparative designs, and clear institutional analysis. Themes were developed around generic positioning, innovation and business models, collaboration, implementation, and performance measurement. Contradictions were interpreted through subsector structure, regulatory constraints, firm size, customer segment, implementation capability, and methodological differences rather than being averaged into a false consensus.</w:t>
      </w:r>
    </w:p>
    <w:p w14:paraId="4F102872" w14:textId="77777777" w:rsidR="00823FE6" w:rsidRDefault="006D076A">
      <w:pPr>
        <w:pStyle w:val="Heading1"/>
      </w:pPr>
      <w:r>
        <w:t>3. Conceptual Foundations of Strategy and Performance in Energy Firms</w:t>
      </w:r>
    </w:p>
    <w:p w14:paraId="39EC790D" w14:textId="77777777" w:rsidR="00823FE6" w:rsidRDefault="006D076A">
      <w:pPr>
        <w:pStyle w:val="Heading2"/>
      </w:pPr>
      <w:r>
        <w:t>3.1 Competitive Positioning and Generic Strategies</w:t>
      </w:r>
    </w:p>
    <w:p w14:paraId="3FECC72E" w14:textId="77777777" w:rsidR="00823FE6" w:rsidRDefault="006D076A">
      <w:pPr>
        <w:pStyle w:val="BodyText"/>
        <w:jc w:val="both"/>
      </w:pPr>
      <w:r>
        <w:t>Competitive positioning theory asks how a firm creates and protects a favourable position relative to rivals. Cost leadership seeks a structurally lower cost base; differentiation offers attributes for which customers or contracting authorities value a premium; and focus concentrates resources on a defined segment (Porter, 1980, 1985). Meta-analytic evidence suggests that both differentiation and cost orientations can support performance, while the assumption that firms must always choose one pure strategy is weaker than early formulations implied (Campbell-Hunt, 2000). The critical issue is not the label attached to a strategy but whether activities form a coherent system that competitors cannot easily imitate.</w:t>
      </w:r>
    </w:p>
    <w:p w14:paraId="79A21948" w14:textId="77777777" w:rsidR="00823FE6" w:rsidRDefault="006D076A">
      <w:pPr>
        <w:pStyle w:val="BodyText"/>
        <w:ind w:firstLine="432"/>
        <w:jc w:val="both"/>
      </w:pPr>
      <w:r>
        <w:t>In energy markets, generic strategies are filtered through regulation and asset specificity. A tariff cap or regulated revenue requirement can reduce direct pricing freedom, but it does not remove cost competition. Instead, cost advantage may arise through procurement, inventory, logistics, maintenance, financing, plant availability, network-loss reduction, or route density. Differentiation may concern reliability, safety, service response, station convenience, digital billing, credit design, renewable content, or project-development competence. Focus can involve rural households, commercial and industrial users, institutional LPG clients, or geographically isolated communities. The sector therefore illustrates why generic strategies must be translated into activity-level mechanisms.</w:t>
      </w:r>
    </w:p>
    <w:p w14:paraId="5AB0DCBC" w14:textId="77777777" w:rsidR="00823FE6" w:rsidRDefault="006D076A">
      <w:pPr>
        <w:pStyle w:val="Heading2"/>
      </w:pPr>
      <w:r>
        <w:t>3.2 Resources, Capabilities and Strategic Fit</w:t>
      </w:r>
    </w:p>
    <w:p w14:paraId="4E11029F" w14:textId="77777777" w:rsidR="00823FE6" w:rsidRDefault="006D076A">
      <w:pPr>
        <w:pStyle w:val="BodyText"/>
        <w:ind w:firstLine="432"/>
        <w:jc w:val="both"/>
      </w:pPr>
      <w:r>
        <w:t>The resource-based view shifts attention from market position to firm-specific assets and capabilities that are valuable, scarce, difficult to imitate, and effectively organised (Barney, 1991; Wernerfelt, 1984). Dynamic-capability theory extends this logic to environments in which firms must sense changes, seize opportunities, and reconfigure assets (Eisenhardt &amp; Martin, 2000; Teece et al., 1997). Energy firms require not only physical assets and licences but also project-development routines, regulatory knowledge, engineering competence, customer data, financing relationships, distribution networks, and the organisational ability to coordinate them. In upstream oil and gas, dynamic capabilities are particularly important where technological, geopolitical, and portfolio uncertainties interact (Shuen et al., 2014).</w:t>
      </w:r>
    </w:p>
    <w:p w14:paraId="7D9E5DEE" w14:textId="77777777" w:rsidR="00823FE6" w:rsidRDefault="006D076A">
      <w:pPr>
        <w:pStyle w:val="BodyText"/>
        <w:ind w:firstLine="432"/>
        <w:jc w:val="both"/>
      </w:pPr>
      <w:r>
        <w:t xml:space="preserve">Resources do not automatically produce superior performance. Empirical assessments of the resource-based view show that inconsistent construct definitions and weak tests of causal mechanisms often inflate </w:t>
      </w:r>
      <w:r>
        <w:lastRenderedPageBreak/>
        <w:t>confidence in resource-performance claims (Newbert, 2007). Strategic fit research indicates that performance depends on alignment among strategy, organisational structure, and behaviour rather than on any isolated practice (Olson et al., 2005). This is central to Kenya's energy firms because strategies frequently cross organisational boundaries: a digital retail proposition may fail without reliable logistics; a renewable project pipeline may fail without grid connection and procurement competence; and a mini-grid may fail despite sound technology if its customer-engagement and revenue model are mismatched to local demand.</w:t>
      </w:r>
    </w:p>
    <w:p w14:paraId="3F86814D" w14:textId="77777777" w:rsidR="00823FE6" w:rsidRDefault="006D076A">
      <w:pPr>
        <w:pStyle w:val="Heading2"/>
      </w:pPr>
      <w:r>
        <w:t>3.3 Business Models, Ecosystems and Institutional Fit</w:t>
      </w:r>
    </w:p>
    <w:p w14:paraId="261B3AF8" w14:textId="77777777" w:rsidR="00823FE6" w:rsidRDefault="006D076A">
      <w:pPr>
        <w:pStyle w:val="BodyText"/>
        <w:ind w:firstLine="432"/>
        <w:jc w:val="both"/>
      </w:pPr>
      <w:r>
        <w:t>A business model specifies how value is created, delivered, and captured, whereas competitive strategy addresses how that configuration is positioned and defended (Teece, 2010). Business-model innovation can involve new customer relationships, payment systems, partner networks, revenue mechanisms, or asset configurations. Yet the literature often conflates any organisational change with innovation and rarely isolates performance effects from favourable selection or external support (Foss &amp; Saebi, 2017). In energy access markets, the business model is especially consequential because the firm must coordinate technology, finance, service, demand stimulation, and social legitimacy.</w:t>
      </w:r>
    </w:p>
    <w:p w14:paraId="7DB20751" w14:textId="77777777" w:rsidR="00823FE6" w:rsidRDefault="006D076A">
      <w:pPr>
        <w:pStyle w:val="BodyText"/>
        <w:ind w:firstLine="432"/>
        <w:jc w:val="both"/>
      </w:pPr>
      <w:r>
        <w:t>Ecosystem relationships can compensate for resource gaps but also create dependency. Independent power projects rely on credible off-takers, procurement systems, financiers, contractors, and regulators; private mini-grids rely on local communities, equipment suppliers, mobile-payment infrastructure, and public rules regarding tariffs and grid arrival. Studies across sub-Saharan Africa show that investment gravitates towards settings with credible planning, procurement, regulation, and risk mitigation, not merely towards markets with nominal liberalisation (Eberhard et al., 2017). Kenya's hybrid power-market structure therefore makes institutional fit a strategic capability rather than an external background condition.</w:t>
      </w:r>
    </w:p>
    <w:p w14:paraId="31CFBCB7" w14:textId="77777777" w:rsidR="00823FE6" w:rsidRDefault="006D076A">
      <w:pPr>
        <w:pStyle w:val="Heading2"/>
      </w:pPr>
      <w:r>
        <w:t>3.4 Measuring Firm Performance</w:t>
      </w:r>
    </w:p>
    <w:p w14:paraId="09878FED" w14:textId="77777777" w:rsidR="00823FE6" w:rsidRDefault="006D076A">
      <w:pPr>
        <w:pStyle w:val="BodyText"/>
        <w:ind w:firstLine="432"/>
        <w:jc w:val="both"/>
      </w:pPr>
      <w:r>
        <w:t>Organisational performance is not a single variable. It can include profitability, return on assets, sales growth, market share, cost efficiency, liquidity, project completion, system reliability, customer satisfaction, safety, environmental performance, and survival. Richard et al. (2009) warn that performance research becomes misleading when studies combine non-equivalent outcomes or rely solely on managers' global assessments. The challenge is acute in energy firms because public and private organisations face different mandates, and improvements in one dimension may create costs elsewhere. Lower inventory may improve working capital but increase outage risk; rapid market expansion may increase credit losses; and low tariffs may improve affordability while weakening investment capacity.</w:t>
      </w:r>
    </w:p>
    <w:p w14:paraId="30A9299A" w14:textId="77777777" w:rsidR="00823FE6" w:rsidRDefault="006D076A">
      <w:pPr>
        <w:pStyle w:val="BodyText"/>
        <w:ind w:firstLine="432"/>
        <w:jc w:val="both"/>
      </w:pPr>
      <w:r>
        <w:t>For this review, performance is treated as a balanced portfolio. Financial outcomes indicate value capture, operational outcomes indicate process efficiency and reliability, market outcomes indicate competitive acceptance, project outcomes indicate execution capacity, and social-environmental outcomes indicate the durability and legitimacy of value creation. The framework avoids assuming that a positive questionnaire score is equivalent to objective financial improvement. It also recognises that causality may run in both directions: high-performing firms can afford innovation, technology, and collaboration, so observed associations cannot automatically be interpreted as strategy effects.</w:t>
      </w:r>
    </w:p>
    <w:p w14:paraId="64ADBCC1" w14:textId="77777777" w:rsidR="00823FE6" w:rsidRDefault="006D076A">
      <w:pPr>
        <w:pStyle w:val="BodyText"/>
        <w:ind w:firstLine="432"/>
        <w:jc w:val="both"/>
      </w:pPr>
      <w:r>
        <w:t>Table 1 summarises the main theoretical lenses and shows why no single framework is sufficient for Kenya's heterogeneous energy sector. Positioning theory clarifies market choices, the resource-based and dynamic-capability perspectives explain implementation capacity, business-model theory captures value architecture, and institutional analysis explains why the same strategy may perform differently across regulated subsectors.</w:t>
      </w:r>
    </w:p>
    <w:p w14:paraId="782F20B6" w14:textId="77777777" w:rsidR="00823FE6" w:rsidRDefault="006D076A">
      <w:pPr>
        <w:pStyle w:val="TableCaption"/>
        <w:keepNext/>
      </w:pPr>
      <w:r>
        <w:rPr>
          <w:b/>
        </w:rPr>
        <w:lastRenderedPageBreak/>
        <w:t>Table 1. Theoretical lenses for interpreting competitive strategy in Kenya's energy sector</w:t>
      </w:r>
    </w:p>
    <w:tbl>
      <w:tblPr>
        <w:tblStyle w:val="TableGrid"/>
        <w:tblW w:w="5000" w:type="pct"/>
        <w:jc w:val="center"/>
        <w:tblLook w:val="04A0" w:firstRow="1" w:lastRow="0" w:firstColumn="1" w:lastColumn="0" w:noHBand="0" w:noVBand="1"/>
      </w:tblPr>
      <w:tblGrid>
        <w:gridCol w:w="1529"/>
        <w:gridCol w:w="2257"/>
        <w:gridCol w:w="2257"/>
        <w:gridCol w:w="2110"/>
        <w:gridCol w:w="1819"/>
      </w:tblGrid>
      <w:tr w:rsidR="00823FE6" w14:paraId="04EB92A8" w14:textId="77777777" w:rsidTr="000A5DBF">
        <w:trPr>
          <w:tblHeader/>
          <w:jc w:val="center"/>
        </w:trPr>
        <w:tc>
          <w:tcPr>
            <w:tcW w:w="766" w:type="pct"/>
            <w:shd w:val="clear" w:color="auto" w:fill="D9E2F3"/>
            <w:tcMar>
              <w:top w:w="80" w:type="dxa"/>
              <w:left w:w="90" w:type="dxa"/>
              <w:bottom w:w="80" w:type="dxa"/>
              <w:right w:w="90" w:type="dxa"/>
            </w:tcMar>
            <w:vAlign w:val="center"/>
          </w:tcPr>
          <w:p w14:paraId="4306D5D6" w14:textId="77777777" w:rsidR="00823FE6" w:rsidRDefault="006D076A">
            <w:pPr>
              <w:jc w:val="center"/>
            </w:pPr>
            <w:r>
              <w:rPr>
                <w:b/>
                <w:sz w:val="16"/>
              </w:rPr>
              <w:t>Lens</w:t>
            </w:r>
          </w:p>
        </w:tc>
        <w:tc>
          <w:tcPr>
            <w:tcW w:w="1131" w:type="pct"/>
            <w:shd w:val="clear" w:color="auto" w:fill="D9E2F3"/>
            <w:tcMar>
              <w:top w:w="80" w:type="dxa"/>
              <w:left w:w="90" w:type="dxa"/>
              <w:bottom w:w="80" w:type="dxa"/>
              <w:right w:w="90" w:type="dxa"/>
            </w:tcMar>
            <w:vAlign w:val="center"/>
          </w:tcPr>
          <w:p w14:paraId="784645FC" w14:textId="77777777" w:rsidR="00823FE6" w:rsidRDefault="006D076A">
            <w:pPr>
              <w:jc w:val="center"/>
            </w:pPr>
            <w:r>
              <w:rPr>
                <w:b/>
                <w:sz w:val="16"/>
              </w:rPr>
              <w:t>Core proposition</w:t>
            </w:r>
          </w:p>
        </w:tc>
        <w:tc>
          <w:tcPr>
            <w:tcW w:w="1131" w:type="pct"/>
            <w:shd w:val="clear" w:color="auto" w:fill="D9E2F3"/>
            <w:tcMar>
              <w:top w:w="80" w:type="dxa"/>
              <w:left w:w="90" w:type="dxa"/>
              <w:bottom w:w="80" w:type="dxa"/>
              <w:right w:w="90" w:type="dxa"/>
            </w:tcMar>
            <w:vAlign w:val="center"/>
          </w:tcPr>
          <w:p w14:paraId="3AF7CD2F" w14:textId="77777777" w:rsidR="00823FE6" w:rsidRDefault="006D076A">
            <w:pPr>
              <w:jc w:val="center"/>
            </w:pPr>
            <w:r>
              <w:rPr>
                <w:b/>
                <w:sz w:val="16"/>
              </w:rPr>
              <w:t>Energy-sector application</w:t>
            </w:r>
          </w:p>
        </w:tc>
        <w:tc>
          <w:tcPr>
            <w:tcW w:w="1058" w:type="pct"/>
            <w:shd w:val="clear" w:color="auto" w:fill="D9E2F3"/>
            <w:tcMar>
              <w:top w:w="80" w:type="dxa"/>
              <w:left w:w="90" w:type="dxa"/>
              <w:bottom w:w="80" w:type="dxa"/>
              <w:right w:w="90" w:type="dxa"/>
            </w:tcMar>
            <w:vAlign w:val="center"/>
          </w:tcPr>
          <w:p w14:paraId="4F8748A2" w14:textId="77777777" w:rsidR="00823FE6" w:rsidRDefault="006D076A">
            <w:pPr>
              <w:jc w:val="center"/>
            </w:pPr>
            <w:r>
              <w:rPr>
                <w:b/>
                <w:sz w:val="16"/>
              </w:rPr>
              <w:t>Principal limitation</w:t>
            </w:r>
          </w:p>
        </w:tc>
        <w:tc>
          <w:tcPr>
            <w:tcW w:w="912" w:type="pct"/>
            <w:shd w:val="clear" w:color="auto" w:fill="D9E2F3"/>
            <w:tcMar>
              <w:top w:w="80" w:type="dxa"/>
              <w:left w:w="90" w:type="dxa"/>
              <w:bottom w:w="80" w:type="dxa"/>
              <w:right w:w="90" w:type="dxa"/>
            </w:tcMar>
            <w:vAlign w:val="center"/>
          </w:tcPr>
          <w:p w14:paraId="13FA5069" w14:textId="77777777" w:rsidR="00823FE6" w:rsidRDefault="006D076A">
            <w:pPr>
              <w:jc w:val="center"/>
            </w:pPr>
            <w:r>
              <w:rPr>
                <w:b/>
                <w:sz w:val="16"/>
              </w:rPr>
              <w:t>Supporting references</w:t>
            </w:r>
          </w:p>
        </w:tc>
      </w:tr>
      <w:tr w:rsidR="00823FE6" w14:paraId="1EB55602" w14:textId="77777777" w:rsidTr="000A5DBF">
        <w:trPr>
          <w:cantSplit/>
          <w:jc w:val="center"/>
        </w:trPr>
        <w:tc>
          <w:tcPr>
            <w:tcW w:w="766" w:type="pct"/>
            <w:tcMar>
              <w:top w:w="80" w:type="dxa"/>
              <w:left w:w="90" w:type="dxa"/>
              <w:bottom w:w="80" w:type="dxa"/>
              <w:right w:w="90" w:type="dxa"/>
            </w:tcMar>
            <w:vAlign w:val="center"/>
          </w:tcPr>
          <w:p w14:paraId="5C65E795" w14:textId="77777777" w:rsidR="00823FE6" w:rsidRDefault="006D076A">
            <w:r>
              <w:rPr>
                <w:sz w:val="15"/>
              </w:rPr>
              <w:t>Competitive positioning</w:t>
            </w:r>
          </w:p>
        </w:tc>
        <w:tc>
          <w:tcPr>
            <w:tcW w:w="1131" w:type="pct"/>
            <w:tcMar>
              <w:top w:w="80" w:type="dxa"/>
              <w:left w:w="90" w:type="dxa"/>
              <w:bottom w:w="80" w:type="dxa"/>
              <w:right w:w="90" w:type="dxa"/>
            </w:tcMar>
            <w:vAlign w:val="center"/>
          </w:tcPr>
          <w:p w14:paraId="4C7233F1" w14:textId="77777777" w:rsidR="00823FE6" w:rsidRDefault="006D076A">
            <w:r>
              <w:rPr>
                <w:sz w:val="15"/>
              </w:rPr>
              <w:t>Cost leadership, differentiation and focus create defensible relative positions</w:t>
            </w:r>
          </w:p>
        </w:tc>
        <w:tc>
          <w:tcPr>
            <w:tcW w:w="1131" w:type="pct"/>
            <w:tcMar>
              <w:top w:w="80" w:type="dxa"/>
              <w:left w:w="90" w:type="dxa"/>
              <w:bottom w:w="80" w:type="dxa"/>
              <w:right w:w="90" w:type="dxa"/>
            </w:tcMar>
            <w:vAlign w:val="center"/>
          </w:tcPr>
          <w:p w14:paraId="543F8535" w14:textId="77777777" w:rsidR="00823FE6" w:rsidRDefault="006D076A">
            <w:r>
              <w:rPr>
                <w:sz w:val="15"/>
              </w:rPr>
              <w:t>Costs, reliability, safety, convenience, brand, segment choice</w:t>
            </w:r>
          </w:p>
        </w:tc>
        <w:tc>
          <w:tcPr>
            <w:tcW w:w="1058" w:type="pct"/>
            <w:tcMar>
              <w:top w:w="80" w:type="dxa"/>
              <w:left w:w="90" w:type="dxa"/>
              <w:bottom w:w="80" w:type="dxa"/>
              <w:right w:w="90" w:type="dxa"/>
            </w:tcMar>
            <w:vAlign w:val="center"/>
          </w:tcPr>
          <w:p w14:paraId="23E6283C" w14:textId="77777777" w:rsidR="00823FE6" w:rsidRDefault="006D076A">
            <w:r>
              <w:rPr>
                <w:sz w:val="15"/>
              </w:rPr>
              <w:t>May understate regulation, public mandates and complementary assets</w:t>
            </w:r>
          </w:p>
        </w:tc>
        <w:tc>
          <w:tcPr>
            <w:tcW w:w="912" w:type="pct"/>
            <w:tcMar>
              <w:top w:w="80" w:type="dxa"/>
              <w:left w:w="90" w:type="dxa"/>
              <w:bottom w:w="80" w:type="dxa"/>
              <w:right w:w="90" w:type="dxa"/>
            </w:tcMar>
            <w:vAlign w:val="center"/>
          </w:tcPr>
          <w:p w14:paraId="4FA24170" w14:textId="77777777" w:rsidR="00823FE6" w:rsidRDefault="006D076A">
            <w:r>
              <w:rPr>
                <w:sz w:val="15"/>
              </w:rPr>
              <w:t>Porter, 1980, 1985; Campbell-Hunt, 2000</w:t>
            </w:r>
          </w:p>
        </w:tc>
      </w:tr>
      <w:tr w:rsidR="00823FE6" w14:paraId="40981AC4" w14:textId="77777777" w:rsidTr="000A5DBF">
        <w:trPr>
          <w:cantSplit/>
          <w:jc w:val="center"/>
        </w:trPr>
        <w:tc>
          <w:tcPr>
            <w:tcW w:w="766" w:type="pct"/>
            <w:tcMar>
              <w:top w:w="80" w:type="dxa"/>
              <w:left w:w="90" w:type="dxa"/>
              <w:bottom w:w="80" w:type="dxa"/>
              <w:right w:w="90" w:type="dxa"/>
            </w:tcMar>
            <w:vAlign w:val="center"/>
          </w:tcPr>
          <w:p w14:paraId="2DB148EB" w14:textId="77777777" w:rsidR="00823FE6" w:rsidRDefault="006D076A">
            <w:r>
              <w:rPr>
                <w:sz w:val="15"/>
              </w:rPr>
              <w:t>Resource-based view</w:t>
            </w:r>
          </w:p>
        </w:tc>
        <w:tc>
          <w:tcPr>
            <w:tcW w:w="1131" w:type="pct"/>
            <w:tcMar>
              <w:top w:w="80" w:type="dxa"/>
              <w:left w:w="90" w:type="dxa"/>
              <w:bottom w:w="80" w:type="dxa"/>
              <w:right w:w="90" w:type="dxa"/>
            </w:tcMar>
            <w:vAlign w:val="center"/>
          </w:tcPr>
          <w:p w14:paraId="05473013" w14:textId="77777777" w:rsidR="00823FE6" w:rsidRDefault="006D076A">
            <w:r>
              <w:rPr>
                <w:sz w:val="15"/>
              </w:rPr>
              <w:t>Heterogeneous strategic resources generate rents when valuable and difficult to imitate</w:t>
            </w:r>
          </w:p>
        </w:tc>
        <w:tc>
          <w:tcPr>
            <w:tcW w:w="1131" w:type="pct"/>
            <w:tcMar>
              <w:top w:w="80" w:type="dxa"/>
              <w:left w:w="90" w:type="dxa"/>
              <w:bottom w:w="80" w:type="dxa"/>
              <w:right w:w="90" w:type="dxa"/>
            </w:tcMar>
            <w:vAlign w:val="center"/>
          </w:tcPr>
          <w:p w14:paraId="170BEE12" w14:textId="77777777" w:rsidR="00823FE6" w:rsidRDefault="006D076A">
            <w:r>
              <w:rPr>
                <w:sz w:val="15"/>
              </w:rPr>
              <w:t>Licences, networks, engineering skills, customer data, financing relationships</w:t>
            </w:r>
          </w:p>
        </w:tc>
        <w:tc>
          <w:tcPr>
            <w:tcW w:w="1058" w:type="pct"/>
            <w:tcMar>
              <w:top w:w="80" w:type="dxa"/>
              <w:left w:w="90" w:type="dxa"/>
              <w:bottom w:w="80" w:type="dxa"/>
              <w:right w:w="90" w:type="dxa"/>
            </w:tcMar>
            <w:vAlign w:val="center"/>
          </w:tcPr>
          <w:p w14:paraId="3FB8DF9D" w14:textId="77777777" w:rsidR="00823FE6" w:rsidRDefault="006D076A">
            <w:r>
              <w:rPr>
                <w:sz w:val="15"/>
              </w:rPr>
              <w:t>Resource identification may be tautological; performance can create resources</w:t>
            </w:r>
          </w:p>
        </w:tc>
        <w:tc>
          <w:tcPr>
            <w:tcW w:w="912" w:type="pct"/>
            <w:tcMar>
              <w:top w:w="80" w:type="dxa"/>
              <w:left w:w="90" w:type="dxa"/>
              <w:bottom w:w="80" w:type="dxa"/>
              <w:right w:w="90" w:type="dxa"/>
            </w:tcMar>
            <w:vAlign w:val="center"/>
          </w:tcPr>
          <w:p w14:paraId="326750EB" w14:textId="77777777" w:rsidR="00823FE6" w:rsidRDefault="006D076A">
            <w:r>
              <w:rPr>
                <w:sz w:val="15"/>
              </w:rPr>
              <w:t>Barney, 1991; Wernerfelt, 1984; Newbert, 2007</w:t>
            </w:r>
          </w:p>
        </w:tc>
      </w:tr>
      <w:tr w:rsidR="00823FE6" w14:paraId="05BF993D" w14:textId="77777777" w:rsidTr="000A5DBF">
        <w:trPr>
          <w:cantSplit/>
          <w:jc w:val="center"/>
        </w:trPr>
        <w:tc>
          <w:tcPr>
            <w:tcW w:w="766" w:type="pct"/>
            <w:tcMar>
              <w:top w:w="80" w:type="dxa"/>
              <w:left w:w="90" w:type="dxa"/>
              <w:bottom w:w="80" w:type="dxa"/>
              <w:right w:w="90" w:type="dxa"/>
            </w:tcMar>
            <w:vAlign w:val="center"/>
          </w:tcPr>
          <w:p w14:paraId="2647B16A" w14:textId="77777777" w:rsidR="00823FE6" w:rsidRDefault="006D076A">
            <w:r>
              <w:rPr>
                <w:sz w:val="15"/>
              </w:rPr>
              <w:t>Dynamic capabilities</w:t>
            </w:r>
          </w:p>
        </w:tc>
        <w:tc>
          <w:tcPr>
            <w:tcW w:w="1131" w:type="pct"/>
            <w:tcMar>
              <w:top w:w="80" w:type="dxa"/>
              <w:left w:w="90" w:type="dxa"/>
              <w:bottom w:w="80" w:type="dxa"/>
              <w:right w:w="90" w:type="dxa"/>
            </w:tcMar>
            <w:vAlign w:val="center"/>
          </w:tcPr>
          <w:p w14:paraId="276DEBAD" w14:textId="77777777" w:rsidR="00823FE6" w:rsidRDefault="006D076A">
            <w:r>
              <w:rPr>
                <w:sz w:val="15"/>
              </w:rPr>
              <w:t>Firms sense, seize and reconfigure in changing environments</w:t>
            </w:r>
          </w:p>
        </w:tc>
        <w:tc>
          <w:tcPr>
            <w:tcW w:w="1131" w:type="pct"/>
            <w:tcMar>
              <w:top w:w="80" w:type="dxa"/>
              <w:left w:w="90" w:type="dxa"/>
              <w:bottom w:w="80" w:type="dxa"/>
              <w:right w:w="90" w:type="dxa"/>
            </w:tcMar>
            <w:vAlign w:val="center"/>
          </w:tcPr>
          <w:p w14:paraId="3EF72038" w14:textId="77777777" w:rsidR="00823FE6" w:rsidRDefault="006D076A">
            <w:r>
              <w:rPr>
                <w:sz w:val="15"/>
              </w:rPr>
              <w:t>Regulatory adaptation, portfolio renewal, digitalisation, project-development routines</w:t>
            </w:r>
          </w:p>
        </w:tc>
        <w:tc>
          <w:tcPr>
            <w:tcW w:w="1058" w:type="pct"/>
            <w:tcMar>
              <w:top w:w="80" w:type="dxa"/>
              <w:left w:w="90" w:type="dxa"/>
              <w:bottom w:w="80" w:type="dxa"/>
              <w:right w:w="90" w:type="dxa"/>
            </w:tcMar>
            <w:vAlign w:val="center"/>
          </w:tcPr>
          <w:p w14:paraId="299BCC0D" w14:textId="77777777" w:rsidR="00823FE6" w:rsidRDefault="006D076A">
            <w:r>
              <w:rPr>
                <w:sz w:val="15"/>
              </w:rPr>
              <w:t>Capabilities are difficult to measure independently of successful outcomes</w:t>
            </w:r>
          </w:p>
        </w:tc>
        <w:tc>
          <w:tcPr>
            <w:tcW w:w="912" w:type="pct"/>
            <w:tcMar>
              <w:top w:w="80" w:type="dxa"/>
              <w:left w:w="90" w:type="dxa"/>
              <w:bottom w:w="80" w:type="dxa"/>
              <w:right w:w="90" w:type="dxa"/>
            </w:tcMar>
            <w:vAlign w:val="center"/>
          </w:tcPr>
          <w:p w14:paraId="58EFE20B" w14:textId="77777777" w:rsidR="00823FE6" w:rsidRDefault="006D076A">
            <w:r>
              <w:rPr>
                <w:sz w:val="15"/>
              </w:rPr>
              <w:t>Teece et al., 1997; Eisenhardt &amp; Martin, 2000; Shuen et al., 2014</w:t>
            </w:r>
          </w:p>
        </w:tc>
      </w:tr>
      <w:tr w:rsidR="00823FE6" w14:paraId="040EECEA" w14:textId="77777777" w:rsidTr="000A5DBF">
        <w:trPr>
          <w:cantSplit/>
          <w:jc w:val="center"/>
        </w:trPr>
        <w:tc>
          <w:tcPr>
            <w:tcW w:w="766" w:type="pct"/>
            <w:tcMar>
              <w:top w:w="80" w:type="dxa"/>
              <w:left w:w="90" w:type="dxa"/>
              <w:bottom w:w="80" w:type="dxa"/>
              <w:right w:w="90" w:type="dxa"/>
            </w:tcMar>
            <w:vAlign w:val="center"/>
          </w:tcPr>
          <w:p w14:paraId="22667973" w14:textId="77777777" w:rsidR="00823FE6" w:rsidRDefault="006D076A">
            <w:r>
              <w:rPr>
                <w:sz w:val="15"/>
              </w:rPr>
              <w:t>Strategic fit</w:t>
            </w:r>
          </w:p>
        </w:tc>
        <w:tc>
          <w:tcPr>
            <w:tcW w:w="1131" w:type="pct"/>
            <w:tcMar>
              <w:top w:w="80" w:type="dxa"/>
              <w:left w:w="90" w:type="dxa"/>
              <w:bottom w:w="80" w:type="dxa"/>
              <w:right w:w="90" w:type="dxa"/>
            </w:tcMar>
            <w:vAlign w:val="center"/>
          </w:tcPr>
          <w:p w14:paraId="504E04C5" w14:textId="77777777" w:rsidR="00823FE6" w:rsidRDefault="006D076A">
            <w:r>
              <w:rPr>
                <w:sz w:val="15"/>
              </w:rPr>
              <w:t>Performance depends on alignment among strategy, structure and behaviour</w:t>
            </w:r>
          </w:p>
        </w:tc>
        <w:tc>
          <w:tcPr>
            <w:tcW w:w="1131" w:type="pct"/>
            <w:tcMar>
              <w:top w:w="80" w:type="dxa"/>
              <w:left w:w="90" w:type="dxa"/>
              <w:bottom w:w="80" w:type="dxa"/>
              <w:right w:w="90" w:type="dxa"/>
            </w:tcMar>
            <w:vAlign w:val="center"/>
          </w:tcPr>
          <w:p w14:paraId="5C19EB28" w14:textId="77777777" w:rsidR="00823FE6" w:rsidRDefault="006D076A">
            <w:r>
              <w:rPr>
                <w:sz w:val="15"/>
              </w:rPr>
              <w:t>Decision rights, communication, incentives, technical and commercial coordination</w:t>
            </w:r>
          </w:p>
        </w:tc>
        <w:tc>
          <w:tcPr>
            <w:tcW w:w="1058" w:type="pct"/>
            <w:tcMar>
              <w:top w:w="80" w:type="dxa"/>
              <w:left w:w="90" w:type="dxa"/>
              <w:bottom w:w="80" w:type="dxa"/>
              <w:right w:w="90" w:type="dxa"/>
            </w:tcMar>
            <w:vAlign w:val="center"/>
          </w:tcPr>
          <w:p w14:paraId="695F4574" w14:textId="77777777" w:rsidR="00823FE6" w:rsidRDefault="006D076A">
            <w:r>
              <w:rPr>
                <w:sz w:val="15"/>
              </w:rPr>
              <w:t>Fit can be inferred after the fact unless measured prospectively</w:t>
            </w:r>
          </w:p>
        </w:tc>
        <w:tc>
          <w:tcPr>
            <w:tcW w:w="912" w:type="pct"/>
            <w:tcMar>
              <w:top w:w="80" w:type="dxa"/>
              <w:left w:w="90" w:type="dxa"/>
              <w:bottom w:w="80" w:type="dxa"/>
              <w:right w:w="90" w:type="dxa"/>
            </w:tcMar>
            <w:vAlign w:val="center"/>
          </w:tcPr>
          <w:p w14:paraId="06F870E0" w14:textId="77777777" w:rsidR="00823FE6" w:rsidRDefault="006D076A">
            <w:r>
              <w:rPr>
                <w:sz w:val="15"/>
              </w:rPr>
              <w:t>Olson et al., 2005; Yabarow &amp; Muathe, 2020</w:t>
            </w:r>
          </w:p>
        </w:tc>
      </w:tr>
      <w:tr w:rsidR="00823FE6" w14:paraId="2EE4812A" w14:textId="77777777" w:rsidTr="000A5DBF">
        <w:trPr>
          <w:cantSplit/>
          <w:jc w:val="center"/>
        </w:trPr>
        <w:tc>
          <w:tcPr>
            <w:tcW w:w="766" w:type="pct"/>
            <w:tcMar>
              <w:top w:w="80" w:type="dxa"/>
              <w:left w:w="90" w:type="dxa"/>
              <w:bottom w:w="80" w:type="dxa"/>
              <w:right w:w="90" w:type="dxa"/>
            </w:tcMar>
            <w:vAlign w:val="center"/>
          </w:tcPr>
          <w:p w14:paraId="4BA36E93" w14:textId="77777777" w:rsidR="00823FE6" w:rsidRDefault="006D076A">
            <w:r>
              <w:rPr>
                <w:sz w:val="15"/>
              </w:rPr>
              <w:t>Business-model innovation</w:t>
            </w:r>
          </w:p>
        </w:tc>
        <w:tc>
          <w:tcPr>
            <w:tcW w:w="1131" w:type="pct"/>
            <w:tcMar>
              <w:top w:w="80" w:type="dxa"/>
              <w:left w:w="90" w:type="dxa"/>
              <w:bottom w:w="80" w:type="dxa"/>
              <w:right w:w="90" w:type="dxa"/>
            </w:tcMar>
            <w:vAlign w:val="center"/>
          </w:tcPr>
          <w:p w14:paraId="57D5E5A0" w14:textId="77777777" w:rsidR="00823FE6" w:rsidRDefault="006D076A">
            <w:r>
              <w:rPr>
                <w:sz w:val="15"/>
              </w:rPr>
              <w:t>Value creation, delivery and capture are reconfigured</w:t>
            </w:r>
          </w:p>
        </w:tc>
        <w:tc>
          <w:tcPr>
            <w:tcW w:w="1131" w:type="pct"/>
            <w:tcMar>
              <w:top w:w="80" w:type="dxa"/>
              <w:left w:w="90" w:type="dxa"/>
              <w:bottom w:w="80" w:type="dxa"/>
              <w:right w:w="90" w:type="dxa"/>
            </w:tcMar>
            <w:vAlign w:val="center"/>
          </w:tcPr>
          <w:p w14:paraId="43D71E5D" w14:textId="77777777" w:rsidR="00823FE6" w:rsidRDefault="006D076A">
            <w:r>
              <w:rPr>
                <w:sz w:val="15"/>
              </w:rPr>
              <w:t>PAYGo, mini-grid service design, partnerships, revenue and ownership models</w:t>
            </w:r>
          </w:p>
        </w:tc>
        <w:tc>
          <w:tcPr>
            <w:tcW w:w="1058" w:type="pct"/>
            <w:tcMar>
              <w:top w:w="80" w:type="dxa"/>
              <w:left w:w="90" w:type="dxa"/>
              <w:bottom w:w="80" w:type="dxa"/>
              <w:right w:w="90" w:type="dxa"/>
            </w:tcMar>
            <w:vAlign w:val="center"/>
          </w:tcPr>
          <w:p w14:paraId="2EB4BD90" w14:textId="77777777" w:rsidR="00823FE6" w:rsidRDefault="006D076A">
            <w:r>
              <w:rPr>
                <w:sz w:val="15"/>
              </w:rPr>
              <w:t>Broad construct; novelty and causal performance effects often unclear</w:t>
            </w:r>
          </w:p>
        </w:tc>
        <w:tc>
          <w:tcPr>
            <w:tcW w:w="912" w:type="pct"/>
            <w:tcMar>
              <w:top w:w="80" w:type="dxa"/>
              <w:left w:w="90" w:type="dxa"/>
              <w:bottom w:w="80" w:type="dxa"/>
              <w:right w:w="90" w:type="dxa"/>
            </w:tcMar>
            <w:vAlign w:val="center"/>
          </w:tcPr>
          <w:p w14:paraId="66D906BD" w14:textId="77777777" w:rsidR="00823FE6" w:rsidRDefault="006D076A">
            <w:r>
              <w:rPr>
                <w:sz w:val="15"/>
              </w:rPr>
              <w:t>Foss &amp; Saebi, 2017; Ockwell et al., 2019; Teece, 2010</w:t>
            </w:r>
          </w:p>
        </w:tc>
      </w:tr>
      <w:tr w:rsidR="00823FE6" w14:paraId="63FB2E72" w14:textId="77777777" w:rsidTr="000A5DBF">
        <w:trPr>
          <w:cantSplit/>
          <w:jc w:val="center"/>
        </w:trPr>
        <w:tc>
          <w:tcPr>
            <w:tcW w:w="766" w:type="pct"/>
            <w:tcMar>
              <w:top w:w="80" w:type="dxa"/>
              <w:left w:w="90" w:type="dxa"/>
              <w:bottom w:w="80" w:type="dxa"/>
              <w:right w:w="90" w:type="dxa"/>
            </w:tcMar>
            <w:vAlign w:val="center"/>
          </w:tcPr>
          <w:p w14:paraId="0F3BEF71" w14:textId="77777777" w:rsidR="00823FE6" w:rsidRDefault="006D076A">
            <w:r>
              <w:rPr>
                <w:sz w:val="15"/>
              </w:rPr>
              <w:t>Institutional and ecosystem lens</w:t>
            </w:r>
          </w:p>
        </w:tc>
        <w:tc>
          <w:tcPr>
            <w:tcW w:w="1131" w:type="pct"/>
            <w:tcMar>
              <w:top w:w="80" w:type="dxa"/>
              <w:left w:w="90" w:type="dxa"/>
              <w:bottom w:w="80" w:type="dxa"/>
              <w:right w:w="90" w:type="dxa"/>
            </w:tcMar>
            <w:vAlign w:val="center"/>
          </w:tcPr>
          <w:p w14:paraId="095D8AF6" w14:textId="77777777" w:rsidR="00823FE6" w:rsidRDefault="006D076A">
            <w:r>
              <w:rPr>
                <w:sz w:val="15"/>
              </w:rPr>
              <w:t>Regulation, procurement, legitimacy and partner structures shape strategy returns</w:t>
            </w:r>
          </w:p>
        </w:tc>
        <w:tc>
          <w:tcPr>
            <w:tcW w:w="1131" w:type="pct"/>
            <w:tcMar>
              <w:top w:w="80" w:type="dxa"/>
              <w:left w:w="90" w:type="dxa"/>
              <w:bottom w:w="80" w:type="dxa"/>
              <w:right w:w="90" w:type="dxa"/>
            </w:tcMar>
            <w:vAlign w:val="center"/>
          </w:tcPr>
          <w:p w14:paraId="64A8A8BA" w14:textId="77777777" w:rsidR="00823FE6" w:rsidRDefault="006D076A">
            <w:r>
              <w:rPr>
                <w:sz w:val="15"/>
              </w:rPr>
              <w:t>Tariffs, licences, off-taker credibility, grid arrival, public-private coordination</w:t>
            </w:r>
          </w:p>
        </w:tc>
        <w:tc>
          <w:tcPr>
            <w:tcW w:w="1058" w:type="pct"/>
            <w:tcMar>
              <w:top w:w="80" w:type="dxa"/>
              <w:left w:w="90" w:type="dxa"/>
              <w:bottom w:w="80" w:type="dxa"/>
              <w:right w:w="90" w:type="dxa"/>
            </w:tcMar>
            <w:vAlign w:val="center"/>
          </w:tcPr>
          <w:p w14:paraId="355DCB9A" w14:textId="77777777" w:rsidR="00823FE6" w:rsidRDefault="006D076A">
            <w:r>
              <w:rPr>
                <w:sz w:val="15"/>
              </w:rPr>
              <w:t>Can overemphasise constraints and understate managerial agency</w:t>
            </w:r>
          </w:p>
        </w:tc>
        <w:tc>
          <w:tcPr>
            <w:tcW w:w="912" w:type="pct"/>
            <w:tcMar>
              <w:top w:w="80" w:type="dxa"/>
              <w:left w:w="90" w:type="dxa"/>
              <w:bottom w:w="80" w:type="dxa"/>
              <w:right w:w="90" w:type="dxa"/>
            </w:tcMar>
            <w:vAlign w:val="center"/>
          </w:tcPr>
          <w:p w14:paraId="6A58993A" w14:textId="77777777" w:rsidR="00823FE6" w:rsidRDefault="006D076A">
            <w:r>
              <w:rPr>
                <w:sz w:val="15"/>
              </w:rPr>
              <w:t>Eberhard et al., 2017; Gratwick &amp; Eberhard, 2008; Newell &amp; Phillips, 2016</w:t>
            </w:r>
          </w:p>
        </w:tc>
      </w:tr>
    </w:tbl>
    <w:p w14:paraId="3631A63A" w14:textId="77777777" w:rsidR="00823FE6" w:rsidRDefault="006D076A">
      <w:pPr>
        <w:pStyle w:val="TableNote"/>
      </w:pPr>
      <w:r>
        <w:rPr>
          <w:i/>
        </w:rPr>
        <w:t>Note. PAYGo = pay-as-you-go. The table presents complementary analytical lenses rather than mutually exclusive theories.</w:t>
      </w:r>
    </w:p>
    <w:p w14:paraId="29C2DE9B" w14:textId="77777777" w:rsidR="00823FE6" w:rsidRDefault="00823FE6">
      <w:pPr>
        <w:spacing w:after="0"/>
      </w:pPr>
    </w:p>
    <w:p w14:paraId="33E2AA7D" w14:textId="77777777" w:rsidR="00823FE6" w:rsidRDefault="006D076A">
      <w:pPr>
        <w:pStyle w:val="Heading1"/>
      </w:pPr>
      <w:r>
        <w:t>4. Competitive Architecture of Kenya's Energy Sector</w:t>
      </w:r>
    </w:p>
    <w:p w14:paraId="19B35082" w14:textId="77777777" w:rsidR="00823FE6" w:rsidRDefault="006D076A">
      <w:pPr>
        <w:pStyle w:val="Heading2"/>
      </w:pPr>
      <w:r>
        <w:t>4.1 Electricity: Hybrid Markets, Public Mandates and Contractual Competition</w:t>
      </w:r>
    </w:p>
    <w:p w14:paraId="0F244F91" w14:textId="77777777" w:rsidR="00823FE6" w:rsidRDefault="006D076A">
      <w:pPr>
        <w:pStyle w:val="BodyText"/>
        <w:jc w:val="both"/>
      </w:pPr>
      <w:r>
        <w:t>Kenya's electricity sector exhibits the hybrid structure identified in many developing economies: market-oriented reforms and private participation coexist with state ownership, regulated networks, and long-term contracts (Gratwick &amp; Eberhard, 2008). Competition is therefore concentrated in project development, procurement, financing, generation portfolios, supplier selection, and performance contracting rather than in unrestricted household retail choice. Independent power producers can compete for procurement opportunities and capital, while public entities compete indirectly for resources, legitimacy, talent, and performance standing.</w:t>
      </w:r>
    </w:p>
    <w:p w14:paraId="7F0D13F6" w14:textId="77777777" w:rsidR="00823FE6" w:rsidRDefault="006D076A">
      <w:pPr>
        <w:pStyle w:val="BodyText"/>
        <w:ind w:firstLine="432"/>
        <w:jc w:val="both"/>
      </w:pPr>
      <w:r>
        <w:t>This architecture changes what superior firm performance means. Generation firms need high plant availability, cost discipline, timely project completion, effective maintenance, and bankable development pipelines. Transmission and distribution entities need network reliability, loss management, connection delivery, revenue collection, and customer service. State corporations must also satisfy policy mandates and public accountability. Studies of African independent power projects show that project success depends heavily on planning, procurement, regulatory quality, and risk allocation (Eberhard et al., 2017). Kenya's two decades of independent-power experience similarly indicate that institutional capability and contractual design are strategic assets, not merely policy variables.</w:t>
      </w:r>
    </w:p>
    <w:p w14:paraId="33C3BD9A" w14:textId="77777777" w:rsidR="00823FE6" w:rsidRDefault="006D076A">
      <w:pPr>
        <w:pStyle w:val="BodyText"/>
        <w:ind w:firstLine="432"/>
        <w:jc w:val="both"/>
      </w:pPr>
      <w:r>
        <w:t>Sector-wide scenarios emphasise grid quality, market reform, decentralisation, and appropriate competition as leverage points for a secure and sustainable electricity future (Apergi et al., 2024). These factors create both opportunities and constraints for firms. Decentralisation can open niches for distributed energy, but weak interconnection and uncertain demand can undermine project economics. Renewable potential can support differentiation and portfolio renewal, but social acceptance, network limitations, land issues, and demand constraints affect investment returns (Pueyo, 2018; Rotich et al., 2024). Competitive advantage in electricity is therefore jointly produced by firm capability and system governance.</w:t>
      </w:r>
    </w:p>
    <w:p w14:paraId="774D92E3" w14:textId="77777777" w:rsidR="00823FE6" w:rsidRDefault="006D076A">
      <w:pPr>
        <w:pStyle w:val="Heading2"/>
      </w:pPr>
      <w:r>
        <w:lastRenderedPageBreak/>
        <w:t>4.2 Petroleum and LPG: Regulated Prices, Distribution Rivalry and Trust</w:t>
      </w:r>
    </w:p>
    <w:p w14:paraId="7608F56A" w14:textId="77777777" w:rsidR="00823FE6" w:rsidRDefault="006D076A">
      <w:pPr>
        <w:pStyle w:val="BodyText"/>
        <w:jc w:val="both"/>
      </w:pPr>
      <w:r>
        <w:t>Downstream petroleum appears more conventionally competitive because multiple oil marketing companies operate retail networks and commercial channels. Yet regulated pump prices narrow the scope for sustained price differentiation. Firms consequently compete through procurement and logistics efficiency, station coverage, location, brand, non-fuel services, product quality, safety, institutional contracts, and customer relationships. William and Joyce (2020) found a statistically significant association between pricing strategy and perceived performance, but the study itself recognised price caps and cost structures as central constraints. The mechanism is thus more plausibly cost management and pricing discipline within regulation than free price undercutting.</w:t>
      </w:r>
    </w:p>
    <w:p w14:paraId="50BBD386" w14:textId="77777777" w:rsidR="00823FE6" w:rsidRDefault="006D076A">
      <w:pPr>
        <w:pStyle w:val="BodyText"/>
        <w:ind w:firstLine="432"/>
        <w:jc w:val="both"/>
      </w:pPr>
      <w:r>
        <w:t>LPG markets add safety, cylinder integrity, refill accessibility, package size, and brand trust to the strategic equation. Kariuki and Karihe (2023) reported that competitive strategies had only a low overall influence on performance among Nairobi LPG companies, with marketing more influential than survival, internal-resource, and flexibility strategies. This weaker result is analytically important. It suggests that generic strategic activity cannot fully offset constraints such as infrastructure, compliance costs, consumer affordability, informal competition, and safety concerns. It also cautions against assuming that all positive strategy-performance findings will replicate across subsectors.</w:t>
      </w:r>
    </w:p>
    <w:p w14:paraId="50AEAACC" w14:textId="77777777" w:rsidR="00823FE6" w:rsidRDefault="006D076A">
      <w:pPr>
        <w:pStyle w:val="BodyText"/>
        <w:ind w:firstLine="432"/>
        <w:jc w:val="both"/>
      </w:pPr>
      <w:r>
        <w:t>Corporate strategy and collaboration studies present stronger positive associations. Ingabo and Kihara (2018) linked outsourcing, positioning, mergers and acquisitions, and diversification with financial performance across oil marketing companies. Mtange and Deya (2024) reported a large association between collaborations and performance, particularly through shared storage, networks, and specialised services. These findings are plausible where scale economies and infrastructure access matter, but cross-sectional self-reports may capture respondents' approval of collaboration rather than realised incremental performance. Transaction costs, partner dependency, integration difficulty, and unequal bargaining power remain undermeasured.</w:t>
      </w:r>
    </w:p>
    <w:p w14:paraId="57DB3C42" w14:textId="77777777" w:rsidR="00823FE6" w:rsidRDefault="006D076A">
      <w:pPr>
        <w:pStyle w:val="Heading2"/>
      </w:pPr>
      <w:r>
        <w:t>4.3 Solar and Mini-Grids: Niche Competition and Business-Model Experimentation</w:t>
      </w:r>
    </w:p>
    <w:p w14:paraId="10A39C40" w14:textId="77777777" w:rsidR="00823FE6" w:rsidRDefault="006D076A">
      <w:pPr>
        <w:pStyle w:val="BodyText"/>
        <w:jc w:val="both"/>
      </w:pPr>
      <w:r>
        <w:t>Kenya's off-grid solar market developed through entrepreneurial distribution and financing models that reduced affordability and access barriers (Ondraczek, 2013; Rolffs et al., 2015). Retail, consumer finance, PAYGo, fee-for-service, and mini-grid models differ in capital requirements, revenue timing, service obligations, and target customers. Survey evidence from East African solar businesses indicates that retail and PAYGo models can support scale, whereas mini-grid and fee-for-service approaches may provide higher tiers of service but face more demanding operational and financing conditions (Muchunku et al., 2018).</w:t>
      </w:r>
    </w:p>
    <w:p w14:paraId="6FAE08C8" w14:textId="77777777" w:rsidR="00823FE6" w:rsidRDefault="006D076A">
      <w:pPr>
        <w:pStyle w:val="BodyText"/>
        <w:ind w:firstLine="432"/>
        <w:jc w:val="both"/>
      </w:pPr>
      <w:r>
        <w:t>Private mini-grids demonstrate that competitive strategy can include institutional entrepreneurship. Developers have engaged in network building, learning, expectation alignment, and regulatory work to create space within an incumbent electrification regime (Pedersen &amp; Nygaard, 2018). Their organisations combine commercial and social-welfare logics because customer affordability, community legitimacy, and development outcomes are inseparable from revenue viability (Pedersen et al., 2020). A strategy that maximises short-run extraction from a small customer base may destroy trust and demand, while an overly social orientation may fail to recover costs.</w:t>
      </w:r>
    </w:p>
    <w:p w14:paraId="0293D014" w14:textId="77777777" w:rsidR="00823FE6" w:rsidRDefault="006D076A">
      <w:pPr>
        <w:pStyle w:val="BodyText"/>
        <w:ind w:firstLine="432"/>
        <w:jc w:val="both"/>
      </w:pPr>
      <w:r>
        <w:t>Recent case studies show that service design and business-model innovation help firms navigate political interference, regulatory uncertainty, customer expectations, and investment risk. Reliability, affordability, simplicity, and adaptability appear to be central to value co-creation (Lambe et al., 2024). Ogeya et al. (2025) found that leading Kenyan mini-grid developers used sustainable business-model innovation to remain resilient, but the evidence is based on five prominent developers rather than a representative firm panel. The studies provide strong mechanism insight and weak causal quantification. They show how adaptation occurs, but not how much it improves profitability relative to alternative strategies or to firms that exited.</w:t>
      </w:r>
    </w:p>
    <w:p w14:paraId="7BA246A2" w14:textId="77777777" w:rsidR="00823FE6" w:rsidRDefault="006D076A">
      <w:pPr>
        <w:pStyle w:val="BodyText"/>
        <w:ind w:firstLine="432"/>
        <w:jc w:val="both"/>
      </w:pPr>
      <w:r>
        <w:lastRenderedPageBreak/>
        <w:t>Table 2 compares the subsectors. Its central implication is that the same strategic label has different operational content. Cost leadership in petroleum emphasises logistics and retail efficiency; in electricity it emphasises asset and project economics; in mini-grids it requires frugal service design and demand density. Differentiation likewise shifts from brand and convenience to reliability, financing, and community-responsive service.</w:t>
      </w:r>
    </w:p>
    <w:p w14:paraId="1B7CBDFA" w14:textId="77777777" w:rsidR="00823FE6" w:rsidRDefault="006D076A">
      <w:pPr>
        <w:pStyle w:val="TableCaption"/>
        <w:keepNext/>
      </w:pPr>
      <w:r>
        <w:rPr>
          <w:b/>
        </w:rPr>
        <w:t>Table 2. Subsector structure, competitive logic and performance outcomes in Kenya's energy sector</w:t>
      </w:r>
    </w:p>
    <w:tbl>
      <w:tblPr>
        <w:tblStyle w:val="TableGrid"/>
        <w:tblW w:w="5000" w:type="pct"/>
        <w:jc w:val="center"/>
        <w:tblLook w:val="04A0" w:firstRow="1" w:lastRow="0" w:firstColumn="1" w:lastColumn="0" w:noHBand="0" w:noVBand="1"/>
      </w:tblPr>
      <w:tblGrid>
        <w:gridCol w:w="1247"/>
        <w:gridCol w:w="1731"/>
        <w:gridCol w:w="1871"/>
        <w:gridCol w:w="1731"/>
        <w:gridCol w:w="1661"/>
        <w:gridCol w:w="1731"/>
      </w:tblGrid>
      <w:tr w:rsidR="00823FE6" w14:paraId="554AEAFA" w14:textId="77777777" w:rsidTr="000A5DBF">
        <w:trPr>
          <w:tblHeader/>
          <w:jc w:val="center"/>
        </w:trPr>
        <w:tc>
          <w:tcPr>
            <w:tcW w:w="625" w:type="pct"/>
            <w:shd w:val="clear" w:color="auto" w:fill="D9E2F3"/>
            <w:tcMar>
              <w:top w:w="80" w:type="dxa"/>
              <w:left w:w="90" w:type="dxa"/>
              <w:bottom w:w="80" w:type="dxa"/>
              <w:right w:w="90" w:type="dxa"/>
            </w:tcMar>
            <w:vAlign w:val="center"/>
          </w:tcPr>
          <w:p w14:paraId="1B90D373" w14:textId="77777777" w:rsidR="00823FE6" w:rsidRDefault="006D076A">
            <w:pPr>
              <w:jc w:val="center"/>
            </w:pPr>
            <w:r>
              <w:rPr>
                <w:b/>
                <w:sz w:val="16"/>
              </w:rPr>
              <w:t>Subsector</w:t>
            </w:r>
          </w:p>
        </w:tc>
        <w:tc>
          <w:tcPr>
            <w:tcW w:w="868" w:type="pct"/>
            <w:shd w:val="clear" w:color="auto" w:fill="D9E2F3"/>
            <w:tcMar>
              <w:top w:w="80" w:type="dxa"/>
              <w:left w:w="90" w:type="dxa"/>
              <w:bottom w:w="80" w:type="dxa"/>
              <w:right w:w="90" w:type="dxa"/>
            </w:tcMar>
            <w:vAlign w:val="center"/>
          </w:tcPr>
          <w:p w14:paraId="1E0C9C06" w14:textId="77777777" w:rsidR="00823FE6" w:rsidRDefault="006D076A">
            <w:pPr>
              <w:jc w:val="center"/>
            </w:pPr>
            <w:r>
              <w:rPr>
                <w:b/>
                <w:sz w:val="16"/>
              </w:rPr>
              <w:t>Competitive architecture</w:t>
            </w:r>
          </w:p>
        </w:tc>
        <w:tc>
          <w:tcPr>
            <w:tcW w:w="938" w:type="pct"/>
            <w:shd w:val="clear" w:color="auto" w:fill="D9E2F3"/>
            <w:tcMar>
              <w:top w:w="80" w:type="dxa"/>
              <w:left w:w="90" w:type="dxa"/>
              <w:bottom w:w="80" w:type="dxa"/>
              <w:right w:w="90" w:type="dxa"/>
            </w:tcMar>
            <w:vAlign w:val="center"/>
          </w:tcPr>
          <w:p w14:paraId="64CA6353" w14:textId="77777777" w:rsidR="00823FE6" w:rsidRDefault="006D076A">
            <w:pPr>
              <w:jc w:val="center"/>
            </w:pPr>
            <w:r>
              <w:rPr>
                <w:b/>
                <w:sz w:val="16"/>
              </w:rPr>
              <w:t>Strategic levers</w:t>
            </w:r>
          </w:p>
        </w:tc>
        <w:tc>
          <w:tcPr>
            <w:tcW w:w="868" w:type="pct"/>
            <w:shd w:val="clear" w:color="auto" w:fill="D9E2F3"/>
            <w:tcMar>
              <w:top w:w="80" w:type="dxa"/>
              <w:left w:w="90" w:type="dxa"/>
              <w:bottom w:w="80" w:type="dxa"/>
              <w:right w:w="90" w:type="dxa"/>
            </w:tcMar>
            <w:vAlign w:val="center"/>
          </w:tcPr>
          <w:p w14:paraId="43515C7D" w14:textId="77777777" w:rsidR="00823FE6" w:rsidRDefault="006D076A">
            <w:pPr>
              <w:jc w:val="center"/>
            </w:pPr>
            <w:r>
              <w:rPr>
                <w:b/>
                <w:sz w:val="16"/>
              </w:rPr>
              <w:t>Relevant performance outcomes</w:t>
            </w:r>
          </w:p>
        </w:tc>
        <w:tc>
          <w:tcPr>
            <w:tcW w:w="833" w:type="pct"/>
            <w:shd w:val="clear" w:color="auto" w:fill="D9E2F3"/>
            <w:tcMar>
              <w:top w:w="80" w:type="dxa"/>
              <w:left w:w="90" w:type="dxa"/>
              <w:bottom w:w="80" w:type="dxa"/>
              <w:right w:w="90" w:type="dxa"/>
            </w:tcMar>
            <w:vAlign w:val="center"/>
          </w:tcPr>
          <w:p w14:paraId="2356127C" w14:textId="77777777" w:rsidR="00823FE6" w:rsidRDefault="006D076A">
            <w:pPr>
              <w:jc w:val="center"/>
            </w:pPr>
            <w:r>
              <w:rPr>
                <w:b/>
                <w:sz w:val="16"/>
              </w:rPr>
              <w:t>Binding constraints</w:t>
            </w:r>
          </w:p>
        </w:tc>
        <w:tc>
          <w:tcPr>
            <w:tcW w:w="868" w:type="pct"/>
            <w:shd w:val="clear" w:color="auto" w:fill="D9E2F3"/>
            <w:tcMar>
              <w:top w:w="80" w:type="dxa"/>
              <w:left w:w="90" w:type="dxa"/>
              <w:bottom w:w="80" w:type="dxa"/>
              <w:right w:w="90" w:type="dxa"/>
            </w:tcMar>
            <w:vAlign w:val="center"/>
          </w:tcPr>
          <w:p w14:paraId="380FE82D" w14:textId="77777777" w:rsidR="00823FE6" w:rsidRDefault="006D076A">
            <w:pPr>
              <w:jc w:val="center"/>
            </w:pPr>
            <w:r>
              <w:rPr>
                <w:b/>
                <w:sz w:val="16"/>
              </w:rPr>
              <w:t>Supporting references</w:t>
            </w:r>
          </w:p>
        </w:tc>
      </w:tr>
      <w:tr w:rsidR="00823FE6" w14:paraId="7514A644" w14:textId="77777777" w:rsidTr="000A5DBF">
        <w:trPr>
          <w:cantSplit/>
          <w:jc w:val="center"/>
        </w:trPr>
        <w:tc>
          <w:tcPr>
            <w:tcW w:w="625" w:type="pct"/>
            <w:tcMar>
              <w:top w:w="80" w:type="dxa"/>
              <w:left w:w="90" w:type="dxa"/>
              <w:bottom w:w="80" w:type="dxa"/>
              <w:right w:w="90" w:type="dxa"/>
            </w:tcMar>
            <w:vAlign w:val="center"/>
          </w:tcPr>
          <w:p w14:paraId="3625507D" w14:textId="77777777" w:rsidR="00823FE6" w:rsidRDefault="006D076A">
            <w:r>
              <w:rPr>
                <w:sz w:val="15"/>
              </w:rPr>
              <w:t>Electricity generation and networks</w:t>
            </w:r>
          </w:p>
        </w:tc>
        <w:tc>
          <w:tcPr>
            <w:tcW w:w="868" w:type="pct"/>
            <w:tcMar>
              <w:top w:w="80" w:type="dxa"/>
              <w:left w:w="90" w:type="dxa"/>
              <w:bottom w:w="80" w:type="dxa"/>
              <w:right w:w="90" w:type="dxa"/>
            </w:tcMar>
            <w:vAlign w:val="center"/>
          </w:tcPr>
          <w:p w14:paraId="508D92D1" w14:textId="77777777" w:rsidR="00823FE6" w:rsidRDefault="006D076A">
            <w:r>
              <w:rPr>
                <w:sz w:val="15"/>
              </w:rPr>
              <w:t>Hybrid public-private system; regulated networks; contractual procurement</w:t>
            </w:r>
          </w:p>
        </w:tc>
        <w:tc>
          <w:tcPr>
            <w:tcW w:w="938" w:type="pct"/>
            <w:tcMar>
              <w:top w:w="80" w:type="dxa"/>
              <w:left w:w="90" w:type="dxa"/>
              <w:bottom w:w="80" w:type="dxa"/>
              <w:right w:w="90" w:type="dxa"/>
            </w:tcMar>
            <w:vAlign w:val="center"/>
          </w:tcPr>
          <w:p w14:paraId="624639BC" w14:textId="77777777" w:rsidR="00823FE6" w:rsidRDefault="006D076A">
            <w:r>
              <w:rPr>
                <w:sz w:val="15"/>
              </w:rPr>
              <w:t>Project pipeline, plant availability, procurement, financing, reliability, loss reduction</w:t>
            </w:r>
          </w:p>
        </w:tc>
        <w:tc>
          <w:tcPr>
            <w:tcW w:w="868" w:type="pct"/>
            <w:tcMar>
              <w:top w:w="80" w:type="dxa"/>
              <w:left w:w="90" w:type="dxa"/>
              <w:bottom w:w="80" w:type="dxa"/>
              <w:right w:w="90" w:type="dxa"/>
            </w:tcMar>
            <w:vAlign w:val="center"/>
          </w:tcPr>
          <w:p w14:paraId="3B21CB05" w14:textId="77777777" w:rsidR="00823FE6" w:rsidRDefault="006D076A">
            <w:r>
              <w:rPr>
                <w:sz w:val="15"/>
              </w:rPr>
              <w:t>Financial sustainability, availability, project delivery, reliability, customer service</w:t>
            </w:r>
          </w:p>
        </w:tc>
        <w:tc>
          <w:tcPr>
            <w:tcW w:w="833" w:type="pct"/>
            <w:tcMar>
              <w:top w:w="80" w:type="dxa"/>
              <w:left w:w="90" w:type="dxa"/>
              <w:bottom w:w="80" w:type="dxa"/>
              <w:right w:w="90" w:type="dxa"/>
            </w:tcMar>
            <w:vAlign w:val="center"/>
          </w:tcPr>
          <w:p w14:paraId="1A7663F9" w14:textId="77777777" w:rsidR="00823FE6" w:rsidRDefault="006D076A">
            <w:r>
              <w:rPr>
                <w:sz w:val="15"/>
              </w:rPr>
              <w:t>Contract rigidity, off-taker risk, grid constraints, public mandates</w:t>
            </w:r>
          </w:p>
        </w:tc>
        <w:tc>
          <w:tcPr>
            <w:tcW w:w="868" w:type="pct"/>
            <w:tcMar>
              <w:top w:w="80" w:type="dxa"/>
              <w:left w:w="90" w:type="dxa"/>
              <w:bottom w:w="80" w:type="dxa"/>
              <w:right w:w="90" w:type="dxa"/>
            </w:tcMar>
            <w:vAlign w:val="center"/>
          </w:tcPr>
          <w:p w14:paraId="4AE6032D" w14:textId="77777777" w:rsidR="00823FE6" w:rsidRDefault="006D076A">
            <w:r>
              <w:rPr>
                <w:sz w:val="15"/>
              </w:rPr>
              <w:t>Apergi et al., 2024; Eberhard et al., 2017; Gratwick &amp; Eberhard, 2008</w:t>
            </w:r>
          </w:p>
        </w:tc>
      </w:tr>
      <w:tr w:rsidR="00823FE6" w14:paraId="02CF3D68" w14:textId="77777777" w:rsidTr="000A5DBF">
        <w:trPr>
          <w:cantSplit/>
          <w:jc w:val="center"/>
        </w:trPr>
        <w:tc>
          <w:tcPr>
            <w:tcW w:w="625" w:type="pct"/>
            <w:tcMar>
              <w:top w:w="80" w:type="dxa"/>
              <w:left w:w="90" w:type="dxa"/>
              <w:bottom w:w="80" w:type="dxa"/>
              <w:right w:w="90" w:type="dxa"/>
            </w:tcMar>
            <w:vAlign w:val="center"/>
          </w:tcPr>
          <w:p w14:paraId="343B8580" w14:textId="77777777" w:rsidR="00823FE6" w:rsidRDefault="006D076A">
            <w:r>
              <w:rPr>
                <w:sz w:val="15"/>
              </w:rPr>
              <w:t>Downstream petroleum</w:t>
            </w:r>
          </w:p>
        </w:tc>
        <w:tc>
          <w:tcPr>
            <w:tcW w:w="868" w:type="pct"/>
            <w:tcMar>
              <w:top w:w="80" w:type="dxa"/>
              <w:left w:w="90" w:type="dxa"/>
              <w:bottom w:w="80" w:type="dxa"/>
              <w:right w:w="90" w:type="dxa"/>
            </w:tcMar>
            <w:vAlign w:val="center"/>
          </w:tcPr>
          <w:p w14:paraId="6A7D50A5" w14:textId="77777777" w:rsidR="00823FE6" w:rsidRDefault="006D076A">
            <w:r>
              <w:rPr>
                <w:sz w:val="15"/>
              </w:rPr>
              <w:t>Many marketers under price regulation; network and logistics rivalry</w:t>
            </w:r>
          </w:p>
        </w:tc>
        <w:tc>
          <w:tcPr>
            <w:tcW w:w="938" w:type="pct"/>
            <w:tcMar>
              <w:top w:w="80" w:type="dxa"/>
              <w:left w:w="90" w:type="dxa"/>
              <w:bottom w:w="80" w:type="dxa"/>
              <w:right w:w="90" w:type="dxa"/>
            </w:tcMar>
            <w:vAlign w:val="center"/>
          </w:tcPr>
          <w:p w14:paraId="648BBF47" w14:textId="77777777" w:rsidR="00823FE6" w:rsidRDefault="006D076A">
            <w:r>
              <w:rPr>
                <w:sz w:val="15"/>
              </w:rPr>
              <w:t>Supply reliability, depot access, station network, brand, non-fuel services, cost control</w:t>
            </w:r>
          </w:p>
        </w:tc>
        <w:tc>
          <w:tcPr>
            <w:tcW w:w="868" w:type="pct"/>
            <w:tcMar>
              <w:top w:w="80" w:type="dxa"/>
              <w:left w:w="90" w:type="dxa"/>
              <w:bottom w:w="80" w:type="dxa"/>
              <w:right w:w="90" w:type="dxa"/>
            </w:tcMar>
            <w:vAlign w:val="center"/>
          </w:tcPr>
          <w:p w14:paraId="6035F1DD" w14:textId="77777777" w:rsidR="00823FE6" w:rsidRDefault="006D076A">
            <w:r>
              <w:rPr>
                <w:sz w:val="15"/>
              </w:rPr>
              <w:t>Margin, sales, market share, working capital, customer retention</w:t>
            </w:r>
          </w:p>
        </w:tc>
        <w:tc>
          <w:tcPr>
            <w:tcW w:w="833" w:type="pct"/>
            <w:tcMar>
              <w:top w:w="80" w:type="dxa"/>
              <w:left w:w="90" w:type="dxa"/>
              <w:bottom w:w="80" w:type="dxa"/>
              <w:right w:w="90" w:type="dxa"/>
            </w:tcMar>
            <w:vAlign w:val="center"/>
          </w:tcPr>
          <w:p w14:paraId="108C9AC8" w14:textId="77777777" w:rsidR="00823FE6" w:rsidRDefault="006D076A">
            <w:r>
              <w:rPr>
                <w:sz w:val="15"/>
              </w:rPr>
              <w:t>Price caps, import exposure, infrastructure and compliance costs</w:t>
            </w:r>
          </w:p>
        </w:tc>
        <w:tc>
          <w:tcPr>
            <w:tcW w:w="868" w:type="pct"/>
            <w:tcMar>
              <w:top w:w="80" w:type="dxa"/>
              <w:left w:w="90" w:type="dxa"/>
              <w:bottom w:w="80" w:type="dxa"/>
              <w:right w:w="90" w:type="dxa"/>
            </w:tcMar>
            <w:vAlign w:val="center"/>
          </w:tcPr>
          <w:p w14:paraId="7D1AA8EB" w14:textId="77777777" w:rsidR="00823FE6" w:rsidRDefault="006D076A">
            <w:r>
              <w:rPr>
                <w:sz w:val="15"/>
              </w:rPr>
              <w:t>Ingabo &amp; Kihara, 2018; William &amp; Joyce, 2020; Yabarow &amp; Muathe, 2020</w:t>
            </w:r>
          </w:p>
        </w:tc>
      </w:tr>
      <w:tr w:rsidR="00823FE6" w14:paraId="4653F149" w14:textId="77777777" w:rsidTr="000A5DBF">
        <w:trPr>
          <w:cantSplit/>
          <w:jc w:val="center"/>
        </w:trPr>
        <w:tc>
          <w:tcPr>
            <w:tcW w:w="625" w:type="pct"/>
            <w:tcMar>
              <w:top w:w="80" w:type="dxa"/>
              <w:left w:w="90" w:type="dxa"/>
              <w:bottom w:w="80" w:type="dxa"/>
              <w:right w:w="90" w:type="dxa"/>
            </w:tcMar>
            <w:vAlign w:val="center"/>
          </w:tcPr>
          <w:p w14:paraId="63735FF9" w14:textId="77777777" w:rsidR="00823FE6" w:rsidRDefault="006D076A">
            <w:r>
              <w:rPr>
                <w:sz w:val="15"/>
              </w:rPr>
              <w:t>LPG</w:t>
            </w:r>
          </w:p>
        </w:tc>
        <w:tc>
          <w:tcPr>
            <w:tcW w:w="868" w:type="pct"/>
            <w:tcMar>
              <w:top w:w="80" w:type="dxa"/>
              <w:left w:w="90" w:type="dxa"/>
              <w:bottom w:w="80" w:type="dxa"/>
              <w:right w:w="90" w:type="dxa"/>
            </w:tcMar>
            <w:vAlign w:val="center"/>
          </w:tcPr>
          <w:p w14:paraId="5C35BF34" w14:textId="77777777" w:rsidR="00823FE6" w:rsidRDefault="006D076A">
            <w:r>
              <w:rPr>
                <w:sz w:val="15"/>
              </w:rPr>
              <w:t>Branded and informal channels; safety-sensitive household and institutional markets</w:t>
            </w:r>
          </w:p>
        </w:tc>
        <w:tc>
          <w:tcPr>
            <w:tcW w:w="938" w:type="pct"/>
            <w:tcMar>
              <w:top w:w="80" w:type="dxa"/>
              <w:left w:w="90" w:type="dxa"/>
              <w:bottom w:w="80" w:type="dxa"/>
              <w:right w:w="90" w:type="dxa"/>
            </w:tcMar>
            <w:vAlign w:val="center"/>
          </w:tcPr>
          <w:p w14:paraId="14F52661" w14:textId="77777777" w:rsidR="00823FE6" w:rsidRDefault="006D076A">
            <w:r>
              <w:rPr>
                <w:sz w:val="15"/>
              </w:rPr>
              <w:t>Safety trust, cylinder availability, package design, refill convenience, segmentation</w:t>
            </w:r>
          </w:p>
        </w:tc>
        <w:tc>
          <w:tcPr>
            <w:tcW w:w="868" w:type="pct"/>
            <w:tcMar>
              <w:top w:w="80" w:type="dxa"/>
              <w:left w:w="90" w:type="dxa"/>
              <w:bottom w:w="80" w:type="dxa"/>
              <w:right w:w="90" w:type="dxa"/>
            </w:tcMar>
            <w:vAlign w:val="center"/>
          </w:tcPr>
          <w:p w14:paraId="1BCE0DB7" w14:textId="77777777" w:rsidR="00823FE6" w:rsidRDefault="006D076A">
            <w:r>
              <w:rPr>
                <w:sz w:val="15"/>
              </w:rPr>
              <w:t>Sales growth, customer trust, distribution reach, safety and compliance</w:t>
            </w:r>
          </w:p>
        </w:tc>
        <w:tc>
          <w:tcPr>
            <w:tcW w:w="833" w:type="pct"/>
            <w:tcMar>
              <w:top w:w="80" w:type="dxa"/>
              <w:left w:w="90" w:type="dxa"/>
              <w:bottom w:w="80" w:type="dxa"/>
              <w:right w:w="90" w:type="dxa"/>
            </w:tcMar>
            <w:vAlign w:val="center"/>
          </w:tcPr>
          <w:p w14:paraId="4AF0DAFB" w14:textId="77777777" w:rsidR="00823FE6" w:rsidRDefault="006D076A">
            <w:r>
              <w:rPr>
                <w:sz w:val="15"/>
              </w:rPr>
              <w:t>Affordability, informal refilling, logistics, regulation and safety failures</w:t>
            </w:r>
          </w:p>
        </w:tc>
        <w:tc>
          <w:tcPr>
            <w:tcW w:w="868" w:type="pct"/>
            <w:tcMar>
              <w:top w:w="80" w:type="dxa"/>
              <w:left w:w="90" w:type="dxa"/>
              <w:bottom w:w="80" w:type="dxa"/>
              <w:right w:w="90" w:type="dxa"/>
            </w:tcMar>
            <w:vAlign w:val="center"/>
          </w:tcPr>
          <w:p w14:paraId="150D9D30" w14:textId="77777777" w:rsidR="00823FE6" w:rsidRDefault="006D076A">
            <w:r>
              <w:rPr>
                <w:sz w:val="15"/>
              </w:rPr>
              <w:t>EPRA, 2024; Kariuki &amp; Karihe, 2023</w:t>
            </w:r>
          </w:p>
        </w:tc>
      </w:tr>
      <w:tr w:rsidR="00823FE6" w14:paraId="1792073D" w14:textId="77777777" w:rsidTr="000A5DBF">
        <w:trPr>
          <w:cantSplit/>
          <w:jc w:val="center"/>
        </w:trPr>
        <w:tc>
          <w:tcPr>
            <w:tcW w:w="625" w:type="pct"/>
            <w:tcMar>
              <w:top w:w="80" w:type="dxa"/>
              <w:left w:w="90" w:type="dxa"/>
              <w:bottom w:w="80" w:type="dxa"/>
              <w:right w:w="90" w:type="dxa"/>
            </w:tcMar>
            <w:vAlign w:val="center"/>
          </w:tcPr>
          <w:p w14:paraId="1D5C55DD" w14:textId="77777777" w:rsidR="00823FE6" w:rsidRDefault="006D076A">
            <w:r>
              <w:rPr>
                <w:sz w:val="15"/>
              </w:rPr>
              <w:t>Solar home systems and PAYGo</w:t>
            </w:r>
          </w:p>
        </w:tc>
        <w:tc>
          <w:tcPr>
            <w:tcW w:w="868" w:type="pct"/>
            <w:tcMar>
              <w:top w:w="80" w:type="dxa"/>
              <w:left w:w="90" w:type="dxa"/>
              <w:bottom w:w="80" w:type="dxa"/>
              <w:right w:w="90" w:type="dxa"/>
            </w:tcMar>
            <w:vAlign w:val="center"/>
          </w:tcPr>
          <w:p w14:paraId="7A56B8AD" w14:textId="77777777" w:rsidR="00823FE6" w:rsidRDefault="006D076A">
            <w:r>
              <w:rPr>
                <w:sz w:val="15"/>
              </w:rPr>
              <w:t>Entrepreneurial distribution and digital finance; low-income and off-grid demand</w:t>
            </w:r>
          </w:p>
        </w:tc>
        <w:tc>
          <w:tcPr>
            <w:tcW w:w="938" w:type="pct"/>
            <w:tcMar>
              <w:top w:w="80" w:type="dxa"/>
              <w:left w:w="90" w:type="dxa"/>
              <w:bottom w:w="80" w:type="dxa"/>
              <w:right w:w="90" w:type="dxa"/>
            </w:tcMar>
            <w:vAlign w:val="center"/>
          </w:tcPr>
          <w:p w14:paraId="6BF7CA4B" w14:textId="77777777" w:rsidR="00823FE6" w:rsidRDefault="006D076A">
            <w:r>
              <w:rPr>
                <w:sz w:val="15"/>
              </w:rPr>
              <w:t>Customer acquisition, credit analytics, remote payment, after-sales service, product bundling</w:t>
            </w:r>
          </w:p>
        </w:tc>
        <w:tc>
          <w:tcPr>
            <w:tcW w:w="868" w:type="pct"/>
            <w:tcMar>
              <w:top w:w="80" w:type="dxa"/>
              <w:left w:w="90" w:type="dxa"/>
              <w:bottom w:w="80" w:type="dxa"/>
              <w:right w:w="90" w:type="dxa"/>
            </w:tcMar>
            <w:vAlign w:val="center"/>
          </w:tcPr>
          <w:p w14:paraId="1C188C6B" w14:textId="77777777" w:rsidR="00823FE6" w:rsidRDefault="006D076A">
            <w:r>
              <w:rPr>
                <w:sz w:val="15"/>
              </w:rPr>
              <w:t>Portfolio quality, repayment, active customers, service uptime, access outcomes</w:t>
            </w:r>
          </w:p>
        </w:tc>
        <w:tc>
          <w:tcPr>
            <w:tcW w:w="833" w:type="pct"/>
            <w:tcMar>
              <w:top w:w="80" w:type="dxa"/>
              <w:left w:w="90" w:type="dxa"/>
              <w:bottom w:w="80" w:type="dxa"/>
              <w:right w:w="90" w:type="dxa"/>
            </w:tcMar>
            <w:vAlign w:val="center"/>
          </w:tcPr>
          <w:p w14:paraId="74CFB15F" w14:textId="77777777" w:rsidR="00823FE6" w:rsidRDefault="006D076A">
            <w:r>
              <w:rPr>
                <w:sz w:val="15"/>
              </w:rPr>
              <w:t>Default, over-indebtedness, service costs, device quality, thin rural markets</w:t>
            </w:r>
          </w:p>
        </w:tc>
        <w:tc>
          <w:tcPr>
            <w:tcW w:w="868" w:type="pct"/>
            <w:tcMar>
              <w:top w:w="80" w:type="dxa"/>
              <w:left w:w="90" w:type="dxa"/>
              <w:bottom w:w="80" w:type="dxa"/>
              <w:right w:w="90" w:type="dxa"/>
            </w:tcMar>
            <w:vAlign w:val="center"/>
          </w:tcPr>
          <w:p w14:paraId="5ED474CF" w14:textId="77777777" w:rsidR="00823FE6" w:rsidRDefault="006D076A">
            <w:r>
              <w:rPr>
                <w:sz w:val="15"/>
              </w:rPr>
              <w:t>Muchunku et al., 2018; Ockwell et al., 2019; Rolffs et al., 2015</w:t>
            </w:r>
          </w:p>
        </w:tc>
      </w:tr>
      <w:tr w:rsidR="00823FE6" w14:paraId="624856EB" w14:textId="77777777" w:rsidTr="000A5DBF">
        <w:trPr>
          <w:cantSplit/>
          <w:jc w:val="center"/>
        </w:trPr>
        <w:tc>
          <w:tcPr>
            <w:tcW w:w="625" w:type="pct"/>
            <w:tcMar>
              <w:top w:w="80" w:type="dxa"/>
              <w:left w:w="90" w:type="dxa"/>
              <w:bottom w:w="80" w:type="dxa"/>
              <w:right w:w="90" w:type="dxa"/>
            </w:tcMar>
            <w:vAlign w:val="center"/>
          </w:tcPr>
          <w:p w14:paraId="582C6110" w14:textId="77777777" w:rsidR="00823FE6" w:rsidRDefault="006D076A">
            <w:r>
              <w:rPr>
                <w:sz w:val="15"/>
              </w:rPr>
              <w:t>Private mini-grids</w:t>
            </w:r>
          </w:p>
        </w:tc>
        <w:tc>
          <w:tcPr>
            <w:tcW w:w="868" w:type="pct"/>
            <w:tcMar>
              <w:top w:w="80" w:type="dxa"/>
              <w:left w:w="90" w:type="dxa"/>
              <w:bottom w:w="80" w:type="dxa"/>
              <w:right w:w="90" w:type="dxa"/>
            </w:tcMar>
            <w:vAlign w:val="center"/>
          </w:tcPr>
          <w:p w14:paraId="39947B9A" w14:textId="77777777" w:rsidR="00823FE6" w:rsidRDefault="006D076A">
            <w:r>
              <w:rPr>
                <w:sz w:val="15"/>
              </w:rPr>
              <w:t>Local monopoly at site level but rivalry for finance, licences, locations and legitimacy</w:t>
            </w:r>
          </w:p>
        </w:tc>
        <w:tc>
          <w:tcPr>
            <w:tcW w:w="938" w:type="pct"/>
            <w:tcMar>
              <w:top w:w="80" w:type="dxa"/>
              <w:left w:w="90" w:type="dxa"/>
              <w:bottom w:w="80" w:type="dxa"/>
              <w:right w:w="90" w:type="dxa"/>
            </w:tcMar>
            <w:vAlign w:val="center"/>
          </w:tcPr>
          <w:p w14:paraId="1056A627" w14:textId="77777777" w:rsidR="00823FE6" w:rsidRDefault="006D076A">
            <w:r>
              <w:rPr>
                <w:sz w:val="15"/>
              </w:rPr>
              <w:t>Demand stimulation, frugal service, tariff/revenue model, partnerships, regulatory work</w:t>
            </w:r>
          </w:p>
        </w:tc>
        <w:tc>
          <w:tcPr>
            <w:tcW w:w="868" w:type="pct"/>
            <w:tcMar>
              <w:top w:w="80" w:type="dxa"/>
              <w:left w:w="90" w:type="dxa"/>
              <w:bottom w:w="80" w:type="dxa"/>
              <w:right w:w="90" w:type="dxa"/>
            </w:tcMar>
            <w:vAlign w:val="center"/>
          </w:tcPr>
          <w:p w14:paraId="6730EC86" w14:textId="77777777" w:rsidR="00823FE6" w:rsidRDefault="006D076A">
            <w:r>
              <w:rPr>
                <w:sz w:val="15"/>
              </w:rPr>
              <w:t>Site viability, revenue, uptime, productive use, community acceptance</w:t>
            </w:r>
          </w:p>
        </w:tc>
        <w:tc>
          <w:tcPr>
            <w:tcW w:w="833" w:type="pct"/>
            <w:tcMar>
              <w:top w:w="80" w:type="dxa"/>
              <w:left w:w="90" w:type="dxa"/>
              <w:bottom w:w="80" w:type="dxa"/>
              <w:right w:w="90" w:type="dxa"/>
            </w:tcMar>
            <w:vAlign w:val="center"/>
          </w:tcPr>
          <w:p w14:paraId="5AEEC006" w14:textId="77777777" w:rsidR="00823FE6" w:rsidRDefault="006D076A">
            <w:r>
              <w:rPr>
                <w:sz w:val="15"/>
              </w:rPr>
              <w:t>Grid arrival, uncertain demand, capital intensity, tariff politics, local legitimacy</w:t>
            </w:r>
          </w:p>
        </w:tc>
        <w:tc>
          <w:tcPr>
            <w:tcW w:w="868" w:type="pct"/>
            <w:tcMar>
              <w:top w:w="80" w:type="dxa"/>
              <w:left w:w="90" w:type="dxa"/>
              <w:bottom w:w="80" w:type="dxa"/>
              <w:right w:w="90" w:type="dxa"/>
            </w:tcMar>
            <w:vAlign w:val="center"/>
          </w:tcPr>
          <w:p w14:paraId="14497CE0" w14:textId="77777777" w:rsidR="00823FE6" w:rsidRDefault="006D076A">
            <w:r>
              <w:rPr>
                <w:sz w:val="15"/>
              </w:rPr>
              <w:t>Lambe et al., 2024; Ogeya et al., 2025; Pedersen &amp; Nygaard, 2018; Pedersen et al., 2020</w:t>
            </w:r>
          </w:p>
        </w:tc>
      </w:tr>
    </w:tbl>
    <w:p w14:paraId="0C3B6265" w14:textId="77777777" w:rsidR="00823FE6" w:rsidRDefault="006D076A">
      <w:pPr>
        <w:pStyle w:val="TableNote"/>
      </w:pPr>
      <w:r>
        <w:rPr>
          <w:i/>
        </w:rPr>
        <w:t>Note. LPG = liquefied petroleum gas; PAYGo = pay-as-you-go. The comparison is analytical rather than exhaustive.</w:t>
      </w:r>
    </w:p>
    <w:p w14:paraId="5D3A7B2E" w14:textId="77777777" w:rsidR="00823FE6" w:rsidRDefault="00823FE6">
      <w:pPr>
        <w:spacing w:after="0"/>
      </w:pPr>
    </w:p>
    <w:p w14:paraId="27948049" w14:textId="77777777" w:rsidR="00823FE6" w:rsidRDefault="006D076A">
      <w:pPr>
        <w:pStyle w:val="Heading1"/>
      </w:pPr>
      <w:r>
        <w:t>5. Evidence on Generic Competitive Strategies and Firm Performance</w:t>
      </w:r>
    </w:p>
    <w:p w14:paraId="070A2B91" w14:textId="77777777" w:rsidR="00823FE6" w:rsidRDefault="006D076A">
      <w:pPr>
        <w:pStyle w:val="Heading2"/>
      </w:pPr>
      <w:r>
        <w:t>5.1 Cost Leadership as Operational and Financial Discipline</w:t>
      </w:r>
    </w:p>
    <w:p w14:paraId="2C361240" w14:textId="77777777" w:rsidR="00823FE6" w:rsidRDefault="006D076A">
      <w:pPr>
        <w:pStyle w:val="BodyText"/>
        <w:jc w:val="both"/>
      </w:pPr>
      <w:r>
        <w:t>The strongest interpretation of cost leadership in Kenya's energy sector is not simply charging lower prices. It is the disciplined reduction of total delivered cost while maintaining safety and reliability. In petroleum marketing, regulated prices mean that operating-cost differences influence margins and the ability to expand networks. William and Joyce (2020) linked pricing strategy with performance and recommended frequent cost-structure analysis. The result is consistent with a cost-leadership mechanism, but the study covered five major marketers and relied on cross-sectional responses; it did not demonstrate that observed price practices preceded objective profit improvement.</w:t>
      </w:r>
    </w:p>
    <w:p w14:paraId="3166DA0C" w14:textId="77777777" w:rsidR="00823FE6" w:rsidRDefault="006D076A">
      <w:pPr>
        <w:pStyle w:val="BodyText"/>
        <w:ind w:firstLine="432"/>
        <w:jc w:val="both"/>
      </w:pPr>
      <w:r>
        <w:t>Inventory and asset management provide more concrete operational channels. Njeru and Osoro (2024) reported positive relationships between stock-control practices and performance at Kenya Electricity Generating Company in the Eastern Region. Inventory optimisation, safety-stock decisions, tracking, and economic-order-quantity practices can reduce carrying costs and prevent maintenance delays. Yet the efficient frontier is context dependent. Excessive inventory reduction may expose generation assets to longer outages when specialised parts have long lead times. The performance value of leaner stock therefore depends on criticality classification, supplier reliability, and outage-cost modelling, none of which can be inferred from a global questionnaire score.</w:t>
      </w:r>
    </w:p>
    <w:p w14:paraId="51C7CC0F" w14:textId="77777777" w:rsidR="00823FE6" w:rsidRDefault="006D076A">
      <w:pPr>
        <w:pStyle w:val="BodyText"/>
        <w:ind w:firstLine="432"/>
        <w:jc w:val="both"/>
      </w:pPr>
      <w:r>
        <w:lastRenderedPageBreak/>
        <w:t>Cost advantage in electricity also derives from project selection, financing terms, plant availability, network losses, and procurement. Eberhard et al. (2017) show that competitive procurement, planning, and risk mitigation can reduce independent-power-project costs across Africa. At the firm level, these mechanisms require project-development capability and contract discipline. A nominally low-cost project that is delayed, curtailed, poorly connected, or exposed to currency mismatch may not create durable advantage. Cost leadership should therefore be evaluated through lifecycle cost, risk-adjusted return, and service reliability rather than unit cost alone.</w:t>
      </w:r>
    </w:p>
    <w:p w14:paraId="78EC4326" w14:textId="77777777" w:rsidR="00823FE6" w:rsidRDefault="006D076A">
      <w:pPr>
        <w:pStyle w:val="BodyText"/>
        <w:ind w:firstLine="432"/>
        <w:jc w:val="both"/>
      </w:pPr>
      <w:r>
        <w:t>In off-grid markets, cost leadership is inseparable from frugal design. Mini-grid firms cannot simply reduce engineering quality because unreliable service suppresses demand and legitimacy. Lambe et al. (2024) indicate that affordability must be balanced with reliability, simplicity, and adaptability. PAYGo firms similarly lower entry costs by changing payment timing, but they assume credit, collection, remote-management, and after-sales obligations (Ockwell et al., 2019; Rolffs et al., 2015). The apparent price advantage may be offset by high customer-acquisition and servicing costs. Cost leadership is credible only when unit economics include the full service and risk burden.</w:t>
      </w:r>
    </w:p>
    <w:p w14:paraId="1AD8F1A2" w14:textId="77777777" w:rsidR="00823FE6" w:rsidRDefault="006D076A">
      <w:pPr>
        <w:pStyle w:val="Heading2"/>
      </w:pPr>
      <w:r>
        <w:t>5.2 Differentiation Through Reliability, Trust and Service</w:t>
      </w:r>
    </w:p>
    <w:p w14:paraId="0FBA8BD4" w14:textId="77777777" w:rsidR="00823FE6" w:rsidRDefault="006D076A">
      <w:pPr>
        <w:pStyle w:val="BodyText"/>
        <w:jc w:val="both"/>
      </w:pPr>
      <w:r>
        <w:t>Differentiation in energy is often less visible than in consumer goods, but it can be strategically decisive. Petroleum marketers differentiate through station location, service quality, brand assurance, lubricants, convenience retail, fleet services, and commercial-contract reliability. LPG companies differentiate through safety, product quality, cylinder availability, distribution channels, and package sizes. Kariuki and Karihe (2023) found marketing strategy more influential than other competitive-strategy categories, supporting the view that customer-facing differentiation matters in a safety-sensitive market. Nevertheless, the low overall strategy effect suggests that marketing cannot substitute for affordable supply and regulatory compliance.</w:t>
      </w:r>
    </w:p>
    <w:p w14:paraId="0292EB6F" w14:textId="77777777" w:rsidR="00823FE6" w:rsidRDefault="006D076A">
      <w:pPr>
        <w:pStyle w:val="BodyText"/>
        <w:ind w:firstLine="432"/>
        <w:jc w:val="both"/>
      </w:pPr>
      <w:r>
        <w:t>For electricity organisations, reliability and responsiveness are core differentiators even when retail customers cannot switch supplier. Performance comparisons, political oversight, and industrial customer expectations still create reputational and managerial competition. Technical leadership attributes, clear roles, evidence-based decisions, and aligned goals were strongly associated with perceived performance across Kenya's energy parastatals (Wairimu et al., 2026). These attributes can enable service differentiation by improving problem resolution and operational execution. The causal interpretation remains limited because respondents evaluated both technical attributes and performance at one point in time.</w:t>
      </w:r>
    </w:p>
    <w:p w14:paraId="595EA344" w14:textId="77777777" w:rsidR="00823FE6" w:rsidRDefault="006D076A">
      <w:pPr>
        <w:pStyle w:val="BodyText"/>
        <w:ind w:firstLine="432"/>
        <w:jc w:val="both"/>
      </w:pPr>
      <w:r>
        <w:t>Solar and mini-grid differentiation is embedded in the service system. PAYGo firms combine hardware with financing, remote control, customer support, and upgrade paths. Mini-grid firms may differentiate through reliability, productive-use support, tariff flexibility, or responsiveness to local needs. Qualitative evidence shows that customer expectations are shaped by prior experience with utilities and other services; strategies intended to manage these expectations can either strengthen or weaken value co-creation (Lambe et al., 2024). Differentiation therefore requires credible delivery. Branding unsupported by uptime, repair, and transparent billing is likely to erode trust.</w:t>
      </w:r>
    </w:p>
    <w:p w14:paraId="1EAA4C69" w14:textId="77777777" w:rsidR="00823FE6" w:rsidRDefault="006D076A">
      <w:pPr>
        <w:pStyle w:val="BodyText"/>
        <w:ind w:firstLine="432"/>
        <w:jc w:val="both"/>
      </w:pPr>
      <w:r>
        <w:t>Market orientation and capabilities research outside the sector helps clarify the mechanism. Morgan et al. (2009) found that market orientation and marketing capabilities were complementary predictors of financial and perceived performance. Applied to energy firms, customer insight matters only when translated into distribution, service, pricing, credit, and product-development routines. This complementarity explains why firms with similar strategic intentions can achieve different outcomes: differentiation is a capability system, not a promotional statement.</w:t>
      </w:r>
    </w:p>
    <w:p w14:paraId="0642276C" w14:textId="77777777" w:rsidR="00823FE6" w:rsidRDefault="006D076A">
      <w:pPr>
        <w:pStyle w:val="Heading2"/>
      </w:pPr>
      <w:r>
        <w:lastRenderedPageBreak/>
        <w:t>5.3 Focus Strategies and the Economics of Segmentation</w:t>
      </w:r>
    </w:p>
    <w:p w14:paraId="32EF1474" w14:textId="77777777" w:rsidR="00823FE6" w:rsidRDefault="006D076A">
      <w:pPr>
        <w:pStyle w:val="BodyText"/>
        <w:jc w:val="both"/>
      </w:pPr>
      <w:r>
        <w:t>Focus strategies concentrate on a segment whose needs are not served efficiently by broad-market rivals. In Kenya's energy sector, relevant segments include remote communities, small commercial users, industrial clients, institutional LPG buyers, fleet operators, and customers requiring flexible payment. Off-grid solar and mini-grid enterprises exemplify focused strategies because they target locations and consumers beyond conventional grid economics. Kenya's early solar-market development demonstrated the commercial potential of serving decentralised demand through specialised channels (Ondraczek, 2013).</w:t>
      </w:r>
    </w:p>
    <w:p w14:paraId="18F08527" w14:textId="77777777" w:rsidR="00823FE6" w:rsidRDefault="006D076A">
      <w:pPr>
        <w:pStyle w:val="BodyText"/>
        <w:ind w:firstLine="432"/>
        <w:jc w:val="both"/>
      </w:pPr>
      <w:r>
        <w:t>The risk is that a socially important niche may be commercially thin. Low household incomes, dispersed customers, limited productive demand, and seasonal cash flows raise acquisition and service costs. Pueyo (2018) identified low demand and network limitations among constraints on renewable-energy investment in Kenya. Private mini-grid evidence likewise shows that developers must stimulate demand, adapt services, and manage uncertainty about grid expansion (Ogeya et al., 2025; Pedersen &amp; Nygaard, 2018). Focus creates knowledge and relational advantages, but it does not eliminate unfavourable unit economics.</w:t>
      </w:r>
    </w:p>
    <w:p w14:paraId="5E30E8EE" w14:textId="77777777" w:rsidR="00823FE6" w:rsidRDefault="006D076A">
      <w:pPr>
        <w:pStyle w:val="BodyText"/>
        <w:ind w:firstLine="432"/>
        <w:jc w:val="both"/>
      </w:pPr>
      <w:r>
        <w:t>A defensible focus strategy requires explicit segment economics. Firms should distinguish willingness to pay from ability to pay, separate household lighting demand from productive-use demand, and estimate lifetime service costs. Cross-subsidy, anchor customers, donor support, or public procurement may be necessary, but each changes the value-capture model. The strategic question is not whether rural or low-income customers deserve service; it is which configuration can provide reliable service without hiding recurrent losses or shifting unreasonable risk to customers.</w:t>
      </w:r>
    </w:p>
    <w:p w14:paraId="1564E268" w14:textId="77777777" w:rsidR="00823FE6" w:rsidRDefault="006D076A">
      <w:pPr>
        <w:pStyle w:val="Heading2"/>
      </w:pPr>
      <w:r>
        <w:t>5.4 Hybrid and Combined Strategies</w:t>
      </w:r>
    </w:p>
    <w:p w14:paraId="5A4E717E" w14:textId="77777777" w:rsidR="00823FE6" w:rsidRDefault="006D076A">
      <w:pPr>
        <w:pStyle w:val="BodyText"/>
        <w:jc w:val="both"/>
      </w:pPr>
      <w:r>
        <w:t>The Kenyan evidence does not support a simple rule that one generic strategy is always superior. Energy firms frequently combine operational efficiency with differentiation and focus. A petroleum marketer may lower logistics costs while differentiating station experience. A mini-grid developer may use frugal design while tailoring services to a local niche. Campbell-Hunt's (2000) synthesis suggests that hybrid approaches are not necessarily trapped in the middle, provided activities are coherent. The danger arises when firms pursue incompatible commitments without sufficient resources or clear priorities.</w:t>
      </w:r>
    </w:p>
    <w:p w14:paraId="0E64D414" w14:textId="77777777" w:rsidR="00823FE6" w:rsidRDefault="006D076A">
      <w:pPr>
        <w:pStyle w:val="BodyText"/>
        <w:ind w:firstLine="432"/>
        <w:jc w:val="both"/>
      </w:pPr>
      <w:r>
        <w:t>Strategic configurations should be assessed for internal consistency and boundary conditions. Differentiated after-sales service increases cost; broad geographic coverage may weaken niche knowledge; aggressive price competition can undermine safety and maintenance. Firms need activity-level choices that make trade-offs explicit. Strategic clarity becomes important because employees must understand which value proposition takes precedence when objectives conflict. Mbaruku et al. (2025) found a positive relationship between strategic clarity and performance in energy-sector state corporations, although the cross-sectional design cannot establish whether clarity caused performance or successful organisations simply communicated more confidently.</w:t>
      </w:r>
    </w:p>
    <w:p w14:paraId="4D28CCEB" w14:textId="77777777" w:rsidR="00823FE6" w:rsidRDefault="006D076A">
      <w:pPr>
        <w:pStyle w:val="BodyText"/>
        <w:ind w:firstLine="432"/>
        <w:jc w:val="both"/>
      </w:pPr>
      <w:r>
        <w:t>Table 3 consolidates representative Kenya-specific studies. The pattern is consistent but methodologically uneven: most report positive associations, yet samples are often bounded to one city, organisation, or respondent category. Objective longitudinal outcomes are rare, and very large explained variances should be interpreted cautiously because predictor and outcome measures frequently come from the same questionnaire.</w:t>
      </w:r>
    </w:p>
    <w:p w14:paraId="314A426B" w14:textId="77777777" w:rsidR="00823FE6" w:rsidRDefault="006D076A">
      <w:pPr>
        <w:pStyle w:val="TableCaption"/>
        <w:keepNext/>
      </w:pPr>
      <w:r>
        <w:rPr>
          <w:b/>
        </w:rPr>
        <w:t>Table 3. Representative empirical evidence on strategy and performance in Kenyan energy firms</w:t>
      </w:r>
    </w:p>
    <w:tbl>
      <w:tblPr>
        <w:tblStyle w:val="TableGrid"/>
        <w:tblW w:w="5000" w:type="pct"/>
        <w:jc w:val="center"/>
        <w:tblLook w:val="04A0" w:firstRow="1" w:lastRow="0" w:firstColumn="1" w:lastColumn="0" w:noHBand="0" w:noVBand="1"/>
      </w:tblPr>
      <w:tblGrid>
        <w:gridCol w:w="1182"/>
        <w:gridCol w:w="1444"/>
        <w:gridCol w:w="1508"/>
        <w:gridCol w:w="1247"/>
        <w:gridCol w:w="1508"/>
        <w:gridCol w:w="1771"/>
        <w:gridCol w:w="1312"/>
      </w:tblGrid>
      <w:tr w:rsidR="00823FE6" w14:paraId="3AF28369" w14:textId="77777777" w:rsidTr="000A5DBF">
        <w:trPr>
          <w:tblHeader/>
          <w:jc w:val="center"/>
        </w:trPr>
        <w:tc>
          <w:tcPr>
            <w:tcW w:w="592" w:type="pct"/>
            <w:shd w:val="clear" w:color="auto" w:fill="D9E2F3"/>
            <w:tcMar>
              <w:top w:w="80" w:type="dxa"/>
              <w:left w:w="90" w:type="dxa"/>
              <w:bottom w:w="80" w:type="dxa"/>
              <w:right w:w="90" w:type="dxa"/>
            </w:tcMar>
            <w:vAlign w:val="center"/>
          </w:tcPr>
          <w:p w14:paraId="08E2BDB2" w14:textId="77777777" w:rsidR="00823FE6" w:rsidRDefault="006D076A">
            <w:pPr>
              <w:jc w:val="center"/>
            </w:pPr>
            <w:r>
              <w:rPr>
                <w:b/>
                <w:sz w:val="16"/>
              </w:rPr>
              <w:t>Study</w:t>
            </w:r>
          </w:p>
        </w:tc>
        <w:tc>
          <w:tcPr>
            <w:tcW w:w="724" w:type="pct"/>
            <w:shd w:val="clear" w:color="auto" w:fill="D9E2F3"/>
            <w:tcMar>
              <w:top w:w="80" w:type="dxa"/>
              <w:left w:w="90" w:type="dxa"/>
              <w:bottom w:w="80" w:type="dxa"/>
              <w:right w:w="90" w:type="dxa"/>
            </w:tcMar>
            <w:vAlign w:val="center"/>
          </w:tcPr>
          <w:p w14:paraId="7D93F954" w14:textId="77777777" w:rsidR="00823FE6" w:rsidRDefault="006D076A">
            <w:pPr>
              <w:jc w:val="center"/>
            </w:pPr>
            <w:r>
              <w:rPr>
                <w:b/>
                <w:sz w:val="16"/>
              </w:rPr>
              <w:t>Context and design</w:t>
            </w:r>
          </w:p>
        </w:tc>
        <w:tc>
          <w:tcPr>
            <w:tcW w:w="756" w:type="pct"/>
            <w:shd w:val="clear" w:color="auto" w:fill="D9E2F3"/>
            <w:tcMar>
              <w:top w:w="80" w:type="dxa"/>
              <w:left w:w="90" w:type="dxa"/>
              <w:bottom w:w="80" w:type="dxa"/>
              <w:right w:w="90" w:type="dxa"/>
            </w:tcMar>
            <w:vAlign w:val="center"/>
          </w:tcPr>
          <w:p w14:paraId="30D0F70A" w14:textId="77777777" w:rsidR="00823FE6" w:rsidRDefault="006D076A">
            <w:pPr>
              <w:jc w:val="center"/>
            </w:pPr>
            <w:r>
              <w:rPr>
                <w:b/>
                <w:sz w:val="16"/>
              </w:rPr>
              <w:t>Strategic construct</w:t>
            </w:r>
          </w:p>
        </w:tc>
        <w:tc>
          <w:tcPr>
            <w:tcW w:w="625" w:type="pct"/>
            <w:shd w:val="clear" w:color="auto" w:fill="D9E2F3"/>
            <w:tcMar>
              <w:top w:w="80" w:type="dxa"/>
              <w:left w:w="90" w:type="dxa"/>
              <w:bottom w:w="80" w:type="dxa"/>
              <w:right w:w="90" w:type="dxa"/>
            </w:tcMar>
            <w:vAlign w:val="center"/>
          </w:tcPr>
          <w:p w14:paraId="5BA20748" w14:textId="77777777" w:rsidR="00823FE6" w:rsidRDefault="006D076A">
            <w:pPr>
              <w:jc w:val="center"/>
            </w:pPr>
            <w:r>
              <w:rPr>
                <w:b/>
                <w:sz w:val="16"/>
              </w:rPr>
              <w:t>Performance outcome</w:t>
            </w:r>
          </w:p>
        </w:tc>
        <w:tc>
          <w:tcPr>
            <w:tcW w:w="756" w:type="pct"/>
            <w:shd w:val="clear" w:color="auto" w:fill="D9E2F3"/>
            <w:tcMar>
              <w:top w:w="80" w:type="dxa"/>
              <w:left w:w="90" w:type="dxa"/>
              <w:bottom w:w="80" w:type="dxa"/>
              <w:right w:w="90" w:type="dxa"/>
            </w:tcMar>
            <w:vAlign w:val="center"/>
          </w:tcPr>
          <w:p w14:paraId="71FE4E63" w14:textId="77777777" w:rsidR="00823FE6" w:rsidRDefault="006D076A">
            <w:pPr>
              <w:jc w:val="center"/>
            </w:pPr>
            <w:r>
              <w:rPr>
                <w:b/>
                <w:sz w:val="16"/>
              </w:rPr>
              <w:t>Main finding</w:t>
            </w:r>
          </w:p>
        </w:tc>
        <w:tc>
          <w:tcPr>
            <w:tcW w:w="888" w:type="pct"/>
            <w:shd w:val="clear" w:color="auto" w:fill="D9E2F3"/>
            <w:tcMar>
              <w:top w:w="80" w:type="dxa"/>
              <w:left w:w="90" w:type="dxa"/>
              <w:bottom w:w="80" w:type="dxa"/>
              <w:right w:w="90" w:type="dxa"/>
            </w:tcMar>
            <w:vAlign w:val="center"/>
          </w:tcPr>
          <w:p w14:paraId="4412281F" w14:textId="77777777" w:rsidR="00823FE6" w:rsidRDefault="006D076A">
            <w:pPr>
              <w:jc w:val="center"/>
            </w:pPr>
            <w:r>
              <w:rPr>
                <w:b/>
                <w:sz w:val="16"/>
              </w:rPr>
              <w:t>Critical limitation</w:t>
            </w:r>
          </w:p>
        </w:tc>
        <w:tc>
          <w:tcPr>
            <w:tcW w:w="658" w:type="pct"/>
            <w:shd w:val="clear" w:color="auto" w:fill="D9E2F3"/>
            <w:tcMar>
              <w:top w:w="80" w:type="dxa"/>
              <w:left w:w="90" w:type="dxa"/>
              <w:bottom w:w="80" w:type="dxa"/>
              <w:right w:w="90" w:type="dxa"/>
            </w:tcMar>
            <w:vAlign w:val="center"/>
          </w:tcPr>
          <w:p w14:paraId="079A065B" w14:textId="77777777" w:rsidR="00823FE6" w:rsidRDefault="006D076A">
            <w:pPr>
              <w:jc w:val="center"/>
            </w:pPr>
            <w:r>
              <w:rPr>
                <w:b/>
                <w:sz w:val="16"/>
              </w:rPr>
              <w:t>Supporting references</w:t>
            </w:r>
          </w:p>
        </w:tc>
      </w:tr>
      <w:tr w:rsidR="00823FE6" w14:paraId="5D933F9E" w14:textId="77777777" w:rsidTr="000A5DBF">
        <w:trPr>
          <w:cantSplit/>
          <w:jc w:val="center"/>
        </w:trPr>
        <w:tc>
          <w:tcPr>
            <w:tcW w:w="592" w:type="pct"/>
            <w:tcMar>
              <w:top w:w="80" w:type="dxa"/>
              <w:left w:w="90" w:type="dxa"/>
              <w:bottom w:w="80" w:type="dxa"/>
              <w:right w:w="90" w:type="dxa"/>
            </w:tcMar>
            <w:vAlign w:val="center"/>
          </w:tcPr>
          <w:p w14:paraId="04A82F63" w14:textId="77777777" w:rsidR="00823FE6" w:rsidRDefault="006D076A">
            <w:r>
              <w:rPr>
                <w:sz w:val="15"/>
              </w:rPr>
              <w:t>Ingabo &amp; Kihara (2018)</w:t>
            </w:r>
          </w:p>
        </w:tc>
        <w:tc>
          <w:tcPr>
            <w:tcW w:w="724" w:type="pct"/>
            <w:tcMar>
              <w:top w:w="80" w:type="dxa"/>
              <w:left w:w="90" w:type="dxa"/>
              <w:bottom w:w="80" w:type="dxa"/>
              <w:right w:w="90" w:type="dxa"/>
            </w:tcMar>
            <w:vAlign w:val="center"/>
          </w:tcPr>
          <w:p w14:paraId="432E8D15" w14:textId="77777777" w:rsidR="00823FE6" w:rsidRDefault="006D076A">
            <w:r>
              <w:rPr>
                <w:sz w:val="15"/>
              </w:rPr>
              <w:t>23 oil marketing companies; descriptive survey</w:t>
            </w:r>
          </w:p>
        </w:tc>
        <w:tc>
          <w:tcPr>
            <w:tcW w:w="756" w:type="pct"/>
            <w:tcMar>
              <w:top w:w="80" w:type="dxa"/>
              <w:left w:w="90" w:type="dxa"/>
              <w:bottom w:w="80" w:type="dxa"/>
              <w:right w:w="90" w:type="dxa"/>
            </w:tcMar>
            <w:vAlign w:val="center"/>
          </w:tcPr>
          <w:p w14:paraId="6BE7273B" w14:textId="77777777" w:rsidR="00823FE6" w:rsidRDefault="006D076A">
            <w:r>
              <w:rPr>
                <w:sz w:val="15"/>
              </w:rPr>
              <w:t>Outsourcing, positioning, mergers and acquisitions, diversification</w:t>
            </w:r>
          </w:p>
        </w:tc>
        <w:tc>
          <w:tcPr>
            <w:tcW w:w="625" w:type="pct"/>
            <w:tcMar>
              <w:top w:w="80" w:type="dxa"/>
              <w:left w:w="90" w:type="dxa"/>
              <w:bottom w:w="80" w:type="dxa"/>
              <w:right w:w="90" w:type="dxa"/>
            </w:tcMar>
            <w:vAlign w:val="center"/>
          </w:tcPr>
          <w:p w14:paraId="1DD90303" w14:textId="77777777" w:rsidR="00823FE6" w:rsidRDefault="006D076A">
            <w:r>
              <w:rPr>
                <w:sz w:val="15"/>
              </w:rPr>
              <w:t>Financial performance</w:t>
            </w:r>
          </w:p>
        </w:tc>
        <w:tc>
          <w:tcPr>
            <w:tcW w:w="756" w:type="pct"/>
            <w:tcMar>
              <w:top w:w="80" w:type="dxa"/>
              <w:left w:w="90" w:type="dxa"/>
              <w:bottom w:w="80" w:type="dxa"/>
              <w:right w:w="90" w:type="dxa"/>
            </w:tcMar>
            <w:vAlign w:val="center"/>
          </w:tcPr>
          <w:p w14:paraId="2955583E" w14:textId="77777777" w:rsidR="00823FE6" w:rsidRDefault="006D076A">
            <w:r>
              <w:rPr>
                <w:sz w:val="15"/>
              </w:rPr>
              <w:t>Positive influence reported across corporate strategies</w:t>
            </w:r>
          </w:p>
        </w:tc>
        <w:tc>
          <w:tcPr>
            <w:tcW w:w="888" w:type="pct"/>
            <w:tcMar>
              <w:top w:w="80" w:type="dxa"/>
              <w:left w:w="90" w:type="dxa"/>
              <w:bottom w:w="80" w:type="dxa"/>
              <w:right w:w="90" w:type="dxa"/>
            </w:tcMar>
            <w:vAlign w:val="center"/>
          </w:tcPr>
          <w:p w14:paraId="4A27074F" w14:textId="77777777" w:rsidR="00823FE6" w:rsidRDefault="006D076A">
            <w:r>
              <w:rPr>
                <w:sz w:val="15"/>
              </w:rPr>
              <w:t>Small sector census; cross-sectional, self-reported; temporal order unclear</w:t>
            </w:r>
          </w:p>
        </w:tc>
        <w:tc>
          <w:tcPr>
            <w:tcW w:w="658" w:type="pct"/>
            <w:tcMar>
              <w:top w:w="80" w:type="dxa"/>
              <w:left w:w="90" w:type="dxa"/>
              <w:bottom w:w="80" w:type="dxa"/>
              <w:right w:w="90" w:type="dxa"/>
            </w:tcMar>
            <w:vAlign w:val="center"/>
          </w:tcPr>
          <w:p w14:paraId="565031CC" w14:textId="77777777" w:rsidR="00823FE6" w:rsidRDefault="006D076A">
            <w:r>
              <w:rPr>
                <w:sz w:val="15"/>
              </w:rPr>
              <w:t>Ingabo &amp; Kihara, 2018</w:t>
            </w:r>
          </w:p>
        </w:tc>
      </w:tr>
      <w:tr w:rsidR="00823FE6" w14:paraId="308870F6" w14:textId="77777777" w:rsidTr="000A5DBF">
        <w:trPr>
          <w:cantSplit/>
          <w:jc w:val="center"/>
        </w:trPr>
        <w:tc>
          <w:tcPr>
            <w:tcW w:w="592" w:type="pct"/>
            <w:tcMar>
              <w:top w:w="80" w:type="dxa"/>
              <w:left w:w="90" w:type="dxa"/>
              <w:bottom w:w="80" w:type="dxa"/>
              <w:right w:w="90" w:type="dxa"/>
            </w:tcMar>
            <w:vAlign w:val="center"/>
          </w:tcPr>
          <w:p w14:paraId="74FC6870" w14:textId="77777777" w:rsidR="00823FE6" w:rsidRDefault="006D076A">
            <w:r>
              <w:rPr>
                <w:sz w:val="15"/>
              </w:rPr>
              <w:lastRenderedPageBreak/>
              <w:t>William &amp; Joyce (2020)</w:t>
            </w:r>
          </w:p>
        </w:tc>
        <w:tc>
          <w:tcPr>
            <w:tcW w:w="724" w:type="pct"/>
            <w:tcMar>
              <w:top w:w="80" w:type="dxa"/>
              <w:left w:w="90" w:type="dxa"/>
              <w:bottom w:w="80" w:type="dxa"/>
              <w:right w:w="90" w:type="dxa"/>
            </w:tcMar>
            <w:vAlign w:val="center"/>
          </w:tcPr>
          <w:p w14:paraId="123F7AF0" w14:textId="77777777" w:rsidR="00823FE6" w:rsidRDefault="006D076A">
            <w:r>
              <w:rPr>
                <w:sz w:val="15"/>
              </w:rPr>
              <w:t>Five major oil marketers</w:t>
            </w:r>
          </w:p>
        </w:tc>
        <w:tc>
          <w:tcPr>
            <w:tcW w:w="756" w:type="pct"/>
            <w:tcMar>
              <w:top w:w="80" w:type="dxa"/>
              <w:left w:w="90" w:type="dxa"/>
              <w:bottom w:w="80" w:type="dxa"/>
              <w:right w:w="90" w:type="dxa"/>
            </w:tcMar>
            <w:vAlign w:val="center"/>
          </w:tcPr>
          <w:p w14:paraId="285C128B" w14:textId="77777777" w:rsidR="00823FE6" w:rsidRDefault="006D076A">
            <w:r>
              <w:rPr>
                <w:sz w:val="15"/>
              </w:rPr>
              <w:t>Pricing strategy and cost structure</w:t>
            </w:r>
          </w:p>
        </w:tc>
        <w:tc>
          <w:tcPr>
            <w:tcW w:w="625" w:type="pct"/>
            <w:tcMar>
              <w:top w:w="80" w:type="dxa"/>
              <w:left w:w="90" w:type="dxa"/>
              <w:bottom w:w="80" w:type="dxa"/>
              <w:right w:w="90" w:type="dxa"/>
            </w:tcMar>
            <w:vAlign w:val="center"/>
          </w:tcPr>
          <w:p w14:paraId="6F4031AA" w14:textId="77777777" w:rsidR="00823FE6" w:rsidRDefault="006D076A">
            <w:r>
              <w:rPr>
                <w:sz w:val="15"/>
              </w:rPr>
              <w:t>Perceived organisational performance</w:t>
            </w:r>
          </w:p>
        </w:tc>
        <w:tc>
          <w:tcPr>
            <w:tcW w:w="756" w:type="pct"/>
            <w:tcMar>
              <w:top w:w="80" w:type="dxa"/>
              <w:left w:w="90" w:type="dxa"/>
              <w:bottom w:w="80" w:type="dxa"/>
              <w:right w:w="90" w:type="dxa"/>
            </w:tcMar>
            <w:vAlign w:val="center"/>
          </w:tcPr>
          <w:p w14:paraId="0CBE386D" w14:textId="77777777" w:rsidR="00823FE6" w:rsidRDefault="006D076A">
            <w:r>
              <w:rPr>
                <w:sz w:val="15"/>
              </w:rPr>
              <w:t>Statistically significant relationship</w:t>
            </w:r>
          </w:p>
        </w:tc>
        <w:tc>
          <w:tcPr>
            <w:tcW w:w="888" w:type="pct"/>
            <w:tcMar>
              <w:top w:w="80" w:type="dxa"/>
              <w:left w:w="90" w:type="dxa"/>
              <w:bottom w:w="80" w:type="dxa"/>
              <w:right w:w="90" w:type="dxa"/>
            </w:tcMar>
            <w:vAlign w:val="center"/>
          </w:tcPr>
          <w:p w14:paraId="78877633" w14:textId="77777777" w:rsidR="00823FE6" w:rsidRDefault="006D076A">
            <w:r>
              <w:rPr>
                <w:sz w:val="15"/>
              </w:rPr>
              <w:t>Narrow sample; regulated prices; objective margins not demonstrated</w:t>
            </w:r>
          </w:p>
        </w:tc>
        <w:tc>
          <w:tcPr>
            <w:tcW w:w="658" w:type="pct"/>
            <w:tcMar>
              <w:top w:w="80" w:type="dxa"/>
              <w:left w:w="90" w:type="dxa"/>
              <w:bottom w:w="80" w:type="dxa"/>
              <w:right w:w="90" w:type="dxa"/>
            </w:tcMar>
            <w:vAlign w:val="center"/>
          </w:tcPr>
          <w:p w14:paraId="7FCE831A" w14:textId="77777777" w:rsidR="00823FE6" w:rsidRDefault="006D076A">
            <w:r>
              <w:rPr>
                <w:sz w:val="15"/>
              </w:rPr>
              <w:t>William &amp; Joyce, 2020</w:t>
            </w:r>
          </w:p>
        </w:tc>
      </w:tr>
      <w:tr w:rsidR="00823FE6" w14:paraId="1003631A" w14:textId="77777777" w:rsidTr="000A5DBF">
        <w:trPr>
          <w:cantSplit/>
          <w:jc w:val="center"/>
        </w:trPr>
        <w:tc>
          <w:tcPr>
            <w:tcW w:w="592" w:type="pct"/>
            <w:tcMar>
              <w:top w:w="80" w:type="dxa"/>
              <w:left w:w="90" w:type="dxa"/>
              <w:bottom w:w="80" w:type="dxa"/>
              <w:right w:w="90" w:type="dxa"/>
            </w:tcMar>
            <w:vAlign w:val="center"/>
          </w:tcPr>
          <w:p w14:paraId="7D625239" w14:textId="77777777" w:rsidR="00823FE6" w:rsidRDefault="006D076A">
            <w:r>
              <w:rPr>
                <w:sz w:val="15"/>
              </w:rPr>
              <w:t>Yabarow &amp; Muathe (2020)</w:t>
            </w:r>
          </w:p>
        </w:tc>
        <w:tc>
          <w:tcPr>
            <w:tcW w:w="724" w:type="pct"/>
            <w:tcMar>
              <w:top w:w="80" w:type="dxa"/>
              <w:left w:w="90" w:type="dxa"/>
              <w:bottom w:w="80" w:type="dxa"/>
              <w:right w:w="90" w:type="dxa"/>
            </w:tcMar>
            <w:vAlign w:val="center"/>
          </w:tcPr>
          <w:p w14:paraId="3FF95223" w14:textId="77777777" w:rsidR="00823FE6" w:rsidRDefault="006D076A">
            <w:r>
              <w:rPr>
                <w:sz w:val="15"/>
              </w:rPr>
              <w:t>148 employees in oil marketing companies</w:t>
            </w:r>
          </w:p>
        </w:tc>
        <w:tc>
          <w:tcPr>
            <w:tcW w:w="756" w:type="pct"/>
            <w:tcMar>
              <w:top w:w="80" w:type="dxa"/>
              <w:left w:w="90" w:type="dxa"/>
              <w:bottom w:w="80" w:type="dxa"/>
              <w:right w:w="90" w:type="dxa"/>
            </w:tcMar>
            <w:vAlign w:val="center"/>
          </w:tcPr>
          <w:p w14:paraId="5AD0E540" w14:textId="77777777" w:rsidR="00823FE6" w:rsidRDefault="006D076A">
            <w:r>
              <w:rPr>
                <w:sz w:val="15"/>
              </w:rPr>
              <w:t>Hierarchy, communication, decision structures, culture</w:t>
            </w:r>
          </w:p>
        </w:tc>
        <w:tc>
          <w:tcPr>
            <w:tcW w:w="625" w:type="pct"/>
            <w:tcMar>
              <w:top w:w="80" w:type="dxa"/>
              <w:left w:w="90" w:type="dxa"/>
              <w:bottom w:w="80" w:type="dxa"/>
              <w:right w:w="90" w:type="dxa"/>
            </w:tcMar>
            <w:vAlign w:val="center"/>
          </w:tcPr>
          <w:p w14:paraId="1AF7AE9B" w14:textId="77777777" w:rsidR="00823FE6" w:rsidRDefault="006D076A">
            <w:r>
              <w:rPr>
                <w:sz w:val="15"/>
              </w:rPr>
              <w:t>Strategy implementation</w:t>
            </w:r>
          </w:p>
        </w:tc>
        <w:tc>
          <w:tcPr>
            <w:tcW w:w="756" w:type="pct"/>
            <w:tcMar>
              <w:top w:w="80" w:type="dxa"/>
              <w:left w:w="90" w:type="dxa"/>
              <w:bottom w:w="80" w:type="dxa"/>
              <w:right w:w="90" w:type="dxa"/>
            </w:tcMar>
            <w:vAlign w:val="center"/>
          </w:tcPr>
          <w:p w14:paraId="2AF2286E" w14:textId="77777777" w:rsidR="00823FE6" w:rsidRDefault="006D076A">
            <w:r>
              <w:rPr>
                <w:sz w:val="15"/>
              </w:rPr>
              <w:t>Organisational structure influenced implementation</w:t>
            </w:r>
          </w:p>
        </w:tc>
        <w:tc>
          <w:tcPr>
            <w:tcW w:w="888" w:type="pct"/>
            <w:tcMar>
              <w:top w:w="80" w:type="dxa"/>
              <w:left w:w="90" w:type="dxa"/>
              <w:bottom w:w="80" w:type="dxa"/>
              <w:right w:w="90" w:type="dxa"/>
            </w:tcMar>
            <w:vAlign w:val="center"/>
          </w:tcPr>
          <w:p w14:paraId="2705DFAD" w14:textId="77777777" w:rsidR="00823FE6" w:rsidRDefault="006D076A">
            <w:r>
              <w:rPr>
                <w:sz w:val="15"/>
              </w:rPr>
              <w:t>Implementation is an intermediate outcome; common-method and perception bias</w:t>
            </w:r>
          </w:p>
        </w:tc>
        <w:tc>
          <w:tcPr>
            <w:tcW w:w="658" w:type="pct"/>
            <w:tcMar>
              <w:top w:w="80" w:type="dxa"/>
              <w:left w:w="90" w:type="dxa"/>
              <w:bottom w:w="80" w:type="dxa"/>
              <w:right w:w="90" w:type="dxa"/>
            </w:tcMar>
            <w:vAlign w:val="center"/>
          </w:tcPr>
          <w:p w14:paraId="2762AFEA" w14:textId="77777777" w:rsidR="00823FE6" w:rsidRDefault="006D076A">
            <w:r>
              <w:rPr>
                <w:sz w:val="15"/>
              </w:rPr>
              <w:t>Yabarow &amp; Muathe, 2020</w:t>
            </w:r>
          </w:p>
        </w:tc>
      </w:tr>
      <w:tr w:rsidR="00823FE6" w14:paraId="00508C14" w14:textId="77777777" w:rsidTr="000A5DBF">
        <w:trPr>
          <w:cantSplit/>
          <w:jc w:val="center"/>
        </w:trPr>
        <w:tc>
          <w:tcPr>
            <w:tcW w:w="592" w:type="pct"/>
            <w:tcMar>
              <w:top w:w="80" w:type="dxa"/>
              <w:left w:w="90" w:type="dxa"/>
              <w:bottom w:w="80" w:type="dxa"/>
              <w:right w:w="90" w:type="dxa"/>
            </w:tcMar>
            <w:vAlign w:val="center"/>
          </w:tcPr>
          <w:p w14:paraId="6CFD8DAC" w14:textId="77777777" w:rsidR="00823FE6" w:rsidRDefault="006D076A">
            <w:r>
              <w:rPr>
                <w:sz w:val="15"/>
              </w:rPr>
              <w:t>Kariuki &amp; Karihe (2023)</w:t>
            </w:r>
          </w:p>
        </w:tc>
        <w:tc>
          <w:tcPr>
            <w:tcW w:w="724" w:type="pct"/>
            <w:tcMar>
              <w:top w:w="80" w:type="dxa"/>
              <w:left w:w="90" w:type="dxa"/>
              <w:bottom w:w="80" w:type="dxa"/>
              <w:right w:w="90" w:type="dxa"/>
            </w:tcMar>
            <w:vAlign w:val="center"/>
          </w:tcPr>
          <w:p w14:paraId="5630E649" w14:textId="77777777" w:rsidR="00823FE6" w:rsidRDefault="006D076A">
            <w:r>
              <w:rPr>
                <w:sz w:val="15"/>
              </w:rPr>
              <w:t>57 responses from 79 LPG companies in Nairobi</w:t>
            </w:r>
          </w:p>
        </w:tc>
        <w:tc>
          <w:tcPr>
            <w:tcW w:w="756" w:type="pct"/>
            <w:tcMar>
              <w:top w:w="80" w:type="dxa"/>
              <w:left w:w="90" w:type="dxa"/>
              <w:bottom w:w="80" w:type="dxa"/>
              <w:right w:w="90" w:type="dxa"/>
            </w:tcMar>
            <w:vAlign w:val="center"/>
          </w:tcPr>
          <w:p w14:paraId="2CFF6074" w14:textId="77777777" w:rsidR="00823FE6" w:rsidRDefault="006D076A">
            <w:r>
              <w:rPr>
                <w:sz w:val="15"/>
              </w:rPr>
              <w:t>Marketing, survival, internal resources, flexibility</w:t>
            </w:r>
          </w:p>
        </w:tc>
        <w:tc>
          <w:tcPr>
            <w:tcW w:w="625" w:type="pct"/>
            <w:tcMar>
              <w:top w:w="80" w:type="dxa"/>
              <w:left w:w="90" w:type="dxa"/>
              <w:bottom w:w="80" w:type="dxa"/>
              <w:right w:w="90" w:type="dxa"/>
            </w:tcMar>
            <w:vAlign w:val="center"/>
          </w:tcPr>
          <w:p w14:paraId="5C240520" w14:textId="77777777" w:rsidR="00823FE6" w:rsidRDefault="006D076A">
            <w:r>
              <w:rPr>
                <w:sz w:val="15"/>
              </w:rPr>
              <w:t>Organisational performance</w:t>
            </w:r>
          </w:p>
        </w:tc>
        <w:tc>
          <w:tcPr>
            <w:tcW w:w="756" w:type="pct"/>
            <w:tcMar>
              <w:top w:w="80" w:type="dxa"/>
              <w:left w:w="90" w:type="dxa"/>
              <w:bottom w:w="80" w:type="dxa"/>
              <w:right w:w="90" w:type="dxa"/>
            </w:tcMar>
            <w:vAlign w:val="center"/>
          </w:tcPr>
          <w:p w14:paraId="6CE5854C" w14:textId="77777777" w:rsidR="00823FE6" w:rsidRDefault="006D076A">
            <w:r>
              <w:rPr>
                <w:sz w:val="15"/>
              </w:rPr>
              <w:t>Low overall effect; marketing strongest</w:t>
            </w:r>
          </w:p>
        </w:tc>
        <w:tc>
          <w:tcPr>
            <w:tcW w:w="888" w:type="pct"/>
            <w:tcMar>
              <w:top w:w="80" w:type="dxa"/>
              <w:left w:w="90" w:type="dxa"/>
              <w:bottom w:w="80" w:type="dxa"/>
              <w:right w:w="90" w:type="dxa"/>
            </w:tcMar>
            <w:vAlign w:val="center"/>
          </w:tcPr>
          <w:p w14:paraId="3C37AB4C" w14:textId="77777777" w:rsidR="00823FE6" w:rsidRDefault="006D076A">
            <w:r>
              <w:rPr>
                <w:sz w:val="15"/>
              </w:rPr>
              <w:t>City-specific; heterogeneous firms; self-reported measures</w:t>
            </w:r>
          </w:p>
        </w:tc>
        <w:tc>
          <w:tcPr>
            <w:tcW w:w="658" w:type="pct"/>
            <w:tcMar>
              <w:top w:w="80" w:type="dxa"/>
              <w:left w:w="90" w:type="dxa"/>
              <w:bottom w:w="80" w:type="dxa"/>
              <w:right w:w="90" w:type="dxa"/>
            </w:tcMar>
            <w:vAlign w:val="center"/>
          </w:tcPr>
          <w:p w14:paraId="3EB351A9" w14:textId="77777777" w:rsidR="00823FE6" w:rsidRDefault="006D076A">
            <w:r>
              <w:rPr>
                <w:sz w:val="15"/>
              </w:rPr>
              <w:t>Kariuki &amp; Karihe, 2023</w:t>
            </w:r>
          </w:p>
        </w:tc>
      </w:tr>
      <w:tr w:rsidR="00823FE6" w14:paraId="3904958F" w14:textId="77777777" w:rsidTr="000A5DBF">
        <w:trPr>
          <w:cantSplit/>
          <w:jc w:val="center"/>
        </w:trPr>
        <w:tc>
          <w:tcPr>
            <w:tcW w:w="592" w:type="pct"/>
            <w:tcMar>
              <w:top w:w="80" w:type="dxa"/>
              <w:left w:w="90" w:type="dxa"/>
              <w:bottom w:w="80" w:type="dxa"/>
              <w:right w:w="90" w:type="dxa"/>
            </w:tcMar>
            <w:vAlign w:val="center"/>
          </w:tcPr>
          <w:p w14:paraId="2D1A79EA" w14:textId="77777777" w:rsidR="00823FE6" w:rsidRDefault="006D076A">
            <w:r>
              <w:rPr>
                <w:sz w:val="15"/>
              </w:rPr>
              <w:t>Mtange &amp; Deya (2024)</w:t>
            </w:r>
          </w:p>
        </w:tc>
        <w:tc>
          <w:tcPr>
            <w:tcW w:w="724" w:type="pct"/>
            <w:tcMar>
              <w:top w:w="80" w:type="dxa"/>
              <w:left w:w="90" w:type="dxa"/>
              <w:bottom w:w="80" w:type="dxa"/>
              <w:right w:w="90" w:type="dxa"/>
            </w:tcMar>
            <w:vAlign w:val="center"/>
          </w:tcPr>
          <w:p w14:paraId="6BC3C4A6" w14:textId="77777777" w:rsidR="00823FE6" w:rsidRDefault="006D076A">
            <w:r>
              <w:rPr>
                <w:sz w:val="15"/>
              </w:rPr>
              <w:t>Oil marketing firms; structured questionnaires</w:t>
            </w:r>
          </w:p>
        </w:tc>
        <w:tc>
          <w:tcPr>
            <w:tcW w:w="756" w:type="pct"/>
            <w:tcMar>
              <w:top w:w="80" w:type="dxa"/>
              <w:left w:w="90" w:type="dxa"/>
              <w:bottom w:w="80" w:type="dxa"/>
              <w:right w:w="90" w:type="dxa"/>
            </w:tcMar>
            <w:vAlign w:val="center"/>
          </w:tcPr>
          <w:p w14:paraId="505BF6D6" w14:textId="77777777" w:rsidR="00823FE6" w:rsidRDefault="006D076A">
            <w:r>
              <w:rPr>
                <w:sz w:val="15"/>
              </w:rPr>
              <w:t>Alliances, mergers, franchising, joint ventures</w:t>
            </w:r>
          </w:p>
        </w:tc>
        <w:tc>
          <w:tcPr>
            <w:tcW w:w="625" w:type="pct"/>
            <w:tcMar>
              <w:top w:w="80" w:type="dxa"/>
              <w:left w:w="90" w:type="dxa"/>
              <w:bottom w:w="80" w:type="dxa"/>
              <w:right w:w="90" w:type="dxa"/>
            </w:tcMar>
            <w:vAlign w:val="center"/>
          </w:tcPr>
          <w:p w14:paraId="7319442F" w14:textId="77777777" w:rsidR="00823FE6" w:rsidRDefault="006D076A">
            <w:r>
              <w:rPr>
                <w:sz w:val="15"/>
              </w:rPr>
              <w:t>Firm performance</w:t>
            </w:r>
          </w:p>
        </w:tc>
        <w:tc>
          <w:tcPr>
            <w:tcW w:w="756" w:type="pct"/>
            <w:tcMar>
              <w:top w:w="80" w:type="dxa"/>
              <w:left w:w="90" w:type="dxa"/>
              <w:bottom w:w="80" w:type="dxa"/>
              <w:right w:w="90" w:type="dxa"/>
            </w:tcMar>
            <w:vAlign w:val="center"/>
          </w:tcPr>
          <w:p w14:paraId="2B59B41D" w14:textId="77777777" w:rsidR="00823FE6" w:rsidRDefault="006D076A">
            <w:r>
              <w:rPr>
                <w:sz w:val="15"/>
              </w:rPr>
              <w:t>Strong positive association; shared assets and networks emphasised</w:t>
            </w:r>
          </w:p>
        </w:tc>
        <w:tc>
          <w:tcPr>
            <w:tcW w:w="888" w:type="pct"/>
            <w:tcMar>
              <w:top w:w="80" w:type="dxa"/>
              <w:left w:w="90" w:type="dxa"/>
              <w:bottom w:w="80" w:type="dxa"/>
              <w:right w:w="90" w:type="dxa"/>
            </w:tcMar>
            <w:vAlign w:val="center"/>
          </w:tcPr>
          <w:p w14:paraId="2B5F8BE3" w14:textId="77777777" w:rsidR="00823FE6" w:rsidRDefault="006D076A">
            <w:r>
              <w:rPr>
                <w:sz w:val="15"/>
              </w:rPr>
              <w:t>Very high model fit may reflect common-method variance; partner costs not measured</w:t>
            </w:r>
          </w:p>
        </w:tc>
        <w:tc>
          <w:tcPr>
            <w:tcW w:w="658" w:type="pct"/>
            <w:tcMar>
              <w:top w:w="80" w:type="dxa"/>
              <w:left w:w="90" w:type="dxa"/>
              <w:bottom w:w="80" w:type="dxa"/>
              <w:right w:w="90" w:type="dxa"/>
            </w:tcMar>
            <w:vAlign w:val="center"/>
          </w:tcPr>
          <w:p w14:paraId="0B8644A8" w14:textId="77777777" w:rsidR="00823FE6" w:rsidRDefault="006D076A">
            <w:r>
              <w:rPr>
                <w:sz w:val="15"/>
              </w:rPr>
              <w:t>Mtange &amp; Deya, 2024</w:t>
            </w:r>
          </w:p>
        </w:tc>
      </w:tr>
      <w:tr w:rsidR="00823FE6" w14:paraId="23E6AE56" w14:textId="77777777" w:rsidTr="000A5DBF">
        <w:trPr>
          <w:cantSplit/>
          <w:jc w:val="center"/>
        </w:trPr>
        <w:tc>
          <w:tcPr>
            <w:tcW w:w="592" w:type="pct"/>
            <w:tcMar>
              <w:top w:w="80" w:type="dxa"/>
              <w:left w:w="90" w:type="dxa"/>
              <w:bottom w:w="80" w:type="dxa"/>
              <w:right w:w="90" w:type="dxa"/>
            </w:tcMar>
            <w:vAlign w:val="center"/>
          </w:tcPr>
          <w:p w14:paraId="7FEA4F16" w14:textId="77777777" w:rsidR="00823FE6" w:rsidRDefault="006D076A">
            <w:r>
              <w:rPr>
                <w:sz w:val="15"/>
              </w:rPr>
              <w:t>Mutisya &amp; Gachanja (2024)</w:t>
            </w:r>
          </w:p>
        </w:tc>
        <w:tc>
          <w:tcPr>
            <w:tcW w:w="724" w:type="pct"/>
            <w:tcMar>
              <w:top w:w="80" w:type="dxa"/>
              <w:left w:w="90" w:type="dxa"/>
              <w:bottom w:w="80" w:type="dxa"/>
              <w:right w:w="90" w:type="dxa"/>
            </w:tcMar>
            <w:vAlign w:val="center"/>
          </w:tcPr>
          <w:p w14:paraId="5AE8EB6A" w14:textId="77777777" w:rsidR="00823FE6" w:rsidRDefault="006D076A">
            <w:r>
              <w:rPr>
                <w:sz w:val="15"/>
              </w:rPr>
              <w:t>Census of business-development heads in 60 petroleum firms</w:t>
            </w:r>
          </w:p>
        </w:tc>
        <w:tc>
          <w:tcPr>
            <w:tcW w:w="756" w:type="pct"/>
            <w:tcMar>
              <w:top w:w="80" w:type="dxa"/>
              <w:left w:w="90" w:type="dxa"/>
              <w:bottom w:w="80" w:type="dxa"/>
              <w:right w:w="90" w:type="dxa"/>
            </w:tcMar>
            <w:vAlign w:val="center"/>
          </w:tcPr>
          <w:p w14:paraId="349C150E" w14:textId="77777777" w:rsidR="00823FE6" w:rsidRDefault="006D076A">
            <w:r>
              <w:rPr>
                <w:sz w:val="15"/>
              </w:rPr>
              <w:t>Technology adoption</w:t>
            </w:r>
          </w:p>
        </w:tc>
        <w:tc>
          <w:tcPr>
            <w:tcW w:w="625" w:type="pct"/>
            <w:tcMar>
              <w:top w:w="80" w:type="dxa"/>
              <w:left w:w="90" w:type="dxa"/>
              <w:bottom w:w="80" w:type="dxa"/>
              <w:right w:w="90" w:type="dxa"/>
            </w:tcMar>
            <w:vAlign w:val="center"/>
          </w:tcPr>
          <w:p w14:paraId="62E081DE" w14:textId="77777777" w:rsidR="00823FE6" w:rsidRDefault="006D076A">
            <w:r>
              <w:rPr>
                <w:sz w:val="15"/>
              </w:rPr>
              <w:t>Business sustainability</w:t>
            </w:r>
          </w:p>
        </w:tc>
        <w:tc>
          <w:tcPr>
            <w:tcW w:w="756" w:type="pct"/>
            <w:tcMar>
              <w:top w:w="80" w:type="dxa"/>
              <w:left w:w="90" w:type="dxa"/>
              <w:bottom w:w="80" w:type="dxa"/>
              <w:right w:w="90" w:type="dxa"/>
            </w:tcMar>
            <w:vAlign w:val="center"/>
          </w:tcPr>
          <w:p w14:paraId="59E2FBF0" w14:textId="77777777" w:rsidR="00823FE6" w:rsidRDefault="006D076A">
            <w:r>
              <w:rPr>
                <w:sz w:val="15"/>
              </w:rPr>
              <w:t>Positive significant effect</w:t>
            </w:r>
          </w:p>
        </w:tc>
        <w:tc>
          <w:tcPr>
            <w:tcW w:w="888" w:type="pct"/>
            <w:tcMar>
              <w:top w:w="80" w:type="dxa"/>
              <w:left w:w="90" w:type="dxa"/>
              <w:bottom w:w="80" w:type="dxa"/>
              <w:right w:w="90" w:type="dxa"/>
            </w:tcMar>
            <w:vAlign w:val="center"/>
          </w:tcPr>
          <w:p w14:paraId="73E7FB4E" w14:textId="77777777" w:rsidR="00823FE6" w:rsidRDefault="006D076A">
            <w:r>
              <w:rPr>
                <w:sz w:val="15"/>
              </w:rPr>
              <w:t>Single informant; broad sustainability construct; no longitudinal comparison</w:t>
            </w:r>
          </w:p>
        </w:tc>
        <w:tc>
          <w:tcPr>
            <w:tcW w:w="658" w:type="pct"/>
            <w:tcMar>
              <w:top w:w="80" w:type="dxa"/>
              <w:left w:w="90" w:type="dxa"/>
              <w:bottom w:w="80" w:type="dxa"/>
              <w:right w:w="90" w:type="dxa"/>
            </w:tcMar>
            <w:vAlign w:val="center"/>
          </w:tcPr>
          <w:p w14:paraId="25A0C65D" w14:textId="77777777" w:rsidR="00823FE6" w:rsidRDefault="006D076A">
            <w:r>
              <w:rPr>
                <w:sz w:val="15"/>
              </w:rPr>
              <w:t>Mutisya &amp; Gachanja, 2024</w:t>
            </w:r>
          </w:p>
        </w:tc>
      </w:tr>
      <w:tr w:rsidR="00823FE6" w14:paraId="16B3F11F" w14:textId="77777777" w:rsidTr="000A5DBF">
        <w:trPr>
          <w:cantSplit/>
          <w:jc w:val="center"/>
        </w:trPr>
        <w:tc>
          <w:tcPr>
            <w:tcW w:w="592" w:type="pct"/>
            <w:tcMar>
              <w:top w:w="80" w:type="dxa"/>
              <w:left w:w="90" w:type="dxa"/>
              <w:bottom w:w="80" w:type="dxa"/>
              <w:right w:w="90" w:type="dxa"/>
            </w:tcMar>
            <w:vAlign w:val="center"/>
          </w:tcPr>
          <w:p w14:paraId="63BAD6D5" w14:textId="77777777" w:rsidR="00823FE6" w:rsidRDefault="006D076A">
            <w:r>
              <w:rPr>
                <w:sz w:val="15"/>
              </w:rPr>
              <w:t>Mbaruku et al. (2025)</w:t>
            </w:r>
          </w:p>
        </w:tc>
        <w:tc>
          <w:tcPr>
            <w:tcW w:w="724" w:type="pct"/>
            <w:tcMar>
              <w:top w:w="80" w:type="dxa"/>
              <w:left w:w="90" w:type="dxa"/>
              <w:bottom w:w="80" w:type="dxa"/>
              <w:right w:w="90" w:type="dxa"/>
            </w:tcMar>
            <w:vAlign w:val="center"/>
          </w:tcPr>
          <w:p w14:paraId="11D08F0F" w14:textId="77777777" w:rsidR="00823FE6" w:rsidRDefault="006D076A">
            <w:r>
              <w:rPr>
                <w:sz w:val="15"/>
              </w:rPr>
              <w:t>96 managers from four energy state corporations</w:t>
            </w:r>
          </w:p>
        </w:tc>
        <w:tc>
          <w:tcPr>
            <w:tcW w:w="756" w:type="pct"/>
            <w:tcMar>
              <w:top w:w="80" w:type="dxa"/>
              <w:left w:w="90" w:type="dxa"/>
              <w:bottom w:w="80" w:type="dxa"/>
              <w:right w:w="90" w:type="dxa"/>
            </w:tcMar>
            <w:vAlign w:val="center"/>
          </w:tcPr>
          <w:p w14:paraId="090CF896" w14:textId="77777777" w:rsidR="00823FE6" w:rsidRDefault="006D076A">
            <w:r>
              <w:rPr>
                <w:sz w:val="15"/>
              </w:rPr>
              <w:t>Strategic clarity</w:t>
            </w:r>
          </w:p>
        </w:tc>
        <w:tc>
          <w:tcPr>
            <w:tcW w:w="625" w:type="pct"/>
            <w:tcMar>
              <w:top w:w="80" w:type="dxa"/>
              <w:left w:w="90" w:type="dxa"/>
              <w:bottom w:w="80" w:type="dxa"/>
              <w:right w:w="90" w:type="dxa"/>
            </w:tcMar>
            <w:vAlign w:val="center"/>
          </w:tcPr>
          <w:p w14:paraId="51A94691" w14:textId="77777777" w:rsidR="00823FE6" w:rsidRDefault="006D076A">
            <w:r>
              <w:rPr>
                <w:sz w:val="15"/>
              </w:rPr>
              <w:t>Organisational performance</w:t>
            </w:r>
          </w:p>
        </w:tc>
        <w:tc>
          <w:tcPr>
            <w:tcW w:w="756" w:type="pct"/>
            <w:tcMar>
              <w:top w:w="80" w:type="dxa"/>
              <w:left w:w="90" w:type="dxa"/>
              <w:bottom w:w="80" w:type="dxa"/>
              <w:right w:w="90" w:type="dxa"/>
            </w:tcMar>
            <w:vAlign w:val="center"/>
          </w:tcPr>
          <w:p w14:paraId="66050BBB" w14:textId="77777777" w:rsidR="00823FE6" w:rsidRDefault="006D076A">
            <w:r>
              <w:rPr>
                <w:sz w:val="15"/>
              </w:rPr>
              <w:t>Positive relationship</w:t>
            </w:r>
          </w:p>
        </w:tc>
        <w:tc>
          <w:tcPr>
            <w:tcW w:w="888" w:type="pct"/>
            <w:tcMar>
              <w:top w:w="80" w:type="dxa"/>
              <w:left w:w="90" w:type="dxa"/>
              <w:bottom w:w="80" w:type="dxa"/>
              <w:right w:w="90" w:type="dxa"/>
            </w:tcMar>
            <w:vAlign w:val="center"/>
          </w:tcPr>
          <w:p w14:paraId="6A9FE3B7" w14:textId="77777777" w:rsidR="00823FE6" w:rsidRDefault="006D076A">
            <w:r>
              <w:rPr>
                <w:sz w:val="15"/>
              </w:rPr>
              <w:t>Cross-sectional and noncausal by design; perceptions from managers</w:t>
            </w:r>
          </w:p>
        </w:tc>
        <w:tc>
          <w:tcPr>
            <w:tcW w:w="658" w:type="pct"/>
            <w:tcMar>
              <w:top w:w="80" w:type="dxa"/>
              <w:left w:w="90" w:type="dxa"/>
              <w:bottom w:w="80" w:type="dxa"/>
              <w:right w:w="90" w:type="dxa"/>
            </w:tcMar>
            <w:vAlign w:val="center"/>
          </w:tcPr>
          <w:p w14:paraId="12EFDB12" w14:textId="77777777" w:rsidR="00823FE6" w:rsidRDefault="006D076A">
            <w:r>
              <w:rPr>
                <w:sz w:val="15"/>
              </w:rPr>
              <w:t>Mbaruku et al., 2025</w:t>
            </w:r>
          </w:p>
        </w:tc>
      </w:tr>
      <w:tr w:rsidR="00823FE6" w14:paraId="3C147D7A" w14:textId="77777777" w:rsidTr="000A5DBF">
        <w:trPr>
          <w:cantSplit/>
          <w:jc w:val="center"/>
        </w:trPr>
        <w:tc>
          <w:tcPr>
            <w:tcW w:w="592" w:type="pct"/>
            <w:tcMar>
              <w:top w:w="80" w:type="dxa"/>
              <w:left w:w="90" w:type="dxa"/>
              <w:bottom w:w="80" w:type="dxa"/>
              <w:right w:w="90" w:type="dxa"/>
            </w:tcMar>
            <w:vAlign w:val="center"/>
          </w:tcPr>
          <w:p w14:paraId="1035F2DA" w14:textId="77777777" w:rsidR="00823FE6" w:rsidRDefault="006D076A">
            <w:r>
              <w:rPr>
                <w:sz w:val="15"/>
              </w:rPr>
              <w:t>Wairimu et al. (2026)</w:t>
            </w:r>
          </w:p>
        </w:tc>
        <w:tc>
          <w:tcPr>
            <w:tcW w:w="724" w:type="pct"/>
            <w:tcMar>
              <w:top w:w="80" w:type="dxa"/>
              <w:left w:w="90" w:type="dxa"/>
              <w:bottom w:w="80" w:type="dxa"/>
              <w:right w:w="90" w:type="dxa"/>
            </w:tcMar>
            <w:vAlign w:val="center"/>
          </w:tcPr>
          <w:p w14:paraId="00B25EB4" w14:textId="77777777" w:rsidR="00823FE6" w:rsidRDefault="006D076A">
            <w:r>
              <w:rPr>
                <w:sz w:val="15"/>
              </w:rPr>
              <w:t>304 analysed responses from ten energy parastatals</w:t>
            </w:r>
          </w:p>
        </w:tc>
        <w:tc>
          <w:tcPr>
            <w:tcW w:w="756" w:type="pct"/>
            <w:tcMar>
              <w:top w:w="80" w:type="dxa"/>
              <w:left w:w="90" w:type="dxa"/>
              <w:bottom w:w="80" w:type="dxa"/>
              <w:right w:w="90" w:type="dxa"/>
            </w:tcMar>
            <w:vAlign w:val="center"/>
          </w:tcPr>
          <w:p w14:paraId="55E7DA22" w14:textId="77777777" w:rsidR="00823FE6" w:rsidRDefault="006D076A">
            <w:r>
              <w:rPr>
                <w:sz w:val="15"/>
              </w:rPr>
              <w:t>Technical leadership attributes</w:t>
            </w:r>
          </w:p>
        </w:tc>
        <w:tc>
          <w:tcPr>
            <w:tcW w:w="625" w:type="pct"/>
            <w:tcMar>
              <w:top w:w="80" w:type="dxa"/>
              <w:left w:w="90" w:type="dxa"/>
              <w:bottom w:w="80" w:type="dxa"/>
              <w:right w:w="90" w:type="dxa"/>
            </w:tcMar>
            <w:vAlign w:val="center"/>
          </w:tcPr>
          <w:p w14:paraId="3AA833C7" w14:textId="77777777" w:rsidR="00823FE6" w:rsidRDefault="006D076A">
            <w:r>
              <w:rPr>
                <w:sz w:val="15"/>
              </w:rPr>
              <w:t>Organisational performance</w:t>
            </w:r>
          </w:p>
        </w:tc>
        <w:tc>
          <w:tcPr>
            <w:tcW w:w="756" w:type="pct"/>
            <w:tcMar>
              <w:top w:w="80" w:type="dxa"/>
              <w:left w:w="90" w:type="dxa"/>
              <w:bottom w:w="80" w:type="dxa"/>
              <w:right w:w="90" w:type="dxa"/>
            </w:tcMar>
            <w:vAlign w:val="center"/>
          </w:tcPr>
          <w:p w14:paraId="61D72E09" w14:textId="77777777" w:rsidR="00823FE6" w:rsidRDefault="006D076A">
            <w:r>
              <w:rPr>
                <w:sz w:val="15"/>
              </w:rPr>
              <w:t>Strong positive relationship</w:t>
            </w:r>
          </w:p>
        </w:tc>
        <w:tc>
          <w:tcPr>
            <w:tcW w:w="888" w:type="pct"/>
            <w:tcMar>
              <w:top w:w="80" w:type="dxa"/>
              <w:left w:w="90" w:type="dxa"/>
              <w:bottom w:w="80" w:type="dxa"/>
              <w:right w:w="90" w:type="dxa"/>
            </w:tcMar>
            <w:vAlign w:val="center"/>
          </w:tcPr>
          <w:p w14:paraId="170DF9D2" w14:textId="77777777" w:rsidR="00823FE6" w:rsidRDefault="006D076A">
            <w:r>
              <w:rPr>
                <w:sz w:val="15"/>
              </w:rPr>
              <w:t>Same-source measures; high association may include conceptual overlap</w:t>
            </w:r>
          </w:p>
        </w:tc>
        <w:tc>
          <w:tcPr>
            <w:tcW w:w="658" w:type="pct"/>
            <w:tcMar>
              <w:top w:w="80" w:type="dxa"/>
              <w:left w:w="90" w:type="dxa"/>
              <w:bottom w:w="80" w:type="dxa"/>
              <w:right w:w="90" w:type="dxa"/>
            </w:tcMar>
            <w:vAlign w:val="center"/>
          </w:tcPr>
          <w:p w14:paraId="0E35AC02" w14:textId="77777777" w:rsidR="00823FE6" w:rsidRDefault="006D076A">
            <w:r>
              <w:rPr>
                <w:sz w:val="15"/>
              </w:rPr>
              <w:t>Wairimu et al., 2026</w:t>
            </w:r>
          </w:p>
        </w:tc>
      </w:tr>
      <w:tr w:rsidR="00823FE6" w14:paraId="28C48981" w14:textId="77777777" w:rsidTr="000A5DBF">
        <w:trPr>
          <w:cantSplit/>
          <w:jc w:val="center"/>
        </w:trPr>
        <w:tc>
          <w:tcPr>
            <w:tcW w:w="592" w:type="pct"/>
            <w:tcMar>
              <w:top w:w="80" w:type="dxa"/>
              <w:left w:w="90" w:type="dxa"/>
              <w:bottom w:w="80" w:type="dxa"/>
              <w:right w:w="90" w:type="dxa"/>
            </w:tcMar>
            <w:vAlign w:val="center"/>
          </w:tcPr>
          <w:p w14:paraId="791E865C" w14:textId="77777777" w:rsidR="00823FE6" w:rsidRDefault="006D076A">
            <w:r>
              <w:rPr>
                <w:sz w:val="15"/>
              </w:rPr>
              <w:t>Harun et al. (2021)</w:t>
            </w:r>
          </w:p>
        </w:tc>
        <w:tc>
          <w:tcPr>
            <w:tcW w:w="724" w:type="pct"/>
            <w:tcMar>
              <w:top w:w="80" w:type="dxa"/>
              <w:left w:w="90" w:type="dxa"/>
              <w:bottom w:w="80" w:type="dxa"/>
              <w:right w:w="90" w:type="dxa"/>
            </w:tcMar>
            <w:vAlign w:val="center"/>
          </w:tcPr>
          <w:p w14:paraId="23157DD8" w14:textId="77777777" w:rsidR="00823FE6" w:rsidRDefault="006D076A">
            <w:r>
              <w:rPr>
                <w:sz w:val="15"/>
              </w:rPr>
              <w:t>165 managers from 11 solar firms</w:t>
            </w:r>
          </w:p>
        </w:tc>
        <w:tc>
          <w:tcPr>
            <w:tcW w:w="756" w:type="pct"/>
            <w:tcMar>
              <w:top w:w="80" w:type="dxa"/>
              <w:left w:w="90" w:type="dxa"/>
              <w:bottom w:w="80" w:type="dxa"/>
              <w:right w:w="90" w:type="dxa"/>
            </w:tcMar>
            <w:vAlign w:val="center"/>
          </w:tcPr>
          <w:p w14:paraId="0A899C37" w14:textId="77777777" w:rsidR="00823FE6" w:rsidRDefault="006D076A">
            <w:r>
              <w:rPr>
                <w:sz w:val="15"/>
              </w:rPr>
              <w:t>Adaptive capability, resourceful innovation, risk taking</w:t>
            </w:r>
          </w:p>
        </w:tc>
        <w:tc>
          <w:tcPr>
            <w:tcW w:w="625" w:type="pct"/>
            <w:tcMar>
              <w:top w:w="80" w:type="dxa"/>
              <w:left w:w="90" w:type="dxa"/>
              <w:bottom w:w="80" w:type="dxa"/>
              <w:right w:w="90" w:type="dxa"/>
            </w:tcMar>
            <w:vAlign w:val="center"/>
          </w:tcPr>
          <w:p w14:paraId="5C3AAE2A" w14:textId="77777777" w:rsidR="00823FE6" w:rsidRDefault="006D076A">
            <w:r>
              <w:rPr>
                <w:sz w:val="15"/>
              </w:rPr>
              <w:t>Organisational performance</w:t>
            </w:r>
          </w:p>
        </w:tc>
        <w:tc>
          <w:tcPr>
            <w:tcW w:w="756" w:type="pct"/>
            <w:tcMar>
              <w:top w:w="80" w:type="dxa"/>
              <w:left w:w="90" w:type="dxa"/>
              <w:bottom w:w="80" w:type="dxa"/>
              <w:right w:w="90" w:type="dxa"/>
            </w:tcMar>
            <w:vAlign w:val="center"/>
          </w:tcPr>
          <w:p w14:paraId="52386656" w14:textId="77777777" w:rsidR="00823FE6" w:rsidRDefault="006D076A">
            <w:r>
              <w:rPr>
                <w:sz w:val="15"/>
              </w:rPr>
              <w:t>Adaptive capability significant; innovation and risk taking not significant</w:t>
            </w:r>
          </w:p>
        </w:tc>
        <w:tc>
          <w:tcPr>
            <w:tcW w:w="888" w:type="pct"/>
            <w:tcMar>
              <w:top w:w="80" w:type="dxa"/>
              <w:left w:w="90" w:type="dxa"/>
              <w:bottom w:w="80" w:type="dxa"/>
              <w:right w:w="90" w:type="dxa"/>
            </w:tcMar>
            <w:vAlign w:val="center"/>
          </w:tcPr>
          <w:p w14:paraId="58BACC5B" w14:textId="77777777" w:rsidR="00823FE6" w:rsidRDefault="006D076A">
            <w:r>
              <w:rPr>
                <w:sz w:val="15"/>
              </w:rPr>
              <w:t>Cross-sectional; perceptual performance; limited firm population</w:t>
            </w:r>
          </w:p>
        </w:tc>
        <w:tc>
          <w:tcPr>
            <w:tcW w:w="658" w:type="pct"/>
            <w:tcMar>
              <w:top w:w="80" w:type="dxa"/>
              <w:left w:w="90" w:type="dxa"/>
              <w:bottom w:w="80" w:type="dxa"/>
              <w:right w:w="90" w:type="dxa"/>
            </w:tcMar>
            <w:vAlign w:val="center"/>
          </w:tcPr>
          <w:p w14:paraId="113E941B" w14:textId="77777777" w:rsidR="00823FE6" w:rsidRDefault="006D076A">
            <w:r>
              <w:rPr>
                <w:sz w:val="15"/>
              </w:rPr>
              <w:t>Harun et al., 2021</w:t>
            </w:r>
          </w:p>
        </w:tc>
      </w:tr>
      <w:tr w:rsidR="00823FE6" w14:paraId="41E66E8E" w14:textId="77777777" w:rsidTr="000A5DBF">
        <w:trPr>
          <w:cantSplit/>
          <w:jc w:val="center"/>
        </w:trPr>
        <w:tc>
          <w:tcPr>
            <w:tcW w:w="592" w:type="pct"/>
            <w:tcMar>
              <w:top w:w="80" w:type="dxa"/>
              <w:left w:w="90" w:type="dxa"/>
              <w:bottom w:w="80" w:type="dxa"/>
              <w:right w:w="90" w:type="dxa"/>
            </w:tcMar>
            <w:vAlign w:val="center"/>
          </w:tcPr>
          <w:p w14:paraId="16DBEE76" w14:textId="77777777" w:rsidR="00823FE6" w:rsidRDefault="006D076A">
            <w:r>
              <w:rPr>
                <w:sz w:val="15"/>
              </w:rPr>
              <w:t>Lambe et al. (2024); Ogeya et al. (2025)</w:t>
            </w:r>
          </w:p>
        </w:tc>
        <w:tc>
          <w:tcPr>
            <w:tcW w:w="724" w:type="pct"/>
            <w:tcMar>
              <w:top w:w="80" w:type="dxa"/>
              <w:left w:w="90" w:type="dxa"/>
              <w:bottom w:w="80" w:type="dxa"/>
              <w:right w:w="90" w:type="dxa"/>
            </w:tcMar>
            <w:vAlign w:val="center"/>
          </w:tcPr>
          <w:p w14:paraId="0E57DB1E" w14:textId="77777777" w:rsidR="00823FE6" w:rsidRDefault="006D076A">
            <w:r>
              <w:rPr>
                <w:sz w:val="15"/>
              </w:rPr>
              <w:t>Two mini-grid cases; five leading developers</w:t>
            </w:r>
          </w:p>
        </w:tc>
        <w:tc>
          <w:tcPr>
            <w:tcW w:w="756" w:type="pct"/>
            <w:tcMar>
              <w:top w:w="80" w:type="dxa"/>
              <w:left w:w="90" w:type="dxa"/>
              <w:bottom w:w="80" w:type="dxa"/>
              <w:right w:w="90" w:type="dxa"/>
            </w:tcMar>
            <w:vAlign w:val="center"/>
          </w:tcPr>
          <w:p w14:paraId="5B7DD4DB" w14:textId="77777777" w:rsidR="00823FE6" w:rsidRDefault="006D076A">
            <w:r>
              <w:rPr>
                <w:sz w:val="15"/>
              </w:rPr>
              <w:t>Service design and business-model innovation</w:t>
            </w:r>
          </w:p>
        </w:tc>
        <w:tc>
          <w:tcPr>
            <w:tcW w:w="625" w:type="pct"/>
            <w:tcMar>
              <w:top w:w="80" w:type="dxa"/>
              <w:left w:w="90" w:type="dxa"/>
              <w:bottom w:w="80" w:type="dxa"/>
              <w:right w:w="90" w:type="dxa"/>
            </w:tcMar>
            <w:vAlign w:val="center"/>
          </w:tcPr>
          <w:p w14:paraId="055BAFED" w14:textId="77777777" w:rsidR="00823FE6" w:rsidRDefault="006D076A">
            <w:r>
              <w:rPr>
                <w:sz w:val="15"/>
              </w:rPr>
              <w:t>Viability, resilience and competitiveness</w:t>
            </w:r>
          </w:p>
        </w:tc>
        <w:tc>
          <w:tcPr>
            <w:tcW w:w="756" w:type="pct"/>
            <w:tcMar>
              <w:top w:w="80" w:type="dxa"/>
              <w:left w:w="90" w:type="dxa"/>
              <w:bottom w:w="80" w:type="dxa"/>
              <w:right w:w="90" w:type="dxa"/>
            </w:tcMar>
            <w:vAlign w:val="center"/>
          </w:tcPr>
          <w:p w14:paraId="2978CCD3" w14:textId="77777777" w:rsidR="00823FE6" w:rsidRDefault="006D076A">
            <w:r>
              <w:rPr>
                <w:sz w:val="15"/>
              </w:rPr>
              <w:t>Adaptation and frugal service mechanisms identified</w:t>
            </w:r>
          </w:p>
        </w:tc>
        <w:tc>
          <w:tcPr>
            <w:tcW w:w="888" w:type="pct"/>
            <w:tcMar>
              <w:top w:w="80" w:type="dxa"/>
              <w:left w:w="90" w:type="dxa"/>
              <w:bottom w:w="80" w:type="dxa"/>
              <w:right w:w="90" w:type="dxa"/>
            </w:tcMar>
            <w:vAlign w:val="center"/>
          </w:tcPr>
          <w:p w14:paraId="1A567732" w14:textId="77777777" w:rsidR="00823FE6" w:rsidRDefault="006D076A">
            <w:r>
              <w:rPr>
                <w:sz w:val="15"/>
              </w:rPr>
              <w:t>Mechanism-rich but no counterfactual or objective causal effect estimate</w:t>
            </w:r>
          </w:p>
        </w:tc>
        <w:tc>
          <w:tcPr>
            <w:tcW w:w="658" w:type="pct"/>
            <w:tcMar>
              <w:top w:w="80" w:type="dxa"/>
              <w:left w:w="90" w:type="dxa"/>
              <w:bottom w:w="80" w:type="dxa"/>
              <w:right w:w="90" w:type="dxa"/>
            </w:tcMar>
            <w:vAlign w:val="center"/>
          </w:tcPr>
          <w:p w14:paraId="02278A04" w14:textId="77777777" w:rsidR="00823FE6" w:rsidRDefault="006D076A">
            <w:r>
              <w:rPr>
                <w:sz w:val="15"/>
              </w:rPr>
              <w:t>Lambe et al., 2024; Ogeya et al., 2025</w:t>
            </w:r>
          </w:p>
        </w:tc>
      </w:tr>
    </w:tbl>
    <w:p w14:paraId="402C12C8" w14:textId="77777777" w:rsidR="00823FE6" w:rsidRDefault="006D076A">
      <w:pPr>
        <w:pStyle w:val="TableNote"/>
      </w:pPr>
      <w:r>
        <w:rPr>
          <w:i/>
        </w:rPr>
        <w:t>Note. The table is representative rather than exhaustive. Positive association does not establish causal effect.</w:t>
      </w:r>
    </w:p>
    <w:p w14:paraId="75D9614A" w14:textId="77777777" w:rsidR="00823FE6" w:rsidRDefault="00823FE6">
      <w:pPr>
        <w:spacing w:after="0"/>
      </w:pPr>
    </w:p>
    <w:p w14:paraId="2F763D88" w14:textId="77777777" w:rsidR="00823FE6" w:rsidRDefault="006D076A">
      <w:pPr>
        <w:pStyle w:val="Heading1"/>
      </w:pPr>
      <w:r>
        <w:t>6. Innovation, Business Models and Dynamic Capabilities</w:t>
      </w:r>
    </w:p>
    <w:p w14:paraId="662368BD" w14:textId="77777777" w:rsidR="00823FE6" w:rsidRDefault="006D076A">
      <w:pPr>
        <w:pStyle w:val="Heading2"/>
      </w:pPr>
      <w:r>
        <w:t>6.1 Technology Innovation and Performance</w:t>
      </w:r>
    </w:p>
    <w:p w14:paraId="77760ECC" w14:textId="77777777" w:rsidR="00823FE6" w:rsidRDefault="006D076A">
      <w:pPr>
        <w:pStyle w:val="BodyText"/>
        <w:jc w:val="both"/>
      </w:pPr>
      <w:r>
        <w:t>Innovation can improve performance by lowering cost, increasing reliability, opening markets, or enabling new revenue models. General evidence indicates that innovation and organisational learning can contribute to business performance, with effects moderated by firm and environmental conditions (Jiménez-Jiménez &amp; Sanz-Valle, 2011). In Kenya's petroleum sector, Mutisya and Gachanja (2024) reported a positive association between technology and business sustainability. Digital inventory, payment, customer-management, and logistics systems plausibly improve control and responsiveness. However, technology is not an independent strategic outcome; benefits depend on adoption quality, staff capability, data governance, and process redesign.</w:t>
      </w:r>
    </w:p>
    <w:p w14:paraId="072296C8" w14:textId="77777777" w:rsidR="00823FE6" w:rsidRDefault="006D076A">
      <w:pPr>
        <w:pStyle w:val="BodyText"/>
        <w:ind w:firstLine="432"/>
        <w:jc w:val="both"/>
      </w:pPr>
      <w:r>
        <w:t xml:space="preserve">Evidence from solar firms offers a more differentiated result. Harun et al. (2021) found that adaptive capability significantly influenced performance, whereas resourceful innovation and risk-taking did not show significant independent effects. This finding challenges the assumption that more innovation is always better. Innovation may be costly, poorly timed, imitable, or disconnected from customer demand. Adaptive capability, by contrast, concerns the disciplined adjustment of resources and choices to changing conditions. The </w:t>
      </w:r>
      <w:r>
        <w:lastRenderedPageBreak/>
        <w:t>distinction is consistent with dynamic-capability theory: advantage arises from purposeful reconfiguration, not novelty alone.</w:t>
      </w:r>
    </w:p>
    <w:p w14:paraId="54FF3512" w14:textId="77777777" w:rsidR="00823FE6" w:rsidRDefault="006D076A">
      <w:pPr>
        <w:pStyle w:val="BodyText"/>
        <w:ind w:firstLine="432"/>
        <w:jc w:val="both"/>
      </w:pPr>
      <w:r>
        <w:t>Electricity organisations face similar implementation challenges. Technical attributes and evidence-based decision-making are associated with performance in energy parastatals (Wairimu et al., 2026), but technology investments can create stranded systems if procurement is fragmented or data are not integrated. In capital-intensive firms, innovation should be assessed against lifecycle value, interoperability, cyber risk, maintenance capability, and regulatory acceptance. Pilot success is not equivalent to scaled performance.</w:t>
      </w:r>
    </w:p>
    <w:p w14:paraId="5DA3D924" w14:textId="77777777" w:rsidR="00823FE6" w:rsidRDefault="006D076A">
      <w:pPr>
        <w:pStyle w:val="Heading2"/>
      </w:pPr>
      <w:r>
        <w:t>6.2 PAYGo and Service-System Innovation</w:t>
      </w:r>
    </w:p>
    <w:p w14:paraId="71CE1F9A" w14:textId="77777777" w:rsidR="00823FE6" w:rsidRDefault="006D076A">
      <w:pPr>
        <w:pStyle w:val="BodyText"/>
        <w:jc w:val="both"/>
      </w:pPr>
      <w:r>
        <w:t>PAYGo is a prominent example of business-model innovation because it combines digital payment, device control, consumer finance, distribution, and service. It can reduce the upfront barrier to energy access and generate data that support portfolio management. Rolffs et al. (2015) interpret PAYGo through socio-technical change rather than technology alone, while Ockwell et al. (2019) emphasise unanswered questions regarding sustainability transformations, inclusion, and long-term outcomes. The model can expand reach, but it also transfers credit and service complexity to the provider and may expose consumers to repossession, opaque pricing, or over-commitment.</w:t>
      </w:r>
    </w:p>
    <w:p w14:paraId="0B9F5BDF" w14:textId="77777777" w:rsidR="00823FE6" w:rsidRDefault="006D076A">
      <w:pPr>
        <w:pStyle w:val="BodyText"/>
        <w:ind w:firstLine="432"/>
        <w:jc w:val="both"/>
      </w:pPr>
      <w:r>
        <w:t>Performance evaluation must therefore separate growth from portfolio quality and customer welfare. Rapid customer acquisition may increase reported market performance while rising arrears, churn, and service costs erode cash flow. Firms need cohort-level data on repayment, device uptime, maintenance, upgrades, and customer outcomes. Muchunku et al. (2018) show that delivery models serve different levels of energy access; no single model dominates across all contexts. Strategic advantage lies in matching financing and service architecture to customer capacity and energy needs.</w:t>
      </w:r>
    </w:p>
    <w:p w14:paraId="7B94367A" w14:textId="77777777" w:rsidR="00823FE6" w:rsidRDefault="006D076A">
      <w:pPr>
        <w:pStyle w:val="Heading2"/>
      </w:pPr>
      <w:r>
        <w:t>6.3 Mini-Grid Business-Model Adaptation</w:t>
      </w:r>
    </w:p>
    <w:p w14:paraId="7FFAD68F" w14:textId="77777777" w:rsidR="00823FE6" w:rsidRDefault="006D076A">
      <w:pPr>
        <w:pStyle w:val="BodyText"/>
        <w:jc w:val="both"/>
      </w:pPr>
      <w:r>
        <w:t>Mini-grids face a compound uncertainty problem. Developers invest in site-specific assets before demand is fully known, operate within evolving tariff and licensing rules, and face the possibility of central-grid extension. Pedersen and Nygaard (2018) show that developers perform institutional work to shape and stabilise the niche. This activity can be viewed as a dynamic capability because firms sense policy barriers, build coalitions, and reconfigure their models. Yet it can also divert managerial resources from operations and create reliance on donor or policy relationships.</w:t>
      </w:r>
    </w:p>
    <w:p w14:paraId="5506300C" w14:textId="77777777" w:rsidR="00823FE6" w:rsidRDefault="006D076A">
      <w:pPr>
        <w:pStyle w:val="BodyText"/>
        <w:ind w:firstLine="432"/>
        <w:jc w:val="both"/>
      </w:pPr>
      <w:r>
        <w:t>The commercial-social hybridity described by Pedersen et al. (2020) is not simply a normative feature; it affects costs, pricing, and legitimacy. Developers may support productive-use activities or community engagement to expand demand and reduce conflict. These practices can improve site viability if they generate sustained consumption and trust, but they can also become unfunded obligations. Business-model innovation must specify who pays for social value and how benefits are measured.</w:t>
      </w:r>
    </w:p>
    <w:p w14:paraId="696E1F30" w14:textId="77777777" w:rsidR="00823FE6" w:rsidRDefault="006D076A">
      <w:pPr>
        <w:pStyle w:val="BodyText"/>
        <w:ind w:firstLine="432"/>
        <w:jc w:val="both"/>
      </w:pPr>
      <w:r>
        <w:t>Lambe et al. (2024) found that service design can help manage external risk, although some coping strategies undermine value co-creation. Ogeya et al. (2025) show that developers adapt product-service systems, partnerships, and operating choices to remain competitive. Taken together, the studies support a contingent conclusion: business-model innovation is necessary for resilience in uncertain off-grid markets, but its performance effect depends on demand, regulation, capital, local legitimacy, and execution. Survival among leading developers may also reflect selection; firms that exited are less visible in the evidence.</w:t>
      </w:r>
    </w:p>
    <w:p w14:paraId="40AF64AE" w14:textId="77777777" w:rsidR="00823FE6" w:rsidRDefault="006D076A">
      <w:pPr>
        <w:pStyle w:val="BodyText"/>
        <w:ind w:firstLine="432"/>
        <w:jc w:val="both"/>
      </w:pPr>
      <w:r>
        <w:t>Table 4 links strategic mechanisms to boundary conditions. It shows why direct strategy-performance models are incomplete. Each strategy requires complementary capabilities and may fail when regulation, demand, finance, or organisational alignment is unfavourable.</w:t>
      </w:r>
    </w:p>
    <w:p w14:paraId="23B644CC" w14:textId="77777777" w:rsidR="00823FE6" w:rsidRDefault="006D076A">
      <w:pPr>
        <w:pStyle w:val="TableCaption"/>
        <w:keepNext/>
      </w:pPr>
      <w:r>
        <w:rPr>
          <w:b/>
        </w:rPr>
        <w:lastRenderedPageBreak/>
        <w:t>Table 4. Mechanisms and boundary conditions in the strategy-performance relationship</w:t>
      </w:r>
    </w:p>
    <w:tbl>
      <w:tblPr>
        <w:tblStyle w:val="TableGrid"/>
        <w:tblW w:w="5000" w:type="pct"/>
        <w:jc w:val="center"/>
        <w:tblLook w:val="04A0" w:firstRow="1" w:lastRow="0" w:firstColumn="1" w:lastColumn="0" w:noHBand="0" w:noVBand="1"/>
      </w:tblPr>
      <w:tblGrid>
        <w:gridCol w:w="1446"/>
        <w:gridCol w:w="2314"/>
        <w:gridCol w:w="2096"/>
        <w:gridCol w:w="2096"/>
        <w:gridCol w:w="2020"/>
      </w:tblGrid>
      <w:tr w:rsidR="00823FE6" w14:paraId="6F487A3C" w14:textId="77777777" w:rsidTr="000A5DBF">
        <w:trPr>
          <w:tblHeader/>
          <w:jc w:val="center"/>
        </w:trPr>
        <w:tc>
          <w:tcPr>
            <w:tcW w:w="725" w:type="pct"/>
            <w:shd w:val="clear" w:color="auto" w:fill="D9E2F3"/>
            <w:tcMar>
              <w:top w:w="80" w:type="dxa"/>
              <w:left w:w="90" w:type="dxa"/>
              <w:bottom w:w="80" w:type="dxa"/>
              <w:right w:w="90" w:type="dxa"/>
            </w:tcMar>
            <w:vAlign w:val="center"/>
          </w:tcPr>
          <w:p w14:paraId="227A1AEE" w14:textId="77777777" w:rsidR="00823FE6" w:rsidRDefault="006D076A">
            <w:pPr>
              <w:jc w:val="center"/>
            </w:pPr>
            <w:r>
              <w:rPr>
                <w:b/>
                <w:sz w:val="16"/>
              </w:rPr>
              <w:t>Strategic theme</w:t>
            </w:r>
          </w:p>
        </w:tc>
        <w:tc>
          <w:tcPr>
            <w:tcW w:w="1160" w:type="pct"/>
            <w:shd w:val="clear" w:color="auto" w:fill="D9E2F3"/>
            <w:tcMar>
              <w:top w:w="80" w:type="dxa"/>
              <w:left w:w="90" w:type="dxa"/>
              <w:bottom w:w="80" w:type="dxa"/>
              <w:right w:w="90" w:type="dxa"/>
            </w:tcMar>
            <w:vAlign w:val="center"/>
          </w:tcPr>
          <w:p w14:paraId="4167E79D" w14:textId="77777777" w:rsidR="00823FE6" w:rsidRDefault="006D076A">
            <w:pPr>
              <w:jc w:val="center"/>
            </w:pPr>
            <w:r>
              <w:rPr>
                <w:b/>
                <w:sz w:val="16"/>
              </w:rPr>
              <w:t>Proposed mechanism</w:t>
            </w:r>
          </w:p>
        </w:tc>
        <w:tc>
          <w:tcPr>
            <w:tcW w:w="1051" w:type="pct"/>
            <w:shd w:val="clear" w:color="auto" w:fill="D9E2F3"/>
            <w:tcMar>
              <w:top w:w="80" w:type="dxa"/>
              <w:left w:w="90" w:type="dxa"/>
              <w:bottom w:w="80" w:type="dxa"/>
              <w:right w:w="90" w:type="dxa"/>
            </w:tcMar>
            <w:vAlign w:val="center"/>
          </w:tcPr>
          <w:p w14:paraId="4A2D52FE" w14:textId="77777777" w:rsidR="00823FE6" w:rsidRDefault="006D076A">
            <w:pPr>
              <w:jc w:val="center"/>
            </w:pPr>
            <w:r>
              <w:rPr>
                <w:b/>
                <w:sz w:val="16"/>
              </w:rPr>
              <w:t>Complementary capabilities</w:t>
            </w:r>
          </w:p>
        </w:tc>
        <w:tc>
          <w:tcPr>
            <w:tcW w:w="1051" w:type="pct"/>
            <w:shd w:val="clear" w:color="auto" w:fill="D9E2F3"/>
            <w:tcMar>
              <w:top w:w="80" w:type="dxa"/>
              <w:left w:w="90" w:type="dxa"/>
              <w:bottom w:w="80" w:type="dxa"/>
              <w:right w:w="90" w:type="dxa"/>
            </w:tcMar>
            <w:vAlign w:val="center"/>
          </w:tcPr>
          <w:p w14:paraId="47D5B5C3" w14:textId="77777777" w:rsidR="00823FE6" w:rsidRDefault="006D076A">
            <w:pPr>
              <w:jc w:val="center"/>
            </w:pPr>
            <w:r>
              <w:rPr>
                <w:b/>
                <w:sz w:val="16"/>
              </w:rPr>
              <w:t>Principal failure modes</w:t>
            </w:r>
          </w:p>
        </w:tc>
        <w:tc>
          <w:tcPr>
            <w:tcW w:w="1014" w:type="pct"/>
            <w:shd w:val="clear" w:color="auto" w:fill="D9E2F3"/>
            <w:tcMar>
              <w:top w:w="80" w:type="dxa"/>
              <w:left w:w="90" w:type="dxa"/>
              <w:bottom w:w="80" w:type="dxa"/>
              <w:right w:w="90" w:type="dxa"/>
            </w:tcMar>
            <w:vAlign w:val="center"/>
          </w:tcPr>
          <w:p w14:paraId="6CAACB5C" w14:textId="77777777" w:rsidR="00823FE6" w:rsidRDefault="006D076A">
            <w:pPr>
              <w:jc w:val="center"/>
            </w:pPr>
            <w:r>
              <w:rPr>
                <w:b/>
                <w:sz w:val="16"/>
              </w:rPr>
              <w:t>Supporting references</w:t>
            </w:r>
          </w:p>
        </w:tc>
      </w:tr>
      <w:tr w:rsidR="00823FE6" w14:paraId="73815C7D" w14:textId="77777777" w:rsidTr="000A5DBF">
        <w:trPr>
          <w:cantSplit/>
          <w:jc w:val="center"/>
        </w:trPr>
        <w:tc>
          <w:tcPr>
            <w:tcW w:w="725" w:type="pct"/>
            <w:tcMar>
              <w:top w:w="80" w:type="dxa"/>
              <w:left w:w="90" w:type="dxa"/>
              <w:bottom w:w="80" w:type="dxa"/>
              <w:right w:w="90" w:type="dxa"/>
            </w:tcMar>
            <w:vAlign w:val="center"/>
          </w:tcPr>
          <w:p w14:paraId="4A864CB4" w14:textId="77777777" w:rsidR="00823FE6" w:rsidRDefault="006D076A">
            <w:r>
              <w:rPr>
                <w:sz w:val="15"/>
              </w:rPr>
              <w:t>Operational cost leadership</w:t>
            </w:r>
          </w:p>
        </w:tc>
        <w:tc>
          <w:tcPr>
            <w:tcW w:w="1160" w:type="pct"/>
            <w:tcMar>
              <w:top w:w="80" w:type="dxa"/>
              <w:left w:w="90" w:type="dxa"/>
              <w:bottom w:w="80" w:type="dxa"/>
              <w:right w:w="90" w:type="dxa"/>
            </w:tcMar>
            <w:vAlign w:val="center"/>
          </w:tcPr>
          <w:p w14:paraId="1D396771" w14:textId="77777777" w:rsidR="00823FE6" w:rsidRDefault="006D076A">
            <w:r>
              <w:rPr>
                <w:sz w:val="15"/>
              </w:rPr>
              <w:t>Lower delivered cost through logistics, procurement, inventory, maintenance and asset utilisation</w:t>
            </w:r>
          </w:p>
        </w:tc>
        <w:tc>
          <w:tcPr>
            <w:tcW w:w="1051" w:type="pct"/>
            <w:tcMar>
              <w:top w:w="80" w:type="dxa"/>
              <w:left w:w="90" w:type="dxa"/>
              <w:bottom w:w="80" w:type="dxa"/>
              <w:right w:w="90" w:type="dxa"/>
            </w:tcMar>
            <w:vAlign w:val="center"/>
          </w:tcPr>
          <w:p w14:paraId="3E42098E" w14:textId="77777777" w:rsidR="00823FE6" w:rsidRDefault="006D076A">
            <w:r>
              <w:rPr>
                <w:sz w:val="15"/>
              </w:rPr>
              <w:t>Reliable suppliers, scale, process data, safety discipline</w:t>
            </w:r>
          </w:p>
        </w:tc>
        <w:tc>
          <w:tcPr>
            <w:tcW w:w="1051" w:type="pct"/>
            <w:tcMar>
              <w:top w:w="80" w:type="dxa"/>
              <w:left w:w="90" w:type="dxa"/>
              <w:bottom w:w="80" w:type="dxa"/>
              <w:right w:w="90" w:type="dxa"/>
            </w:tcMar>
            <w:vAlign w:val="center"/>
          </w:tcPr>
          <w:p w14:paraId="06756C93" w14:textId="77777777" w:rsidR="00823FE6" w:rsidRDefault="006D076A">
            <w:r>
              <w:rPr>
                <w:sz w:val="15"/>
              </w:rPr>
              <w:t>Stock-outs, under-maintenance, quality erosion, currency and fuel shocks</w:t>
            </w:r>
          </w:p>
        </w:tc>
        <w:tc>
          <w:tcPr>
            <w:tcW w:w="1014" w:type="pct"/>
            <w:tcMar>
              <w:top w:w="80" w:type="dxa"/>
              <w:left w:w="90" w:type="dxa"/>
              <w:bottom w:w="80" w:type="dxa"/>
              <w:right w:w="90" w:type="dxa"/>
            </w:tcMar>
            <w:vAlign w:val="center"/>
          </w:tcPr>
          <w:p w14:paraId="61D2EAAA" w14:textId="77777777" w:rsidR="00823FE6" w:rsidRDefault="006D076A">
            <w:r>
              <w:rPr>
                <w:sz w:val="15"/>
              </w:rPr>
              <w:t>Eberhard et al., 2017; Njeru &amp; Osoro, 2024; William &amp; Joyce, 2020</w:t>
            </w:r>
          </w:p>
        </w:tc>
      </w:tr>
      <w:tr w:rsidR="00823FE6" w14:paraId="12C144EB" w14:textId="77777777" w:rsidTr="000A5DBF">
        <w:trPr>
          <w:cantSplit/>
          <w:jc w:val="center"/>
        </w:trPr>
        <w:tc>
          <w:tcPr>
            <w:tcW w:w="725" w:type="pct"/>
            <w:tcMar>
              <w:top w:w="80" w:type="dxa"/>
              <w:left w:w="90" w:type="dxa"/>
              <w:bottom w:w="80" w:type="dxa"/>
              <w:right w:w="90" w:type="dxa"/>
            </w:tcMar>
            <w:vAlign w:val="center"/>
          </w:tcPr>
          <w:p w14:paraId="44C6145B" w14:textId="77777777" w:rsidR="00823FE6" w:rsidRDefault="006D076A">
            <w:r>
              <w:rPr>
                <w:sz w:val="15"/>
              </w:rPr>
              <w:t>Service differentiation</w:t>
            </w:r>
          </w:p>
        </w:tc>
        <w:tc>
          <w:tcPr>
            <w:tcW w:w="1160" w:type="pct"/>
            <w:tcMar>
              <w:top w:w="80" w:type="dxa"/>
              <w:left w:w="90" w:type="dxa"/>
              <w:bottom w:w="80" w:type="dxa"/>
              <w:right w:w="90" w:type="dxa"/>
            </w:tcMar>
            <w:vAlign w:val="center"/>
          </w:tcPr>
          <w:p w14:paraId="7E07C517" w14:textId="77777777" w:rsidR="00823FE6" w:rsidRDefault="006D076A">
            <w:r>
              <w:rPr>
                <w:sz w:val="15"/>
              </w:rPr>
              <w:t>Reliability, trust, convenience, safety and responsiveness increase customer value</w:t>
            </w:r>
          </w:p>
        </w:tc>
        <w:tc>
          <w:tcPr>
            <w:tcW w:w="1051" w:type="pct"/>
            <w:tcMar>
              <w:top w:w="80" w:type="dxa"/>
              <w:left w:w="90" w:type="dxa"/>
              <w:bottom w:w="80" w:type="dxa"/>
              <w:right w:w="90" w:type="dxa"/>
            </w:tcMar>
            <w:vAlign w:val="center"/>
          </w:tcPr>
          <w:p w14:paraId="0B2101FD" w14:textId="77777777" w:rsidR="00823FE6" w:rsidRDefault="006D076A">
            <w:r>
              <w:rPr>
                <w:sz w:val="15"/>
              </w:rPr>
              <w:t>Operational delivery, service recovery, brand credibility, customer insight</w:t>
            </w:r>
          </w:p>
        </w:tc>
        <w:tc>
          <w:tcPr>
            <w:tcW w:w="1051" w:type="pct"/>
            <w:tcMar>
              <w:top w:w="80" w:type="dxa"/>
              <w:left w:w="90" w:type="dxa"/>
              <w:bottom w:w="80" w:type="dxa"/>
              <w:right w:w="90" w:type="dxa"/>
            </w:tcMar>
            <w:vAlign w:val="center"/>
          </w:tcPr>
          <w:p w14:paraId="0C55F97E" w14:textId="77777777" w:rsidR="00823FE6" w:rsidRDefault="006D076A">
            <w:r>
              <w:rPr>
                <w:sz w:val="15"/>
              </w:rPr>
              <w:t>Regulated tariffs, weak willingness to pay, imitation, inconsistent service</w:t>
            </w:r>
          </w:p>
        </w:tc>
        <w:tc>
          <w:tcPr>
            <w:tcW w:w="1014" w:type="pct"/>
            <w:tcMar>
              <w:top w:w="80" w:type="dxa"/>
              <w:left w:w="90" w:type="dxa"/>
              <w:bottom w:w="80" w:type="dxa"/>
              <w:right w:w="90" w:type="dxa"/>
            </w:tcMar>
            <w:vAlign w:val="center"/>
          </w:tcPr>
          <w:p w14:paraId="5950FB30" w14:textId="77777777" w:rsidR="00823FE6" w:rsidRDefault="006D076A">
            <w:r>
              <w:rPr>
                <w:sz w:val="15"/>
              </w:rPr>
              <w:t>Kariuki &amp; Karihe, 2023; Lambe et al., 2024; Morgan et al., 2009</w:t>
            </w:r>
          </w:p>
        </w:tc>
      </w:tr>
      <w:tr w:rsidR="00823FE6" w14:paraId="2070FF1D" w14:textId="77777777" w:rsidTr="000A5DBF">
        <w:trPr>
          <w:cantSplit/>
          <w:jc w:val="center"/>
        </w:trPr>
        <w:tc>
          <w:tcPr>
            <w:tcW w:w="725" w:type="pct"/>
            <w:tcMar>
              <w:top w:w="80" w:type="dxa"/>
              <w:left w:w="90" w:type="dxa"/>
              <w:bottom w:w="80" w:type="dxa"/>
              <w:right w:w="90" w:type="dxa"/>
            </w:tcMar>
            <w:vAlign w:val="center"/>
          </w:tcPr>
          <w:p w14:paraId="1B7DB51A" w14:textId="77777777" w:rsidR="00823FE6" w:rsidRDefault="006D076A">
            <w:r>
              <w:rPr>
                <w:sz w:val="15"/>
              </w:rPr>
              <w:t>Segment focus</w:t>
            </w:r>
          </w:p>
        </w:tc>
        <w:tc>
          <w:tcPr>
            <w:tcW w:w="1160" w:type="pct"/>
            <w:tcMar>
              <w:top w:w="80" w:type="dxa"/>
              <w:left w:w="90" w:type="dxa"/>
              <w:bottom w:w="80" w:type="dxa"/>
              <w:right w:w="90" w:type="dxa"/>
            </w:tcMar>
            <w:vAlign w:val="center"/>
          </w:tcPr>
          <w:p w14:paraId="40997618" w14:textId="77777777" w:rsidR="00823FE6" w:rsidRDefault="006D076A">
            <w:r>
              <w:rPr>
                <w:sz w:val="15"/>
              </w:rPr>
              <w:t>Specialised knowledge and tailored delivery improve fit for a defined niche</w:t>
            </w:r>
          </w:p>
        </w:tc>
        <w:tc>
          <w:tcPr>
            <w:tcW w:w="1051" w:type="pct"/>
            <w:tcMar>
              <w:top w:w="80" w:type="dxa"/>
              <w:left w:w="90" w:type="dxa"/>
              <w:bottom w:w="80" w:type="dxa"/>
              <w:right w:w="90" w:type="dxa"/>
            </w:tcMar>
            <w:vAlign w:val="center"/>
          </w:tcPr>
          <w:p w14:paraId="5A5453C7" w14:textId="77777777" w:rsidR="00823FE6" w:rsidRDefault="006D076A">
            <w:r>
              <w:rPr>
                <w:sz w:val="15"/>
              </w:rPr>
              <w:t>Local demand insight, route density, anchor loads, flexible products</w:t>
            </w:r>
          </w:p>
        </w:tc>
        <w:tc>
          <w:tcPr>
            <w:tcW w:w="1051" w:type="pct"/>
            <w:tcMar>
              <w:top w:w="80" w:type="dxa"/>
              <w:left w:w="90" w:type="dxa"/>
              <w:bottom w:w="80" w:type="dxa"/>
              <w:right w:w="90" w:type="dxa"/>
            </w:tcMar>
            <w:vAlign w:val="center"/>
          </w:tcPr>
          <w:p w14:paraId="701EEA0F" w14:textId="77777777" w:rsidR="00823FE6" w:rsidRDefault="006D076A">
            <w:r>
              <w:rPr>
                <w:sz w:val="15"/>
              </w:rPr>
              <w:t>Thin demand, high acquisition costs, seasonality, limited scale</w:t>
            </w:r>
          </w:p>
        </w:tc>
        <w:tc>
          <w:tcPr>
            <w:tcW w:w="1014" w:type="pct"/>
            <w:tcMar>
              <w:top w:w="80" w:type="dxa"/>
              <w:left w:w="90" w:type="dxa"/>
              <w:bottom w:w="80" w:type="dxa"/>
              <w:right w:w="90" w:type="dxa"/>
            </w:tcMar>
            <w:vAlign w:val="center"/>
          </w:tcPr>
          <w:p w14:paraId="6D062972" w14:textId="77777777" w:rsidR="00823FE6" w:rsidRDefault="006D076A">
            <w:r>
              <w:rPr>
                <w:sz w:val="15"/>
              </w:rPr>
              <w:t>Muchunku et al., 2018; Ondraczek, 2013; Pueyo, 2018</w:t>
            </w:r>
          </w:p>
        </w:tc>
      </w:tr>
      <w:tr w:rsidR="00823FE6" w14:paraId="5FD52DD9" w14:textId="77777777" w:rsidTr="000A5DBF">
        <w:trPr>
          <w:cantSplit/>
          <w:jc w:val="center"/>
        </w:trPr>
        <w:tc>
          <w:tcPr>
            <w:tcW w:w="725" w:type="pct"/>
            <w:tcMar>
              <w:top w:w="80" w:type="dxa"/>
              <w:left w:w="90" w:type="dxa"/>
              <w:bottom w:w="80" w:type="dxa"/>
              <w:right w:w="90" w:type="dxa"/>
            </w:tcMar>
            <w:vAlign w:val="center"/>
          </w:tcPr>
          <w:p w14:paraId="29F7C963" w14:textId="77777777" w:rsidR="00823FE6" w:rsidRDefault="006D076A">
            <w:r>
              <w:rPr>
                <w:sz w:val="15"/>
              </w:rPr>
              <w:t>Technology innovation</w:t>
            </w:r>
          </w:p>
        </w:tc>
        <w:tc>
          <w:tcPr>
            <w:tcW w:w="1160" w:type="pct"/>
            <w:tcMar>
              <w:top w:w="80" w:type="dxa"/>
              <w:left w:w="90" w:type="dxa"/>
              <w:bottom w:w="80" w:type="dxa"/>
              <w:right w:w="90" w:type="dxa"/>
            </w:tcMar>
            <w:vAlign w:val="center"/>
          </w:tcPr>
          <w:p w14:paraId="21F5AA3E" w14:textId="77777777" w:rsidR="00823FE6" w:rsidRDefault="006D076A">
            <w:r>
              <w:rPr>
                <w:sz w:val="15"/>
              </w:rPr>
              <w:t>Digital and technical systems reduce friction and enable new services</w:t>
            </w:r>
          </w:p>
        </w:tc>
        <w:tc>
          <w:tcPr>
            <w:tcW w:w="1051" w:type="pct"/>
            <w:tcMar>
              <w:top w:w="80" w:type="dxa"/>
              <w:left w:w="90" w:type="dxa"/>
              <w:bottom w:w="80" w:type="dxa"/>
              <w:right w:w="90" w:type="dxa"/>
            </w:tcMar>
            <w:vAlign w:val="center"/>
          </w:tcPr>
          <w:p w14:paraId="6890C6BE" w14:textId="77777777" w:rsidR="00823FE6" w:rsidRDefault="006D076A">
            <w:r>
              <w:rPr>
                <w:sz w:val="15"/>
              </w:rPr>
              <w:t>Skills, process redesign, interoperability, data quality, maintenance</w:t>
            </w:r>
          </w:p>
        </w:tc>
        <w:tc>
          <w:tcPr>
            <w:tcW w:w="1051" w:type="pct"/>
            <w:tcMar>
              <w:top w:w="80" w:type="dxa"/>
              <w:left w:w="90" w:type="dxa"/>
              <w:bottom w:w="80" w:type="dxa"/>
              <w:right w:w="90" w:type="dxa"/>
            </w:tcMar>
            <w:vAlign w:val="center"/>
          </w:tcPr>
          <w:p w14:paraId="15254609" w14:textId="77777777" w:rsidR="00823FE6" w:rsidRDefault="006D076A">
            <w:r>
              <w:rPr>
                <w:sz w:val="15"/>
              </w:rPr>
              <w:t>Technology-push, cyber risk, stranded systems, weak adoption</w:t>
            </w:r>
          </w:p>
        </w:tc>
        <w:tc>
          <w:tcPr>
            <w:tcW w:w="1014" w:type="pct"/>
            <w:tcMar>
              <w:top w:w="80" w:type="dxa"/>
              <w:left w:w="90" w:type="dxa"/>
              <w:bottom w:w="80" w:type="dxa"/>
              <w:right w:w="90" w:type="dxa"/>
            </w:tcMar>
            <w:vAlign w:val="center"/>
          </w:tcPr>
          <w:p w14:paraId="51FC8708" w14:textId="77777777" w:rsidR="00823FE6" w:rsidRDefault="006D076A">
            <w:r>
              <w:rPr>
                <w:sz w:val="15"/>
              </w:rPr>
              <w:t>Jiménez-Jiménez &amp; Sanz-Valle, 2011; Mutisya &amp; Gachanja, 2024; Wairimu et al., 2026</w:t>
            </w:r>
          </w:p>
        </w:tc>
      </w:tr>
      <w:tr w:rsidR="00823FE6" w14:paraId="7858786E" w14:textId="77777777" w:rsidTr="000A5DBF">
        <w:trPr>
          <w:cantSplit/>
          <w:jc w:val="center"/>
        </w:trPr>
        <w:tc>
          <w:tcPr>
            <w:tcW w:w="725" w:type="pct"/>
            <w:tcMar>
              <w:top w:w="80" w:type="dxa"/>
              <w:left w:w="90" w:type="dxa"/>
              <w:bottom w:w="80" w:type="dxa"/>
              <w:right w:w="90" w:type="dxa"/>
            </w:tcMar>
            <w:vAlign w:val="center"/>
          </w:tcPr>
          <w:p w14:paraId="104CC5E9" w14:textId="77777777" w:rsidR="00823FE6" w:rsidRDefault="006D076A">
            <w:r>
              <w:rPr>
                <w:sz w:val="15"/>
              </w:rPr>
              <w:t>Business-model innovation</w:t>
            </w:r>
          </w:p>
        </w:tc>
        <w:tc>
          <w:tcPr>
            <w:tcW w:w="1160" w:type="pct"/>
            <w:tcMar>
              <w:top w:w="80" w:type="dxa"/>
              <w:left w:w="90" w:type="dxa"/>
              <w:bottom w:w="80" w:type="dxa"/>
              <w:right w:w="90" w:type="dxa"/>
            </w:tcMar>
            <w:vAlign w:val="center"/>
          </w:tcPr>
          <w:p w14:paraId="6C513A95" w14:textId="77777777" w:rsidR="00823FE6" w:rsidRDefault="006D076A">
            <w:r>
              <w:rPr>
                <w:sz w:val="15"/>
              </w:rPr>
              <w:t>Changes to payment, ownership, service and partner architecture improve value capture</w:t>
            </w:r>
          </w:p>
        </w:tc>
        <w:tc>
          <w:tcPr>
            <w:tcW w:w="1051" w:type="pct"/>
            <w:tcMar>
              <w:top w:w="80" w:type="dxa"/>
              <w:left w:w="90" w:type="dxa"/>
              <w:bottom w:w="80" w:type="dxa"/>
              <w:right w:w="90" w:type="dxa"/>
            </w:tcMar>
            <w:vAlign w:val="center"/>
          </w:tcPr>
          <w:p w14:paraId="03415627" w14:textId="77777777" w:rsidR="00823FE6" w:rsidRDefault="006D076A">
            <w:r>
              <w:rPr>
                <w:sz w:val="15"/>
              </w:rPr>
              <w:t>Customer economics, finance, regulation, experimentation and learning</w:t>
            </w:r>
          </w:p>
        </w:tc>
        <w:tc>
          <w:tcPr>
            <w:tcW w:w="1051" w:type="pct"/>
            <w:tcMar>
              <w:top w:w="80" w:type="dxa"/>
              <w:left w:w="90" w:type="dxa"/>
              <w:bottom w:w="80" w:type="dxa"/>
              <w:right w:w="90" w:type="dxa"/>
            </w:tcMar>
            <w:vAlign w:val="center"/>
          </w:tcPr>
          <w:p w14:paraId="7C92B88F" w14:textId="77777777" w:rsidR="00823FE6" w:rsidRDefault="006D076A">
            <w:r>
              <w:rPr>
                <w:sz w:val="15"/>
              </w:rPr>
              <w:t>Credit losses, hidden subsidies, unclear novelty, customer harm</w:t>
            </w:r>
          </w:p>
        </w:tc>
        <w:tc>
          <w:tcPr>
            <w:tcW w:w="1014" w:type="pct"/>
            <w:tcMar>
              <w:top w:w="80" w:type="dxa"/>
              <w:left w:w="90" w:type="dxa"/>
              <w:bottom w:w="80" w:type="dxa"/>
              <w:right w:w="90" w:type="dxa"/>
            </w:tcMar>
            <w:vAlign w:val="center"/>
          </w:tcPr>
          <w:p w14:paraId="23BF2E1B" w14:textId="77777777" w:rsidR="00823FE6" w:rsidRDefault="006D076A">
            <w:r>
              <w:rPr>
                <w:sz w:val="15"/>
              </w:rPr>
              <w:t>Foss &amp; Saebi, 2017; Ockwell et al., 2019; Ogeya et al., 2025; Teece, 2010</w:t>
            </w:r>
          </w:p>
        </w:tc>
      </w:tr>
      <w:tr w:rsidR="00823FE6" w14:paraId="1B6862CF" w14:textId="77777777" w:rsidTr="000A5DBF">
        <w:trPr>
          <w:cantSplit/>
          <w:jc w:val="center"/>
        </w:trPr>
        <w:tc>
          <w:tcPr>
            <w:tcW w:w="725" w:type="pct"/>
            <w:tcMar>
              <w:top w:w="80" w:type="dxa"/>
              <w:left w:w="90" w:type="dxa"/>
              <w:bottom w:w="80" w:type="dxa"/>
              <w:right w:w="90" w:type="dxa"/>
            </w:tcMar>
            <w:vAlign w:val="center"/>
          </w:tcPr>
          <w:p w14:paraId="7510FDC2" w14:textId="77777777" w:rsidR="00823FE6" w:rsidRDefault="006D076A">
            <w:r>
              <w:rPr>
                <w:sz w:val="15"/>
              </w:rPr>
              <w:t>Strategic collaboration</w:t>
            </w:r>
          </w:p>
        </w:tc>
        <w:tc>
          <w:tcPr>
            <w:tcW w:w="1160" w:type="pct"/>
            <w:tcMar>
              <w:top w:w="80" w:type="dxa"/>
              <w:left w:w="90" w:type="dxa"/>
              <w:bottom w:w="80" w:type="dxa"/>
              <w:right w:w="90" w:type="dxa"/>
            </w:tcMar>
            <w:vAlign w:val="center"/>
          </w:tcPr>
          <w:p w14:paraId="27E3E79A" w14:textId="77777777" w:rsidR="00823FE6" w:rsidRDefault="006D076A">
            <w:r>
              <w:rPr>
                <w:sz w:val="15"/>
              </w:rPr>
              <w:t>Partners share assets, capabilities, risk and market access</w:t>
            </w:r>
          </w:p>
        </w:tc>
        <w:tc>
          <w:tcPr>
            <w:tcW w:w="1051" w:type="pct"/>
            <w:tcMar>
              <w:top w:w="80" w:type="dxa"/>
              <w:left w:w="90" w:type="dxa"/>
              <w:bottom w:w="80" w:type="dxa"/>
              <w:right w:w="90" w:type="dxa"/>
            </w:tcMar>
            <w:vAlign w:val="center"/>
          </w:tcPr>
          <w:p w14:paraId="6D38B69D" w14:textId="77777777" w:rsidR="00823FE6" w:rsidRDefault="006D076A">
            <w:r>
              <w:rPr>
                <w:sz w:val="15"/>
              </w:rPr>
              <w:t>Governance, trust, role clarity, complementary resources</w:t>
            </w:r>
          </w:p>
        </w:tc>
        <w:tc>
          <w:tcPr>
            <w:tcW w:w="1051" w:type="pct"/>
            <w:tcMar>
              <w:top w:w="80" w:type="dxa"/>
              <w:left w:w="90" w:type="dxa"/>
              <w:bottom w:w="80" w:type="dxa"/>
              <w:right w:w="90" w:type="dxa"/>
            </w:tcMar>
            <w:vAlign w:val="center"/>
          </w:tcPr>
          <w:p w14:paraId="33C2A3AA" w14:textId="77777777" w:rsidR="00823FE6" w:rsidRDefault="006D076A">
            <w:r>
              <w:rPr>
                <w:sz w:val="15"/>
              </w:rPr>
              <w:t>Dependency, opportunism, integration cost, unequal value appropriation</w:t>
            </w:r>
          </w:p>
        </w:tc>
        <w:tc>
          <w:tcPr>
            <w:tcW w:w="1014" w:type="pct"/>
            <w:tcMar>
              <w:top w:w="80" w:type="dxa"/>
              <w:left w:w="90" w:type="dxa"/>
              <w:bottom w:w="80" w:type="dxa"/>
              <w:right w:w="90" w:type="dxa"/>
            </w:tcMar>
            <w:vAlign w:val="center"/>
          </w:tcPr>
          <w:p w14:paraId="4D0D89B2" w14:textId="77777777" w:rsidR="00823FE6" w:rsidRDefault="006D076A">
            <w:r>
              <w:rPr>
                <w:sz w:val="15"/>
              </w:rPr>
              <w:t>Eberhard et al., 2017; Mtange &amp; Deya, 2024</w:t>
            </w:r>
          </w:p>
        </w:tc>
      </w:tr>
      <w:tr w:rsidR="00823FE6" w14:paraId="2295A7E2" w14:textId="77777777" w:rsidTr="000A5DBF">
        <w:trPr>
          <w:cantSplit/>
          <w:jc w:val="center"/>
        </w:trPr>
        <w:tc>
          <w:tcPr>
            <w:tcW w:w="725" w:type="pct"/>
            <w:tcMar>
              <w:top w:w="80" w:type="dxa"/>
              <w:left w:w="90" w:type="dxa"/>
              <w:bottom w:w="80" w:type="dxa"/>
              <w:right w:w="90" w:type="dxa"/>
            </w:tcMar>
            <w:vAlign w:val="center"/>
          </w:tcPr>
          <w:p w14:paraId="0EA35D51" w14:textId="77777777" w:rsidR="00823FE6" w:rsidRDefault="006D076A">
            <w:r>
              <w:rPr>
                <w:sz w:val="15"/>
              </w:rPr>
              <w:t>Organisational alignment</w:t>
            </w:r>
          </w:p>
        </w:tc>
        <w:tc>
          <w:tcPr>
            <w:tcW w:w="1160" w:type="pct"/>
            <w:tcMar>
              <w:top w:w="80" w:type="dxa"/>
              <w:left w:w="90" w:type="dxa"/>
              <w:bottom w:w="80" w:type="dxa"/>
              <w:right w:w="90" w:type="dxa"/>
            </w:tcMar>
            <w:vAlign w:val="center"/>
          </w:tcPr>
          <w:p w14:paraId="2C3FB628" w14:textId="77777777" w:rsidR="00823FE6" w:rsidRDefault="006D076A">
            <w:r>
              <w:rPr>
                <w:sz w:val="15"/>
              </w:rPr>
              <w:t>Clear priorities, decision rights and communication convert strategy into action</w:t>
            </w:r>
          </w:p>
        </w:tc>
        <w:tc>
          <w:tcPr>
            <w:tcW w:w="1051" w:type="pct"/>
            <w:tcMar>
              <w:top w:w="80" w:type="dxa"/>
              <w:left w:w="90" w:type="dxa"/>
              <w:bottom w:w="80" w:type="dxa"/>
              <w:right w:w="90" w:type="dxa"/>
            </w:tcMar>
            <w:vAlign w:val="center"/>
          </w:tcPr>
          <w:p w14:paraId="233BEC2F" w14:textId="77777777" w:rsidR="00823FE6" w:rsidRDefault="006D076A">
            <w:r>
              <w:rPr>
                <w:sz w:val="15"/>
              </w:rPr>
              <w:t>Leadership, incentives, technical-commercial integration, feedback</w:t>
            </w:r>
          </w:p>
        </w:tc>
        <w:tc>
          <w:tcPr>
            <w:tcW w:w="1051" w:type="pct"/>
            <w:tcMar>
              <w:top w:w="80" w:type="dxa"/>
              <w:left w:w="90" w:type="dxa"/>
              <w:bottom w:w="80" w:type="dxa"/>
              <w:right w:w="90" w:type="dxa"/>
            </w:tcMar>
            <w:vAlign w:val="center"/>
          </w:tcPr>
          <w:p w14:paraId="4CE07DC5" w14:textId="77777777" w:rsidR="00823FE6" w:rsidRDefault="006D076A">
            <w:r>
              <w:rPr>
                <w:sz w:val="15"/>
              </w:rPr>
              <w:t>Bureaucracy, conflicting mandates, symbolic clarity, centralisation</w:t>
            </w:r>
          </w:p>
        </w:tc>
        <w:tc>
          <w:tcPr>
            <w:tcW w:w="1014" w:type="pct"/>
            <w:tcMar>
              <w:top w:w="80" w:type="dxa"/>
              <w:left w:w="90" w:type="dxa"/>
              <w:bottom w:w="80" w:type="dxa"/>
              <w:right w:w="90" w:type="dxa"/>
            </w:tcMar>
            <w:vAlign w:val="center"/>
          </w:tcPr>
          <w:p w14:paraId="5B45DF55" w14:textId="77777777" w:rsidR="00823FE6" w:rsidRDefault="006D076A">
            <w:r>
              <w:rPr>
                <w:sz w:val="15"/>
              </w:rPr>
              <w:t>Mbaruku et al., 2025; Olson et al., 2005; Yabarow &amp; Muathe, 2020</w:t>
            </w:r>
          </w:p>
        </w:tc>
      </w:tr>
    </w:tbl>
    <w:p w14:paraId="62564112" w14:textId="77777777" w:rsidR="00823FE6" w:rsidRDefault="006D076A">
      <w:pPr>
        <w:pStyle w:val="TableNote"/>
      </w:pPr>
      <w:r>
        <w:rPr>
          <w:i/>
        </w:rPr>
        <w:t>Note. The mechanisms are propositions supported to varying degrees; most Kenya-specific evidence is associational.</w:t>
      </w:r>
    </w:p>
    <w:p w14:paraId="220B43AE" w14:textId="77777777" w:rsidR="00823FE6" w:rsidRDefault="00823FE6">
      <w:pPr>
        <w:spacing w:after="0"/>
      </w:pPr>
    </w:p>
    <w:p w14:paraId="25303285" w14:textId="77777777" w:rsidR="00823FE6" w:rsidRDefault="006D076A">
      <w:pPr>
        <w:pStyle w:val="Heading1"/>
      </w:pPr>
      <w:r>
        <w:t>7. Collaboration, Implementation and Organisational Alignment</w:t>
      </w:r>
    </w:p>
    <w:p w14:paraId="450ED6A8" w14:textId="77777777" w:rsidR="00823FE6" w:rsidRDefault="006D076A">
      <w:pPr>
        <w:pStyle w:val="Heading2"/>
      </w:pPr>
      <w:r>
        <w:t>7.1 Alliances and Ecosystem Strategy</w:t>
      </w:r>
    </w:p>
    <w:p w14:paraId="654DC9AA" w14:textId="77777777" w:rsidR="00823FE6" w:rsidRDefault="006D076A">
      <w:pPr>
        <w:pStyle w:val="BodyText"/>
        <w:jc w:val="both"/>
      </w:pPr>
      <w:r>
        <w:t>Strategic collaboration is attractive in energy because assets are expensive, regulation is complex, and firms rarely control the entire value chain. Alliances can provide storage, distribution, engineering, finance, local legitimacy, and market access. Mtange and Deya (2024) report strong performance associations for collaborations among Kenyan oil marketing firms. In electricity, independent projects depend on coordinated relationships among sponsors, lenders, contractors, off-takers, regulators, and government. Eberhard et al. (2017) show that risk-mitigation and institutional quality are central to attracting and sustaining investment.</w:t>
      </w:r>
    </w:p>
    <w:p w14:paraId="743E6867" w14:textId="77777777" w:rsidR="00823FE6" w:rsidRDefault="006D076A">
      <w:pPr>
        <w:pStyle w:val="BodyText"/>
        <w:ind w:firstLine="432"/>
        <w:jc w:val="both"/>
      </w:pPr>
      <w:r>
        <w:t>The performance case is not unconditional. Alliances create governance and appropriation problems. Shared infrastructure can reduce unit costs but expose firms to partner delays or capacity constraints. Joint ventures can combine capabilities but obscure accountability. Mergers can increase scale while creating integration costs and concentration concerns. Cross-sectional surveys commonly ask respondents whether collaboration improves performance, but rarely compare alliance costs, failed partnerships, or pre-alliance trends. Strong reported coefficients should therefore be treated as evidence of perceived strategic relevance, not as precise causal returns.</w:t>
      </w:r>
    </w:p>
    <w:p w14:paraId="19383BF8" w14:textId="77777777" w:rsidR="00823FE6" w:rsidRDefault="006D076A">
      <w:pPr>
        <w:pStyle w:val="BodyText"/>
        <w:ind w:firstLine="432"/>
        <w:jc w:val="both"/>
      </w:pPr>
      <w:r>
        <w:t>In mini-grids, collaboration is often indispensable because firms need finance, community participation, productive-use partners, and regulatory engagement. Yet partnership proliferation can dilute the core service. Lambe et al. (2024) warn that ancillary activities may distract firms from reliable and affordable electricity. Ecosystem strategy should therefore define a focal value proposition, partner contribution, risk ownership, decision rights, and exit arrangements. Collaboration is a means of assembling a viable activity system, not a performance outcome in itself.</w:t>
      </w:r>
    </w:p>
    <w:p w14:paraId="1D615903" w14:textId="77777777" w:rsidR="00823FE6" w:rsidRDefault="006D076A">
      <w:pPr>
        <w:pStyle w:val="Heading2"/>
      </w:pPr>
      <w:r>
        <w:lastRenderedPageBreak/>
        <w:t>7.2 Organisational Structure and Strategy Implementation</w:t>
      </w:r>
    </w:p>
    <w:p w14:paraId="3AA0793E" w14:textId="77777777" w:rsidR="00823FE6" w:rsidRDefault="006D076A">
      <w:pPr>
        <w:pStyle w:val="BodyText"/>
        <w:jc w:val="both"/>
      </w:pPr>
      <w:r>
        <w:t>A competitive strategy has no performance effect unless it is implemented through decisions, budgets, routines, and behaviour. Yabarow and Muathe (2020) found that hierarchy, communication, decision structures, and culture influenced strategy implementation in Kenyan oil marketing companies. The result aligns with strategic-fit theory: centralisation can improve control in safety-critical processes but slow market response; decentralisation can improve local adaptation but weaken consistency. The appropriate structure depends on the strategic task.</w:t>
      </w:r>
    </w:p>
    <w:p w14:paraId="39581F5C" w14:textId="77777777" w:rsidR="00823FE6" w:rsidRDefault="006D076A">
      <w:pPr>
        <w:pStyle w:val="BodyText"/>
        <w:ind w:firstLine="432"/>
        <w:jc w:val="both"/>
      </w:pPr>
      <w:r>
        <w:t>Implementation in energy firms requires integration across technical and commercial functions. Engineers optimise reliability and lifecycle integrity; commercial teams emphasise customer acquisition, margin, and speed; finance teams manage capital and liquidity; regulatory teams manage compliance and institutional relationships. Performance deteriorates when these objectives are managed as separate silos. A low-cost procurement decision may increase maintenance risk, while a marketing promise may exceed system capability. Cross-functional governance and shared metrics are therefore core strategic capabilities.</w:t>
      </w:r>
    </w:p>
    <w:p w14:paraId="04B7CC1D" w14:textId="77777777" w:rsidR="00823FE6" w:rsidRDefault="006D076A">
      <w:pPr>
        <w:pStyle w:val="BodyText"/>
        <w:ind w:firstLine="432"/>
        <w:jc w:val="both"/>
      </w:pPr>
      <w:r>
        <w:t>Strategic clarity can reduce these conflicts by specifying the value proposition, target outcomes, and acceptable trade-offs. Mbaruku et al. (2025) report that clarity is positively related to state-corporation performance. Yet clarity can become symbolic if goals are broad, contradictory, or unsupported by resources. Effective clarity is operational: it connects sector mandate with a limited set of measurable priorities, assigns decision rights, and creates feedback from frontline performance.</w:t>
      </w:r>
    </w:p>
    <w:p w14:paraId="1A1E3726" w14:textId="77777777" w:rsidR="00823FE6" w:rsidRDefault="006D076A">
      <w:pPr>
        <w:pStyle w:val="Heading2"/>
      </w:pPr>
      <w:r>
        <w:t>7.3 Leadership, Learning and Adaptation</w:t>
      </w:r>
    </w:p>
    <w:p w14:paraId="143672A4" w14:textId="77777777" w:rsidR="00823FE6" w:rsidRDefault="006D076A">
      <w:pPr>
        <w:pStyle w:val="BodyText"/>
        <w:jc w:val="both"/>
      </w:pPr>
      <w:r>
        <w:t>Leadership evidence from Kenya's solar sector suggests that adaptive capability may be more important than general risk-taking or innovation rhetoric (Harun et al., 2021). This result is credible in a sector exposed to policy change, technology evolution, and volatile customer economics. Adaptive leadership involves recognising when assumptions have failed, reallocating resources, and changing routines. It differs from frequent strategic change, which can create confusion and destroy accumulated capability.</w:t>
      </w:r>
    </w:p>
    <w:p w14:paraId="07D8BC26" w14:textId="77777777" w:rsidR="00823FE6" w:rsidRDefault="006D076A">
      <w:pPr>
        <w:pStyle w:val="BodyText"/>
        <w:ind w:firstLine="432"/>
        <w:jc w:val="both"/>
      </w:pPr>
      <w:r>
        <w:t>Organisational learning supports innovation when firms collect and interpret performance data rather than relying on anecdote. Jiménez-Jiménez and Sanz-Valle (2011) found positive relationships among learning, innovation, and performance, but sector application requires careful measurement. Energy firms should learn from outage patterns, project delays, customer cohorts, service tickets, payment behaviour, safety incidents, and partner performance. The value of learning is demonstrated when it changes decisions and outcomes, not when an organisation merely reports a learning culture.</w:t>
      </w:r>
    </w:p>
    <w:p w14:paraId="20B6A49F" w14:textId="77777777" w:rsidR="00823FE6" w:rsidRDefault="006D076A">
      <w:pPr>
        <w:pStyle w:val="BodyText"/>
        <w:ind w:firstLine="432"/>
        <w:jc w:val="both"/>
      </w:pPr>
      <w:r>
        <w:t>Regulatory uncertainty can alter strategic attention and investment choices. Dutt and Joseph (2019) show that corporate structure influences how renewable-electricity organisations process regulatory uncertainty. Although their evidence is from the United States, the mechanism is relevant to Kenya: subsidiaries, public entities, and entrepreneurial firms have different decision rights, risk tolerance, and access to policy information. Strategy research in Kenya should therefore model organisational form as a boundary condition rather than treating all firms as equivalent respondents.</w:t>
      </w:r>
    </w:p>
    <w:p w14:paraId="19D61EB0" w14:textId="77777777" w:rsidR="00823FE6" w:rsidRDefault="006D076A">
      <w:pPr>
        <w:pStyle w:val="Heading1"/>
      </w:pPr>
      <w:r>
        <w:t>8. Methodological Quality and Confidence in the Evidence</w:t>
      </w:r>
    </w:p>
    <w:p w14:paraId="4663FEE2" w14:textId="77777777" w:rsidR="00823FE6" w:rsidRDefault="006D076A">
      <w:pPr>
        <w:pStyle w:val="Heading2"/>
      </w:pPr>
      <w:r>
        <w:t>8.1 Predominance of Cross-Sectional Association</w:t>
      </w:r>
    </w:p>
    <w:p w14:paraId="0535FFBE" w14:textId="77777777" w:rsidR="00823FE6" w:rsidRDefault="006D076A">
      <w:pPr>
        <w:pStyle w:val="BodyText"/>
        <w:jc w:val="both"/>
      </w:pPr>
      <w:r>
        <w:t xml:space="preserve">The central methodological limitation is the predominance of cross-sectional survey designs. Most Kenya-specific studies measure strategy and performance simultaneously through structured questionnaires administered to managers or employees. Such designs can establish covariance but not temporal order. A manager in a successful firm may rate its strategy, leadership, technology, and performance favourably </w:t>
      </w:r>
      <w:r>
        <w:lastRenderedPageBreak/>
        <w:t>because of a general positive impression. This common-method variance can produce large coefficients even when the underlying causal effect is modest.</w:t>
      </w:r>
    </w:p>
    <w:p w14:paraId="03A0D51F" w14:textId="77777777" w:rsidR="00823FE6" w:rsidRDefault="006D076A">
      <w:pPr>
        <w:pStyle w:val="BodyText"/>
        <w:ind w:firstLine="432"/>
        <w:jc w:val="both"/>
      </w:pPr>
      <w:r>
        <w:t>Reverse causality is also plausible. Profitable firms can invest in technology, training, collaboration, and marketing; firms with strong performance may communicate strategy more clearly. Without prior performance controls, longitudinal observations, or external shocks, it is impossible to determine whether strategy generated performance or performance enabled strategy. The literature's repeated use of the phrase influence therefore often exceeds the design's causal capacity. More appropriate language is association unless a temporal and counterfactual basis is established.</w:t>
      </w:r>
    </w:p>
    <w:p w14:paraId="4C1CC979" w14:textId="77777777" w:rsidR="00823FE6" w:rsidRDefault="006D076A">
      <w:pPr>
        <w:pStyle w:val="BodyText"/>
        <w:ind w:firstLine="432"/>
        <w:jc w:val="both"/>
      </w:pPr>
      <w:r>
        <w:t>Qualitative case studies provide a different strength. Research on mini-grids traces mechanisms, institutional work, and business-model adaptation in depth (Lambe et al., 2024; Ogeya et al., 2025; Pedersen &amp; Nygaard, 2018). These studies explain how firms respond to uncertainty, but case selection can favour surviving and visible developers. They cannot estimate average sector effects or distinguish a strategy's contribution from favourable sites, donor support, founder quality, or unobserved capabilities. The survey and case-study literatures are therefore complementary: one offers broad associations, the other mechanism depth, and neither alone supplies strong causal inference.</w:t>
      </w:r>
    </w:p>
    <w:p w14:paraId="0769FE2D" w14:textId="77777777" w:rsidR="00823FE6" w:rsidRDefault="006D076A">
      <w:pPr>
        <w:pStyle w:val="Heading2"/>
      </w:pPr>
      <w:r>
        <w:t>8.2 Construct and Performance Measurement</w:t>
      </w:r>
    </w:p>
    <w:p w14:paraId="0848C850" w14:textId="77777777" w:rsidR="00823FE6" w:rsidRDefault="006D076A">
      <w:pPr>
        <w:pStyle w:val="BodyText"/>
        <w:jc w:val="both"/>
      </w:pPr>
      <w:r>
        <w:t>Strategy constructs are frequently broad and overlapping. Marketing strategy can include differentiation, distribution, branding, and customer service; technology can include equipment, software, and process automation; strategic clarity may overlap with management quality; and performance may combine financial and non-financial perceptions. When predictor and outcome items use similar evaluative wording, statistical relationships may partly reflect measurement redundancy. Richard et al. (2009) argue for explicit performance domains and methodological discipline, a standard not consistently met in the local evidence.</w:t>
      </w:r>
    </w:p>
    <w:p w14:paraId="6B394EDF" w14:textId="77777777" w:rsidR="00823FE6" w:rsidRDefault="006D076A">
      <w:pPr>
        <w:pStyle w:val="BodyText"/>
        <w:ind w:firstLine="432"/>
        <w:jc w:val="both"/>
      </w:pPr>
      <w:r>
        <w:t>Objective indicators are available but underused. Petroleum firms can be assessed through market share, station productivity, inventory turns, margin, working capital, and safety incidents. Electricity organisations can be assessed through plant availability, losses, outage duration, connection time, collection efficiency, project cost and schedule variance, and audited financial results. PAYGo firms can use repayment cohorts, churn, active-system rates, service cost, and portfolio-at-risk. Mini-grids can use uptime, load factor, revenue collection, productive-use growth, and subsidy dependence. Linking strategy data to these outcomes would materially improve credibility.</w:t>
      </w:r>
    </w:p>
    <w:p w14:paraId="1093A87E" w14:textId="77777777" w:rsidR="00823FE6" w:rsidRDefault="006D076A">
      <w:pPr>
        <w:pStyle w:val="BodyText"/>
        <w:ind w:firstLine="432"/>
        <w:jc w:val="both"/>
      </w:pPr>
      <w:r>
        <w:t>Performance time horizons also require attention. Cost reduction can improve current margins while damaging maintenance and reliability later. Expansion can increase revenue but weaken liquidity. Collaboration can accelerate entry while creating long-term dependency. Business-model innovation can initially reduce performance because of learning and transition costs. Single-period assessments cannot distinguish temporary disruption from durable advantage.</w:t>
      </w:r>
    </w:p>
    <w:p w14:paraId="0BB39769" w14:textId="77777777" w:rsidR="00823FE6" w:rsidRDefault="006D076A">
      <w:pPr>
        <w:pStyle w:val="Heading2"/>
      </w:pPr>
      <w:r>
        <w:t>8.3 Sampling, Generalisability and Publication Bias</w:t>
      </w:r>
    </w:p>
    <w:p w14:paraId="03C43C03" w14:textId="77777777" w:rsidR="00823FE6" w:rsidRDefault="006D076A">
      <w:pPr>
        <w:pStyle w:val="BodyText"/>
        <w:jc w:val="both"/>
      </w:pPr>
      <w:r>
        <w:t>Many studies are geographically concentrated in Nairobi or limited to one organisation, subsector, or managerial level. Such samples are useful for exploratory inference but may not represent smaller regional firms, informal operators, failed ventures, or frontline staff. The energy-sector label can also obscure major differences between generation, transmission, distribution, petroleum retail, LPG, solar, and mini-grids. Generalising a result from one subsector to all energy firms is usually unjustified.</w:t>
      </w:r>
    </w:p>
    <w:p w14:paraId="1A3F00A8" w14:textId="77777777" w:rsidR="00823FE6" w:rsidRDefault="006D076A">
      <w:pPr>
        <w:pStyle w:val="BodyText"/>
        <w:ind w:firstLine="432"/>
        <w:jc w:val="both"/>
      </w:pPr>
      <w:r>
        <w:t xml:space="preserve">Publication bias is likely because studies reporting positive, significant relationships are easier to frame as contributions. Null findings, failed strategies, and firm exits are less visible. Harun et al. (2021) are valuable partly because they report non-significant effects for resourceful innovation and risk-taking. Kariuki and </w:t>
      </w:r>
      <w:r>
        <w:lastRenderedPageBreak/>
        <w:t>Karihe (2023) likewise report a low overall influence of competitive strategies. Such findings should not be treated as anomalies; they reveal contingencies and challenge deterministic strategy narratives.</w:t>
      </w:r>
    </w:p>
    <w:p w14:paraId="7E08DE08" w14:textId="77777777" w:rsidR="00823FE6" w:rsidRDefault="006D076A">
      <w:pPr>
        <w:pStyle w:val="BodyText"/>
        <w:ind w:firstLine="432"/>
        <w:jc w:val="both"/>
      </w:pPr>
      <w:r>
        <w:t>Outlet quality and bibliographic completeness vary across the local evidence. This review retained only sources whose identity and relevance could be verified, but peer review alone does not equal methodological strength. Confidence should be calibrated study by study. The most defensible conclusion is that strategic coherence, adaptation, and implementation are associated with performance, while the magnitude and causality of specific strategies remain uncertain.</w:t>
      </w:r>
    </w:p>
    <w:p w14:paraId="353AD12B" w14:textId="77777777" w:rsidR="00823FE6" w:rsidRDefault="006D076A">
      <w:pPr>
        <w:pStyle w:val="BodyText"/>
        <w:ind w:firstLine="432"/>
        <w:jc w:val="both"/>
      </w:pPr>
      <w:r>
        <w:t>Table 5 translates the principal weaknesses into research designs capable of producing stronger evidence. The priorities emphasise temporal ordering, objective measures, subsector comparability, and explicit tests of mechanisms and boundary conditions.</w:t>
      </w:r>
    </w:p>
    <w:p w14:paraId="2C7726A1" w14:textId="77777777" w:rsidR="00823FE6" w:rsidRDefault="006D076A">
      <w:pPr>
        <w:pStyle w:val="TableCaption"/>
        <w:keepNext/>
      </w:pPr>
      <w:r>
        <w:rPr>
          <w:b/>
        </w:rPr>
        <w:t>Table 5. Priority evidence gaps and designs for stronger strategy-performance inference</w:t>
      </w:r>
    </w:p>
    <w:tbl>
      <w:tblPr>
        <w:tblStyle w:val="TableGrid"/>
        <w:tblW w:w="5000" w:type="pct"/>
        <w:jc w:val="center"/>
        <w:tblLook w:val="04A0" w:firstRow="1" w:lastRow="0" w:firstColumn="1" w:lastColumn="0" w:noHBand="0" w:noVBand="1"/>
      </w:tblPr>
      <w:tblGrid>
        <w:gridCol w:w="1255"/>
        <w:gridCol w:w="1674"/>
        <w:gridCol w:w="2163"/>
        <w:gridCol w:w="1604"/>
        <w:gridCol w:w="1673"/>
        <w:gridCol w:w="1603"/>
      </w:tblGrid>
      <w:tr w:rsidR="00823FE6" w14:paraId="29324CC2" w14:textId="77777777" w:rsidTr="000A5DBF">
        <w:trPr>
          <w:tblHeader/>
          <w:jc w:val="center"/>
        </w:trPr>
        <w:tc>
          <w:tcPr>
            <w:tcW w:w="629" w:type="pct"/>
            <w:shd w:val="clear" w:color="auto" w:fill="D9E2F3"/>
            <w:tcMar>
              <w:top w:w="80" w:type="dxa"/>
              <w:left w:w="90" w:type="dxa"/>
              <w:bottom w:w="80" w:type="dxa"/>
              <w:right w:w="90" w:type="dxa"/>
            </w:tcMar>
            <w:vAlign w:val="center"/>
          </w:tcPr>
          <w:p w14:paraId="7211B751" w14:textId="77777777" w:rsidR="00823FE6" w:rsidRDefault="006D076A">
            <w:pPr>
              <w:jc w:val="center"/>
            </w:pPr>
            <w:r>
              <w:rPr>
                <w:b/>
                <w:sz w:val="16"/>
              </w:rPr>
              <w:t>Evidence gap</w:t>
            </w:r>
          </w:p>
        </w:tc>
        <w:tc>
          <w:tcPr>
            <w:tcW w:w="839" w:type="pct"/>
            <w:shd w:val="clear" w:color="auto" w:fill="D9E2F3"/>
            <w:tcMar>
              <w:top w:w="80" w:type="dxa"/>
              <w:left w:w="90" w:type="dxa"/>
              <w:bottom w:w="80" w:type="dxa"/>
              <w:right w:w="90" w:type="dxa"/>
            </w:tcMar>
            <w:vAlign w:val="center"/>
          </w:tcPr>
          <w:p w14:paraId="2CB28D8C" w14:textId="77777777" w:rsidR="00823FE6" w:rsidRDefault="006D076A">
            <w:pPr>
              <w:jc w:val="center"/>
            </w:pPr>
            <w:r>
              <w:rPr>
                <w:b/>
                <w:sz w:val="16"/>
              </w:rPr>
              <w:t>Current weakness</w:t>
            </w:r>
          </w:p>
        </w:tc>
        <w:tc>
          <w:tcPr>
            <w:tcW w:w="1084" w:type="pct"/>
            <w:shd w:val="clear" w:color="auto" w:fill="D9E2F3"/>
            <w:tcMar>
              <w:top w:w="80" w:type="dxa"/>
              <w:left w:w="90" w:type="dxa"/>
              <w:bottom w:w="80" w:type="dxa"/>
              <w:right w:w="90" w:type="dxa"/>
            </w:tcMar>
            <w:vAlign w:val="center"/>
          </w:tcPr>
          <w:p w14:paraId="58ECF5B8" w14:textId="77777777" w:rsidR="00823FE6" w:rsidRDefault="006D076A">
            <w:pPr>
              <w:jc w:val="center"/>
            </w:pPr>
            <w:r>
              <w:rPr>
                <w:b/>
                <w:sz w:val="16"/>
              </w:rPr>
              <w:t>Recommended design</w:t>
            </w:r>
          </w:p>
        </w:tc>
        <w:tc>
          <w:tcPr>
            <w:tcW w:w="804" w:type="pct"/>
            <w:shd w:val="clear" w:color="auto" w:fill="D9E2F3"/>
            <w:tcMar>
              <w:top w:w="80" w:type="dxa"/>
              <w:left w:w="90" w:type="dxa"/>
              <w:bottom w:w="80" w:type="dxa"/>
              <w:right w:w="90" w:type="dxa"/>
            </w:tcMar>
            <w:vAlign w:val="center"/>
          </w:tcPr>
          <w:p w14:paraId="159B8716" w14:textId="77777777" w:rsidR="00823FE6" w:rsidRDefault="006D076A">
            <w:pPr>
              <w:jc w:val="center"/>
            </w:pPr>
            <w:r>
              <w:rPr>
                <w:b/>
                <w:sz w:val="16"/>
              </w:rPr>
              <w:t>Core data</w:t>
            </w:r>
          </w:p>
        </w:tc>
        <w:tc>
          <w:tcPr>
            <w:tcW w:w="839" w:type="pct"/>
            <w:shd w:val="clear" w:color="auto" w:fill="D9E2F3"/>
            <w:tcMar>
              <w:top w:w="80" w:type="dxa"/>
              <w:left w:w="90" w:type="dxa"/>
              <w:bottom w:w="80" w:type="dxa"/>
              <w:right w:w="90" w:type="dxa"/>
            </w:tcMar>
            <w:vAlign w:val="center"/>
          </w:tcPr>
          <w:p w14:paraId="0A9A1868" w14:textId="77777777" w:rsidR="00823FE6" w:rsidRDefault="006D076A">
            <w:pPr>
              <w:jc w:val="center"/>
            </w:pPr>
            <w:r>
              <w:rPr>
                <w:b/>
                <w:sz w:val="16"/>
              </w:rPr>
              <w:t>Expected contribution</w:t>
            </w:r>
          </w:p>
        </w:tc>
        <w:tc>
          <w:tcPr>
            <w:tcW w:w="804" w:type="pct"/>
            <w:shd w:val="clear" w:color="auto" w:fill="D9E2F3"/>
            <w:tcMar>
              <w:top w:w="80" w:type="dxa"/>
              <w:left w:w="90" w:type="dxa"/>
              <w:bottom w:w="80" w:type="dxa"/>
              <w:right w:w="90" w:type="dxa"/>
            </w:tcMar>
            <w:vAlign w:val="center"/>
          </w:tcPr>
          <w:p w14:paraId="54A71736" w14:textId="77777777" w:rsidR="00823FE6" w:rsidRDefault="006D076A">
            <w:pPr>
              <w:jc w:val="center"/>
            </w:pPr>
            <w:r>
              <w:rPr>
                <w:b/>
                <w:sz w:val="16"/>
              </w:rPr>
              <w:t>Supporting references</w:t>
            </w:r>
          </w:p>
        </w:tc>
      </w:tr>
      <w:tr w:rsidR="00823FE6" w14:paraId="52ADAB96" w14:textId="77777777" w:rsidTr="000A5DBF">
        <w:trPr>
          <w:cantSplit/>
          <w:jc w:val="center"/>
        </w:trPr>
        <w:tc>
          <w:tcPr>
            <w:tcW w:w="629" w:type="pct"/>
            <w:tcMar>
              <w:top w:w="80" w:type="dxa"/>
              <w:left w:w="90" w:type="dxa"/>
              <w:bottom w:w="80" w:type="dxa"/>
              <w:right w:w="90" w:type="dxa"/>
            </w:tcMar>
            <w:vAlign w:val="center"/>
          </w:tcPr>
          <w:p w14:paraId="09B775A9" w14:textId="77777777" w:rsidR="00823FE6" w:rsidRDefault="006D076A">
            <w:r>
              <w:rPr>
                <w:sz w:val="15"/>
              </w:rPr>
              <w:t>Causal direction</w:t>
            </w:r>
          </w:p>
        </w:tc>
        <w:tc>
          <w:tcPr>
            <w:tcW w:w="839" w:type="pct"/>
            <w:tcMar>
              <w:top w:w="80" w:type="dxa"/>
              <w:left w:w="90" w:type="dxa"/>
              <w:bottom w:w="80" w:type="dxa"/>
              <w:right w:w="90" w:type="dxa"/>
            </w:tcMar>
            <w:vAlign w:val="center"/>
          </w:tcPr>
          <w:p w14:paraId="5E299D4C" w14:textId="77777777" w:rsidR="00823FE6" w:rsidRDefault="006D076A">
            <w:r>
              <w:rPr>
                <w:sz w:val="15"/>
              </w:rPr>
              <w:t>Strategy and performance measured simultaneously</w:t>
            </w:r>
          </w:p>
        </w:tc>
        <w:tc>
          <w:tcPr>
            <w:tcW w:w="1084" w:type="pct"/>
            <w:tcMar>
              <w:top w:w="80" w:type="dxa"/>
              <w:left w:w="90" w:type="dxa"/>
              <w:bottom w:w="80" w:type="dxa"/>
              <w:right w:w="90" w:type="dxa"/>
            </w:tcMar>
            <w:vAlign w:val="center"/>
          </w:tcPr>
          <w:p w14:paraId="7D8462B1" w14:textId="77777777" w:rsidR="00823FE6" w:rsidRDefault="006D076A">
            <w:r>
              <w:rPr>
                <w:sz w:val="15"/>
              </w:rPr>
              <w:t>Firm-level panel with pre-strategy performance; difference-in-differences around policy or technology changes</w:t>
            </w:r>
          </w:p>
        </w:tc>
        <w:tc>
          <w:tcPr>
            <w:tcW w:w="804" w:type="pct"/>
            <w:tcMar>
              <w:top w:w="80" w:type="dxa"/>
              <w:left w:w="90" w:type="dxa"/>
              <w:bottom w:w="80" w:type="dxa"/>
              <w:right w:w="90" w:type="dxa"/>
            </w:tcMar>
            <w:vAlign w:val="center"/>
          </w:tcPr>
          <w:p w14:paraId="5ACB2AB1" w14:textId="77777777" w:rsidR="00823FE6" w:rsidRDefault="006D076A">
            <w:r>
              <w:rPr>
                <w:sz w:val="15"/>
              </w:rPr>
              <w:t>Audited financials, operational KPIs, strategy timing</w:t>
            </w:r>
          </w:p>
        </w:tc>
        <w:tc>
          <w:tcPr>
            <w:tcW w:w="839" w:type="pct"/>
            <w:tcMar>
              <w:top w:w="80" w:type="dxa"/>
              <w:left w:w="90" w:type="dxa"/>
              <w:bottom w:w="80" w:type="dxa"/>
              <w:right w:w="90" w:type="dxa"/>
            </w:tcMar>
            <w:vAlign w:val="center"/>
          </w:tcPr>
          <w:p w14:paraId="3F31B506" w14:textId="77777777" w:rsidR="00823FE6" w:rsidRDefault="006D076A">
            <w:r>
              <w:rPr>
                <w:sz w:val="15"/>
              </w:rPr>
              <w:t>Separates strategy effects from reverse causality</w:t>
            </w:r>
          </w:p>
        </w:tc>
        <w:tc>
          <w:tcPr>
            <w:tcW w:w="804" w:type="pct"/>
            <w:tcMar>
              <w:top w:w="80" w:type="dxa"/>
              <w:left w:w="90" w:type="dxa"/>
              <w:bottom w:w="80" w:type="dxa"/>
              <w:right w:w="90" w:type="dxa"/>
            </w:tcMar>
            <w:vAlign w:val="center"/>
          </w:tcPr>
          <w:p w14:paraId="70FA7028" w14:textId="77777777" w:rsidR="00823FE6" w:rsidRDefault="006D076A">
            <w:r>
              <w:rPr>
                <w:sz w:val="15"/>
              </w:rPr>
              <w:t>Newbert, 2007; Richard et al., 2009</w:t>
            </w:r>
          </w:p>
        </w:tc>
      </w:tr>
      <w:tr w:rsidR="00823FE6" w14:paraId="62EA386A" w14:textId="77777777" w:rsidTr="000A5DBF">
        <w:trPr>
          <w:cantSplit/>
          <w:jc w:val="center"/>
        </w:trPr>
        <w:tc>
          <w:tcPr>
            <w:tcW w:w="629" w:type="pct"/>
            <w:tcMar>
              <w:top w:w="80" w:type="dxa"/>
              <w:left w:w="90" w:type="dxa"/>
              <w:bottom w:w="80" w:type="dxa"/>
              <w:right w:w="90" w:type="dxa"/>
            </w:tcMar>
            <w:vAlign w:val="center"/>
          </w:tcPr>
          <w:p w14:paraId="6B9C7979" w14:textId="77777777" w:rsidR="00823FE6" w:rsidRDefault="006D076A">
            <w:r>
              <w:rPr>
                <w:sz w:val="15"/>
              </w:rPr>
              <w:t>Common-method bias</w:t>
            </w:r>
          </w:p>
        </w:tc>
        <w:tc>
          <w:tcPr>
            <w:tcW w:w="839" w:type="pct"/>
            <w:tcMar>
              <w:top w:w="80" w:type="dxa"/>
              <w:left w:w="90" w:type="dxa"/>
              <w:bottom w:w="80" w:type="dxa"/>
              <w:right w:w="90" w:type="dxa"/>
            </w:tcMar>
            <w:vAlign w:val="center"/>
          </w:tcPr>
          <w:p w14:paraId="6CED0AF2" w14:textId="77777777" w:rsidR="00823FE6" w:rsidRDefault="006D076A">
            <w:r>
              <w:rPr>
                <w:sz w:val="15"/>
              </w:rPr>
              <w:t>Single manager rates predictors and outcomes</w:t>
            </w:r>
          </w:p>
        </w:tc>
        <w:tc>
          <w:tcPr>
            <w:tcW w:w="1084" w:type="pct"/>
            <w:tcMar>
              <w:top w:w="80" w:type="dxa"/>
              <w:left w:w="90" w:type="dxa"/>
              <w:bottom w:w="80" w:type="dxa"/>
              <w:right w:w="90" w:type="dxa"/>
            </w:tcMar>
            <w:vAlign w:val="center"/>
          </w:tcPr>
          <w:p w14:paraId="5CC9C6A5" w14:textId="77777777" w:rsidR="00823FE6" w:rsidRDefault="006D076A">
            <w:r>
              <w:rPr>
                <w:sz w:val="15"/>
              </w:rPr>
              <w:t>Multi-informant survey linked to administrative and regulatory data</w:t>
            </w:r>
          </w:p>
        </w:tc>
        <w:tc>
          <w:tcPr>
            <w:tcW w:w="804" w:type="pct"/>
            <w:tcMar>
              <w:top w:w="80" w:type="dxa"/>
              <w:left w:w="90" w:type="dxa"/>
              <w:bottom w:w="80" w:type="dxa"/>
              <w:right w:w="90" w:type="dxa"/>
            </w:tcMar>
            <w:vAlign w:val="center"/>
          </w:tcPr>
          <w:p w14:paraId="43D694F6" w14:textId="77777777" w:rsidR="00823FE6" w:rsidRDefault="006D076A">
            <w:r>
              <w:rPr>
                <w:sz w:val="15"/>
              </w:rPr>
              <w:t>Technical, commercial, finance and customer measures</w:t>
            </w:r>
          </w:p>
        </w:tc>
        <w:tc>
          <w:tcPr>
            <w:tcW w:w="839" w:type="pct"/>
            <w:tcMar>
              <w:top w:w="80" w:type="dxa"/>
              <w:left w:w="90" w:type="dxa"/>
              <w:bottom w:w="80" w:type="dxa"/>
              <w:right w:w="90" w:type="dxa"/>
            </w:tcMar>
            <w:vAlign w:val="center"/>
          </w:tcPr>
          <w:p w14:paraId="1A1D8639" w14:textId="77777777" w:rsidR="00823FE6" w:rsidRDefault="006D076A">
            <w:r>
              <w:rPr>
                <w:sz w:val="15"/>
              </w:rPr>
              <w:t>Reduces halo effects and measurement overlap</w:t>
            </w:r>
          </w:p>
        </w:tc>
        <w:tc>
          <w:tcPr>
            <w:tcW w:w="804" w:type="pct"/>
            <w:tcMar>
              <w:top w:w="80" w:type="dxa"/>
              <w:left w:w="90" w:type="dxa"/>
              <w:bottom w:w="80" w:type="dxa"/>
              <w:right w:w="90" w:type="dxa"/>
            </w:tcMar>
            <w:vAlign w:val="center"/>
          </w:tcPr>
          <w:p w14:paraId="79B2FEE9" w14:textId="77777777" w:rsidR="00823FE6" w:rsidRDefault="006D076A">
            <w:r>
              <w:rPr>
                <w:sz w:val="15"/>
              </w:rPr>
              <w:t>Wairimu et al., 2026; Yabarow &amp; Muathe, 2020</w:t>
            </w:r>
          </w:p>
        </w:tc>
      </w:tr>
      <w:tr w:rsidR="00823FE6" w14:paraId="06E85F72" w14:textId="77777777" w:rsidTr="000A5DBF">
        <w:trPr>
          <w:cantSplit/>
          <w:jc w:val="center"/>
        </w:trPr>
        <w:tc>
          <w:tcPr>
            <w:tcW w:w="629" w:type="pct"/>
            <w:tcMar>
              <w:top w:w="80" w:type="dxa"/>
              <w:left w:w="90" w:type="dxa"/>
              <w:bottom w:w="80" w:type="dxa"/>
              <w:right w:w="90" w:type="dxa"/>
            </w:tcMar>
            <w:vAlign w:val="center"/>
          </w:tcPr>
          <w:p w14:paraId="4E831971" w14:textId="77777777" w:rsidR="00823FE6" w:rsidRDefault="006D076A">
            <w:r>
              <w:rPr>
                <w:sz w:val="15"/>
              </w:rPr>
              <w:t>Subsector heterogeneity</w:t>
            </w:r>
          </w:p>
        </w:tc>
        <w:tc>
          <w:tcPr>
            <w:tcW w:w="839" w:type="pct"/>
            <w:tcMar>
              <w:top w:w="80" w:type="dxa"/>
              <w:left w:w="90" w:type="dxa"/>
              <w:bottom w:w="80" w:type="dxa"/>
              <w:right w:w="90" w:type="dxa"/>
            </w:tcMar>
            <w:vAlign w:val="center"/>
          </w:tcPr>
          <w:p w14:paraId="1673E336" w14:textId="77777777" w:rsidR="00823FE6" w:rsidRDefault="006D076A">
            <w:r>
              <w:rPr>
                <w:sz w:val="15"/>
              </w:rPr>
              <w:t>Energy firms pooled or generalised from one context</w:t>
            </w:r>
          </w:p>
        </w:tc>
        <w:tc>
          <w:tcPr>
            <w:tcW w:w="1084" w:type="pct"/>
            <w:tcMar>
              <w:top w:w="80" w:type="dxa"/>
              <w:left w:w="90" w:type="dxa"/>
              <w:bottom w:w="80" w:type="dxa"/>
              <w:right w:w="90" w:type="dxa"/>
            </w:tcMar>
            <w:vAlign w:val="center"/>
          </w:tcPr>
          <w:p w14:paraId="76E05C51" w14:textId="77777777" w:rsidR="00823FE6" w:rsidRDefault="006D076A">
            <w:r>
              <w:rPr>
                <w:sz w:val="15"/>
              </w:rPr>
              <w:t>Matched comparative studies across electricity, petroleum, LPG, solar and mini-grids</w:t>
            </w:r>
          </w:p>
        </w:tc>
        <w:tc>
          <w:tcPr>
            <w:tcW w:w="804" w:type="pct"/>
            <w:tcMar>
              <w:top w:w="80" w:type="dxa"/>
              <w:left w:w="90" w:type="dxa"/>
              <w:bottom w:w="80" w:type="dxa"/>
              <w:right w:w="90" w:type="dxa"/>
            </w:tcMar>
            <w:vAlign w:val="center"/>
          </w:tcPr>
          <w:p w14:paraId="18427721" w14:textId="77777777" w:rsidR="00823FE6" w:rsidRDefault="006D076A">
            <w:r>
              <w:rPr>
                <w:sz w:val="15"/>
              </w:rPr>
              <w:t>Common core outcomes plus subsector-specific KPIs</w:t>
            </w:r>
          </w:p>
        </w:tc>
        <w:tc>
          <w:tcPr>
            <w:tcW w:w="839" w:type="pct"/>
            <w:tcMar>
              <w:top w:w="80" w:type="dxa"/>
              <w:left w:w="90" w:type="dxa"/>
              <w:bottom w:w="80" w:type="dxa"/>
              <w:right w:w="90" w:type="dxa"/>
            </w:tcMar>
            <w:vAlign w:val="center"/>
          </w:tcPr>
          <w:p w14:paraId="48E0EF73" w14:textId="77777777" w:rsidR="00823FE6" w:rsidRDefault="006D076A">
            <w:r>
              <w:rPr>
                <w:sz w:val="15"/>
              </w:rPr>
              <w:t>Identifies where mechanisms change with regulation and technology</w:t>
            </w:r>
          </w:p>
        </w:tc>
        <w:tc>
          <w:tcPr>
            <w:tcW w:w="804" w:type="pct"/>
            <w:tcMar>
              <w:top w:w="80" w:type="dxa"/>
              <w:left w:w="90" w:type="dxa"/>
              <w:bottom w:w="80" w:type="dxa"/>
              <w:right w:w="90" w:type="dxa"/>
            </w:tcMar>
            <w:vAlign w:val="center"/>
          </w:tcPr>
          <w:p w14:paraId="784EED09" w14:textId="77777777" w:rsidR="00823FE6" w:rsidRDefault="006D076A">
            <w:r>
              <w:rPr>
                <w:sz w:val="15"/>
              </w:rPr>
              <w:t>Apergi et al., 2024; Gratwick &amp; Eberhard, 2008</w:t>
            </w:r>
          </w:p>
        </w:tc>
      </w:tr>
      <w:tr w:rsidR="00823FE6" w14:paraId="455C1605" w14:textId="77777777" w:rsidTr="000A5DBF">
        <w:trPr>
          <w:cantSplit/>
          <w:jc w:val="center"/>
        </w:trPr>
        <w:tc>
          <w:tcPr>
            <w:tcW w:w="629" w:type="pct"/>
            <w:tcMar>
              <w:top w:w="80" w:type="dxa"/>
              <w:left w:w="90" w:type="dxa"/>
              <w:bottom w:w="80" w:type="dxa"/>
              <w:right w:w="90" w:type="dxa"/>
            </w:tcMar>
            <w:vAlign w:val="center"/>
          </w:tcPr>
          <w:p w14:paraId="1BA23E8E" w14:textId="77777777" w:rsidR="00823FE6" w:rsidRDefault="006D076A">
            <w:r>
              <w:rPr>
                <w:sz w:val="15"/>
              </w:rPr>
              <w:t>Survivorship bias</w:t>
            </w:r>
          </w:p>
        </w:tc>
        <w:tc>
          <w:tcPr>
            <w:tcW w:w="839" w:type="pct"/>
            <w:tcMar>
              <w:top w:w="80" w:type="dxa"/>
              <w:left w:w="90" w:type="dxa"/>
              <w:bottom w:w="80" w:type="dxa"/>
              <w:right w:w="90" w:type="dxa"/>
            </w:tcMar>
            <w:vAlign w:val="center"/>
          </w:tcPr>
          <w:p w14:paraId="3A469285" w14:textId="77777777" w:rsidR="00823FE6" w:rsidRDefault="006D076A">
            <w:r>
              <w:rPr>
                <w:sz w:val="15"/>
              </w:rPr>
              <w:t>Visible or leading firms dominate case evidence</w:t>
            </w:r>
          </w:p>
        </w:tc>
        <w:tc>
          <w:tcPr>
            <w:tcW w:w="1084" w:type="pct"/>
            <w:tcMar>
              <w:top w:w="80" w:type="dxa"/>
              <w:left w:w="90" w:type="dxa"/>
              <w:bottom w:w="80" w:type="dxa"/>
              <w:right w:w="90" w:type="dxa"/>
            </w:tcMar>
            <w:vAlign w:val="center"/>
          </w:tcPr>
          <w:p w14:paraId="406FD65A" w14:textId="77777777" w:rsidR="00823FE6" w:rsidRDefault="006D076A">
            <w:r>
              <w:rPr>
                <w:sz w:val="15"/>
              </w:rPr>
              <w:t>Include exited, distressed and acquired firms; retrospective event histories</w:t>
            </w:r>
          </w:p>
        </w:tc>
        <w:tc>
          <w:tcPr>
            <w:tcW w:w="804" w:type="pct"/>
            <w:tcMar>
              <w:top w:w="80" w:type="dxa"/>
              <w:left w:w="90" w:type="dxa"/>
              <w:bottom w:w="80" w:type="dxa"/>
              <w:right w:w="90" w:type="dxa"/>
            </w:tcMar>
            <w:vAlign w:val="center"/>
          </w:tcPr>
          <w:p w14:paraId="1D7F12F7" w14:textId="77777777" w:rsidR="00823FE6" w:rsidRDefault="006D076A">
            <w:r>
              <w:rPr>
                <w:sz w:val="15"/>
              </w:rPr>
              <w:t>Entry, exit, restructuring, subsidy and financing data</w:t>
            </w:r>
          </w:p>
        </w:tc>
        <w:tc>
          <w:tcPr>
            <w:tcW w:w="839" w:type="pct"/>
            <w:tcMar>
              <w:top w:w="80" w:type="dxa"/>
              <w:left w:w="90" w:type="dxa"/>
              <w:bottom w:w="80" w:type="dxa"/>
              <w:right w:w="90" w:type="dxa"/>
            </w:tcMar>
            <w:vAlign w:val="center"/>
          </w:tcPr>
          <w:p w14:paraId="2F074029" w14:textId="77777777" w:rsidR="00823FE6" w:rsidRDefault="006D076A">
            <w:r>
              <w:rPr>
                <w:sz w:val="15"/>
              </w:rPr>
              <w:t>Reveals failed strategies and selection mechanisms</w:t>
            </w:r>
          </w:p>
        </w:tc>
        <w:tc>
          <w:tcPr>
            <w:tcW w:w="804" w:type="pct"/>
            <w:tcMar>
              <w:top w:w="80" w:type="dxa"/>
              <w:left w:w="90" w:type="dxa"/>
              <w:bottom w:w="80" w:type="dxa"/>
              <w:right w:w="90" w:type="dxa"/>
            </w:tcMar>
            <w:vAlign w:val="center"/>
          </w:tcPr>
          <w:p w14:paraId="443521BD" w14:textId="77777777" w:rsidR="00823FE6" w:rsidRDefault="006D076A">
            <w:r>
              <w:rPr>
                <w:sz w:val="15"/>
              </w:rPr>
              <w:t>Foss &amp; Saebi, 2017; Ogeya et al., 2025</w:t>
            </w:r>
          </w:p>
        </w:tc>
      </w:tr>
      <w:tr w:rsidR="00823FE6" w14:paraId="06034C46" w14:textId="77777777" w:rsidTr="000A5DBF">
        <w:trPr>
          <w:cantSplit/>
          <w:jc w:val="center"/>
        </w:trPr>
        <w:tc>
          <w:tcPr>
            <w:tcW w:w="629" w:type="pct"/>
            <w:tcMar>
              <w:top w:w="80" w:type="dxa"/>
              <w:left w:w="90" w:type="dxa"/>
              <w:bottom w:w="80" w:type="dxa"/>
              <w:right w:w="90" w:type="dxa"/>
            </w:tcMar>
            <w:vAlign w:val="center"/>
          </w:tcPr>
          <w:p w14:paraId="78C586CB" w14:textId="77777777" w:rsidR="00823FE6" w:rsidRDefault="006D076A">
            <w:r>
              <w:rPr>
                <w:sz w:val="15"/>
              </w:rPr>
              <w:t>Performance ambiguity</w:t>
            </w:r>
          </w:p>
        </w:tc>
        <w:tc>
          <w:tcPr>
            <w:tcW w:w="839" w:type="pct"/>
            <w:tcMar>
              <w:top w:w="80" w:type="dxa"/>
              <w:left w:w="90" w:type="dxa"/>
              <w:bottom w:w="80" w:type="dxa"/>
              <w:right w:w="90" w:type="dxa"/>
            </w:tcMar>
            <w:vAlign w:val="center"/>
          </w:tcPr>
          <w:p w14:paraId="4CD116CD" w14:textId="77777777" w:rsidR="00823FE6" w:rsidRDefault="006D076A">
            <w:r>
              <w:rPr>
                <w:sz w:val="15"/>
              </w:rPr>
              <w:t>Composite perceptual performance scores</w:t>
            </w:r>
          </w:p>
        </w:tc>
        <w:tc>
          <w:tcPr>
            <w:tcW w:w="1084" w:type="pct"/>
            <w:tcMar>
              <w:top w:w="80" w:type="dxa"/>
              <w:left w:w="90" w:type="dxa"/>
              <w:bottom w:w="80" w:type="dxa"/>
              <w:right w:w="90" w:type="dxa"/>
            </w:tcMar>
            <w:vAlign w:val="center"/>
          </w:tcPr>
          <w:p w14:paraId="0C649676" w14:textId="77777777" w:rsidR="00823FE6" w:rsidRDefault="006D076A">
            <w:r>
              <w:rPr>
                <w:sz w:val="15"/>
              </w:rPr>
              <w:t>Pre-specified multidimensional scorecard with separate domains</w:t>
            </w:r>
          </w:p>
        </w:tc>
        <w:tc>
          <w:tcPr>
            <w:tcW w:w="804" w:type="pct"/>
            <w:tcMar>
              <w:top w:w="80" w:type="dxa"/>
              <w:left w:w="90" w:type="dxa"/>
              <w:bottom w:w="80" w:type="dxa"/>
              <w:right w:w="90" w:type="dxa"/>
            </w:tcMar>
            <w:vAlign w:val="center"/>
          </w:tcPr>
          <w:p w14:paraId="09ECD422" w14:textId="77777777" w:rsidR="00823FE6" w:rsidRDefault="006D076A">
            <w:r>
              <w:rPr>
                <w:sz w:val="15"/>
              </w:rPr>
              <w:t>Profitability, reliability, safety, service, project and access outcomes</w:t>
            </w:r>
          </w:p>
        </w:tc>
        <w:tc>
          <w:tcPr>
            <w:tcW w:w="839" w:type="pct"/>
            <w:tcMar>
              <w:top w:w="80" w:type="dxa"/>
              <w:left w:w="90" w:type="dxa"/>
              <w:bottom w:w="80" w:type="dxa"/>
              <w:right w:w="90" w:type="dxa"/>
            </w:tcMar>
            <w:vAlign w:val="center"/>
          </w:tcPr>
          <w:p w14:paraId="5D92D6B8" w14:textId="77777777" w:rsidR="00823FE6" w:rsidRDefault="006D076A">
            <w:r>
              <w:rPr>
                <w:sz w:val="15"/>
              </w:rPr>
              <w:t>Prevents trade-offs from being hidden in one index</w:t>
            </w:r>
          </w:p>
        </w:tc>
        <w:tc>
          <w:tcPr>
            <w:tcW w:w="804" w:type="pct"/>
            <w:tcMar>
              <w:top w:w="80" w:type="dxa"/>
              <w:left w:w="90" w:type="dxa"/>
              <w:bottom w:w="80" w:type="dxa"/>
              <w:right w:w="90" w:type="dxa"/>
            </w:tcMar>
            <w:vAlign w:val="center"/>
          </w:tcPr>
          <w:p w14:paraId="65443DCA" w14:textId="77777777" w:rsidR="00823FE6" w:rsidRDefault="006D076A">
            <w:r>
              <w:rPr>
                <w:sz w:val="15"/>
              </w:rPr>
              <w:t>EPRA, 2024; Richard et al., 2009</w:t>
            </w:r>
          </w:p>
        </w:tc>
      </w:tr>
      <w:tr w:rsidR="00823FE6" w14:paraId="6E4D2AED" w14:textId="77777777" w:rsidTr="000A5DBF">
        <w:trPr>
          <w:cantSplit/>
          <w:jc w:val="center"/>
        </w:trPr>
        <w:tc>
          <w:tcPr>
            <w:tcW w:w="629" w:type="pct"/>
            <w:tcMar>
              <w:top w:w="80" w:type="dxa"/>
              <w:left w:w="90" w:type="dxa"/>
              <w:bottom w:w="80" w:type="dxa"/>
              <w:right w:w="90" w:type="dxa"/>
            </w:tcMar>
            <w:vAlign w:val="center"/>
          </w:tcPr>
          <w:p w14:paraId="4791BD65" w14:textId="77777777" w:rsidR="00823FE6" w:rsidRDefault="006D076A">
            <w:r>
              <w:rPr>
                <w:sz w:val="15"/>
              </w:rPr>
              <w:t>Mechanism uncertainty</w:t>
            </w:r>
          </w:p>
        </w:tc>
        <w:tc>
          <w:tcPr>
            <w:tcW w:w="839" w:type="pct"/>
            <w:tcMar>
              <w:top w:w="80" w:type="dxa"/>
              <w:left w:w="90" w:type="dxa"/>
              <w:bottom w:w="80" w:type="dxa"/>
              <w:right w:w="90" w:type="dxa"/>
            </w:tcMar>
            <w:vAlign w:val="center"/>
          </w:tcPr>
          <w:p w14:paraId="3D1BACB9" w14:textId="77777777" w:rsidR="00823FE6" w:rsidRDefault="006D076A">
            <w:r>
              <w:rPr>
                <w:sz w:val="15"/>
              </w:rPr>
              <w:t>Regression links broad strategy labels to broad performance</w:t>
            </w:r>
          </w:p>
        </w:tc>
        <w:tc>
          <w:tcPr>
            <w:tcW w:w="1084" w:type="pct"/>
            <w:tcMar>
              <w:top w:w="80" w:type="dxa"/>
              <w:left w:w="90" w:type="dxa"/>
              <w:bottom w:w="80" w:type="dxa"/>
              <w:right w:w="90" w:type="dxa"/>
            </w:tcMar>
            <w:vAlign w:val="center"/>
          </w:tcPr>
          <w:p w14:paraId="69BE17A9" w14:textId="77777777" w:rsidR="00823FE6" w:rsidRDefault="006D076A">
            <w:r>
              <w:rPr>
                <w:sz w:val="15"/>
              </w:rPr>
              <w:t>Mediation and process studies with validated constructs and qualitative triangulation</w:t>
            </w:r>
          </w:p>
        </w:tc>
        <w:tc>
          <w:tcPr>
            <w:tcW w:w="804" w:type="pct"/>
            <w:tcMar>
              <w:top w:w="80" w:type="dxa"/>
              <w:left w:w="90" w:type="dxa"/>
              <w:bottom w:w="80" w:type="dxa"/>
              <w:right w:w="90" w:type="dxa"/>
            </w:tcMar>
            <w:vAlign w:val="center"/>
          </w:tcPr>
          <w:p w14:paraId="3C9EA229" w14:textId="77777777" w:rsidR="00823FE6" w:rsidRDefault="006D076A">
            <w:r>
              <w:rPr>
                <w:sz w:val="15"/>
              </w:rPr>
              <w:t>Capabilities, implementation quality, customer response, partner governance</w:t>
            </w:r>
          </w:p>
        </w:tc>
        <w:tc>
          <w:tcPr>
            <w:tcW w:w="839" w:type="pct"/>
            <w:tcMar>
              <w:top w:w="80" w:type="dxa"/>
              <w:left w:w="90" w:type="dxa"/>
              <w:bottom w:w="80" w:type="dxa"/>
              <w:right w:w="90" w:type="dxa"/>
            </w:tcMar>
            <w:vAlign w:val="center"/>
          </w:tcPr>
          <w:p w14:paraId="2CBFCAB9" w14:textId="77777777" w:rsidR="00823FE6" w:rsidRDefault="006D076A">
            <w:r>
              <w:rPr>
                <w:sz w:val="15"/>
              </w:rPr>
              <w:t>Shows how and why strategy works</w:t>
            </w:r>
          </w:p>
        </w:tc>
        <w:tc>
          <w:tcPr>
            <w:tcW w:w="804" w:type="pct"/>
            <w:tcMar>
              <w:top w:w="80" w:type="dxa"/>
              <w:left w:w="90" w:type="dxa"/>
              <w:bottom w:w="80" w:type="dxa"/>
              <w:right w:w="90" w:type="dxa"/>
            </w:tcMar>
            <w:vAlign w:val="center"/>
          </w:tcPr>
          <w:p w14:paraId="54D0EE27" w14:textId="77777777" w:rsidR="00823FE6" w:rsidRDefault="006D076A">
            <w:r>
              <w:rPr>
                <w:sz w:val="15"/>
              </w:rPr>
              <w:t>Morgan et al., 2009; Olson et al., 2005</w:t>
            </w:r>
          </w:p>
        </w:tc>
      </w:tr>
      <w:tr w:rsidR="00823FE6" w14:paraId="4066AE7A" w14:textId="77777777" w:rsidTr="000A5DBF">
        <w:trPr>
          <w:cantSplit/>
          <w:jc w:val="center"/>
        </w:trPr>
        <w:tc>
          <w:tcPr>
            <w:tcW w:w="629" w:type="pct"/>
            <w:tcMar>
              <w:top w:w="80" w:type="dxa"/>
              <w:left w:w="90" w:type="dxa"/>
              <w:bottom w:w="80" w:type="dxa"/>
              <w:right w:w="90" w:type="dxa"/>
            </w:tcMar>
            <w:vAlign w:val="center"/>
          </w:tcPr>
          <w:p w14:paraId="2174C15B" w14:textId="77777777" w:rsidR="00823FE6" w:rsidRDefault="006D076A">
            <w:r>
              <w:rPr>
                <w:sz w:val="15"/>
              </w:rPr>
              <w:t>Regulatory contingency</w:t>
            </w:r>
          </w:p>
        </w:tc>
        <w:tc>
          <w:tcPr>
            <w:tcW w:w="839" w:type="pct"/>
            <w:tcMar>
              <w:top w:w="80" w:type="dxa"/>
              <w:left w:w="90" w:type="dxa"/>
              <w:bottom w:w="80" w:type="dxa"/>
              <w:right w:w="90" w:type="dxa"/>
            </w:tcMar>
            <w:vAlign w:val="center"/>
          </w:tcPr>
          <w:p w14:paraId="172A9242" w14:textId="77777777" w:rsidR="00823FE6" w:rsidRDefault="006D076A">
            <w:r>
              <w:rPr>
                <w:sz w:val="15"/>
              </w:rPr>
              <w:t>Regulation treated as background</w:t>
            </w:r>
          </w:p>
        </w:tc>
        <w:tc>
          <w:tcPr>
            <w:tcW w:w="1084" w:type="pct"/>
            <w:tcMar>
              <w:top w:w="80" w:type="dxa"/>
              <w:left w:w="90" w:type="dxa"/>
              <w:bottom w:w="80" w:type="dxa"/>
              <w:right w:w="90" w:type="dxa"/>
            </w:tcMar>
            <w:vAlign w:val="center"/>
          </w:tcPr>
          <w:p w14:paraId="5739AB6B" w14:textId="77777777" w:rsidR="00823FE6" w:rsidRDefault="006D076A">
            <w:r>
              <w:rPr>
                <w:sz w:val="15"/>
              </w:rPr>
              <w:t>Quasi-experiments around tariff, licensing, procurement or grid-extension changes</w:t>
            </w:r>
          </w:p>
        </w:tc>
        <w:tc>
          <w:tcPr>
            <w:tcW w:w="804" w:type="pct"/>
            <w:tcMar>
              <w:top w:w="80" w:type="dxa"/>
              <w:left w:w="90" w:type="dxa"/>
              <w:bottom w:w="80" w:type="dxa"/>
              <w:right w:w="90" w:type="dxa"/>
            </w:tcMar>
            <w:vAlign w:val="center"/>
          </w:tcPr>
          <w:p w14:paraId="5A71FF9C" w14:textId="77777777" w:rsidR="00823FE6" w:rsidRDefault="006D076A">
            <w:r>
              <w:rPr>
                <w:sz w:val="15"/>
              </w:rPr>
              <w:t>Firm exposure, investment, prices, service quality and survival</w:t>
            </w:r>
          </w:p>
        </w:tc>
        <w:tc>
          <w:tcPr>
            <w:tcW w:w="839" w:type="pct"/>
            <w:tcMar>
              <w:top w:w="80" w:type="dxa"/>
              <w:left w:w="90" w:type="dxa"/>
              <w:bottom w:w="80" w:type="dxa"/>
              <w:right w:w="90" w:type="dxa"/>
            </w:tcMar>
            <w:vAlign w:val="center"/>
          </w:tcPr>
          <w:p w14:paraId="6267F869" w14:textId="77777777" w:rsidR="00823FE6" w:rsidRDefault="006D076A">
            <w:r>
              <w:rPr>
                <w:sz w:val="15"/>
              </w:rPr>
              <w:t>Tests institutional boundary conditions</w:t>
            </w:r>
          </w:p>
        </w:tc>
        <w:tc>
          <w:tcPr>
            <w:tcW w:w="804" w:type="pct"/>
            <w:tcMar>
              <w:top w:w="80" w:type="dxa"/>
              <w:left w:w="90" w:type="dxa"/>
              <w:bottom w:w="80" w:type="dxa"/>
              <w:right w:w="90" w:type="dxa"/>
            </w:tcMar>
            <w:vAlign w:val="center"/>
          </w:tcPr>
          <w:p w14:paraId="49B1ADD5" w14:textId="77777777" w:rsidR="00823FE6" w:rsidRDefault="006D076A">
            <w:r>
              <w:rPr>
                <w:sz w:val="15"/>
              </w:rPr>
              <w:t>Dutt &amp; Joseph, 2019; Pueyo, 2018</w:t>
            </w:r>
          </w:p>
        </w:tc>
      </w:tr>
    </w:tbl>
    <w:p w14:paraId="3E405FF4" w14:textId="77777777" w:rsidR="00823FE6" w:rsidRDefault="006D076A">
      <w:pPr>
        <w:pStyle w:val="TableNote"/>
      </w:pPr>
      <w:r>
        <w:rPr>
          <w:i/>
        </w:rPr>
        <w:t>Note. KPI = key performance indicator. Formal risk-of-bias scores were not assigned because the evidence base is heterogeneous.</w:t>
      </w:r>
    </w:p>
    <w:p w14:paraId="46ADE11E" w14:textId="77777777" w:rsidR="00823FE6" w:rsidRDefault="00823FE6">
      <w:pPr>
        <w:spacing w:after="0"/>
      </w:pPr>
    </w:p>
    <w:p w14:paraId="17A20EB2" w14:textId="77777777" w:rsidR="00823FE6" w:rsidRDefault="006D076A">
      <w:pPr>
        <w:pStyle w:val="Heading1"/>
      </w:pPr>
      <w:r>
        <w:t>9. Integrated Synthesis and Implications</w:t>
      </w:r>
    </w:p>
    <w:p w14:paraId="3F1A917D" w14:textId="77777777" w:rsidR="00823FE6" w:rsidRDefault="006D076A">
      <w:pPr>
        <w:pStyle w:val="Heading2"/>
      </w:pPr>
      <w:r>
        <w:t>9.1 An Integrated Contingency Model</w:t>
      </w:r>
    </w:p>
    <w:p w14:paraId="794C458B" w14:textId="77777777" w:rsidR="00823FE6" w:rsidRDefault="006D076A">
      <w:pPr>
        <w:pStyle w:val="BodyText"/>
        <w:jc w:val="both"/>
      </w:pPr>
      <w:r>
        <w:t>The reviewed evidence supports an integrated contingency model rather than a universal ranking of strategies. Firm performance arises when four layers align. The first is competitive positioning: the target customer or contracting arena and the value proposition. The second is the capability system: assets, people, data, finance, and routines required to deliver that proposition. The third is the business model: the architecture through which value is delivered and captured. The fourth is institutional fit: compatibility with tariffs, licences, procurement, public mandates, community expectations, and partner arrangements. Weakness in any layer can neutralise strength in the others.</w:t>
      </w:r>
    </w:p>
    <w:p w14:paraId="7E14DD3A" w14:textId="77777777" w:rsidR="00823FE6" w:rsidRDefault="006D076A">
      <w:pPr>
        <w:pStyle w:val="BodyText"/>
        <w:ind w:firstLine="432"/>
        <w:jc w:val="both"/>
      </w:pPr>
      <w:r>
        <w:lastRenderedPageBreak/>
        <w:t>This model reconciles apparently conflicting findings. Positive associations for pricing, corporate strategy, technology, collaboration, and strategic clarity are not evidence that every practice independently increases performance. They may indicate that well-managed firms possess coherent configurations across multiple layers. The low overall strategy effect in LPG firms can be explained by binding external constraints and uneven implementation. Non-significant effects for innovation and risk-taking in solar firms can be explained by the absence of complementary capabilities or by misalignment with market conditions. Mini-grid studies show that business-model adaptation matters precisely because the institutional and demand environment is unstable.</w:t>
      </w:r>
    </w:p>
    <w:p w14:paraId="01780478" w14:textId="77777777" w:rsidR="00823FE6" w:rsidRDefault="006D076A">
      <w:pPr>
        <w:pStyle w:val="BodyText"/>
        <w:ind w:firstLine="432"/>
        <w:jc w:val="both"/>
      </w:pPr>
      <w:r>
        <w:t>The model also clarifies the role of regulation. Regulation does not eliminate strategy; it changes the arena in which strategy operates. Under price caps, advantage moves towards cost control, service, network coverage, and ancillary value. Under procurement and long-term contracts, advantage moves towards project origination, bidding, financing, construction, and operational reliability. Under uncertain mini-grid rules, advantage includes policy intelligence, partnership, and adaptable asset and revenue models. Regulation is therefore both a constraint and a source of strategic heterogeneity.</w:t>
      </w:r>
    </w:p>
    <w:p w14:paraId="74500F96" w14:textId="77777777" w:rsidR="00823FE6" w:rsidRDefault="006D076A">
      <w:pPr>
        <w:pStyle w:val="Heading2"/>
      </w:pPr>
      <w:r>
        <w:t>9.2 Managerial Implications</w:t>
      </w:r>
    </w:p>
    <w:p w14:paraId="3E72DCD6" w14:textId="77777777" w:rsidR="00823FE6" w:rsidRDefault="006D076A">
      <w:pPr>
        <w:pStyle w:val="BodyText"/>
        <w:jc w:val="both"/>
      </w:pPr>
      <w:r>
        <w:t>Managers should begin with a precise performance logic. A strategy document should state which outcomes are expected to change, through which mechanisms, over what time horizon, and with which risks. For cost leadership, this requires lifecycle cost maps rather than generic efficiency claims. For differentiation, it requires evidence that customers or contracting authorities value the proposed attributes and that operations can deliver them consistently. For focus, it requires segment-level unit economics and service-cost estimates.</w:t>
      </w:r>
    </w:p>
    <w:p w14:paraId="578EDFF9" w14:textId="77777777" w:rsidR="00823FE6" w:rsidRDefault="006D076A">
      <w:pPr>
        <w:pStyle w:val="BodyText"/>
        <w:ind w:firstLine="432"/>
        <w:jc w:val="both"/>
      </w:pPr>
      <w:r>
        <w:t>Firms should manage strategy as a portfolio of linked capabilities. Petroleum marketers need to connect pricing, supply, inventory, network design, digital systems, and customer propositions. Electricity organisations need to connect technical planning, procurement, finance, project management, maintenance, and customer outcomes. Off-grid firms need to connect product design, consumer finance, field service, payment data, and community relationships. Investments should be evaluated for complementarity; isolated technologies or marketing campaigns are unlikely to create durable advantage.</w:t>
      </w:r>
    </w:p>
    <w:p w14:paraId="1F333252" w14:textId="77777777" w:rsidR="00823FE6" w:rsidRDefault="006D076A">
      <w:pPr>
        <w:pStyle w:val="BodyText"/>
        <w:ind w:firstLine="432"/>
        <w:jc w:val="both"/>
      </w:pPr>
      <w:r>
        <w:t>A balanced performance system is essential. Financial metrics should be reported alongside reliability, safety, customer, project, and sustainability outcomes. Leading indicators, such as maintenance backlog, response time, repayment quality, partner performance, and staff capability, should be linked to lagging outcomes. This helps prevent apparent short-term gains from masking future deterioration. It also enables boards and regulators to distinguish strategic experimentation from unmanaged variance.</w:t>
      </w:r>
    </w:p>
    <w:p w14:paraId="0A1E259F" w14:textId="77777777" w:rsidR="00823FE6" w:rsidRDefault="006D076A">
      <w:pPr>
        <w:pStyle w:val="BodyText"/>
        <w:ind w:firstLine="432"/>
        <w:jc w:val="both"/>
      </w:pPr>
      <w:r>
        <w:t>Collaboration should be governed through explicit value and risk allocation. Firms should specify which capability a partner contributes, how performance will be measured, who owns data and customer relationships, how disputes are resolved, and how the arrangement can be exited. This is particularly important where infrastructure sharing, franchise models, joint ventures, and public-private relationships create long-term dependency. The strongest collaboration is not the one with the most partners, but the one that closes a critical capability gap at acceptable governance cost.</w:t>
      </w:r>
    </w:p>
    <w:p w14:paraId="4195F038" w14:textId="77777777" w:rsidR="00823FE6" w:rsidRDefault="006D076A">
      <w:pPr>
        <w:pStyle w:val="Heading2"/>
      </w:pPr>
      <w:r>
        <w:t>9.3 Policy and Regulatory Implications</w:t>
      </w:r>
    </w:p>
    <w:p w14:paraId="302D7BAC" w14:textId="77777777" w:rsidR="00823FE6" w:rsidRDefault="006D076A">
      <w:pPr>
        <w:pStyle w:val="BodyText"/>
        <w:jc w:val="both"/>
      </w:pPr>
      <w:r>
        <w:t>Policy should promote productive competition without assuming that formal liberalisation automatically produces performance. African independent-power evidence shows that planning, procurement, regulatory capability, and off-taker credibility shape investment more strongly than market labels alone (Eberhard et al., 2017). Kenya's policy priorities should therefore include predictable rules, transparent procurement, credible connection planning, and performance data that allow investors and the public to evaluate outcomes.</w:t>
      </w:r>
    </w:p>
    <w:p w14:paraId="5BEE3B77" w14:textId="77777777" w:rsidR="00823FE6" w:rsidRDefault="006D076A">
      <w:pPr>
        <w:pStyle w:val="BodyText"/>
        <w:ind w:firstLine="432"/>
        <w:jc w:val="both"/>
      </w:pPr>
      <w:r>
        <w:lastRenderedPageBreak/>
        <w:t>Regulators can improve strategy-performance research by expanding accessible firm and subsector data while protecting commercial confidentiality. Consistent indicators on reliability, safety, market shares, service quality, project delivery, complaints, and licence compliance would support benchmarking and reduce dependence on perceptions. EPRA's sector statistics provide a foundation, but research value would increase through machine-readable historical series and clear firm-level definitions where legally permissible (EPRA, 2024).</w:t>
      </w:r>
    </w:p>
    <w:p w14:paraId="5D6C3718" w14:textId="77777777" w:rsidR="00823FE6" w:rsidRDefault="006D076A">
      <w:pPr>
        <w:pStyle w:val="BodyText"/>
        <w:ind w:firstLine="432"/>
        <w:jc w:val="both"/>
      </w:pPr>
      <w:r>
        <w:t>Mini-grid and off-grid policy should acknowledge the risk of grid arrival, demand uncertainty, and social-service obligations. Clear compensation, integration, or transition rules can reduce strategic uncertainty and financing costs. Consumer protection should accompany digital finance and PAYGo expansion through transparent pricing, fair collection practices, quality standards, and service obligations. Such rules need not suppress innovation; predictable standards can strengthen trust and reward firms that compete on genuine value.</w:t>
      </w:r>
    </w:p>
    <w:p w14:paraId="1B8A7F05" w14:textId="77777777" w:rsidR="00823FE6" w:rsidRDefault="006D076A">
      <w:pPr>
        <w:pStyle w:val="BodyText"/>
        <w:ind w:firstLine="432"/>
        <w:jc w:val="both"/>
      </w:pPr>
      <w:r>
        <w:t>State corporations require performance governance that reflects both public mandate and organisational viability. Targets should avoid conflicting instructions such as universal expansion without funding, low prices without cost recovery, or rapid procurement without lifecycle controls. Strategic clarity is meaningful only when mandates, budgets, authority, and accountability are aligned. The Ministry's transition planning and sector strategies can provide direction, but firm-level performance contracts should translate that direction into measurable and feasible outcomes (Ministry of Energy and Petroleum, 2023).</w:t>
      </w:r>
    </w:p>
    <w:p w14:paraId="2B379A7D" w14:textId="77777777" w:rsidR="00823FE6" w:rsidRDefault="006D076A">
      <w:pPr>
        <w:pStyle w:val="Heading1"/>
      </w:pPr>
      <w:r>
        <w:t>10. Future Directions</w:t>
      </w:r>
    </w:p>
    <w:p w14:paraId="0F2E85AE" w14:textId="77777777" w:rsidR="00823FE6" w:rsidRDefault="006D076A">
      <w:pPr>
        <w:pStyle w:val="BodyText"/>
        <w:jc w:val="both"/>
      </w:pPr>
      <w:r>
        <w:t>The immediate research priority is a longitudinal Kenya energy-firm panel. Strategy choices should be dated and linked to audited financial outcomes, operational indicators, market data, and regulatory events over multiple years. A panel would permit firm fixed effects, lagged models, and tests of whether strategy changes precede performance changes. The design should cover multiple subsectors and include smaller regional firms, public entities, private companies, and firms that exit or restructure.</w:t>
      </w:r>
    </w:p>
    <w:p w14:paraId="06CB16A4" w14:textId="77777777" w:rsidR="00823FE6" w:rsidRDefault="006D076A">
      <w:pPr>
        <w:pStyle w:val="BodyText"/>
        <w:ind w:firstLine="432"/>
        <w:jc w:val="both"/>
      </w:pPr>
      <w:r>
        <w:t>A second priority is quasi-experimental evaluation of regulatory and market changes. Tariff revisions, licensing reforms, procurement transitions, digital-meter roll-outs, network extensions, and changes in LPG or petroleum rules can create differential exposure across firms. Difference-in-differences, interrupted time-series, or matched-control designs could estimate effects on investment, cost, reliability, market share, safety, and survival. Such work would clarify when regulation constrains strategy and when it rewards superior adaptation.</w:t>
      </w:r>
    </w:p>
    <w:p w14:paraId="38304E6C" w14:textId="77777777" w:rsidR="00823FE6" w:rsidRDefault="006D076A">
      <w:pPr>
        <w:pStyle w:val="BodyText"/>
        <w:ind w:firstLine="432"/>
        <w:jc w:val="both"/>
      </w:pPr>
      <w:r>
        <w:t>Third, research should establish a common performance taxonomy. A core framework should separate financial, market, operational, project, customer, safety, environmental, and access outcomes, while permitting subsector-specific indicators. Studies should report each domain separately before constructing composite scores. This would improve comparability and expose trade-offs that are currently hidden in broad perceptual measures.</w:t>
      </w:r>
    </w:p>
    <w:p w14:paraId="303D4B98" w14:textId="77777777" w:rsidR="00823FE6" w:rsidRDefault="006D076A">
      <w:pPr>
        <w:pStyle w:val="BodyText"/>
        <w:ind w:firstLine="432"/>
        <w:jc w:val="both"/>
      </w:pPr>
      <w:r>
        <w:t>Fourth, business-model research should examine unit economics and customer outcomes together. PAYGo and mini-grid studies need cohort-level payment data, service uptime, customer retention, maintenance cost, subsidy exposure, productive-use growth, and household or enterprise welfare indicators. Comparative designs should include firms with different ownership models and firms that withdrew. This would distinguish scalable commercial innovation from models sustained by temporary capital or selective case visibility.</w:t>
      </w:r>
    </w:p>
    <w:p w14:paraId="3A89CF33" w14:textId="77777777" w:rsidR="00823FE6" w:rsidRDefault="006D076A">
      <w:pPr>
        <w:pStyle w:val="BodyText"/>
        <w:ind w:firstLine="432"/>
        <w:jc w:val="both"/>
      </w:pPr>
      <w:r>
        <w:t xml:space="preserve">Fifth, collaboration research should move beyond direct-effect questionnaires. Network analysis can map infrastructure, financing, distribution, and knowledge relationships; contract analysis can identify risk allocation; and longitudinal case studies can examine partner formation, conflict, adaptation, and dissolution. </w:t>
      </w:r>
      <w:r>
        <w:lastRenderedPageBreak/>
        <w:t>Performance should be assessed net of alliance-management and integration costs. This would test whether collaborations create complementary capability or merely correlate with firm size and reputation.</w:t>
      </w:r>
    </w:p>
    <w:p w14:paraId="53DEAE38" w14:textId="77777777" w:rsidR="00823FE6" w:rsidRDefault="006D076A">
      <w:pPr>
        <w:pStyle w:val="BodyText"/>
        <w:ind w:firstLine="432"/>
        <w:jc w:val="both"/>
      </w:pPr>
      <w:r>
        <w:t>Sixth, implementation studies should investigate cross-functional mechanisms. Multi-informant data from boards, executives, technical staff, commercial teams, and frontline employees can test whether strategic clarity improves decision quality, coordination, and execution. Mediation models should be used only with temporal data and validated constructs. Qualitative process tracing can identify where intended strategy is altered by budgeting, procurement, regulation, or operational emergencies.</w:t>
      </w:r>
    </w:p>
    <w:p w14:paraId="20CE7A41" w14:textId="77777777" w:rsidR="00823FE6" w:rsidRDefault="006D076A">
      <w:pPr>
        <w:pStyle w:val="BodyText"/>
        <w:ind w:firstLine="432"/>
        <w:jc w:val="both"/>
      </w:pPr>
      <w:r>
        <w:t>Longer-term research should integrate competitive strategy with energy-transition justice. Firms may improve profitability while shifting risk to consumers, communities, workers, or the public balance sheet. Studies should evaluate affordability, service exclusion, safety, local value creation, and environmental outcomes alongside firm performance. The aim is not to replace commercial analysis with social evaluation, but to identify strategies that remain legitimate and investable because they create durable value across stakeholders.</w:t>
      </w:r>
    </w:p>
    <w:p w14:paraId="2C34D646" w14:textId="77777777" w:rsidR="00823FE6" w:rsidRDefault="006D076A">
      <w:pPr>
        <w:pStyle w:val="Heading1"/>
      </w:pPr>
      <w:r>
        <w:t>11. Conclusions</w:t>
      </w:r>
    </w:p>
    <w:p w14:paraId="020CF9ED" w14:textId="77777777" w:rsidR="00823FE6" w:rsidRDefault="006D076A">
      <w:pPr>
        <w:pStyle w:val="BodyText"/>
        <w:jc w:val="both"/>
      </w:pPr>
      <w:r>
        <w:t>The empirical literature indicates that competitive strategy is associated with firm performance in Kenya's energy sector, but the relationship is contingent and the causal evidence is weak. Cost leadership is most defensible when understood as lifecycle cost control, logistics efficiency, asset utilisation, procurement discipline, and loss reduction. Differentiation operates through reliability, safety, convenience, service, digital interfaces, and clean-energy positioning. Focus strategies enable firms to serve rural, low-income, institutional, or specialised customers, but they remain constrained by demand density, affordability, and service cost. Innovation and collaboration can improve resilience and capability, although neither guarantees performance without organisational alignment and institutional fit.</w:t>
      </w:r>
    </w:p>
    <w:p w14:paraId="46DC98F1" w14:textId="77777777" w:rsidR="00823FE6" w:rsidRDefault="006D076A">
      <w:pPr>
        <w:pStyle w:val="BodyText"/>
        <w:ind w:firstLine="432"/>
        <w:jc w:val="both"/>
      </w:pPr>
      <w:r>
        <w:t>The strongest synthesis is that isolated strategic practices are less important than coherent configurations. Positioning must be supported by resources and dynamic capabilities; the business model must capture value without undermining customers or service quality; and the configuration must fit regulatory, contractual, and public-mandate conditions. This explains why similar strategic labels produce different outcomes across petroleum, LPG, electricity, solar, and mini-grid firms.</w:t>
      </w:r>
    </w:p>
    <w:p w14:paraId="17E436F6" w14:textId="77777777" w:rsidR="00823FE6" w:rsidRDefault="006D076A">
      <w:pPr>
        <w:pStyle w:val="BodyText"/>
        <w:ind w:firstLine="432"/>
        <w:jc w:val="both"/>
      </w:pPr>
      <w:r>
        <w:t>Current Kenya-specific studies provide useful exploratory evidence and valuable mechanism insight, but most rely on cross-sectional perceptions and cannot establish temporal or causal effects. Firm performance should be measured across financial, operational, market, project, customer, safety, social, and environmental domains. More reliable guidance requires longitudinal and quasi-experimental designs, objective data, inclusion of failed firms, and explicit comparison across subsectors. Until such evidence is available, managers and policymakers should treat reported positive associations as hypotheses for disciplined implementation and measurement rather than universal prescriptions.</w:t>
      </w:r>
    </w:p>
    <w:p w14:paraId="291D4AF1" w14:textId="77777777" w:rsidR="00823FE6" w:rsidRDefault="006D076A">
      <w:pPr>
        <w:pStyle w:val="Heading1"/>
      </w:pPr>
      <w:r>
        <w:t>12. Limitations</w:t>
      </w:r>
    </w:p>
    <w:p w14:paraId="63D0D5A4" w14:textId="77777777" w:rsidR="00823FE6" w:rsidRDefault="006D076A">
      <w:pPr>
        <w:pStyle w:val="BodyText"/>
        <w:jc w:val="both"/>
      </w:pPr>
      <w:r>
        <w:t>As a critical narrative review, this article is intrinsically vulnerable to selection and interpretive bias despite transparent search concepts, source verification, and structured appraisal. Complete subscription-database exports were not available, and the synthesis was restricted to English-language material that could be identified and verified through accessible scholarly and institutional sources. The evidence base is heterogeneous in construct definition, design, sample, and outcome measurement, which prevented quantitative synthesis and limits direct comparison.</w:t>
      </w:r>
    </w:p>
    <w:p w14:paraId="5DA0E977" w14:textId="5472617D" w:rsidR="00823FE6" w:rsidRDefault="006D076A">
      <w:pPr>
        <w:pStyle w:val="BodyText"/>
        <w:ind w:firstLine="432"/>
        <w:jc w:val="both"/>
      </w:pPr>
      <w:r>
        <w:t xml:space="preserve">Kenya-specific evidence is concentrated in cross-sectional surveys, Nairobi-based samples, selected state corporations, and visible solar or mini-grid firms. Objective long-term financial and operational data are </w:t>
      </w:r>
      <w:r>
        <w:lastRenderedPageBreak/>
        <w:t>uncommon, failed strategies and exited firms are underrepresented, and publication bias may favour positive associations. The review therefore cannot estimate a pooled strategy effect or rank strategies definitively. Its conclusions are calibrated to the consistency and methodological strength of the accessible evidence and should be updated as stronger longitudinal and comparative studies emerge.</w:t>
      </w:r>
    </w:p>
    <w:p w14:paraId="73603410" w14:textId="77777777" w:rsidR="00035D6F" w:rsidRPr="000839CE" w:rsidRDefault="00035D6F" w:rsidP="00035D6F">
      <w:pPr>
        <w:spacing w:after="0" w:line="240" w:lineRule="auto"/>
        <w:rPr>
          <w:rFonts w:cs="Times New Roman"/>
          <w:b/>
        </w:rPr>
      </w:pPr>
      <w:bookmarkStart w:id="0" w:name="_Hlk234486585"/>
      <w:bookmarkStart w:id="1" w:name="_Hlk234075571"/>
      <w:bookmarkStart w:id="2" w:name="_Hlk232755622"/>
      <w:r w:rsidRPr="000839CE">
        <w:rPr>
          <w:rFonts w:cs="Times New Roman"/>
          <w:b/>
        </w:rPr>
        <w:t>Declaration of AI Use</w:t>
      </w:r>
    </w:p>
    <w:p w14:paraId="4CBA2DD7" w14:textId="77777777" w:rsidR="00035D6F" w:rsidRPr="000839CE" w:rsidRDefault="00035D6F" w:rsidP="00035D6F">
      <w:pPr>
        <w:spacing w:after="0" w:line="240" w:lineRule="auto"/>
        <w:rPr>
          <w:rFonts w:cs="Times New Roman"/>
        </w:rPr>
      </w:pPr>
      <w:bookmarkStart w:id="3" w:name="_Hlk234486575"/>
      <w:bookmarkEnd w:id="0"/>
    </w:p>
    <w:p w14:paraId="1D7D7DD4" w14:textId="77777777" w:rsidR="00035D6F" w:rsidRPr="000839CE" w:rsidRDefault="00035D6F" w:rsidP="00035D6F">
      <w:pPr>
        <w:spacing w:after="0"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4312E834" w14:textId="77777777" w:rsidR="00035D6F" w:rsidRDefault="00035D6F">
      <w:pPr>
        <w:pStyle w:val="BodyText"/>
        <w:ind w:firstLine="432"/>
        <w:jc w:val="both"/>
      </w:pPr>
    </w:p>
    <w:p w14:paraId="012961DC" w14:textId="77777777" w:rsidR="00823FE6" w:rsidRDefault="006D076A">
      <w:pPr>
        <w:pStyle w:val="Heading1"/>
      </w:pPr>
      <w:r>
        <w:t>References</w:t>
      </w:r>
    </w:p>
    <w:p w14:paraId="2B9BF06B" w14:textId="59932953" w:rsidR="00823FE6" w:rsidRDefault="006D076A">
      <w:pPr>
        <w:pStyle w:val="Reference"/>
      </w:pPr>
      <w:r>
        <w:t xml:space="preserve">Apergi, M., Eicke, L., Goldthau, A., Kurniawan, J., Schuch, E., &amp; Weko, S. (2024). Pathways to a sustainable electricity sector in Kenya: Challenges and transformational factors. </w:t>
      </w:r>
      <w:r>
        <w:rPr>
          <w:i/>
        </w:rPr>
        <w:t>Utilities Policy</w:t>
      </w:r>
      <w:r>
        <w:t xml:space="preserve">, </w:t>
      </w:r>
      <w:r>
        <w:rPr>
          <w:i/>
        </w:rPr>
        <w:t>91</w:t>
      </w:r>
      <w:r>
        <w:t xml:space="preserve">, 101854. </w:t>
      </w:r>
      <w:r>
        <w:rPr>
          <w:color w:val="0563C1"/>
          <w:u w:val="single"/>
        </w:rPr>
        <w:t>https://doi.org/10.1016/j.jup.2024.101854</w:t>
      </w:r>
    </w:p>
    <w:p w14:paraId="1862F4E4" w14:textId="46D4FBDA" w:rsidR="00823FE6" w:rsidRDefault="006D076A">
      <w:pPr>
        <w:pStyle w:val="Reference"/>
      </w:pPr>
      <w:r>
        <w:t xml:space="preserve">Barney, J. (1991). Firm resources and sustained competitive advantage. </w:t>
      </w:r>
      <w:r>
        <w:rPr>
          <w:i/>
        </w:rPr>
        <w:t>Journal of Management</w:t>
      </w:r>
      <w:r>
        <w:t xml:space="preserve">, </w:t>
      </w:r>
      <w:r>
        <w:rPr>
          <w:i/>
        </w:rPr>
        <w:t>17</w:t>
      </w:r>
      <w:r>
        <w:t xml:space="preserve">(1), 99–120. </w:t>
      </w:r>
      <w:r>
        <w:rPr>
          <w:color w:val="0563C1"/>
          <w:u w:val="single"/>
        </w:rPr>
        <w:t>https://doi.org/10.1177/014920639101700108</w:t>
      </w:r>
    </w:p>
    <w:p w14:paraId="2759A0C4" w14:textId="3FD8D888" w:rsidR="00823FE6" w:rsidRDefault="006D076A">
      <w:pPr>
        <w:pStyle w:val="Reference"/>
      </w:pPr>
      <w:r>
        <w:t xml:space="preserve">Campbell-Hunt, C. (2000). What have we learned about generic competitive strategy? A meta-analysis. </w:t>
      </w:r>
      <w:r>
        <w:rPr>
          <w:i/>
        </w:rPr>
        <w:t>Strategic Management Journal</w:t>
      </w:r>
      <w:r>
        <w:t xml:space="preserve">, </w:t>
      </w:r>
      <w:r>
        <w:rPr>
          <w:i/>
        </w:rPr>
        <w:t>21</w:t>
      </w:r>
      <w:r>
        <w:t xml:space="preserve">(2), 127–154. </w:t>
      </w:r>
      <w:r>
        <w:rPr>
          <w:color w:val="0563C1"/>
          <w:u w:val="single"/>
        </w:rPr>
        <w:t>https://doi.org/10.1002/(SICI)1097-0266(200002)21:2&lt;</w:t>
      </w:r>
      <w:proofErr w:type="gramStart"/>
      <w:r>
        <w:rPr>
          <w:color w:val="0563C1"/>
          <w:u w:val="single"/>
        </w:rPr>
        <w:t>127::</w:t>
      </w:r>
      <w:proofErr w:type="gramEnd"/>
      <w:r>
        <w:rPr>
          <w:color w:val="0563C1"/>
          <w:u w:val="single"/>
        </w:rPr>
        <w:t>AID-SMJ75&gt;3.0.CO;2-1</w:t>
      </w:r>
    </w:p>
    <w:p w14:paraId="34793770" w14:textId="1DF24E7E" w:rsidR="00823FE6" w:rsidRDefault="006D076A">
      <w:pPr>
        <w:pStyle w:val="Reference"/>
      </w:pPr>
      <w:r>
        <w:t xml:space="preserve">Dutt, N., &amp; Joseph, J. (2019). Regulatory uncertainty, corporate structure, and strategic agendas: Evidence from the U.S. renewable electricity industry. </w:t>
      </w:r>
      <w:r>
        <w:rPr>
          <w:i/>
        </w:rPr>
        <w:t>Academy of Management Journal</w:t>
      </w:r>
      <w:r>
        <w:t xml:space="preserve">, </w:t>
      </w:r>
      <w:r>
        <w:rPr>
          <w:i/>
        </w:rPr>
        <w:t>62</w:t>
      </w:r>
      <w:r>
        <w:t xml:space="preserve">(3), 800–827. </w:t>
      </w:r>
      <w:r>
        <w:rPr>
          <w:color w:val="0563C1"/>
          <w:u w:val="single"/>
        </w:rPr>
        <w:t>https://doi.org/10.5465/amj.2016.0682</w:t>
      </w:r>
    </w:p>
    <w:p w14:paraId="295096AC" w14:textId="540CA7C1" w:rsidR="00823FE6" w:rsidRDefault="006D076A">
      <w:pPr>
        <w:pStyle w:val="Reference"/>
      </w:pPr>
      <w:r>
        <w:t xml:space="preserve">Eberhard, A., Gratwick, K., Morella, E., &amp; Antmann, P. (2017). Independent power projects in Sub-Saharan Africa: Investment trends and policy lessons. </w:t>
      </w:r>
      <w:r>
        <w:rPr>
          <w:i/>
        </w:rPr>
        <w:t>Energy Policy</w:t>
      </w:r>
      <w:r>
        <w:t xml:space="preserve">, </w:t>
      </w:r>
      <w:r>
        <w:rPr>
          <w:i/>
        </w:rPr>
        <w:t>108</w:t>
      </w:r>
      <w:r>
        <w:t xml:space="preserve">, 390–424. </w:t>
      </w:r>
      <w:r>
        <w:rPr>
          <w:color w:val="0563C1"/>
          <w:u w:val="single"/>
        </w:rPr>
        <w:t>https://doi.org/10.1016/j.enpol.2017.05.023</w:t>
      </w:r>
    </w:p>
    <w:p w14:paraId="13B1118D" w14:textId="2B24D7DF" w:rsidR="00823FE6" w:rsidRDefault="006D076A">
      <w:pPr>
        <w:pStyle w:val="Reference"/>
      </w:pPr>
      <w:r>
        <w:t xml:space="preserve">Eisenhardt, K. M., &amp; Martin, J. A. (2000). Dynamic capabilities: What are they? </w:t>
      </w:r>
      <w:r>
        <w:rPr>
          <w:i/>
        </w:rPr>
        <w:t>Strategic Management Journal</w:t>
      </w:r>
      <w:r>
        <w:t xml:space="preserve">, </w:t>
      </w:r>
      <w:r>
        <w:rPr>
          <w:i/>
        </w:rPr>
        <w:t>21</w:t>
      </w:r>
      <w:r>
        <w:t xml:space="preserve">(10–11), 1105–1121. </w:t>
      </w:r>
      <w:r>
        <w:rPr>
          <w:color w:val="0563C1"/>
          <w:u w:val="single"/>
        </w:rPr>
        <w:t>https://doi.org/10.1002/1097-0266(200010/11)21:10/11&lt;</w:t>
      </w:r>
      <w:proofErr w:type="gramStart"/>
      <w:r>
        <w:rPr>
          <w:color w:val="0563C1"/>
          <w:u w:val="single"/>
        </w:rPr>
        <w:t>1105::</w:t>
      </w:r>
      <w:proofErr w:type="gramEnd"/>
      <w:r>
        <w:rPr>
          <w:color w:val="0563C1"/>
          <w:u w:val="single"/>
        </w:rPr>
        <w:t>AID-SMJ133&gt;3.0.CO;2-E</w:t>
      </w:r>
    </w:p>
    <w:p w14:paraId="0AFB0DE1" w14:textId="238A77F2" w:rsidR="00823FE6" w:rsidRDefault="006D076A">
      <w:pPr>
        <w:pStyle w:val="Reference"/>
      </w:pPr>
      <w:r>
        <w:t xml:space="preserve">Energy and Petroleum Regulatory Authority. (2024). </w:t>
      </w:r>
      <w:r>
        <w:rPr>
          <w:i/>
        </w:rPr>
        <w:t>Energy &amp; petroleum statistics report for the financial year ended 30 June 2024</w:t>
      </w:r>
      <w:r>
        <w:t xml:space="preserve">. </w:t>
      </w:r>
      <w:r>
        <w:rPr>
          <w:color w:val="0563C1"/>
          <w:u w:val="single"/>
        </w:rPr>
        <w:t>https://www.epra.go.ke/energy-petroleum-statistics-report-fy-ended-june-30-2024</w:t>
      </w:r>
    </w:p>
    <w:p w14:paraId="5C501CAF" w14:textId="6313FB15" w:rsidR="00823FE6" w:rsidRDefault="006D076A">
      <w:pPr>
        <w:pStyle w:val="Reference"/>
      </w:pPr>
      <w:r>
        <w:t xml:space="preserve">Ferrari, R. (2015). Writing narrative style literature reviews. </w:t>
      </w:r>
      <w:r>
        <w:rPr>
          <w:i/>
        </w:rPr>
        <w:t>Medical Writing</w:t>
      </w:r>
      <w:r>
        <w:t xml:space="preserve">, </w:t>
      </w:r>
      <w:r>
        <w:rPr>
          <w:i/>
        </w:rPr>
        <w:t>24</w:t>
      </w:r>
      <w:r>
        <w:t xml:space="preserve">(4), 230–235. </w:t>
      </w:r>
      <w:r>
        <w:rPr>
          <w:color w:val="0563C1"/>
          <w:u w:val="single"/>
        </w:rPr>
        <w:t>https://doi.org/10.1179/2047480615Z.000000000329</w:t>
      </w:r>
    </w:p>
    <w:p w14:paraId="086940A7" w14:textId="4F82B75C" w:rsidR="00823FE6" w:rsidRDefault="006D076A">
      <w:pPr>
        <w:pStyle w:val="Reference"/>
      </w:pPr>
      <w:r>
        <w:t xml:space="preserve">Foss, N. J., &amp; Saebi, T. (2017). Fifteen years of research on business model innovation: How far have we come, and where should we go? </w:t>
      </w:r>
      <w:r>
        <w:rPr>
          <w:i/>
        </w:rPr>
        <w:t>Journal of Management</w:t>
      </w:r>
      <w:r>
        <w:t xml:space="preserve">, </w:t>
      </w:r>
      <w:r>
        <w:rPr>
          <w:i/>
        </w:rPr>
        <w:t>43</w:t>
      </w:r>
      <w:r>
        <w:t xml:space="preserve">(1), 200–227. </w:t>
      </w:r>
      <w:r>
        <w:rPr>
          <w:color w:val="0563C1"/>
          <w:u w:val="single"/>
        </w:rPr>
        <w:t>https://doi.org/10.1177/0149206316675927</w:t>
      </w:r>
    </w:p>
    <w:p w14:paraId="48E20502" w14:textId="38685F38" w:rsidR="00823FE6" w:rsidRDefault="006D076A">
      <w:pPr>
        <w:pStyle w:val="Reference"/>
      </w:pPr>
      <w:r>
        <w:t xml:space="preserve">Gratwick, K. N., &amp; Eberhard, A. (2008). Demise of the standard model for power sector reform and the emergence of hybrid power markets. </w:t>
      </w:r>
      <w:r>
        <w:rPr>
          <w:i/>
        </w:rPr>
        <w:t>Energy Policy</w:t>
      </w:r>
      <w:r>
        <w:t xml:space="preserve">, </w:t>
      </w:r>
      <w:r>
        <w:rPr>
          <w:i/>
        </w:rPr>
        <w:t>36</w:t>
      </w:r>
      <w:r>
        <w:t xml:space="preserve">(10), 3948–3960. </w:t>
      </w:r>
      <w:r>
        <w:rPr>
          <w:color w:val="0563C1"/>
          <w:u w:val="single"/>
        </w:rPr>
        <w:t>https://doi.org/10.1016/j.enpol.2008.07.021</w:t>
      </w:r>
    </w:p>
    <w:p w14:paraId="21E6FC5D" w14:textId="15F0A76B" w:rsidR="00823FE6" w:rsidRDefault="006D076A">
      <w:pPr>
        <w:pStyle w:val="Reference"/>
      </w:pPr>
      <w:r>
        <w:t xml:space="preserve">Green, B. N., Johnson, C. D., &amp; Adams, A. (2006). Writing narrative literature reviews for peer-reviewed journals: Secrets of the trade. </w:t>
      </w:r>
      <w:r>
        <w:rPr>
          <w:i/>
        </w:rPr>
        <w:t>Journal of Chiropractic Medicine</w:t>
      </w:r>
      <w:r>
        <w:t xml:space="preserve">, </w:t>
      </w:r>
      <w:r>
        <w:rPr>
          <w:i/>
        </w:rPr>
        <w:t>5</w:t>
      </w:r>
      <w:r>
        <w:t xml:space="preserve">(3), 101–117. </w:t>
      </w:r>
      <w:r>
        <w:rPr>
          <w:color w:val="0563C1"/>
          <w:u w:val="single"/>
        </w:rPr>
        <w:t>https://doi.org/10.1016/S0899-3467(07)60142-6</w:t>
      </w:r>
    </w:p>
    <w:p w14:paraId="356C3F12" w14:textId="0589F57C" w:rsidR="00823FE6" w:rsidRDefault="006D076A">
      <w:pPr>
        <w:pStyle w:val="Reference"/>
      </w:pPr>
      <w:r>
        <w:t xml:space="preserve">Harun, W., Sikalieh, D., &amp; Mosoti, Z. (2021). Influence of strategic dimensions of entrepreneurship leadership on organizational performance. </w:t>
      </w:r>
      <w:r>
        <w:rPr>
          <w:i/>
        </w:rPr>
        <w:t>Kabarak Journal of Research &amp; Innovation</w:t>
      </w:r>
      <w:r>
        <w:t xml:space="preserve">, </w:t>
      </w:r>
      <w:r>
        <w:rPr>
          <w:i/>
        </w:rPr>
        <w:t>11</w:t>
      </w:r>
      <w:r>
        <w:t xml:space="preserve">(2), 114–123. </w:t>
      </w:r>
      <w:r>
        <w:rPr>
          <w:color w:val="0563C1"/>
          <w:u w:val="single"/>
        </w:rPr>
        <w:t>https://doi.org/10.58216/kjri.v11i2.81</w:t>
      </w:r>
    </w:p>
    <w:p w14:paraId="14BC73BA" w14:textId="7DCF129F" w:rsidR="00823FE6" w:rsidRDefault="006D076A">
      <w:pPr>
        <w:pStyle w:val="Reference"/>
      </w:pPr>
      <w:r>
        <w:t xml:space="preserve">Ingabo, A., &amp; Kihara, A. (2018). Influence of corporate strategies on financial performance of oil marketing companies in Kenya. </w:t>
      </w:r>
      <w:r>
        <w:rPr>
          <w:i/>
        </w:rPr>
        <w:t>Journal of Business and Strategic Management</w:t>
      </w:r>
      <w:r>
        <w:t xml:space="preserve">, </w:t>
      </w:r>
      <w:r>
        <w:rPr>
          <w:i/>
        </w:rPr>
        <w:t>3</w:t>
      </w:r>
      <w:r>
        <w:t xml:space="preserve">(1), 45–66. </w:t>
      </w:r>
      <w:r>
        <w:rPr>
          <w:color w:val="0563C1"/>
          <w:u w:val="single"/>
        </w:rPr>
        <w:t>https://doi.org/10.47941/jbsm.240</w:t>
      </w:r>
    </w:p>
    <w:p w14:paraId="1CB06669" w14:textId="0551FF36" w:rsidR="00823FE6" w:rsidRDefault="006D076A">
      <w:pPr>
        <w:pStyle w:val="Reference"/>
      </w:pPr>
      <w:r>
        <w:t xml:space="preserve">Jiménez-Jiménez, D., &amp; Sanz-Valle, R. (2011). Innovation, organizational learning, and performance. </w:t>
      </w:r>
      <w:r>
        <w:rPr>
          <w:i/>
        </w:rPr>
        <w:t>Journal of Business Research</w:t>
      </w:r>
      <w:r>
        <w:t xml:space="preserve">, </w:t>
      </w:r>
      <w:r>
        <w:rPr>
          <w:i/>
        </w:rPr>
        <w:t>64</w:t>
      </w:r>
      <w:r>
        <w:t xml:space="preserve">(4), 408–417. </w:t>
      </w:r>
      <w:r>
        <w:rPr>
          <w:color w:val="0563C1"/>
          <w:u w:val="single"/>
        </w:rPr>
        <w:t>https://doi.org/10.1016/j.jbusres.2010.09.010</w:t>
      </w:r>
    </w:p>
    <w:p w14:paraId="36559AB2" w14:textId="799B31B4" w:rsidR="00823FE6" w:rsidRDefault="006D076A">
      <w:pPr>
        <w:pStyle w:val="Reference"/>
      </w:pPr>
      <w:r>
        <w:t xml:space="preserve">Kariuki, P. K., &amp; Karihe, J. (2023). Competitive strategies and performance of liquefied petroleum gas (LPG) companies in Nairobi City County, Kenya. </w:t>
      </w:r>
      <w:r>
        <w:rPr>
          <w:i/>
        </w:rPr>
        <w:t>Journal of International Business, Innovation and Strategic Management</w:t>
      </w:r>
      <w:r>
        <w:t xml:space="preserve">, </w:t>
      </w:r>
      <w:r>
        <w:rPr>
          <w:i/>
        </w:rPr>
        <w:t>7</w:t>
      </w:r>
      <w:r>
        <w:t xml:space="preserve">(2), 31–47. </w:t>
      </w:r>
      <w:r>
        <w:rPr>
          <w:color w:val="0563C1"/>
          <w:u w:val="single"/>
        </w:rPr>
        <w:t>https://jibism.org/core_files/index.php/JIBISM/article/view/235</w:t>
      </w:r>
    </w:p>
    <w:p w14:paraId="0D1C5C42" w14:textId="551612F9" w:rsidR="00823FE6" w:rsidRDefault="006D076A">
      <w:pPr>
        <w:pStyle w:val="Reference"/>
      </w:pPr>
      <w:r>
        <w:t xml:space="preserve">Lambe, F., Mungo, C., &amp; Ogeya, M. (2024). Grid expectations: How service design and business model innovation can support mini-grid development in Kenya. </w:t>
      </w:r>
      <w:r>
        <w:rPr>
          <w:i/>
        </w:rPr>
        <w:t>Energy Research &amp; Social Science</w:t>
      </w:r>
      <w:r>
        <w:t xml:space="preserve">, </w:t>
      </w:r>
      <w:r>
        <w:rPr>
          <w:i/>
        </w:rPr>
        <w:t>118</w:t>
      </w:r>
      <w:r>
        <w:t xml:space="preserve">, 103788. </w:t>
      </w:r>
      <w:r>
        <w:rPr>
          <w:color w:val="0563C1"/>
          <w:u w:val="single"/>
        </w:rPr>
        <w:t>https://doi.org/10.1016/j.erss.2024.103788</w:t>
      </w:r>
    </w:p>
    <w:p w14:paraId="140C0F4B" w14:textId="06672BBD" w:rsidR="00823FE6" w:rsidRDefault="006D076A">
      <w:pPr>
        <w:pStyle w:val="Reference"/>
      </w:pPr>
      <w:r>
        <w:lastRenderedPageBreak/>
        <w:t xml:space="preserve">Mbaruku, C. F., Kising'u, T., &amp; Odollo, L. O. (2025). Strategic clarity and performance of energy sector state corporations in Nairobi City County, Kenya. </w:t>
      </w:r>
      <w:r>
        <w:rPr>
          <w:i/>
        </w:rPr>
        <w:t>Reviewed Journal International of Business Management</w:t>
      </w:r>
      <w:r>
        <w:t xml:space="preserve">, </w:t>
      </w:r>
      <w:r>
        <w:rPr>
          <w:i/>
        </w:rPr>
        <w:t>6</w:t>
      </w:r>
      <w:r>
        <w:t xml:space="preserve">(1), 507–528. </w:t>
      </w:r>
      <w:r>
        <w:rPr>
          <w:color w:val="0563C1"/>
          <w:u w:val="single"/>
        </w:rPr>
        <w:t>https://doi.org/10.61426/business.v6i1.345</w:t>
      </w:r>
    </w:p>
    <w:p w14:paraId="2DB37661" w14:textId="64B44AD5" w:rsidR="00823FE6" w:rsidRDefault="006D076A">
      <w:pPr>
        <w:pStyle w:val="Reference"/>
      </w:pPr>
      <w:r>
        <w:t xml:space="preserve">Ministry of Energy and Petroleum. (2023). </w:t>
      </w:r>
      <w:r>
        <w:rPr>
          <w:i/>
        </w:rPr>
        <w:t>Kenya energy transition &amp; investment plan 2023–2050</w:t>
      </w:r>
      <w:r>
        <w:t xml:space="preserve">. </w:t>
      </w:r>
      <w:r>
        <w:rPr>
          <w:color w:val="0563C1"/>
          <w:u w:val="single"/>
        </w:rPr>
        <w:t>https://www.energy.go.ke/downloads</w:t>
      </w:r>
    </w:p>
    <w:p w14:paraId="58D141AD" w14:textId="5C77DAC0" w:rsidR="00823FE6" w:rsidRDefault="006D076A">
      <w:pPr>
        <w:pStyle w:val="Reference"/>
      </w:pPr>
      <w:r>
        <w:t xml:space="preserve">Morgan, N. A., Vorhies, D. W., &amp; Mason, C. H. (2009). Market orientation, marketing capabilities, and firm performance. </w:t>
      </w:r>
      <w:r>
        <w:rPr>
          <w:i/>
        </w:rPr>
        <w:t>Strategic Management Journal</w:t>
      </w:r>
      <w:r>
        <w:t xml:space="preserve">, </w:t>
      </w:r>
      <w:r>
        <w:rPr>
          <w:i/>
        </w:rPr>
        <w:t>30</w:t>
      </w:r>
      <w:r>
        <w:t xml:space="preserve">(8), 909–920. </w:t>
      </w:r>
      <w:r>
        <w:rPr>
          <w:color w:val="0563C1"/>
          <w:u w:val="single"/>
        </w:rPr>
        <w:t>https://doi.org/10.1002/smj.764</w:t>
      </w:r>
    </w:p>
    <w:p w14:paraId="6ED16CE6" w14:textId="09724471" w:rsidR="00823FE6" w:rsidRDefault="006D076A">
      <w:pPr>
        <w:pStyle w:val="Reference"/>
      </w:pPr>
      <w:r>
        <w:t xml:space="preserve">Mtange, H. M., &amp; Deya, J. (2024). Strategic collaborations and performance of oil marketing firms in Kenya. </w:t>
      </w:r>
      <w:r>
        <w:rPr>
          <w:i/>
        </w:rPr>
        <w:t>Journal of Business and Strategic Management</w:t>
      </w:r>
      <w:r>
        <w:t xml:space="preserve">, </w:t>
      </w:r>
      <w:r>
        <w:rPr>
          <w:i/>
        </w:rPr>
        <w:t>9</w:t>
      </w:r>
      <w:r>
        <w:t xml:space="preserve">(8), 1–16. </w:t>
      </w:r>
      <w:r>
        <w:rPr>
          <w:color w:val="0563C1"/>
          <w:u w:val="single"/>
        </w:rPr>
        <w:t>https://doi.org/10.47941/jbsm.2327</w:t>
      </w:r>
    </w:p>
    <w:p w14:paraId="734BB8B3" w14:textId="5372A461" w:rsidR="00823FE6" w:rsidRDefault="006D076A">
      <w:pPr>
        <w:pStyle w:val="Reference"/>
      </w:pPr>
      <w:r>
        <w:t xml:space="preserve">Muchunku, C., Ulsrud, K., Palit, D., &amp; Jonker-Klunne, W. (2018). Diffusion of solar PV in East Africa: What can be learned from private sector delivery models? </w:t>
      </w:r>
      <w:r>
        <w:rPr>
          <w:i/>
        </w:rPr>
        <w:t>WIREs Energy and Environment</w:t>
      </w:r>
      <w:r>
        <w:t xml:space="preserve">, </w:t>
      </w:r>
      <w:r>
        <w:rPr>
          <w:i/>
        </w:rPr>
        <w:t>7</w:t>
      </w:r>
      <w:r>
        <w:t xml:space="preserve">(3), e282. </w:t>
      </w:r>
      <w:r>
        <w:rPr>
          <w:color w:val="0563C1"/>
          <w:u w:val="single"/>
        </w:rPr>
        <w:t>https://doi.org/10.1002/wene.282</w:t>
      </w:r>
    </w:p>
    <w:p w14:paraId="3AF9A2B0" w14:textId="1252BB5A" w:rsidR="00823FE6" w:rsidRDefault="006D076A">
      <w:pPr>
        <w:pStyle w:val="Reference"/>
      </w:pPr>
      <w:r>
        <w:t xml:space="preserve">Mutisya, C. A., &amp; Gachanja, I. (2024). Influence of technology on business sustainability in petroleum firms in Nairobi, Kenya. </w:t>
      </w:r>
      <w:r>
        <w:rPr>
          <w:i/>
        </w:rPr>
        <w:t>International Journal of Management, Knowledge and Learning</w:t>
      </w:r>
      <w:r>
        <w:t xml:space="preserve">, </w:t>
      </w:r>
      <w:r>
        <w:rPr>
          <w:i/>
        </w:rPr>
        <w:t>13</w:t>
      </w:r>
      <w:r>
        <w:t xml:space="preserve">, 183–192. </w:t>
      </w:r>
      <w:r>
        <w:rPr>
          <w:color w:val="0563C1"/>
          <w:u w:val="single"/>
        </w:rPr>
        <w:t>https://doi.org/10.53615/2232-5697.13.183-192</w:t>
      </w:r>
    </w:p>
    <w:p w14:paraId="15E316ED" w14:textId="0EEF8757" w:rsidR="00823FE6" w:rsidRDefault="006D076A">
      <w:pPr>
        <w:pStyle w:val="Reference"/>
      </w:pPr>
      <w:r>
        <w:t xml:space="preserve">Newbert, S. L. (2007). Empirical research on the resource-based view of the firm: An assessment and suggestions for future research. </w:t>
      </w:r>
      <w:r>
        <w:rPr>
          <w:i/>
        </w:rPr>
        <w:t>Strategic Management Journal</w:t>
      </w:r>
      <w:r>
        <w:t xml:space="preserve">, </w:t>
      </w:r>
      <w:r>
        <w:rPr>
          <w:i/>
        </w:rPr>
        <w:t>28</w:t>
      </w:r>
      <w:r>
        <w:t xml:space="preserve">(2), 121–146. </w:t>
      </w:r>
      <w:r>
        <w:rPr>
          <w:color w:val="0563C1"/>
          <w:u w:val="single"/>
        </w:rPr>
        <w:t>https://doi.org/10.1002/smj.573</w:t>
      </w:r>
    </w:p>
    <w:p w14:paraId="43F34589" w14:textId="47036EC2" w:rsidR="00823FE6" w:rsidRDefault="006D076A">
      <w:pPr>
        <w:pStyle w:val="Reference"/>
      </w:pPr>
      <w:r>
        <w:t xml:space="preserve">Newell, P., &amp; Phillips, J. (2016). Neoliberal energy transitions in the South: Kenyan experiences. </w:t>
      </w:r>
      <w:r>
        <w:rPr>
          <w:i/>
        </w:rPr>
        <w:t>Geoforum</w:t>
      </w:r>
      <w:r>
        <w:t xml:space="preserve">, </w:t>
      </w:r>
      <w:r>
        <w:rPr>
          <w:i/>
        </w:rPr>
        <w:t>74</w:t>
      </w:r>
      <w:r>
        <w:t xml:space="preserve">, 39–48. </w:t>
      </w:r>
      <w:r>
        <w:rPr>
          <w:color w:val="0563C1"/>
          <w:u w:val="single"/>
        </w:rPr>
        <w:t>https://doi.org/10.1016/j.geoforum.2016.05.009</w:t>
      </w:r>
    </w:p>
    <w:p w14:paraId="66BF5E87" w14:textId="212DCF33" w:rsidR="00823FE6" w:rsidRDefault="006D076A">
      <w:pPr>
        <w:pStyle w:val="Reference"/>
      </w:pPr>
      <w:r>
        <w:t xml:space="preserve">Njeru, N., &amp; Osoro, A. (2024). Stock control management practices and performance of the Kenya Electricity Generating Company in Eastern Region, Kenya. </w:t>
      </w:r>
      <w:r>
        <w:rPr>
          <w:i/>
        </w:rPr>
        <w:t>International Journal of Supply Chain Management</w:t>
      </w:r>
      <w:r>
        <w:t xml:space="preserve">, </w:t>
      </w:r>
      <w:r>
        <w:rPr>
          <w:i/>
        </w:rPr>
        <w:t>9</w:t>
      </w:r>
      <w:r>
        <w:t xml:space="preserve">(3), 67–87. </w:t>
      </w:r>
      <w:r>
        <w:rPr>
          <w:color w:val="0563C1"/>
          <w:u w:val="single"/>
        </w:rPr>
        <w:t>https://doi.org/10.47604/ijscm.2653</w:t>
      </w:r>
    </w:p>
    <w:p w14:paraId="569A3F01" w14:textId="3DD1F4E8" w:rsidR="00823FE6" w:rsidRDefault="006D076A">
      <w:pPr>
        <w:pStyle w:val="Reference"/>
      </w:pPr>
      <w:r>
        <w:t xml:space="preserve">Ockwell, D., Atela, J., Mbeva, K., Chengo, V., Byrne, R., Durrant, R., Kasprowicz, V., &amp; Ely, A. (2019). Can Pay-As-You-Go, digitally enabled business models support sustainability transformations in developing countries? Outstanding questions and a theoretical basis for future research. </w:t>
      </w:r>
      <w:r>
        <w:rPr>
          <w:i/>
        </w:rPr>
        <w:t>Sustainability</w:t>
      </w:r>
      <w:r>
        <w:t xml:space="preserve">, </w:t>
      </w:r>
      <w:r>
        <w:rPr>
          <w:i/>
        </w:rPr>
        <w:t>11</w:t>
      </w:r>
      <w:r>
        <w:t xml:space="preserve">(7), 2105. </w:t>
      </w:r>
      <w:r>
        <w:rPr>
          <w:color w:val="0563C1"/>
          <w:u w:val="single"/>
        </w:rPr>
        <w:t>https://doi.org/10.3390/su11072105</w:t>
      </w:r>
    </w:p>
    <w:p w14:paraId="766FDAA8" w14:textId="04C4E44C" w:rsidR="00823FE6" w:rsidRDefault="006D076A">
      <w:pPr>
        <w:pStyle w:val="Reference"/>
      </w:pPr>
      <w:r>
        <w:t xml:space="preserve">Ogeya, M., Ogara, S., &amp; Andersen, M. H. (2025). Staying put or pulling out? How mini grid developers use business model innovation to overcome challenges and barriers in Kenya. </w:t>
      </w:r>
      <w:r>
        <w:rPr>
          <w:i/>
        </w:rPr>
        <w:t>Energy Research &amp; Social Science</w:t>
      </w:r>
      <w:r>
        <w:t xml:space="preserve">, </w:t>
      </w:r>
      <w:r>
        <w:rPr>
          <w:i/>
        </w:rPr>
        <w:t>122</w:t>
      </w:r>
      <w:r>
        <w:t xml:space="preserve">, 104005. </w:t>
      </w:r>
      <w:r>
        <w:rPr>
          <w:color w:val="0563C1"/>
          <w:u w:val="single"/>
        </w:rPr>
        <w:t>https://doi.org/10.1016/j.erss.2025.104005</w:t>
      </w:r>
    </w:p>
    <w:p w14:paraId="3C24624E" w14:textId="49A9C3E0" w:rsidR="00823FE6" w:rsidRDefault="006D076A">
      <w:pPr>
        <w:pStyle w:val="Reference"/>
      </w:pPr>
      <w:r>
        <w:t xml:space="preserve">Olson, E. M., Slater, S. F., &amp; Hult, G. T. M. (2005). The performance implications of fit among business strategy, marketing organization structure, and strategic behavior. </w:t>
      </w:r>
      <w:r>
        <w:rPr>
          <w:i/>
        </w:rPr>
        <w:t>Journal of Marketing</w:t>
      </w:r>
      <w:r>
        <w:t xml:space="preserve">, </w:t>
      </w:r>
      <w:r>
        <w:rPr>
          <w:i/>
        </w:rPr>
        <w:t>69</w:t>
      </w:r>
      <w:r>
        <w:t xml:space="preserve">(3), 49–65. </w:t>
      </w:r>
      <w:r>
        <w:rPr>
          <w:color w:val="0563C1"/>
          <w:u w:val="single"/>
        </w:rPr>
        <w:t>https://doi.org/10.1509/jmkg.69.3.49.66362</w:t>
      </w:r>
    </w:p>
    <w:p w14:paraId="5ADC2D2A" w14:textId="08A5D073" w:rsidR="00823FE6" w:rsidRDefault="006D076A">
      <w:pPr>
        <w:pStyle w:val="Reference"/>
      </w:pPr>
      <w:r>
        <w:t xml:space="preserve">Ondraczek, J. (2013). The sun rises in the east (of Africa): A comparison of the development and status of solar energy markets in Kenya and Tanzania. </w:t>
      </w:r>
      <w:r>
        <w:rPr>
          <w:i/>
        </w:rPr>
        <w:t>Energy Policy</w:t>
      </w:r>
      <w:r>
        <w:t xml:space="preserve">, </w:t>
      </w:r>
      <w:r>
        <w:rPr>
          <w:i/>
        </w:rPr>
        <w:t>56</w:t>
      </w:r>
      <w:r>
        <w:t xml:space="preserve">, 407–417. </w:t>
      </w:r>
      <w:r>
        <w:rPr>
          <w:color w:val="0563C1"/>
          <w:u w:val="single"/>
        </w:rPr>
        <w:t>https://doi.org/10.1016/j.enpol.2013.01.007</w:t>
      </w:r>
    </w:p>
    <w:p w14:paraId="4BBD9480" w14:textId="196B07C9" w:rsidR="00823FE6" w:rsidRDefault="006D076A">
      <w:pPr>
        <w:pStyle w:val="Reference"/>
      </w:pPr>
      <w:r>
        <w:t xml:space="preserve">Pedersen, M. B., &amp; Nygaard, I. (2018). System building in the Kenyan electrification regime: The case of private solar mini-grid development. </w:t>
      </w:r>
      <w:r>
        <w:rPr>
          <w:i/>
        </w:rPr>
        <w:t>Energy Research &amp; Social Science</w:t>
      </w:r>
      <w:r>
        <w:t xml:space="preserve">, </w:t>
      </w:r>
      <w:r>
        <w:rPr>
          <w:i/>
        </w:rPr>
        <w:t>42</w:t>
      </w:r>
      <w:r>
        <w:t xml:space="preserve">, 211–223. </w:t>
      </w:r>
      <w:r>
        <w:rPr>
          <w:color w:val="0563C1"/>
          <w:u w:val="single"/>
        </w:rPr>
        <w:t>https://doi.org/10.1016/j.erss.2018.03.010</w:t>
      </w:r>
    </w:p>
    <w:p w14:paraId="42F6D016" w14:textId="4A7D15D4" w:rsidR="00823FE6" w:rsidRDefault="006D076A">
      <w:pPr>
        <w:pStyle w:val="Reference"/>
      </w:pPr>
      <w:r>
        <w:t xml:space="preserve">Pedersen, M. B., Wehrmeyer, W., &amp; Nygaard, I. (2020). Commercial yet social: The practices and logics of bringing mini-grid electricity to rural villages in Kenya. </w:t>
      </w:r>
      <w:r>
        <w:rPr>
          <w:i/>
        </w:rPr>
        <w:t>Energy Research &amp; Social Science</w:t>
      </w:r>
      <w:r>
        <w:t xml:space="preserve">, </w:t>
      </w:r>
      <w:r>
        <w:rPr>
          <w:i/>
        </w:rPr>
        <w:t>68</w:t>
      </w:r>
      <w:r>
        <w:t xml:space="preserve">, 101588. </w:t>
      </w:r>
      <w:r>
        <w:rPr>
          <w:color w:val="0563C1"/>
          <w:u w:val="single"/>
        </w:rPr>
        <w:t>https://doi.org/10.1016/j.erss.2020.101588</w:t>
      </w:r>
    </w:p>
    <w:p w14:paraId="1199B0D0" w14:textId="77777777" w:rsidR="00823FE6" w:rsidRDefault="006D076A">
      <w:pPr>
        <w:pStyle w:val="Reference"/>
      </w:pPr>
      <w:r>
        <w:t xml:space="preserve">Porter, M. E. (1980). </w:t>
      </w:r>
      <w:r>
        <w:rPr>
          <w:i/>
        </w:rPr>
        <w:t>Competitive strategy: Techniques for analyzing industries and competitors</w:t>
      </w:r>
      <w:r>
        <w:t>. Free Press.</w:t>
      </w:r>
    </w:p>
    <w:p w14:paraId="5020E6B7" w14:textId="77777777" w:rsidR="00823FE6" w:rsidRDefault="006D076A">
      <w:pPr>
        <w:pStyle w:val="Reference"/>
      </w:pPr>
      <w:r>
        <w:t xml:space="preserve">Porter, M. E. (1985). </w:t>
      </w:r>
      <w:r>
        <w:rPr>
          <w:i/>
        </w:rPr>
        <w:t>Competitive advantage: Creating and sustaining superior performance</w:t>
      </w:r>
      <w:r>
        <w:t>. Free Press.</w:t>
      </w:r>
    </w:p>
    <w:p w14:paraId="193FDB71" w14:textId="364DB060" w:rsidR="00823FE6" w:rsidRDefault="006D076A">
      <w:pPr>
        <w:pStyle w:val="Reference"/>
      </w:pPr>
      <w:r>
        <w:t xml:space="preserve">Pueyo, A. (2018). What constrains renewable energy investment in Sub-Saharan Africa? A comparison of Kenya and Ghana. </w:t>
      </w:r>
      <w:r>
        <w:rPr>
          <w:i/>
        </w:rPr>
        <w:t>World Development</w:t>
      </w:r>
      <w:r>
        <w:t xml:space="preserve">, </w:t>
      </w:r>
      <w:r>
        <w:rPr>
          <w:i/>
        </w:rPr>
        <w:t>109</w:t>
      </w:r>
      <w:r>
        <w:t xml:space="preserve">, 85–100. </w:t>
      </w:r>
      <w:r>
        <w:rPr>
          <w:color w:val="0563C1"/>
          <w:u w:val="single"/>
        </w:rPr>
        <w:t>https://doi.org/10.1016/j.worlddev.2018.04.008</w:t>
      </w:r>
    </w:p>
    <w:p w14:paraId="41D2332D" w14:textId="02A78876" w:rsidR="00823FE6" w:rsidRDefault="006D076A">
      <w:pPr>
        <w:pStyle w:val="Reference"/>
      </w:pPr>
      <w:r>
        <w:t xml:space="preserve">Richard, P. J., Devinney, T. M., Yip, G. S., &amp; Johnson, G. (2009). Measuring organizational performance: Towards methodological best practice. </w:t>
      </w:r>
      <w:r>
        <w:rPr>
          <w:i/>
        </w:rPr>
        <w:t>Journal of Management</w:t>
      </w:r>
      <w:r>
        <w:t xml:space="preserve">, </w:t>
      </w:r>
      <w:r>
        <w:rPr>
          <w:i/>
        </w:rPr>
        <w:t>35</w:t>
      </w:r>
      <w:r>
        <w:t xml:space="preserve">(3), 718–804. </w:t>
      </w:r>
      <w:r>
        <w:rPr>
          <w:color w:val="0563C1"/>
          <w:u w:val="single"/>
        </w:rPr>
        <w:t>https://doi.org/10.1177/0149206308330560</w:t>
      </w:r>
    </w:p>
    <w:p w14:paraId="380216DF" w14:textId="060041D6" w:rsidR="00823FE6" w:rsidRDefault="006D076A">
      <w:pPr>
        <w:pStyle w:val="Reference"/>
      </w:pPr>
      <w:r>
        <w:t xml:space="preserve">Rolffs, P., Ockwell, D., &amp; Byrne, R. (2015). Beyond technology and finance: Pay-as-you-go sustainable energy access and theories of social change. </w:t>
      </w:r>
      <w:r>
        <w:rPr>
          <w:i/>
        </w:rPr>
        <w:t>Environment and Planning A</w:t>
      </w:r>
      <w:r>
        <w:t xml:space="preserve">, </w:t>
      </w:r>
      <w:r>
        <w:rPr>
          <w:i/>
        </w:rPr>
        <w:t>47</w:t>
      </w:r>
      <w:r>
        <w:t xml:space="preserve">(12), 2609–2627. </w:t>
      </w:r>
      <w:r>
        <w:rPr>
          <w:color w:val="0563C1"/>
          <w:u w:val="single"/>
        </w:rPr>
        <w:t>https://doi.org/10.1177/0308518X15615368</w:t>
      </w:r>
    </w:p>
    <w:p w14:paraId="43343477" w14:textId="26239A19" w:rsidR="00823FE6" w:rsidRDefault="006D076A">
      <w:pPr>
        <w:pStyle w:val="Reference"/>
      </w:pPr>
      <w:r>
        <w:t xml:space="preserve">Rotich, I. K., Chepkirui, H., &amp; Musyimi, P. K. (2024). Renewable energy status and uptake in Kenya. </w:t>
      </w:r>
      <w:r>
        <w:rPr>
          <w:i/>
        </w:rPr>
        <w:t>Energy Strategy Reviews</w:t>
      </w:r>
      <w:r>
        <w:t xml:space="preserve">, </w:t>
      </w:r>
      <w:r>
        <w:rPr>
          <w:i/>
        </w:rPr>
        <w:t>54</w:t>
      </w:r>
      <w:r>
        <w:t xml:space="preserve">, 101453. </w:t>
      </w:r>
      <w:r>
        <w:rPr>
          <w:color w:val="0563C1"/>
          <w:u w:val="single"/>
        </w:rPr>
        <w:t>https://doi.org/10.1016/j.esr.2024.101453</w:t>
      </w:r>
    </w:p>
    <w:p w14:paraId="44CD8FB3" w14:textId="273B44E0" w:rsidR="00823FE6" w:rsidRDefault="006D076A">
      <w:pPr>
        <w:pStyle w:val="Reference"/>
      </w:pPr>
      <w:r>
        <w:t xml:space="preserve">Shuen, A., Feiler, P. F., &amp; Teece, D. J. (2014). Dynamic capabilities in the upstream oil and gas sector: Managing next generation competition. </w:t>
      </w:r>
      <w:r>
        <w:rPr>
          <w:i/>
        </w:rPr>
        <w:t>Energy Strategy Reviews</w:t>
      </w:r>
      <w:r>
        <w:t xml:space="preserve">, </w:t>
      </w:r>
      <w:r>
        <w:rPr>
          <w:i/>
        </w:rPr>
        <w:t>3</w:t>
      </w:r>
      <w:r>
        <w:t xml:space="preserve">, 5–13. </w:t>
      </w:r>
      <w:r>
        <w:rPr>
          <w:color w:val="0563C1"/>
          <w:u w:val="single"/>
        </w:rPr>
        <w:t>https://doi.org/10.1016/j.esr.2014.05.002</w:t>
      </w:r>
    </w:p>
    <w:p w14:paraId="1D0E9108" w14:textId="6DAE23C9" w:rsidR="00823FE6" w:rsidRDefault="006D076A">
      <w:pPr>
        <w:pStyle w:val="Reference"/>
      </w:pPr>
      <w:r>
        <w:t xml:space="preserve">Spanos, Y. E., &amp; Lioukas, S. (2001). An examination into the causal logic of rent generation: Contrasting Porter's competitive strategy framework and the resource-based perspective. </w:t>
      </w:r>
      <w:r>
        <w:rPr>
          <w:i/>
        </w:rPr>
        <w:t>Strategic Management Journal</w:t>
      </w:r>
      <w:r>
        <w:t xml:space="preserve">, </w:t>
      </w:r>
      <w:r>
        <w:rPr>
          <w:i/>
        </w:rPr>
        <w:t>22</w:t>
      </w:r>
      <w:r>
        <w:t xml:space="preserve">(10), 907–934. </w:t>
      </w:r>
      <w:r>
        <w:rPr>
          <w:color w:val="0563C1"/>
          <w:u w:val="single"/>
        </w:rPr>
        <w:t>https://doi.org/10.1002/smj.174</w:t>
      </w:r>
    </w:p>
    <w:p w14:paraId="52DEB2ED" w14:textId="1B7573B4" w:rsidR="00823FE6" w:rsidRDefault="006D076A">
      <w:pPr>
        <w:pStyle w:val="Reference"/>
      </w:pPr>
      <w:r>
        <w:t xml:space="preserve">Teece, D. J. (2010). Business models, business strategy and innovation. </w:t>
      </w:r>
      <w:r>
        <w:rPr>
          <w:i/>
        </w:rPr>
        <w:t>Long Range Planning</w:t>
      </w:r>
      <w:r>
        <w:t xml:space="preserve">, </w:t>
      </w:r>
      <w:r>
        <w:rPr>
          <w:i/>
        </w:rPr>
        <w:t>43</w:t>
      </w:r>
      <w:r>
        <w:t xml:space="preserve">(2–3), 172–194. </w:t>
      </w:r>
      <w:r>
        <w:rPr>
          <w:color w:val="0563C1"/>
          <w:u w:val="single"/>
        </w:rPr>
        <w:t>https://doi.org/10.1016/j.lrp.2009.07.003</w:t>
      </w:r>
    </w:p>
    <w:p w14:paraId="448311D4" w14:textId="351AA33A" w:rsidR="00823FE6" w:rsidRDefault="006D076A">
      <w:pPr>
        <w:pStyle w:val="Reference"/>
      </w:pPr>
      <w:r>
        <w:lastRenderedPageBreak/>
        <w:t xml:space="preserve">Teece, D. J., Pisano, G., &amp; Shuen, A. (1997). Dynamic capabilities and strategic management. </w:t>
      </w:r>
      <w:r>
        <w:rPr>
          <w:i/>
        </w:rPr>
        <w:t>Strategic Management Journal</w:t>
      </w:r>
      <w:r>
        <w:t xml:space="preserve">, </w:t>
      </w:r>
      <w:r>
        <w:rPr>
          <w:i/>
        </w:rPr>
        <w:t>18</w:t>
      </w:r>
      <w:r>
        <w:t xml:space="preserve">(7), 509–533. </w:t>
      </w:r>
      <w:r>
        <w:rPr>
          <w:color w:val="0563C1"/>
          <w:u w:val="single"/>
        </w:rPr>
        <w:t>https://doi.org/10.1002/(SICI)1097-0266(199708)18:7&lt;</w:t>
      </w:r>
      <w:proofErr w:type="gramStart"/>
      <w:r>
        <w:rPr>
          <w:color w:val="0563C1"/>
          <w:u w:val="single"/>
        </w:rPr>
        <w:t>509::</w:t>
      </w:r>
      <w:proofErr w:type="gramEnd"/>
      <w:r>
        <w:rPr>
          <w:color w:val="0563C1"/>
          <w:u w:val="single"/>
        </w:rPr>
        <w:t>AID-SMJ882&gt;3.0.CO;2-Z</w:t>
      </w:r>
    </w:p>
    <w:p w14:paraId="734FC2C9" w14:textId="34D174E8" w:rsidR="00823FE6" w:rsidRDefault="006D076A">
      <w:pPr>
        <w:pStyle w:val="Reference"/>
      </w:pPr>
      <w:r>
        <w:t xml:space="preserve">Wairimu, N. L., Koshal, J. N., &amp; Nyambegera, S. (2026). Influence of technical attributes on organizational performance in Kenya's energy parastatals. </w:t>
      </w:r>
      <w:r>
        <w:rPr>
          <w:i/>
        </w:rPr>
        <w:t>The University Journal</w:t>
      </w:r>
      <w:r>
        <w:t xml:space="preserve">, </w:t>
      </w:r>
      <w:r>
        <w:rPr>
          <w:i/>
        </w:rPr>
        <w:t>8</w:t>
      </w:r>
      <w:r>
        <w:t xml:space="preserve">(1), 127–141. </w:t>
      </w:r>
      <w:r>
        <w:rPr>
          <w:color w:val="0563C1"/>
          <w:u w:val="single"/>
        </w:rPr>
        <w:t>https://doi.org/10.59952/tuj.v8i1.449</w:t>
      </w:r>
    </w:p>
    <w:p w14:paraId="55F091E1" w14:textId="31C04554" w:rsidR="00823FE6" w:rsidRDefault="006D076A">
      <w:pPr>
        <w:pStyle w:val="Reference"/>
      </w:pPr>
      <w:r>
        <w:t xml:space="preserve">Wernerfelt, B. (1984). A resource-based view of the firm. </w:t>
      </w:r>
      <w:r>
        <w:rPr>
          <w:i/>
        </w:rPr>
        <w:t>Strategic Management Journal</w:t>
      </w:r>
      <w:r>
        <w:t xml:space="preserve">, </w:t>
      </w:r>
      <w:r>
        <w:rPr>
          <w:i/>
        </w:rPr>
        <w:t>5</w:t>
      </w:r>
      <w:r>
        <w:t xml:space="preserve">(2), 171–180. </w:t>
      </w:r>
      <w:r>
        <w:rPr>
          <w:color w:val="0563C1"/>
          <w:u w:val="single"/>
        </w:rPr>
        <w:t>https://doi.org/10.1002/smj.4250050207</w:t>
      </w:r>
    </w:p>
    <w:p w14:paraId="09193E22" w14:textId="51F65CDD" w:rsidR="00823FE6" w:rsidRDefault="006D076A">
      <w:pPr>
        <w:pStyle w:val="Reference"/>
      </w:pPr>
      <w:r>
        <w:t xml:space="preserve">William, K. J., &amp; Joyce, G. (2020). An examination of how pricing strategy affects performance of oil marketing companies in Kenya. </w:t>
      </w:r>
      <w:r>
        <w:rPr>
          <w:i/>
        </w:rPr>
        <w:t>Journal of Marketing and Communication</w:t>
      </w:r>
      <w:r>
        <w:t xml:space="preserve">, </w:t>
      </w:r>
      <w:r>
        <w:rPr>
          <w:i/>
        </w:rPr>
        <w:t>3</w:t>
      </w:r>
      <w:r>
        <w:t xml:space="preserve">(2), 19–33. </w:t>
      </w:r>
      <w:r>
        <w:rPr>
          <w:color w:val="0563C1"/>
          <w:u w:val="single"/>
        </w:rPr>
        <w:t>https://stratfordjournalpublishers.org/journals/index.php/journal-of-marketing/article/view/604</w:t>
      </w:r>
    </w:p>
    <w:p w14:paraId="28714637" w14:textId="4AE91234" w:rsidR="00823FE6" w:rsidRDefault="006D076A">
      <w:pPr>
        <w:pStyle w:val="Reference"/>
      </w:pPr>
      <w:r>
        <w:t xml:space="preserve">Yabarow, M. M., &amp; Muathe, S. M. A. (2020). Organisational structure and strategy implementation: Empirical evidence from oil marketing companies in Kenya. </w:t>
      </w:r>
      <w:r>
        <w:rPr>
          <w:i/>
        </w:rPr>
        <w:t>International Journal of Management and Applied Research</w:t>
      </w:r>
      <w:r>
        <w:t xml:space="preserve">, </w:t>
      </w:r>
      <w:r>
        <w:rPr>
          <w:i/>
        </w:rPr>
        <w:t>7</w:t>
      </w:r>
      <w:r>
        <w:t xml:space="preserve">(1), 42–54. </w:t>
      </w:r>
      <w:r>
        <w:rPr>
          <w:color w:val="0563C1"/>
          <w:u w:val="single"/>
        </w:rPr>
        <w:t>https://doi.org/10.18646/2056.71.20-003</w:t>
      </w:r>
    </w:p>
    <w:sectPr w:rsidR="00823FE6" w:rsidSect="00034616">
      <w:headerReference w:type="even" r:id="rId8"/>
      <w:headerReference w:type="default" r:id="rId9"/>
      <w:footerReference w:type="even" r:id="rId10"/>
      <w:footerReference w:type="default" r:id="rId11"/>
      <w:headerReference w:type="first" r:id="rId12"/>
      <w:footerReference w:type="first" r:id="rId13"/>
      <w:pgSz w:w="12240" w:h="15840"/>
      <w:pgMar w:top="1080" w:right="1224" w:bottom="1008" w:left="122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16FDD" w14:textId="77777777" w:rsidR="003427B5" w:rsidRDefault="003427B5">
      <w:pPr>
        <w:spacing w:after="0" w:line="240" w:lineRule="auto"/>
      </w:pPr>
      <w:r>
        <w:separator/>
      </w:r>
    </w:p>
  </w:endnote>
  <w:endnote w:type="continuationSeparator" w:id="0">
    <w:p w14:paraId="4EA2DF66" w14:textId="77777777" w:rsidR="003427B5" w:rsidRDefault="0034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FF5C" w14:textId="77777777" w:rsidR="00D226FE" w:rsidRDefault="00D226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32D6" w14:textId="77777777" w:rsidR="00823FE6" w:rsidRDefault="006D076A">
    <w:pPr>
      <w:pStyle w:val="Footer"/>
      <w:jc w:val="center"/>
    </w:pPr>
    <w:r>
      <w:fldChar w:fldCharType="begin"/>
    </w:r>
    <w:r>
      <w:instrText xml:space="preserve"> PAGE </w:instrText>
    </w:r>
    <w:r>
      <w:fldChar w:fldCharType="separate"/>
    </w:r>
    <w:r w:rsidR="000A5DB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1B5A" w14:textId="77777777" w:rsidR="00D226FE" w:rsidRDefault="00D22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BB79" w14:textId="77777777" w:rsidR="003427B5" w:rsidRDefault="003427B5">
      <w:pPr>
        <w:spacing w:after="0" w:line="240" w:lineRule="auto"/>
      </w:pPr>
      <w:r>
        <w:separator/>
      </w:r>
    </w:p>
  </w:footnote>
  <w:footnote w:type="continuationSeparator" w:id="0">
    <w:p w14:paraId="57F85B9F" w14:textId="77777777" w:rsidR="003427B5" w:rsidRDefault="00342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B413" w14:textId="3239D69A" w:rsidR="00D226FE" w:rsidRDefault="00D226FE">
    <w:pPr>
      <w:pStyle w:val="Header"/>
    </w:pPr>
    <w:r>
      <w:rPr>
        <w:noProof/>
      </w:rPr>
      <w:pict w14:anchorId="4192A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5516954" o:spid="_x0000_s1026" type="#_x0000_t136" style="position:absolute;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1D30" w14:textId="00A74139" w:rsidR="00D226FE" w:rsidRDefault="00D226FE">
    <w:pPr>
      <w:pStyle w:val="Header"/>
    </w:pPr>
    <w:r>
      <w:rPr>
        <w:noProof/>
      </w:rPr>
      <w:pict w14:anchorId="2BCA0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5516955" o:spid="_x0000_s1027" type="#_x0000_t136" style="position:absolute;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AD72" w14:textId="08C82D2C" w:rsidR="00D226FE" w:rsidRDefault="00D226FE">
    <w:pPr>
      <w:pStyle w:val="Header"/>
    </w:pPr>
    <w:r>
      <w:rPr>
        <w:noProof/>
      </w:rPr>
      <w:pict w14:anchorId="684A63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5516953" o:spid="_x0000_s1025" type="#_x0000_t136" style="position:absolute;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2497048">
    <w:abstractNumId w:val="8"/>
  </w:num>
  <w:num w:numId="2" w16cid:durableId="48653330">
    <w:abstractNumId w:val="6"/>
  </w:num>
  <w:num w:numId="3" w16cid:durableId="471823835">
    <w:abstractNumId w:val="5"/>
  </w:num>
  <w:num w:numId="4" w16cid:durableId="1337462862">
    <w:abstractNumId w:val="4"/>
  </w:num>
  <w:num w:numId="5" w16cid:durableId="2114860247">
    <w:abstractNumId w:val="7"/>
  </w:num>
  <w:num w:numId="6" w16cid:durableId="1438141516">
    <w:abstractNumId w:val="3"/>
  </w:num>
  <w:num w:numId="7" w16cid:durableId="386412679">
    <w:abstractNumId w:val="2"/>
  </w:num>
  <w:num w:numId="8" w16cid:durableId="910195860">
    <w:abstractNumId w:val="1"/>
  </w:num>
  <w:num w:numId="9" w16cid:durableId="178461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D6F"/>
    <w:rsid w:val="0006063C"/>
    <w:rsid w:val="000A5DBF"/>
    <w:rsid w:val="0015074B"/>
    <w:rsid w:val="00197188"/>
    <w:rsid w:val="0029639D"/>
    <w:rsid w:val="002E6AA1"/>
    <w:rsid w:val="00326F90"/>
    <w:rsid w:val="003427B5"/>
    <w:rsid w:val="006D076A"/>
    <w:rsid w:val="00823FE6"/>
    <w:rsid w:val="00AA1D8D"/>
    <w:rsid w:val="00B47730"/>
    <w:rsid w:val="00B52920"/>
    <w:rsid w:val="00CB0664"/>
    <w:rsid w:val="00CE72D6"/>
    <w:rsid w:val="00D226F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C31E26"/>
  <w14:defaultImageDpi w14:val="300"/>
  <w15:docId w15:val="{0CCEE10C-332F-4613-B5E3-94CC7BE9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F3864"/>
      <w:sz w:val="28"/>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color w:val="2E5078"/>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color w:val="2E507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80" w:line="240" w:lineRule="auto"/>
      <w:contextualSpacing/>
    </w:pPr>
    <w:rPr>
      <w:rFonts w:asciiTheme="majorHAnsi" w:eastAsiaTheme="majorEastAsia" w:hAnsiTheme="majorHAnsi" w:cstheme="majorBidi"/>
      <w:b/>
      <w:color w:val="1F3864"/>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Body">
    <w:name w:val="Abstract Body"/>
    <w:pPr>
      <w:spacing w:after="100" w:line="252" w:lineRule="auto"/>
    </w:pPr>
    <w:rPr>
      <w:rFonts w:ascii="Times New Roman" w:eastAsia="Times New Roman" w:hAnsi="Times New Roman"/>
      <w:sz w:val="21"/>
    </w:rPr>
  </w:style>
  <w:style w:type="paragraph" w:customStyle="1" w:styleId="Keywords">
    <w:name w:val="Keywords"/>
    <w:rPr>
      <w:rFonts w:ascii="Times New Roman" w:eastAsia="Times New Roman" w:hAnsi="Times New Roman"/>
      <w:sz w:val="21"/>
    </w:rPr>
  </w:style>
  <w:style w:type="paragraph" w:customStyle="1" w:styleId="TableCaption">
    <w:name w:val="Table Caption"/>
    <w:pPr>
      <w:spacing w:before="140" w:after="60"/>
    </w:pPr>
    <w:rPr>
      <w:rFonts w:ascii="Times New Roman" w:eastAsia="Times New Roman" w:hAnsi="Times New Roman"/>
      <w:sz w:val="18"/>
    </w:rPr>
  </w:style>
  <w:style w:type="paragraph" w:customStyle="1" w:styleId="TableNote">
    <w:name w:val="Table Note"/>
    <w:pPr>
      <w:spacing w:before="40" w:after="120"/>
    </w:pPr>
    <w:rPr>
      <w:rFonts w:ascii="Times New Roman" w:eastAsia="Times New Roman" w:hAnsi="Times New Roman"/>
      <w:sz w:val="17"/>
    </w:rPr>
  </w:style>
  <w:style w:type="paragraph" w:customStyle="1" w:styleId="Reference">
    <w:name w:val="Reference"/>
    <w:pPr>
      <w:spacing w:after="80" w:line="240" w:lineRule="auto"/>
      <w:ind w:left="432" w:hanging="432"/>
    </w:pPr>
    <w:rPr>
      <w:rFonts w:ascii="Times New Roman" w:eastAsia="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2552-F6F2-494E-BFDA-44D48E85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13416</Words>
  <Characters>76472</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Strategies and Firm Performance in Kenya's Energy Sector: An Empirical Critical Review</dc:title>
  <dc:subject>Critical narrative review of competitive strategies and firm performance in Kenya's energy sector</dc:subject>
  <dc:creator/>
  <cp:keywords>Kenya, energy sector, competitive strategy, firm performance, mini-grids, oil marketing</cp:keywords>
  <dc:description>generated by python-docx</dc:description>
  <cp:lastModifiedBy>SDI 1084</cp:lastModifiedBy>
  <cp:revision>6</cp:revision>
  <dcterms:created xsi:type="dcterms:W3CDTF">2013-12-23T23:15:00Z</dcterms:created>
  <dcterms:modified xsi:type="dcterms:W3CDTF">2026-08-01T13:05:00Z</dcterms:modified>
  <cp:category/>
</cp:coreProperties>
</file>