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2E3AC8" w14:textId="02F1D3F4" w:rsidR="00817257" w:rsidRPr="0006311D" w:rsidRDefault="008B23A4">
      <w:pPr>
        <w:rPr>
          <w:b/>
          <w:bCs/>
          <w:sz w:val="28"/>
          <w:szCs w:val="28"/>
        </w:rPr>
      </w:pPr>
      <w:r w:rsidRPr="0006311D">
        <w:rPr>
          <w:b/>
          <w:bCs/>
          <w:sz w:val="28"/>
          <w:szCs w:val="28"/>
        </w:rPr>
        <w:t xml:space="preserve">Knowledge, Perception, and Acceptance of Assisted Reproductive Technology Among Women Attending an Obstetrics and </w:t>
      </w:r>
      <w:proofErr w:type="spellStart"/>
      <w:r w:rsidRPr="0006311D">
        <w:rPr>
          <w:b/>
          <w:bCs/>
          <w:sz w:val="28"/>
          <w:szCs w:val="28"/>
        </w:rPr>
        <w:t>Gynaecology</w:t>
      </w:r>
      <w:proofErr w:type="spellEnd"/>
      <w:r w:rsidRPr="0006311D">
        <w:rPr>
          <w:b/>
          <w:bCs/>
          <w:sz w:val="28"/>
          <w:szCs w:val="28"/>
        </w:rPr>
        <w:t xml:space="preserve"> Clinic in Southeastern Nigeria</w:t>
      </w:r>
    </w:p>
    <w:p w14:paraId="125CE341" w14:textId="77777777" w:rsidR="009C3AFC" w:rsidRPr="0006311D" w:rsidRDefault="009C3AFC">
      <w:pPr>
        <w:rPr>
          <w:b/>
          <w:bCs/>
          <w:sz w:val="32"/>
          <w:szCs w:val="32"/>
        </w:rPr>
      </w:pPr>
    </w:p>
    <w:p w14:paraId="7389AFA8" w14:textId="77777777" w:rsidR="00817257" w:rsidRPr="0006311D" w:rsidRDefault="00817257">
      <w:pPr>
        <w:spacing w:after="240"/>
        <w:jc w:val="center"/>
        <w:rPr>
          <w:i/>
          <w:iCs/>
          <w:sz w:val="24"/>
          <w:szCs w:val="24"/>
        </w:rPr>
      </w:pPr>
    </w:p>
    <w:p w14:paraId="559B5E92" w14:textId="77777777" w:rsidR="00817257" w:rsidRPr="0006311D" w:rsidRDefault="008B23A4">
      <w:pPr>
        <w:spacing w:after="120"/>
        <w:rPr>
          <w:sz w:val="24"/>
          <w:szCs w:val="24"/>
        </w:rPr>
      </w:pPr>
      <w:r w:rsidRPr="0006311D">
        <w:rPr>
          <w:b/>
          <w:bCs/>
          <w:sz w:val="24"/>
          <w:szCs w:val="24"/>
        </w:rPr>
        <w:t>ABSTRACT</w:t>
      </w:r>
    </w:p>
    <w:p w14:paraId="4487F5C8" w14:textId="77777777" w:rsidR="00817257" w:rsidRPr="0006311D" w:rsidRDefault="008B23A4">
      <w:pPr>
        <w:spacing w:after="160" w:line="276" w:lineRule="auto"/>
        <w:jc w:val="both"/>
        <w:rPr>
          <w:i/>
          <w:iCs/>
          <w:sz w:val="24"/>
          <w:szCs w:val="24"/>
        </w:rPr>
      </w:pPr>
      <w:r w:rsidRPr="0006311D">
        <w:rPr>
          <w:i/>
          <w:iCs/>
          <w:sz w:val="24"/>
          <w:szCs w:val="24"/>
        </w:rPr>
        <w:t xml:space="preserve">Background: Infertility remains one of the most consequential reproductive health challenges in sub-Saharan Africa, where the social meaning of childbearing is deeply intertwined with marital identity and community standing. Although assisted reproductive technology (ART) offers clinically validated pathways to parenthood, its availability within Nigerian tertiary hospitals does not reliably translate into uptake. This study assessed the knowledge, perception, and acceptance of ART among women attending the obstetrics and </w:t>
      </w:r>
      <w:proofErr w:type="spellStart"/>
      <w:r w:rsidRPr="0006311D">
        <w:rPr>
          <w:i/>
          <w:iCs/>
          <w:sz w:val="24"/>
          <w:szCs w:val="24"/>
        </w:rPr>
        <w:t>gynaecology</w:t>
      </w:r>
      <w:proofErr w:type="spellEnd"/>
      <w:r w:rsidRPr="0006311D">
        <w:rPr>
          <w:i/>
          <w:iCs/>
          <w:sz w:val="24"/>
          <w:szCs w:val="24"/>
        </w:rPr>
        <w:t xml:space="preserve"> clinic at Alex Ekwueme Federal University Teaching Hospital </w:t>
      </w:r>
      <w:proofErr w:type="spellStart"/>
      <w:r w:rsidRPr="0006311D">
        <w:rPr>
          <w:i/>
          <w:iCs/>
          <w:sz w:val="24"/>
          <w:szCs w:val="24"/>
        </w:rPr>
        <w:t>Abakaliki</w:t>
      </w:r>
      <w:proofErr w:type="spellEnd"/>
      <w:r w:rsidRPr="0006311D">
        <w:rPr>
          <w:i/>
          <w:iCs/>
          <w:sz w:val="24"/>
          <w:szCs w:val="24"/>
        </w:rPr>
        <w:t xml:space="preserve"> (AEFUTHA), Ebonyi State, Nigeria.</w:t>
      </w:r>
    </w:p>
    <w:p w14:paraId="2EECE554" w14:textId="77777777" w:rsidR="00817257" w:rsidRPr="0006311D" w:rsidRDefault="008B23A4">
      <w:pPr>
        <w:spacing w:after="160" w:line="276" w:lineRule="auto"/>
        <w:jc w:val="both"/>
        <w:rPr>
          <w:i/>
          <w:iCs/>
          <w:sz w:val="24"/>
          <w:szCs w:val="24"/>
        </w:rPr>
      </w:pPr>
      <w:r w:rsidRPr="0006311D">
        <w:rPr>
          <w:i/>
          <w:iCs/>
          <w:sz w:val="24"/>
          <w:szCs w:val="24"/>
        </w:rPr>
        <w:t xml:space="preserve">Methods: A descriptive cross-sectional design was employed. Data were collected from 91 eligible women using a structured, validated questionnaire grounded in the Health Belief Model and the Theory of Planned </w:t>
      </w:r>
      <w:proofErr w:type="spellStart"/>
      <w:r w:rsidRPr="0006311D">
        <w:rPr>
          <w:i/>
          <w:iCs/>
          <w:sz w:val="24"/>
          <w:szCs w:val="24"/>
        </w:rPr>
        <w:t>Behaviour</w:t>
      </w:r>
      <w:proofErr w:type="spellEnd"/>
      <w:r w:rsidRPr="0006311D">
        <w:rPr>
          <w:i/>
          <w:iCs/>
          <w:sz w:val="24"/>
          <w:szCs w:val="24"/>
        </w:rPr>
        <w:t>. Composite scoring indices assessed knowledge and perception, while chi-square tests examined associations between sociodemographic variables and ART acceptance. Statistical significance was set at p &lt; 0.05.</w:t>
      </w:r>
    </w:p>
    <w:p w14:paraId="5126A207" w14:textId="77777777" w:rsidR="00817257" w:rsidRPr="0006311D" w:rsidRDefault="008B23A4">
      <w:pPr>
        <w:spacing w:after="160" w:line="276" w:lineRule="auto"/>
        <w:jc w:val="both"/>
        <w:rPr>
          <w:i/>
          <w:iCs/>
          <w:sz w:val="24"/>
          <w:szCs w:val="24"/>
        </w:rPr>
      </w:pPr>
      <w:r w:rsidRPr="0006311D">
        <w:rPr>
          <w:i/>
          <w:iCs/>
          <w:sz w:val="24"/>
          <w:szCs w:val="24"/>
        </w:rPr>
        <w:t>Results: Awareness of ART was high (82.4%), and most respondents held positive perceptions (78.0%). Good knowledge was demonstrated by 63.7% of participants, though misconceptions regarding guaranteed treatment success remained prevalent. Acceptance was reported by 74.7% of respondents. Statistically significant associations were found between knowledge and acceptance (χ² = 8.47, p = 0.014), perception and acceptance (χ² = 14.56, p = 0.001), and marital status and acceptance (χ² = 6.32, p = 0.012). Religion was not independently associated with acceptance. Financial cost emerged as the principal barrier to utilization.</w:t>
      </w:r>
    </w:p>
    <w:p w14:paraId="5222D091" w14:textId="77777777" w:rsidR="00817257" w:rsidRPr="0006311D" w:rsidRDefault="008B23A4">
      <w:pPr>
        <w:spacing w:after="160" w:line="276" w:lineRule="auto"/>
        <w:jc w:val="both"/>
        <w:rPr>
          <w:sz w:val="24"/>
          <w:szCs w:val="24"/>
        </w:rPr>
      </w:pPr>
      <w:r w:rsidRPr="0006311D">
        <w:rPr>
          <w:i/>
          <w:iCs/>
          <w:sz w:val="24"/>
          <w:szCs w:val="24"/>
        </w:rPr>
        <w:t>Conclusion: Women in this tertiary healthcare setting demonstrate relatively high awareness and acceptance of ART; however, knowledge gaps and financial barriers constrain actual uptake. Acceptance is shaped more by understanding and attitudes than by religious affiliation. Targeted educational interventions and structural affordability measures are essential to improve ART utilization.</w:t>
      </w:r>
    </w:p>
    <w:p w14:paraId="1CA82557" w14:textId="77777777" w:rsidR="00817257" w:rsidRPr="0006311D" w:rsidRDefault="00817257">
      <w:pPr>
        <w:spacing w:before="160"/>
        <w:rPr>
          <w:sz w:val="24"/>
          <w:szCs w:val="24"/>
        </w:rPr>
      </w:pPr>
    </w:p>
    <w:p w14:paraId="20E6E949" w14:textId="3BE42D6B" w:rsidR="00817257" w:rsidRPr="0006311D" w:rsidRDefault="008B23A4" w:rsidP="00801B12">
      <w:pPr>
        <w:spacing w:after="160" w:line="276" w:lineRule="auto"/>
        <w:jc w:val="both"/>
        <w:rPr>
          <w:sz w:val="24"/>
          <w:szCs w:val="24"/>
        </w:rPr>
      </w:pPr>
      <w:r w:rsidRPr="0006311D">
        <w:rPr>
          <w:b/>
          <w:bCs/>
          <w:sz w:val="24"/>
          <w:szCs w:val="24"/>
        </w:rPr>
        <w:t xml:space="preserve">Keywords: </w:t>
      </w:r>
      <w:r w:rsidRPr="0006311D">
        <w:rPr>
          <w:sz w:val="24"/>
          <w:szCs w:val="24"/>
        </w:rPr>
        <w:t>Assisted Reproductive Technology; Infertility; Knowledge; Perception; Acceptance; Nigeria; Health Belief Model</w:t>
      </w:r>
    </w:p>
    <w:p w14:paraId="2AB00C6B" w14:textId="77777777" w:rsidR="00817257" w:rsidRPr="0006311D" w:rsidRDefault="00817257">
      <w:pPr>
        <w:pStyle w:val="Heading1"/>
      </w:pPr>
    </w:p>
    <w:p w14:paraId="27B47B86" w14:textId="77777777" w:rsidR="00817257" w:rsidRPr="0006311D" w:rsidRDefault="008B23A4">
      <w:pPr>
        <w:pStyle w:val="Heading1"/>
      </w:pPr>
      <w:r w:rsidRPr="0006311D">
        <w:t>1. INTRODUCTION</w:t>
      </w:r>
    </w:p>
    <w:p w14:paraId="51F3932E" w14:textId="77777777" w:rsidR="00817257" w:rsidRPr="0006311D" w:rsidRDefault="008B23A4">
      <w:pPr>
        <w:spacing w:after="160" w:line="276" w:lineRule="auto"/>
        <w:jc w:val="both"/>
        <w:rPr>
          <w:sz w:val="24"/>
          <w:szCs w:val="24"/>
        </w:rPr>
      </w:pPr>
      <w:r w:rsidRPr="0006311D">
        <w:rPr>
          <w:sz w:val="24"/>
          <w:szCs w:val="24"/>
        </w:rPr>
        <w:lastRenderedPageBreak/>
        <w:t xml:space="preserve">Infertility is defined by the World Health Organization as the failure to achieve a clinical pregnancy after 12 months or more of regular, unprotected sexual intercourse (WHO, 2023). Globally, it is estimated to affect between 48 and 186 million people, with the burden disproportionately concentrated in low- and middle-income countries, particularly across sub-Saharan Africa (Mascarenhas et al., 2012; Inhorn &amp; Patrizio, 2015). In Nigeria, prevalence estimates range between 20% and 30% of couples of reproductive </w:t>
      </w:r>
      <w:proofErr w:type="gramStart"/>
      <w:r w:rsidRPr="0006311D">
        <w:rPr>
          <w:sz w:val="24"/>
          <w:szCs w:val="24"/>
        </w:rPr>
        <w:t>age</w:t>
      </w:r>
      <w:proofErr w:type="gramEnd"/>
      <w:r w:rsidRPr="0006311D">
        <w:rPr>
          <w:sz w:val="24"/>
          <w:szCs w:val="24"/>
        </w:rPr>
        <w:t>, making infertility a public health concern of considerable magnitude (Bello et al., 2021).</w:t>
      </w:r>
    </w:p>
    <w:p w14:paraId="36AC5664" w14:textId="77777777" w:rsidR="00817257" w:rsidRPr="0006311D" w:rsidRDefault="008B23A4">
      <w:pPr>
        <w:spacing w:after="160" w:line="276" w:lineRule="auto"/>
        <w:jc w:val="both"/>
        <w:rPr>
          <w:sz w:val="24"/>
          <w:szCs w:val="24"/>
        </w:rPr>
      </w:pPr>
      <w:r w:rsidRPr="0006311D">
        <w:rPr>
          <w:sz w:val="24"/>
          <w:szCs w:val="24"/>
        </w:rPr>
        <w:t xml:space="preserve">Beyond its clinical dimensions, infertility carries profound social and psychological consequences in the Nigerian context. Childbearing is widely regarded not merely as a personal aspiration but as a social obligation, particularly within marriage. Women who do not achieve pregnancy within expected timeframes frequently face </w:t>
      </w:r>
      <w:proofErr w:type="spellStart"/>
      <w:r w:rsidRPr="0006311D">
        <w:rPr>
          <w:sz w:val="24"/>
          <w:szCs w:val="24"/>
        </w:rPr>
        <w:t>stigmatisation</w:t>
      </w:r>
      <w:proofErr w:type="spellEnd"/>
      <w:r w:rsidRPr="0006311D">
        <w:rPr>
          <w:sz w:val="24"/>
          <w:szCs w:val="24"/>
        </w:rPr>
        <w:t xml:space="preserve">, marital instability, and exclusion from community activities (Naab et al., 2013; </w:t>
      </w:r>
      <w:proofErr w:type="spellStart"/>
      <w:r w:rsidRPr="0006311D">
        <w:rPr>
          <w:sz w:val="24"/>
          <w:szCs w:val="24"/>
        </w:rPr>
        <w:t>Taebi</w:t>
      </w:r>
      <w:proofErr w:type="spellEnd"/>
      <w:r w:rsidRPr="0006311D">
        <w:rPr>
          <w:sz w:val="24"/>
          <w:szCs w:val="24"/>
        </w:rPr>
        <w:t xml:space="preserve"> et al., 2021). In many communities, the burden of infertility is unfairly attributed to women, even when male factor contributions are equally or more responsible (Agarwal et al., 2015; Yaya et al., 2021). Assisted Reproductive Technology (ART) encompasses a range of clinical procedures designed to assist </w:t>
      </w:r>
      <w:proofErr w:type="spellStart"/>
      <w:r w:rsidRPr="0006311D">
        <w:rPr>
          <w:sz w:val="24"/>
          <w:szCs w:val="24"/>
        </w:rPr>
        <w:t>fertilisation</w:t>
      </w:r>
      <w:proofErr w:type="spellEnd"/>
      <w:r w:rsidRPr="0006311D">
        <w:rPr>
          <w:sz w:val="24"/>
          <w:szCs w:val="24"/>
        </w:rPr>
        <w:t xml:space="preserve"> when conventional conception is not achieved. These include in vitro </w:t>
      </w:r>
      <w:proofErr w:type="spellStart"/>
      <w:r w:rsidRPr="0006311D">
        <w:rPr>
          <w:sz w:val="24"/>
          <w:szCs w:val="24"/>
        </w:rPr>
        <w:t>fertilisation</w:t>
      </w:r>
      <w:proofErr w:type="spellEnd"/>
      <w:r w:rsidRPr="0006311D">
        <w:rPr>
          <w:sz w:val="24"/>
          <w:szCs w:val="24"/>
        </w:rPr>
        <w:t xml:space="preserve"> (IVF), intracytoplasmic sperm injection (ICSI), frozen embryo transfer (FET), gamete donation, and surrogacy (Zegers-Hochschild et al., 2017; </w:t>
      </w:r>
      <w:proofErr w:type="spellStart"/>
      <w:r w:rsidRPr="0006311D">
        <w:rPr>
          <w:sz w:val="24"/>
          <w:szCs w:val="24"/>
        </w:rPr>
        <w:t>Tenchov</w:t>
      </w:r>
      <w:proofErr w:type="spellEnd"/>
      <w:r w:rsidRPr="0006311D">
        <w:rPr>
          <w:sz w:val="24"/>
          <w:szCs w:val="24"/>
        </w:rPr>
        <w:t xml:space="preserve"> &amp; Zhou, 2025). Since the birth of the first IVF child in 1978, the field has advanced considerably, with cumulative global births from ART now exceeding 10 million (ESHRE, 2022). In Nigeria, ART services have expanded gradually within tertiary institutions, yet </w:t>
      </w:r>
      <w:proofErr w:type="spellStart"/>
      <w:r w:rsidRPr="0006311D">
        <w:rPr>
          <w:sz w:val="24"/>
          <w:szCs w:val="24"/>
        </w:rPr>
        <w:t>utilisation</w:t>
      </w:r>
      <w:proofErr w:type="spellEnd"/>
      <w:r w:rsidRPr="0006311D">
        <w:rPr>
          <w:sz w:val="24"/>
          <w:szCs w:val="24"/>
        </w:rPr>
        <w:t xml:space="preserve"> remains far below clinical need.</w:t>
      </w:r>
    </w:p>
    <w:p w14:paraId="0C7AFB38" w14:textId="77777777" w:rsidR="00817257" w:rsidRPr="0006311D" w:rsidRDefault="008B23A4">
      <w:pPr>
        <w:spacing w:after="160" w:line="276" w:lineRule="auto"/>
        <w:jc w:val="both"/>
        <w:rPr>
          <w:sz w:val="24"/>
          <w:szCs w:val="24"/>
        </w:rPr>
      </w:pPr>
      <w:r w:rsidRPr="0006311D">
        <w:rPr>
          <w:sz w:val="24"/>
          <w:szCs w:val="24"/>
        </w:rPr>
        <w:t xml:space="preserve">Access to ART services at AEFUTHA represents a significant institutional investment in reproductive health care for Ebonyi State and the surrounding region. However, mere availability of a service does not ensure its uptake. Patients' decisions to engage with ART are shaped by intersecting cognitive, attitudinal, cultural, financial, and relational factors (Dyer &amp; Patel, 2019; </w:t>
      </w:r>
      <w:proofErr w:type="spellStart"/>
      <w:r w:rsidRPr="0006311D">
        <w:rPr>
          <w:sz w:val="24"/>
          <w:szCs w:val="24"/>
        </w:rPr>
        <w:t>Chikeme</w:t>
      </w:r>
      <w:proofErr w:type="spellEnd"/>
      <w:r w:rsidRPr="0006311D">
        <w:rPr>
          <w:sz w:val="24"/>
          <w:szCs w:val="24"/>
        </w:rPr>
        <w:t xml:space="preserve"> et al., 2022). Understanding these factors is therefore a prerequisite for designing effective patient education, counselling, and service delivery strategies.</w:t>
      </w:r>
    </w:p>
    <w:p w14:paraId="71D8640B" w14:textId="77777777" w:rsidR="00817257" w:rsidRPr="0006311D" w:rsidRDefault="008B23A4">
      <w:pPr>
        <w:spacing w:after="160" w:line="276" w:lineRule="auto"/>
        <w:jc w:val="both"/>
        <w:rPr>
          <w:sz w:val="24"/>
          <w:szCs w:val="24"/>
        </w:rPr>
      </w:pPr>
      <w:r w:rsidRPr="0006311D">
        <w:rPr>
          <w:sz w:val="24"/>
          <w:szCs w:val="24"/>
        </w:rPr>
        <w:t xml:space="preserve">Despite the establishment of an ART and IVF unit at AEFUTHA, no documented study had examined women's knowledge, perceptions, or acceptance of ART within this specific facility prior to the present investigation. This evidence gap limits the hospital's ability to identify whether women are adequately informed, whether cultural or financial barriers are driving </w:t>
      </w:r>
      <w:proofErr w:type="spellStart"/>
      <w:r w:rsidRPr="0006311D">
        <w:rPr>
          <w:sz w:val="24"/>
          <w:szCs w:val="24"/>
        </w:rPr>
        <w:t>underutilisation</w:t>
      </w:r>
      <w:proofErr w:type="spellEnd"/>
      <w:r w:rsidRPr="0006311D">
        <w:rPr>
          <w:sz w:val="24"/>
          <w:szCs w:val="24"/>
        </w:rPr>
        <w:t xml:space="preserve">, and how patient engagement </w:t>
      </w:r>
      <w:proofErr w:type="spellStart"/>
      <w:r w:rsidRPr="0006311D">
        <w:rPr>
          <w:sz w:val="24"/>
          <w:szCs w:val="24"/>
        </w:rPr>
        <w:t>programmes</w:t>
      </w:r>
      <w:proofErr w:type="spellEnd"/>
      <w:r w:rsidRPr="0006311D">
        <w:rPr>
          <w:sz w:val="24"/>
          <w:szCs w:val="24"/>
        </w:rPr>
        <w:t xml:space="preserve"> should be designed. This study therefore aimed to assess knowledge of ART, evaluate perceptions toward ART, measure acceptance and willingness to use ART, and examine associations between sociodemographic variables and ART acceptance among women attending the obstetrics and </w:t>
      </w:r>
      <w:proofErr w:type="spellStart"/>
      <w:r w:rsidRPr="0006311D">
        <w:rPr>
          <w:sz w:val="24"/>
          <w:szCs w:val="24"/>
        </w:rPr>
        <w:t>gynaecology</w:t>
      </w:r>
      <w:proofErr w:type="spellEnd"/>
      <w:r w:rsidRPr="0006311D">
        <w:rPr>
          <w:sz w:val="24"/>
          <w:szCs w:val="24"/>
        </w:rPr>
        <w:t xml:space="preserve"> clinic at AEFUTHA. The findings are intended to inform patient education initiatives, institutional planning, and broader policy dialogue on reproductive health access in Nigeria.</w:t>
      </w:r>
    </w:p>
    <w:p w14:paraId="1582E4EC" w14:textId="77777777" w:rsidR="00817257" w:rsidRPr="0006311D" w:rsidRDefault="008B23A4">
      <w:pPr>
        <w:pStyle w:val="Heading1"/>
      </w:pPr>
      <w:r w:rsidRPr="0006311D">
        <w:t>2. LITERATURE REVIEW</w:t>
      </w:r>
    </w:p>
    <w:p w14:paraId="5994ED00" w14:textId="77777777" w:rsidR="00817257" w:rsidRPr="0006311D" w:rsidRDefault="008B23A4">
      <w:pPr>
        <w:pStyle w:val="Heading2"/>
        <w:rPr>
          <w:sz w:val="24"/>
          <w:szCs w:val="24"/>
        </w:rPr>
      </w:pPr>
      <w:r w:rsidRPr="0006311D">
        <w:rPr>
          <w:sz w:val="24"/>
          <w:szCs w:val="24"/>
        </w:rPr>
        <w:lastRenderedPageBreak/>
        <w:t>2.1 Conceptual Framework</w:t>
      </w:r>
    </w:p>
    <w:p w14:paraId="41550CD7" w14:textId="77777777" w:rsidR="00817257" w:rsidRPr="0006311D" w:rsidRDefault="008B23A4">
      <w:pPr>
        <w:spacing w:after="160" w:line="276" w:lineRule="auto"/>
        <w:jc w:val="both"/>
        <w:rPr>
          <w:sz w:val="24"/>
          <w:szCs w:val="24"/>
        </w:rPr>
      </w:pPr>
      <w:r w:rsidRPr="0006311D">
        <w:rPr>
          <w:sz w:val="24"/>
          <w:szCs w:val="24"/>
        </w:rPr>
        <w:t xml:space="preserve">This study was guided by two complementary theoretical frameworks. The Health Belief Model (HBM), originally developed by Rosenstock (1966) and elaborated by Becker (1974), posits that health-related decisions are shaped by perceived susceptibility, perceived severity, perceived benefits, perceived barriers, cues to action, and self-efficacy. Applied to ART, the model helps explain why women who </w:t>
      </w:r>
      <w:proofErr w:type="spellStart"/>
      <w:r w:rsidRPr="0006311D">
        <w:rPr>
          <w:sz w:val="24"/>
          <w:szCs w:val="24"/>
        </w:rPr>
        <w:t>recognise</w:t>
      </w:r>
      <w:proofErr w:type="spellEnd"/>
      <w:r w:rsidRPr="0006311D">
        <w:rPr>
          <w:sz w:val="24"/>
          <w:szCs w:val="24"/>
        </w:rPr>
        <w:t xml:space="preserve"> the seriousness of infertility and the potential benefits of treatment may nonetheless remain unwilling to act when financial or procedural barriers appear overwhelming.</w:t>
      </w:r>
    </w:p>
    <w:p w14:paraId="76DA66E6" w14:textId="77777777" w:rsidR="00817257" w:rsidRPr="0006311D" w:rsidRDefault="008B23A4">
      <w:pPr>
        <w:spacing w:after="160" w:line="276" w:lineRule="auto"/>
        <w:jc w:val="both"/>
        <w:rPr>
          <w:sz w:val="24"/>
          <w:szCs w:val="24"/>
        </w:rPr>
      </w:pPr>
      <w:r w:rsidRPr="0006311D">
        <w:rPr>
          <w:sz w:val="24"/>
          <w:szCs w:val="24"/>
        </w:rPr>
        <w:t xml:space="preserve">The Theory of Planned </w:t>
      </w:r>
      <w:proofErr w:type="spellStart"/>
      <w:r w:rsidRPr="0006311D">
        <w:rPr>
          <w:sz w:val="24"/>
          <w:szCs w:val="24"/>
        </w:rPr>
        <w:t>Behaviour</w:t>
      </w:r>
      <w:proofErr w:type="spellEnd"/>
      <w:r w:rsidRPr="0006311D">
        <w:rPr>
          <w:sz w:val="24"/>
          <w:szCs w:val="24"/>
        </w:rPr>
        <w:t xml:space="preserve"> (TPB), formulated by Ajzen (1991), adds that </w:t>
      </w:r>
      <w:proofErr w:type="spellStart"/>
      <w:r w:rsidRPr="0006311D">
        <w:rPr>
          <w:sz w:val="24"/>
          <w:szCs w:val="24"/>
        </w:rPr>
        <w:t>behavioural</w:t>
      </w:r>
      <w:proofErr w:type="spellEnd"/>
      <w:r w:rsidRPr="0006311D">
        <w:rPr>
          <w:sz w:val="24"/>
          <w:szCs w:val="24"/>
        </w:rPr>
        <w:t xml:space="preserve"> intention is predicted by attitudes toward the </w:t>
      </w:r>
      <w:proofErr w:type="spellStart"/>
      <w:r w:rsidRPr="0006311D">
        <w:rPr>
          <w:sz w:val="24"/>
          <w:szCs w:val="24"/>
        </w:rPr>
        <w:t>behaviour</w:t>
      </w:r>
      <w:proofErr w:type="spellEnd"/>
      <w:r w:rsidRPr="0006311D">
        <w:rPr>
          <w:sz w:val="24"/>
          <w:szCs w:val="24"/>
        </w:rPr>
        <w:t xml:space="preserve">, subjective norms derived from significant others, and perceived </w:t>
      </w:r>
      <w:proofErr w:type="spellStart"/>
      <w:r w:rsidRPr="0006311D">
        <w:rPr>
          <w:sz w:val="24"/>
          <w:szCs w:val="24"/>
        </w:rPr>
        <w:t>behavioural</w:t>
      </w:r>
      <w:proofErr w:type="spellEnd"/>
      <w:r w:rsidRPr="0006311D">
        <w:rPr>
          <w:sz w:val="24"/>
          <w:szCs w:val="24"/>
        </w:rPr>
        <w:t xml:space="preserve"> control. In the context of ART acceptance, this framework highlights how partner support, community attitudes, and perceived ability to afford and access treatment interact to shape a woman's intention to seek care.</w:t>
      </w:r>
    </w:p>
    <w:p w14:paraId="33AA7ABE" w14:textId="77777777" w:rsidR="00817257" w:rsidRPr="0006311D" w:rsidRDefault="008B23A4">
      <w:pPr>
        <w:pStyle w:val="Heading2"/>
        <w:rPr>
          <w:sz w:val="24"/>
          <w:szCs w:val="24"/>
        </w:rPr>
      </w:pPr>
      <w:r w:rsidRPr="0006311D">
        <w:rPr>
          <w:sz w:val="24"/>
          <w:szCs w:val="24"/>
        </w:rPr>
        <w:t>2.2 ART Knowledge in Nigeria and Sub-Saharan Africa</w:t>
      </w:r>
    </w:p>
    <w:p w14:paraId="0EC6FE45" w14:textId="77777777" w:rsidR="00817257" w:rsidRPr="0006311D" w:rsidRDefault="008B23A4">
      <w:pPr>
        <w:spacing w:after="160" w:line="276" w:lineRule="auto"/>
        <w:jc w:val="both"/>
        <w:rPr>
          <w:sz w:val="24"/>
          <w:szCs w:val="24"/>
        </w:rPr>
      </w:pPr>
      <w:r w:rsidRPr="0006311D">
        <w:rPr>
          <w:sz w:val="24"/>
          <w:szCs w:val="24"/>
        </w:rPr>
        <w:t xml:space="preserve">Evidence from Nigeria and </w:t>
      </w:r>
      <w:proofErr w:type="spellStart"/>
      <w:r w:rsidRPr="0006311D">
        <w:rPr>
          <w:sz w:val="24"/>
          <w:szCs w:val="24"/>
        </w:rPr>
        <w:t>neighbouring</w:t>
      </w:r>
      <w:proofErr w:type="spellEnd"/>
      <w:r w:rsidRPr="0006311D">
        <w:rPr>
          <w:sz w:val="24"/>
          <w:szCs w:val="24"/>
        </w:rPr>
        <w:t xml:space="preserve"> countries consistently reveals a pattern of general awareness coexisting with limited procedural understanding. </w:t>
      </w:r>
      <w:proofErr w:type="spellStart"/>
      <w:r w:rsidRPr="0006311D">
        <w:rPr>
          <w:sz w:val="24"/>
          <w:szCs w:val="24"/>
        </w:rPr>
        <w:t>Chikeme</w:t>
      </w:r>
      <w:proofErr w:type="spellEnd"/>
      <w:r w:rsidRPr="0006311D">
        <w:rPr>
          <w:sz w:val="24"/>
          <w:szCs w:val="24"/>
        </w:rPr>
        <w:t xml:space="preserve"> and colleagues (2022) examined 317 women attending a fertility clinic in southeastern Nigeria and found that while most had heard of IVF, fewer than half could accurately describe the </w:t>
      </w:r>
      <w:proofErr w:type="spellStart"/>
      <w:r w:rsidRPr="0006311D">
        <w:rPr>
          <w:sz w:val="24"/>
          <w:szCs w:val="24"/>
        </w:rPr>
        <w:t>fertilisation</w:t>
      </w:r>
      <w:proofErr w:type="spellEnd"/>
      <w:r w:rsidRPr="0006311D">
        <w:rPr>
          <w:sz w:val="24"/>
          <w:szCs w:val="24"/>
        </w:rPr>
        <w:t xml:space="preserve"> process or realistic success rates. Similarly, Johnson-</w:t>
      </w:r>
      <w:proofErr w:type="spellStart"/>
      <w:r w:rsidRPr="0006311D">
        <w:rPr>
          <w:sz w:val="24"/>
          <w:szCs w:val="24"/>
        </w:rPr>
        <w:t>Ekeleba</w:t>
      </w:r>
      <w:proofErr w:type="spellEnd"/>
      <w:r w:rsidRPr="0006311D">
        <w:rPr>
          <w:sz w:val="24"/>
          <w:szCs w:val="24"/>
        </w:rPr>
        <w:t xml:space="preserve"> et al. (2024) found that non-medical tertiary students in Ghana demonstrated reasonable awareness but held significant misconceptions, particularly the belief that ART invariably results in multiple pregnancies. This phenomenon — awareness without understanding — is what has been described in health </w:t>
      </w:r>
      <w:proofErr w:type="spellStart"/>
      <w:r w:rsidRPr="0006311D">
        <w:rPr>
          <w:sz w:val="24"/>
          <w:szCs w:val="24"/>
        </w:rPr>
        <w:t>behaviour</w:t>
      </w:r>
      <w:proofErr w:type="spellEnd"/>
      <w:r w:rsidRPr="0006311D">
        <w:rPr>
          <w:sz w:val="24"/>
          <w:szCs w:val="24"/>
        </w:rPr>
        <w:t xml:space="preserve"> research as superficial familiarity (Bunting &amp; Boivin, 2007). In the context of ART, it can manifest as either unrealistic optimism (expecting guaranteed pregnancy) or unwarranted fear (believing the procedures are inherently dangerous or unnatural). Both forms of shallow knowledge can impede appropriate </w:t>
      </w:r>
      <w:proofErr w:type="spellStart"/>
      <w:r w:rsidRPr="0006311D">
        <w:rPr>
          <w:sz w:val="24"/>
          <w:szCs w:val="24"/>
        </w:rPr>
        <w:t>utilisation</w:t>
      </w:r>
      <w:proofErr w:type="spellEnd"/>
      <w:r w:rsidRPr="0006311D">
        <w:rPr>
          <w:sz w:val="24"/>
          <w:szCs w:val="24"/>
        </w:rPr>
        <w:t>.</w:t>
      </w:r>
    </w:p>
    <w:p w14:paraId="03155A96" w14:textId="77777777" w:rsidR="00817257" w:rsidRPr="0006311D" w:rsidRDefault="008B23A4">
      <w:pPr>
        <w:spacing w:after="160" w:line="276" w:lineRule="auto"/>
        <w:jc w:val="both"/>
        <w:rPr>
          <w:sz w:val="24"/>
          <w:szCs w:val="24"/>
        </w:rPr>
      </w:pPr>
      <w:r w:rsidRPr="0006311D">
        <w:rPr>
          <w:sz w:val="24"/>
          <w:szCs w:val="24"/>
        </w:rPr>
        <w:t>A cross-national review by Whittaker et al. (2024) documented that healthcare providers across sub-Saharan Africa identify patient misinformation and low health literacy as key obstacles to ART uptake, often as significant as structural barriers such as cost and distance. These findings underscore the need for context-specific educational interventions that move beyond awareness campaigns to develop accurate, procedurally detailed knowledge.</w:t>
      </w:r>
    </w:p>
    <w:p w14:paraId="6540E4D6" w14:textId="77777777" w:rsidR="00817257" w:rsidRPr="0006311D" w:rsidRDefault="008B23A4">
      <w:pPr>
        <w:pStyle w:val="Heading2"/>
        <w:rPr>
          <w:sz w:val="24"/>
          <w:szCs w:val="24"/>
        </w:rPr>
      </w:pPr>
      <w:r w:rsidRPr="0006311D">
        <w:rPr>
          <w:sz w:val="24"/>
          <w:szCs w:val="24"/>
        </w:rPr>
        <w:t>2.3 Perceptions and Sociocultural Influences</w:t>
      </w:r>
    </w:p>
    <w:p w14:paraId="0597D65E" w14:textId="77777777" w:rsidR="00817257" w:rsidRPr="0006311D" w:rsidRDefault="008B23A4">
      <w:pPr>
        <w:spacing w:after="160" w:line="276" w:lineRule="auto"/>
        <w:jc w:val="both"/>
        <w:rPr>
          <w:sz w:val="24"/>
          <w:szCs w:val="24"/>
        </w:rPr>
      </w:pPr>
      <w:r w:rsidRPr="0006311D">
        <w:rPr>
          <w:sz w:val="24"/>
          <w:szCs w:val="24"/>
        </w:rPr>
        <w:t>Perceptions of ART are shaped by a complex interplay of biomedical understanding, religious belief, and cultural norms. Inhorn and Patrizio (2015) noted that in many African societies, ART occupies a contested moral space — simultaneously offering hope for childless couples and raising concerns about naturalness, donor anonymity, and the ethics of embryo creation. These tensions do not map neatly onto denominational lines; individual interpretations vary substantially even within the same religious community.</w:t>
      </w:r>
    </w:p>
    <w:p w14:paraId="12A630EC" w14:textId="77777777" w:rsidR="00817257" w:rsidRPr="0006311D" w:rsidRDefault="008B23A4">
      <w:pPr>
        <w:spacing w:after="160" w:line="276" w:lineRule="auto"/>
        <w:jc w:val="both"/>
        <w:rPr>
          <w:sz w:val="24"/>
          <w:szCs w:val="24"/>
        </w:rPr>
      </w:pPr>
      <w:proofErr w:type="spellStart"/>
      <w:r w:rsidRPr="0006311D">
        <w:rPr>
          <w:sz w:val="24"/>
          <w:szCs w:val="24"/>
        </w:rPr>
        <w:lastRenderedPageBreak/>
        <w:t>Ezeome</w:t>
      </w:r>
      <w:proofErr w:type="spellEnd"/>
      <w:r w:rsidRPr="0006311D">
        <w:rPr>
          <w:sz w:val="24"/>
          <w:szCs w:val="24"/>
        </w:rPr>
        <w:t xml:space="preserve"> (2021) explored ethical perceptions of ART among clients and practitioners in Nigeria and found that while most participants supported access to IVF, views on donor gametes and surrogacy were significantly more divided. Concerns about genetic parenthood, donor anonymity, and the possibility that a child might seek information about a biological donor were frequently raised. Religious scholars cited in that study </w:t>
      </w:r>
      <w:proofErr w:type="spellStart"/>
      <w:r w:rsidRPr="0006311D">
        <w:rPr>
          <w:sz w:val="24"/>
          <w:szCs w:val="24"/>
        </w:rPr>
        <w:t>emphasised</w:t>
      </w:r>
      <w:proofErr w:type="spellEnd"/>
      <w:r w:rsidRPr="0006311D">
        <w:rPr>
          <w:sz w:val="24"/>
          <w:szCs w:val="24"/>
        </w:rPr>
        <w:t xml:space="preserve"> that responses to ART within Christianity and Islam often depend on specific procedural details rather than blanket acceptance or rejection. A qualitative study by Olorunfemi et al. (2020) further demonstrated that married Nigerian women's perceptions of ART are significantly influenced by spousal attitudes and extended family expectations. Women who perceived strong support from their husbands were more likely to hold </w:t>
      </w:r>
      <w:proofErr w:type="spellStart"/>
      <w:r w:rsidRPr="0006311D">
        <w:rPr>
          <w:sz w:val="24"/>
          <w:szCs w:val="24"/>
        </w:rPr>
        <w:t>favourable</w:t>
      </w:r>
      <w:proofErr w:type="spellEnd"/>
      <w:r w:rsidRPr="0006311D">
        <w:rPr>
          <w:sz w:val="24"/>
          <w:szCs w:val="24"/>
        </w:rPr>
        <w:t xml:space="preserve"> views of ART, suggesting that gendered dynamics within the household mediate individual attitudes. These findings reinforce the relevance of the Theory of Planned </w:t>
      </w:r>
      <w:proofErr w:type="spellStart"/>
      <w:r w:rsidRPr="0006311D">
        <w:rPr>
          <w:sz w:val="24"/>
          <w:szCs w:val="24"/>
        </w:rPr>
        <w:t>Behaviour</w:t>
      </w:r>
      <w:proofErr w:type="spellEnd"/>
      <w:r w:rsidRPr="0006311D">
        <w:rPr>
          <w:sz w:val="24"/>
          <w:szCs w:val="24"/>
        </w:rPr>
        <w:t xml:space="preserve"> in this context.</w:t>
      </w:r>
    </w:p>
    <w:p w14:paraId="0CAF9B97" w14:textId="77777777" w:rsidR="00817257" w:rsidRPr="0006311D" w:rsidRDefault="008B23A4">
      <w:pPr>
        <w:pStyle w:val="Heading2"/>
        <w:rPr>
          <w:sz w:val="24"/>
          <w:szCs w:val="24"/>
        </w:rPr>
      </w:pPr>
      <w:r w:rsidRPr="0006311D">
        <w:rPr>
          <w:sz w:val="24"/>
          <w:szCs w:val="24"/>
        </w:rPr>
        <w:t xml:space="preserve">2.4 Acceptance and Barriers to </w:t>
      </w:r>
      <w:proofErr w:type="spellStart"/>
      <w:r w:rsidRPr="0006311D">
        <w:rPr>
          <w:sz w:val="24"/>
          <w:szCs w:val="24"/>
        </w:rPr>
        <w:t>Utilisation</w:t>
      </w:r>
      <w:proofErr w:type="spellEnd"/>
    </w:p>
    <w:p w14:paraId="742177C8" w14:textId="77777777" w:rsidR="00817257" w:rsidRPr="0006311D" w:rsidRDefault="008B23A4">
      <w:pPr>
        <w:spacing w:after="160" w:line="276" w:lineRule="auto"/>
        <w:jc w:val="both"/>
        <w:rPr>
          <w:sz w:val="24"/>
          <w:szCs w:val="24"/>
        </w:rPr>
      </w:pPr>
      <w:r w:rsidRPr="0006311D">
        <w:rPr>
          <w:sz w:val="24"/>
          <w:szCs w:val="24"/>
        </w:rPr>
        <w:t xml:space="preserve">Stated willingness to use ART in Nigerian studies is generally moderate to high, particularly among educated women in tertiary health settings. Olorunfemi et al. (2020) reported that 68.4% of married women in their sample would consider ART if medically recommended, while </w:t>
      </w:r>
      <w:proofErr w:type="spellStart"/>
      <w:r w:rsidRPr="0006311D">
        <w:rPr>
          <w:sz w:val="24"/>
          <w:szCs w:val="24"/>
        </w:rPr>
        <w:t>Chikeme</w:t>
      </w:r>
      <w:proofErr w:type="spellEnd"/>
      <w:r w:rsidRPr="0006311D">
        <w:rPr>
          <w:sz w:val="24"/>
          <w:szCs w:val="24"/>
        </w:rPr>
        <w:t xml:space="preserve"> et al. (2022) found comparable acceptance figures. However, expressed intention consistently diverges from actual </w:t>
      </w:r>
      <w:proofErr w:type="spellStart"/>
      <w:r w:rsidRPr="0006311D">
        <w:rPr>
          <w:sz w:val="24"/>
          <w:szCs w:val="24"/>
        </w:rPr>
        <w:t>utilisation</w:t>
      </w:r>
      <w:proofErr w:type="spellEnd"/>
      <w:r w:rsidRPr="0006311D">
        <w:rPr>
          <w:sz w:val="24"/>
          <w:szCs w:val="24"/>
        </w:rPr>
        <w:t>, and the gap is predominantly explained by financial constraints. ART procedures are costly in absolute terms and largely excluded from public health insurance schemes in Nigeria. IVF cycles at private Nigerian clinics can cost between ₦500,000 and ₦1,500,000 or more per attempt, placing the service beyond the reach of most households (Dyer &amp; Patel, 2019). Whittaker et al. (2024) found that fertility professionals across sub-Saharan Africa identify cost as the most pervasive and persistent barrier to ART access, more limiting than cultural or religious resistance in many urban tertiary settings.</w:t>
      </w:r>
    </w:p>
    <w:p w14:paraId="42FD3907" w14:textId="77777777" w:rsidR="00817257" w:rsidRPr="0006311D" w:rsidRDefault="008B23A4">
      <w:pPr>
        <w:spacing w:after="160" w:line="276" w:lineRule="auto"/>
        <w:jc w:val="both"/>
        <w:rPr>
          <w:sz w:val="24"/>
          <w:szCs w:val="24"/>
        </w:rPr>
      </w:pPr>
      <w:proofErr w:type="spellStart"/>
      <w:r w:rsidRPr="0006311D">
        <w:rPr>
          <w:sz w:val="24"/>
          <w:szCs w:val="24"/>
        </w:rPr>
        <w:t>Tenchov</w:t>
      </w:r>
      <w:proofErr w:type="spellEnd"/>
      <w:r w:rsidRPr="0006311D">
        <w:rPr>
          <w:sz w:val="24"/>
          <w:szCs w:val="24"/>
        </w:rPr>
        <w:t xml:space="preserve"> and Zhou (2025) reviewed global trends in ART </w:t>
      </w:r>
      <w:proofErr w:type="spellStart"/>
      <w:r w:rsidRPr="0006311D">
        <w:rPr>
          <w:sz w:val="24"/>
          <w:szCs w:val="24"/>
        </w:rPr>
        <w:t>utilisation</w:t>
      </w:r>
      <w:proofErr w:type="spellEnd"/>
      <w:r w:rsidRPr="0006311D">
        <w:rPr>
          <w:sz w:val="24"/>
          <w:szCs w:val="24"/>
        </w:rPr>
        <w:t xml:space="preserve"> and argued that expanding access in low-resource settings requires a dual strategy: improving health literacy to generate informed demand, and simultaneously addressing structural affordability through insurance coverage, </w:t>
      </w:r>
      <w:proofErr w:type="spellStart"/>
      <w:r w:rsidRPr="0006311D">
        <w:rPr>
          <w:sz w:val="24"/>
          <w:szCs w:val="24"/>
        </w:rPr>
        <w:t>subsidisation</w:t>
      </w:r>
      <w:proofErr w:type="spellEnd"/>
      <w:r w:rsidRPr="0006311D">
        <w:rPr>
          <w:sz w:val="24"/>
          <w:szCs w:val="24"/>
        </w:rPr>
        <w:t>, or tiered pricing models. Without both elements, expanding ART infrastructure may inadvertently widen health equity gaps.</w:t>
      </w:r>
    </w:p>
    <w:p w14:paraId="0781A7AD" w14:textId="77777777" w:rsidR="00817257" w:rsidRPr="0006311D" w:rsidRDefault="008B23A4">
      <w:pPr>
        <w:pStyle w:val="Heading1"/>
      </w:pPr>
      <w:r w:rsidRPr="0006311D">
        <w:t>3. METHODOLOGY</w:t>
      </w:r>
    </w:p>
    <w:p w14:paraId="140A3B11" w14:textId="77777777" w:rsidR="00817257" w:rsidRPr="0006311D" w:rsidRDefault="008B23A4">
      <w:pPr>
        <w:pStyle w:val="Heading2"/>
        <w:rPr>
          <w:sz w:val="24"/>
          <w:szCs w:val="24"/>
        </w:rPr>
      </w:pPr>
      <w:r w:rsidRPr="0006311D">
        <w:rPr>
          <w:sz w:val="24"/>
          <w:szCs w:val="24"/>
        </w:rPr>
        <w:t>3.1 Study Design and Setting</w:t>
      </w:r>
    </w:p>
    <w:p w14:paraId="6788BCE3" w14:textId="77777777" w:rsidR="00817257" w:rsidRPr="0006311D" w:rsidRDefault="008B23A4">
      <w:pPr>
        <w:spacing w:after="160" w:line="276" w:lineRule="auto"/>
        <w:jc w:val="both"/>
        <w:rPr>
          <w:sz w:val="24"/>
          <w:szCs w:val="24"/>
        </w:rPr>
      </w:pPr>
      <w:r w:rsidRPr="0006311D">
        <w:rPr>
          <w:sz w:val="24"/>
          <w:szCs w:val="24"/>
        </w:rPr>
        <w:t xml:space="preserve">A descriptive cross-sectional survey design was employed. This approach is appropriate for studies seeking to </w:t>
      </w:r>
      <w:proofErr w:type="spellStart"/>
      <w:r w:rsidRPr="0006311D">
        <w:rPr>
          <w:sz w:val="24"/>
          <w:szCs w:val="24"/>
        </w:rPr>
        <w:t>characterise</w:t>
      </w:r>
      <w:proofErr w:type="spellEnd"/>
      <w:r w:rsidRPr="0006311D">
        <w:rPr>
          <w:sz w:val="24"/>
          <w:szCs w:val="24"/>
        </w:rPr>
        <w:t xml:space="preserve"> the distribution and associations of variables in a defined population at a single point in time, without experimental manipulation of exposures. The study was conducted at the Obstetrics and </w:t>
      </w:r>
      <w:proofErr w:type="spellStart"/>
      <w:r w:rsidRPr="0006311D">
        <w:rPr>
          <w:sz w:val="24"/>
          <w:szCs w:val="24"/>
        </w:rPr>
        <w:t>Gynaecology</w:t>
      </w:r>
      <w:proofErr w:type="spellEnd"/>
      <w:r w:rsidRPr="0006311D">
        <w:rPr>
          <w:sz w:val="24"/>
          <w:szCs w:val="24"/>
        </w:rPr>
        <w:t xml:space="preserve"> Clinic of Alex Ekwueme Federal University Teaching Hospital </w:t>
      </w:r>
      <w:proofErr w:type="spellStart"/>
      <w:r w:rsidRPr="0006311D">
        <w:rPr>
          <w:sz w:val="24"/>
          <w:szCs w:val="24"/>
        </w:rPr>
        <w:t>Abakaliki</w:t>
      </w:r>
      <w:proofErr w:type="spellEnd"/>
      <w:r w:rsidRPr="0006311D">
        <w:rPr>
          <w:sz w:val="24"/>
          <w:szCs w:val="24"/>
        </w:rPr>
        <w:t xml:space="preserve"> (AEFUTHA), a public tertiary institution serving as the principal referral </w:t>
      </w:r>
      <w:proofErr w:type="spellStart"/>
      <w:r w:rsidRPr="0006311D">
        <w:rPr>
          <w:sz w:val="24"/>
          <w:szCs w:val="24"/>
        </w:rPr>
        <w:t>centre</w:t>
      </w:r>
      <w:proofErr w:type="spellEnd"/>
      <w:r w:rsidRPr="0006311D">
        <w:rPr>
          <w:sz w:val="24"/>
          <w:szCs w:val="24"/>
        </w:rPr>
        <w:t xml:space="preserve"> for Ebonyi State and parts of </w:t>
      </w:r>
      <w:proofErr w:type="spellStart"/>
      <w:r w:rsidRPr="0006311D">
        <w:rPr>
          <w:sz w:val="24"/>
          <w:szCs w:val="24"/>
        </w:rPr>
        <w:t>neighbouring</w:t>
      </w:r>
      <w:proofErr w:type="spellEnd"/>
      <w:r w:rsidRPr="0006311D">
        <w:rPr>
          <w:sz w:val="24"/>
          <w:szCs w:val="24"/>
        </w:rPr>
        <w:t xml:space="preserve"> states in southeastern Nigeria.</w:t>
      </w:r>
    </w:p>
    <w:p w14:paraId="03C335C6" w14:textId="77777777" w:rsidR="00817257" w:rsidRPr="0006311D" w:rsidRDefault="008B23A4">
      <w:pPr>
        <w:pStyle w:val="Heading2"/>
        <w:rPr>
          <w:sz w:val="24"/>
          <w:szCs w:val="24"/>
        </w:rPr>
      </w:pPr>
      <w:r w:rsidRPr="0006311D">
        <w:rPr>
          <w:sz w:val="24"/>
          <w:szCs w:val="24"/>
        </w:rPr>
        <w:lastRenderedPageBreak/>
        <w:t>3.2 Study Population and Sampling</w:t>
      </w:r>
    </w:p>
    <w:p w14:paraId="72F29038" w14:textId="77777777" w:rsidR="00817257" w:rsidRPr="0006311D" w:rsidRDefault="008B23A4">
      <w:pPr>
        <w:spacing w:after="160" w:line="276" w:lineRule="auto"/>
        <w:jc w:val="both"/>
        <w:rPr>
          <w:sz w:val="24"/>
          <w:szCs w:val="24"/>
        </w:rPr>
      </w:pPr>
      <w:r w:rsidRPr="0006311D">
        <w:rPr>
          <w:sz w:val="24"/>
          <w:szCs w:val="24"/>
        </w:rPr>
        <w:t xml:space="preserve">The target population comprised all women aged 18 to 49 years attending the obstetrics and </w:t>
      </w:r>
      <w:proofErr w:type="spellStart"/>
      <w:r w:rsidRPr="0006311D">
        <w:rPr>
          <w:sz w:val="24"/>
          <w:szCs w:val="24"/>
        </w:rPr>
        <w:t>gynaecology</w:t>
      </w:r>
      <w:proofErr w:type="spellEnd"/>
      <w:r w:rsidRPr="0006311D">
        <w:rPr>
          <w:sz w:val="24"/>
          <w:szCs w:val="24"/>
        </w:rPr>
        <w:t xml:space="preserve"> clinic at AEFUTHA during the data collection period. Based on clinic attendance records, an average daily census of approximately 120 eligible patients was established as the target population. The sample size was calculated using the Taro Yamane (1967) formula for finite populations:</w:t>
      </w:r>
    </w:p>
    <w:p w14:paraId="5E93A363" w14:textId="77777777" w:rsidR="00817257" w:rsidRPr="0006311D" w:rsidRDefault="008B23A4">
      <w:pPr>
        <w:spacing w:before="100" w:after="100"/>
        <w:jc w:val="center"/>
        <w:rPr>
          <w:sz w:val="24"/>
          <w:szCs w:val="24"/>
        </w:rPr>
      </w:pPr>
      <w:r w:rsidRPr="0006311D">
        <w:rPr>
          <w:i/>
          <w:iCs/>
          <w:sz w:val="24"/>
          <w:szCs w:val="24"/>
        </w:rPr>
        <w:t>n = N / [1 + N(e²</w:t>
      </w:r>
      <w:proofErr w:type="gramStart"/>
      <w:r w:rsidRPr="0006311D">
        <w:rPr>
          <w:i/>
          <w:iCs/>
          <w:sz w:val="24"/>
          <w:szCs w:val="24"/>
        </w:rPr>
        <w:t>)]  =</w:t>
      </w:r>
      <w:proofErr w:type="gramEnd"/>
      <w:r w:rsidRPr="0006311D">
        <w:rPr>
          <w:i/>
          <w:iCs/>
          <w:sz w:val="24"/>
          <w:szCs w:val="24"/>
        </w:rPr>
        <w:t xml:space="preserve">  120 / [1 + 120(0.05²</w:t>
      </w:r>
      <w:proofErr w:type="gramStart"/>
      <w:r w:rsidRPr="0006311D">
        <w:rPr>
          <w:i/>
          <w:iCs/>
          <w:sz w:val="24"/>
          <w:szCs w:val="24"/>
        </w:rPr>
        <w:t>)]  ≈</w:t>
      </w:r>
      <w:proofErr w:type="gramEnd"/>
      <w:r w:rsidRPr="0006311D">
        <w:rPr>
          <w:i/>
          <w:iCs/>
          <w:sz w:val="24"/>
          <w:szCs w:val="24"/>
        </w:rPr>
        <w:t xml:space="preserve">  92</w:t>
      </w:r>
    </w:p>
    <w:p w14:paraId="60EFEE4C" w14:textId="77777777" w:rsidR="00817257" w:rsidRPr="0006311D" w:rsidRDefault="008B23A4">
      <w:pPr>
        <w:spacing w:after="160" w:line="276" w:lineRule="auto"/>
        <w:jc w:val="both"/>
        <w:rPr>
          <w:sz w:val="24"/>
          <w:szCs w:val="24"/>
        </w:rPr>
      </w:pPr>
      <w:r w:rsidRPr="0006311D">
        <w:rPr>
          <w:sz w:val="24"/>
          <w:szCs w:val="24"/>
        </w:rPr>
        <w:t>A 10% attrition allowance raised the target to 102 questionnaires. Of 100 distributed, 94 were returned, three were damaged, and 91 were retained for analysis. Participants were recruited using consecutive convenience sampling on five clinic days (Monday to Friday), with questionnaires administered across both morning and afternoon sessions to capture variability in patient profiles. Women who were critically ill, emotionally distressed, or declined to participate were excluded.</w:t>
      </w:r>
    </w:p>
    <w:p w14:paraId="6F95B193" w14:textId="77777777" w:rsidR="00817257" w:rsidRPr="0006311D" w:rsidRDefault="008B23A4">
      <w:pPr>
        <w:pStyle w:val="Heading2"/>
        <w:rPr>
          <w:sz w:val="24"/>
          <w:szCs w:val="24"/>
        </w:rPr>
      </w:pPr>
      <w:r w:rsidRPr="0006311D">
        <w:rPr>
          <w:sz w:val="24"/>
          <w:szCs w:val="24"/>
        </w:rPr>
        <w:t>3.3 Instrument</w:t>
      </w:r>
    </w:p>
    <w:p w14:paraId="5CCA37AE" w14:textId="77777777" w:rsidR="00817257" w:rsidRPr="0006311D" w:rsidRDefault="008B23A4">
      <w:pPr>
        <w:spacing w:after="160" w:line="276" w:lineRule="auto"/>
        <w:jc w:val="both"/>
        <w:rPr>
          <w:sz w:val="24"/>
          <w:szCs w:val="24"/>
        </w:rPr>
      </w:pPr>
      <w:r w:rsidRPr="0006311D">
        <w:rPr>
          <w:sz w:val="24"/>
          <w:szCs w:val="24"/>
        </w:rPr>
        <w:t xml:space="preserve">Data were collected with a structured, self-administered questionnaire developed following review of relevant literature and guided by the Health Belief Model and Theory of Planned </w:t>
      </w:r>
      <w:proofErr w:type="spellStart"/>
      <w:r w:rsidRPr="0006311D">
        <w:rPr>
          <w:sz w:val="24"/>
          <w:szCs w:val="24"/>
        </w:rPr>
        <w:t>Behaviour</w:t>
      </w:r>
      <w:proofErr w:type="spellEnd"/>
      <w:r w:rsidRPr="0006311D">
        <w:rPr>
          <w:sz w:val="24"/>
          <w:szCs w:val="24"/>
        </w:rPr>
        <w:t>. The instrument comprised six sections: (1) sociodemographic characteristics; (2) awareness of ART; (3) knowledge of specific ART procedures and outcomes; (4) perception and attitude; (5) acceptance and perceived barriers; and (6) open-ended suggestions. Responses included yes/no items, multiple-choice questions, and five-point Likert scales.</w:t>
      </w:r>
    </w:p>
    <w:p w14:paraId="54C701F9" w14:textId="77777777" w:rsidR="00817257" w:rsidRPr="0006311D" w:rsidRDefault="008B23A4">
      <w:pPr>
        <w:spacing w:after="160" w:line="276" w:lineRule="auto"/>
        <w:jc w:val="both"/>
        <w:rPr>
          <w:sz w:val="24"/>
          <w:szCs w:val="24"/>
        </w:rPr>
      </w:pPr>
      <w:r w:rsidRPr="0006311D">
        <w:rPr>
          <w:sz w:val="24"/>
          <w:szCs w:val="24"/>
        </w:rPr>
        <w:t xml:space="preserve">Content validity was established through expert review by obstetricians, </w:t>
      </w:r>
      <w:proofErr w:type="spellStart"/>
      <w:r w:rsidRPr="0006311D">
        <w:rPr>
          <w:sz w:val="24"/>
          <w:szCs w:val="24"/>
        </w:rPr>
        <w:t>gynaecologists</w:t>
      </w:r>
      <w:proofErr w:type="spellEnd"/>
      <w:r w:rsidRPr="0006311D">
        <w:rPr>
          <w:sz w:val="24"/>
          <w:szCs w:val="24"/>
        </w:rPr>
        <w:t>, public health researchers, and a reproductive health nurse at AEFUTHA. Items were revised according to expert feedback until consensus was reached on relevance and coverage. Face validity was confirmed during the pilot study, with participants asked to comment on clarity and comprehensibility. The questionnaire was available in English and could be explained in Igbo where language barriers arose.</w:t>
      </w:r>
    </w:p>
    <w:p w14:paraId="71A39FA5" w14:textId="77777777" w:rsidR="00817257" w:rsidRPr="0006311D" w:rsidRDefault="008B23A4">
      <w:pPr>
        <w:spacing w:after="160" w:line="276" w:lineRule="auto"/>
        <w:jc w:val="both"/>
        <w:rPr>
          <w:sz w:val="24"/>
          <w:szCs w:val="24"/>
        </w:rPr>
      </w:pPr>
      <w:r w:rsidRPr="0006311D">
        <w:rPr>
          <w:sz w:val="24"/>
          <w:szCs w:val="24"/>
        </w:rPr>
        <w:t xml:space="preserve">Reliability was assessed through a pilot test involving 10 women attending the National Obstetric Fistula Centre (NOFIC), </w:t>
      </w:r>
      <w:proofErr w:type="spellStart"/>
      <w:r w:rsidRPr="0006311D">
        <w:rPr>
          <w:sz w:val="24"/>
          <w:szCs w:val="24"/>
        </w:rPr>
        <w:t>Abakaliki</w:t>
      </w:r>
      <w:proofErr w:type="spellEnd"/>
      <w:r w:rsidRPr="0006311D">
        <w:rPr>
          <w:sz w:val="24"/>
          <w:szCs w:val="24"/>
        </w:rPr>
        <w:t>, who were excluded from the main study. Cronbach's alpha for the knowledge and perception scales exceeded the acceptable threshold of α ≥ 0.70, confirming adequate internal consistency (Nunnally &amp; Bernstein, 1994).</w:t>
      </w:r>
    </w:p>
    <w:p w14:paraId="2D307640" w14:textId="77777777" w:rsidR="00817257" w:rsidRPr="0006311D" w:rsidRDefault="008B23A4">
      <w:pPr>
        <w:pStyle w:val="Heading2"/>
        <w:rPr>
          <w:sz w:val="24"/>
          <w:szCs w:val="24"/>
        </w:rPr>
      </w:pPr>
      <w:r w:rsidRPr="0006311D">
        <w:rPr>
          <w:sz w:val="24"/>
          <w:szCs w:val="24"/>
        </w:rPr>
        <w:t xml:space="preserve">3.4 Scoring and </w:t>
      </w:r>
      <w:proofErr w:type="spellStart"/>
      <w:r w:rsidRPr="0006311D">
        <w:rPr>
          <w:sz w:val="24"/>
          <w:szCs w:val="24"/>
        </w:rPr>
        <w:t>Categorisation</w:t>
      </w:r>
      <w:proofErr w:type="spellEnd"/>
    </w:p>
    <w:p w14:paraId="37355216" w14:textId="77777777" w:rsidR="00817257" w:rsidRPr="0006311D" w:rsidRDefault="008B23A4">
      <w:pPr>
        <w:spacing w:after="160" w:line="276" w:lineRule="auto"/>
        <w:jc w:val="both"/>
        <w:rPr>
          <w:sz w:val="24"/>
          <w:szCs w:val="24"/>
        </w:rPr>
      </w:pPr>
      <w:r w:rsidRPr="0006311D">
        <w:rPr>
          <w:sz w:val="24"/>
          <w:szCs w:val="24"/>
        </w:rPr>
        <w:t>Knowledge was assessed using six factual items, each scored 1 (correct) or 0 (incorrect/unknown), yielding a maximum score of 6. Respondents scoring 4 to 6 were classified as having good knowledge; those scoring 0 to 3 as having poor knowledge. Perception was measured using six Likert-scale statements, with positive responses (agree/strongly agree) scored 2, neutral responses scored 1, and negative responses (disagree/strongly disagree) scored 0. The median score was used as the cut-off to classify respondents as holding positive or negative perceptions (Polit &amp; Beck, 2021).</w:t>
      </w:r>
    </w:p>
    <w:p w14:paraId="139AF1DB" w14:textId="77777777" w:rsidR="00817257" w:rsidRPr="0006311D" w:rsidRDefault="008B23A4">
      <w:pPr>
        <w:pStyle w:val="Heading2"/>
        <w:rPr>
          <w:sz w:val="24"/>
          <w:szCs w:val="24"/>
        </w:rPr>
      </w:pPr>
      <w:r w:rsidRPr="0006311D">
        <w:rPr>
          <w:sz w:val="24"/>
          <w:szCs w:val="24"/>
        </w:rPr>
        <w:lastRenderedPageBreak/>
        <w:t>3.5 Data Analysis</w:t>
      </w:r>
    </w:p>
    <w:p w14:paraId="3A3D2C8F" w14:textId="77777777" w:rsidR="00817257" w:rsidRPr="0006311D" w:rsidRDefault="008B23A4">
      <w:pPr>
        <w:spacing w:after="160" w:line="276" w:lineRule="auto"/>
        <w:jc w:val="both"/>
        <w:rPr>
          <w:sz w:val="24"/>
          <w:szCs w:val="24"/>
        </w:rPr>
      </w:pPr>
      <w:r w:rsidRPr="0006311D">
        <w:rPr>
          <w:sz w:val="24"/>
          <w:szCs w:val="24"/>
        </w:rPr>
        <w:t xml:space="preserve">Data were coded and </w:t>
      </w:r>
      <w:proofErr w:type="spellStart"/>
      <w:r w:rsidRPr="0006311D">
        <w:rPr>
          <w:sz w:val="24"/>
          <w:szCs w:val="24"/>
        </w:rPr>
        <w:t>analysed</w:t>
      </w:r>
      <w:proofErr w:type="spellEnd"/>
      <w:r w:rsidRPr="0006311D">
        <w:rPr>
          <w:sz w:val="24"/>
          <w:szCs w:val="24"/>
        </w:rPr>
        <w:t xml:space="preserve"> using IBM SPSS Statistics Version 26. Descriptive statistics — frequencies and percentages — </w:t>
      </w:r>
      <w:proofErr w:type="spellStart"/>
      <w:r w:rsidRPr="0006311D">
        <w:rPr>
          <w:sz w:val="24"/>
          <w:szCs w:val="24"/>
        </w:rPr>
        <w:t>summarised</w:t>
      </w:r>
      <w:proofErr w:type="spellEnd"/>
      <w:r w:rsidRPr="0006311D">
        <w:rPr>
          <w:sz w:val="24"/>
          <w:szCs w:val="24"/>
        </w:rPr>
        <w:t xml:space="preserve"> sociodemographic characteristics and response distributions. Inferential analysis employed the chi-square test (χ²) to examine associations between categorical variables. A p-value below 0.05 was considered statistically significant. Where expected cell frequencies were less than five, the result was interpreted with caution.</w:t>
      </w:r>
    </w:p>
    <w:p w14:paraId="57E34729" w14:textId="77777777" w:rsidR="00817257" w:rsidRPr="0006311D" w:rsidRDefault="008B23A4">
      <w:pPr>
        <w:pStyle w:val="Heading2"/>
        <w:rPr>
          <w:sz w:val="24"/>
          <w:szCs w:val="24"/>
        </w:rPr>
      </w:pPr>
      <w:r w:rsidRPr="0006311D">
        <w:rPr>
          <w:sz w:val="24"/>
          <w:szCs w:val="24"/>
        </w:rPr>
        <w:t>3.6 Ethical Considerations</w:t>
      </w:r>
    </w:p>
    <w:p w14:paraId="452DC83C" w14:textId="77777777" w:rsidR="00817257" w:rsidRPr="0006311D" w:rsidRDefault="008B23A4">
      <w:pPr>
        <w:spacing w:after="160" w:line="276" w:lineRule="auto"/>
        <w:jc w:val="both"/>
        <w:rPr>
          <w:sz w:val="24"/>
          <w:szCs w:val="24"/>
        </w:rPr>
      </w:pPr>
      <w:r w:rsidRPr="0006311D">
        <w:rPr>
          <w:sz w:val="24"/>
          <w:szCs w:val="24"/>
        </w:rPr>
        <w:t>Ethical approval was obtained from the Health Research Ethics Committee (HREC) of AEFUTHA and the Research and Ethics Committee of the African Centre of Excellence in Public Health and Toxicological Research (ACE-PUTOR), University of Port Harcourt. Administrative clearance was secured from hospital management. All participants provided written informed consent after being briefed on the study's purpose, voluntary nature of participation, and the right to withdraw at any time without consequence. No identifiable information was recorded, and questionnaires were assigned numerical codes and stored in a locked cabinet accessible only to the primary researcher.</w:t>
      </w:r>
    </w:p>
    <w:p w14:paraId="0867858F" w14:textId="77777777" w:rsidR="00817257" w:rsidRPr="0006311D" w:rsidRDefault="008B23A4">
      <w:pPr>
        <w:pStyle w:val="Heading1"/>
      </w:pPr>
      <w:r w:rsidRPr="0006311D">
        <w:t>4. RESULTS</w:t>
      </w:r>
    </w:p>
    <w:p w14:paraId="067B77AC" w14:textId="77777777" w:rsidR="00817257" w:rsidRPr="0006311D" w:rsidRDefault="008B23A4">
      <w:pPr>
        <w:pStyle w:val="Heading2"/>
        <w:rPr>
          <w:sz w:val="24"/>
          <w:szCs w:val="24"/>
        </w:rPr>
      </w:pPr>
      <w:r w:rsidRPr="0006311D">
        <w:rPr>
          <w:sz w:val="24"/>
          <w:szCs w:val="24"/>
        </w:rPr>
        <w:t>4.1 Awareness of ART</w:t>
      </w:r>
    </w:p>
    <w:p w14:paraId="49AAC837" w14:textId="77777777" w:rsidR="00817257" w:rsidRPr="0006311D" w:rsidRDefault="008B23A4">
      <w:pPr>
        <w:spacing w:after="160" w:line="276" w:lineRule="auto"/>
        <w:jc w:val="both"/>
        <w:rPr>
          <w:sz w:val="24"/>
          <w:szCs w:val="24"/>
        </w:rPr>
      </w:pPr>
      <w:r w:rsidRPr="0006311D">
        <w:rPr>
          <w:sz w:val="24"/>
          <w:szCs w:val="24"/>
        </w:rPr>
        <w:t>Of the 91 respondents, 75 (82.4%) reported having heard of Assisted Reproductive Technology, while 16 (17.6%) had no prior awareness (Table 1).</w:t>
      </w:r>
    </w:p>
    <w:p w14:paraId="37CFD1CE" w14:textId="77777777" w:rsidR="00817257" w:rsidRPr="0006311D" w:rsidRDefault="00817257">
      <w:pPr>
        <w:spacing w:before="80"/>
        <w:rPr>
          <w:sz w:val="24"/>
          <w:szCs w:val="24"/>
        </w:rPr>
      </w:pPr>
    </w:p>
    <w:p w14:paraId="3AB08DEC" w14:textId="77777777" w:rsidR="00817257" w:rsidRPr="0006311D" w:rsidRDefault="008B23A4">
      <w:pPr>
        <w:spacing w:before="80" w:after="60"/>
        <w:jc w:val="center"/>
        <w:rPr>
          <w:sz w:val="24"/>
          <w:szCs w:val="24"/>
        </w:rPr>
      </w:pPr>
      <w:r w:rsidRPr="0006311D">
        <w:rPr>
          <w:b/>
          <w:bCs/>
          <w:sz w:val="24"/>
          <w:szCs w:val="24"/>
        </w:rPr>
        <w:t>Table 1. Awareness of ART Among Respondents (N = 91)</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000"/>
        <w:gridCol w:w="2680"/>
        <w:gridCol w:w="2680"/>
      </w:tblGrid>
      <w:tr w:rsidR="00817257" w:rsidRPr="0006311D" w14:paraId="2C297BF7" w14:textId="77777777">
        <w:tc>
          <w:tcPr>
            <w:tcW w:w="4000" w:type="dxa"/>
            <w:tcBorders>
              <w:top w:val="single" w:sz="0" w:space="0" w:color="2E4057"/>
              <w:left w:val="single" w:sz="0" w:space="0" w:color="2E4057"/>
              <w:bottom w:val="single" w:sz="0" w:space="0" w:color="2E4057"/>
              <w:right w:val="single" w:sz="0" w:space="0" w:color="2E4057"/>
            </w:tcBorders>
            <w:shd w:val="clear" w:color="auto" w:fill="1F3A5F"/>
            <w:tcMar>
              <w:top w:w="80" w:type="dxa"/>
              <w:left w:w="120" w:type="dxa"/>
              <w:bottom w:w="80" w:type="dxa"/>
              <w:right w:w="120" w:type="dxa"/>
            </w:tcMar>
            <w:vAlign w:val="center"/>
          </w:tcPr>
          <w:p w14:paraId="22417885" w14:textId="77777777" w:rsidR="00817257" w:rsidRPr="0006311D" w:rsidRDefault="008B23A4">
            <w:pPr>
              <w:spacing w:after="160" w:line="256" w:lineRule="auto"/>
              <w:jc w:val="center"/>
              <w:rPr>
                <w:sz w:val="24"/>
                <w:szCs w:val="24"/>
              </w:rPr>
            </w:pPr>
            <w:r w:rsidRPr="0006311D">
              <w:rPr>
                <w:rFonts w:hint="eastAsia"/>
                <w:b/>
                <w:bCs/>
                <w:sz w:val="24"/>
                <w:szCs w:val="24"/>
              </w:rPr>
              <w:t>Response</w:t>
            </w:r>
          </w:p>
        </w:tc>
        <w:tc>
          <w:tcPr>
            <w:tcW w:w="2680" w:type="dxa"/>
            <w:tcBorders>
              <w:top w:val="single" w:sz="0" w:space="0" w:color="2E4057"/>
              <w:left w:val="single" w:sz="0" w:space="0" w:color="2E4057"/>
              <w:bottom w:val="single" w:sz="0" w:space="0" w:color="2E4057"/>
              <w:right w:val="single" w:sz="0" w:space="0" w:color="2E4057"/>
            </w:tcBorders>
            <w:shd w:val="clear" w:color="auto" w:fill="1F3A5F"/>
            <w:tcMar>
              <w:top w:w="80" w:type="dxa"/>
              <w:left w:w="120" w:type="dxa"/>
              <w:bottom w:w="80" w:type="dxa"/>
              <w:right w:w="120" w:type="dxa"/>
            </w:tcMar>
            <w:vAlign w:val="center"/>
          </w:tcPr>
          <w:p w14:paraId="44B93B5E" w14:textId="77777777" w:rsidR="00817257" w:rsidRPr="0006311D" w:rsidRDefault="008B23A4">
            <w:pPr>
              <w:spacing w:after="160" w:line="256" w:lineRule="auto"/>
              <w:jc w:val="center"/>
              <w:rPr>
                <w:sz w:val="24"/>
                <w:szCs w:val="24"/>
              </w:rPr>
            </w:pPr>
            <w:r w:rsidRPr="0006311D">
              <w:rPr>
                <w:rFonts w:hint="eastAsia"/>
                <w:b/>
                <w:bCs/>
                <w:sz w:val="24"/>
                <w:szCs w:val="24"/>
              </w:rPr>
              <w:t>Frequency</w:t>
            </w:r>
          </w:p>
        </w:tc>
        <w:tc>
          <w:tcPr>
            <w:tcW w:w="2680" w:type="dxa"/>
            <w:tcBorders>
              <w:top w:val="single" w:sz="0" w:space="0" w:color="2E4057"/>
              <w:left w:val="single" w:sz="0" w:space="0" w:color="2E4057"/>
              <w:bottom w:val="single" w:sz="0" w:space="0" w:color="2E4057"/>
              <w:right w:val="single" w:sz="0" w:space="0" w:color="2E4057"/>
            </w:tcBorders>
            <w:shd w:val="clear" w:color="auto" w:fill="1F3A5F"/>
            <w:tcMar>
              <w:top w:w="80" w:type="dxa"/>
              <w:left w:w="120" w:type="dxa"/>
              <w:bottom w:w="80" w:type="dxa"/>
              <w:right w:w="120" w:type="dxa"/>
            </w:tcMar>
            <w:vAlign w:val="center"/>
          </w:tcPr>
          <w:p w14:paraId="11274FB5" w14:textId="77777777" w:rsidR="00817257" w:rsidRPr="0006311D" w:rsidRDefault="008B23A4">
            <w:pPr>
              <w:spacing w:after="160" w:line="256" w:lineRule="auto"/>
              <w:jc w:val="center"/>
              <w:rPr>
                <w:sz w:val="24"/>
                <w:szCs w:val="24"/>
              </w:rPr>
            </w:pPr>
            <w:r w:rsidRPr="0006311D">
              <w:rPr>
                <w:rFonts w:hint="eastAsia"/>
                <w:b/>
                <w:bCs/>
                <w:sz w:val="24"/>
                <w:szCs w:val="24"/>
              </w:rPr>
              <w:t>Percentage (%)</w:t>
            </w:r>
          </w:p>
        </w:tc>
      </w:tr>
      <w:tr w:rsidR="00817257" w:rsidRPr="0006311D" w14:paraId="44096063" w14:textId="77777777">
        <w:tc>
          <w:tcPr>
            <w:tcW w:w="4000"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4E8588D3" w14:textId="77777777" w:rsidR="00817257" w:rsidRPr="0006311D" w:rsidRDefault="008B23A4">
            <w:pPr>
              <w:spacing w:after="160" w:line="256" w:lineRule="auto"/>
              <w:rPr>
                <w:sz w:val="24"/>
                <w:szCs w:val="24"/>
              </w:rPr>
            </w:pPr>
            <w:r w:rsidRPr="0006311D">
              <w:rPr>
                <w:rFonts w:hint="eastAsia"/>
                <w:b/>
                <w:bCs/>
                <w:sz w:val="24"/>
                <w:szCs w:val="24"/>
              </w:rPr>
              <w:t>Yes</w:t>
            </w:r>
          </w:p>
        </w:tc>
        <w:tc>
          <w:tcPr>
            <w:tcW w:w="2680"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73DED52D" w14:textId="77777777" w:rsidR="00817257" w:rsidRPr="0006311D" w:rsidRDefault="008B23A4">
            <w:pPr>
              <w:spacing w:after="160" w:line="256" w:lineRule="auto"/>
              <w:rPr>
                <w:sz w:val="24"/>
                <w:szCs w:val="24"/>
              </w:rPr>
            </w:pPr>
            <w:r w:rsidRPr="0006311D">
              <w:rPr>
                <w:rFonts w:hint="eastAsia"/>
                <w:sz w:val="24"/>
                <w:szCs w:val="24"/>
              </w:rPr>
              <w:t>75</w:t>
            </w:r>
          </w:p>
        </w:tc>
        <w:tc>
          <w:tcPr>
            <w:tcW w:w="2680"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46A506F9" w14:textId="77777777" w:rsidR="00817257" w:rsidRPr="0006311D" w:rsidRDefault="008B23A4">
            <w:pPr>
              <w:spacing w:after="160" w:line="256" w:lineRule="auto"/>
              <w:rPr>
                <w:sz w:val="24"/>
                <w:szCs w:val="24"/>
              </w:rPr>
            </w:pPr>
            <w:r w:rsidRPr="0006311D">
              <w:rPr>
                <w:rFonts w:hint="eastAsia"/>
                <w:sz w:val="24"/>
                <w:szCs w:val="24"/>
              </w:rPr>
              <w:t>82.4</w:t>
            </w:r>
          </w:p>
        </w:tc>
      </w:tr>
      <w:tr w:rsidR="00817257" w:rsidRPr="0006311D" w14:paraId="09D6D49A" w14:textId="77777777">
        <w:tc>
          <w:tcPr>
            <w:tcW w:w="4000" w:type="dxa"/>
            <w:tcBorders>
              <w:top w:val="single" w:sz="0" w:space="0" w:color="999999"/>
              <w:left w:val="single" w:sz="0" w:space="0" w:color="999999"/>
              <w:bottom w:val="single" w:sz="0" w:space="0" w:color="999999"/>
              <w:right w:val="single" w:sz="0" w:space="0" w:color="999999"/>
            </w:tcBorders>
            <w:shd w:val="clear" w:color="auto" w:fill="FFFFFF"/>
            <w:tcMar>
              <w:top w:w="80" w:type="dxa"/>
              <w:left w:w="120" w:type="dxa"/>
              <w:bottom w:w="80" w:type="dxa"/>
              <w:right w:w="120" w:type="dxa"/>
            </w:tcMar>
          </w:tcPr>
          <w:p w14:paraId="36C39F51" w14:textId="77777777" w:rsidR="00817257" w:rsidRPr="0006311D" w:rsidRDefault="008B23A4">
            <w:pPr>
              <w:spacing w:after="160" w:line="256" w:lineRule="auto"/>
              <w:rPr>
                <w:sz w:val="24"/>
                <w:szCs w:val="24"/>
              </w:rPr>
            </w:pPr>
            <w:r w:rsidRPr="0006311D">
              <w:rPr>
                <w:rFonts w:hint="eastAsia"/>
                <w:b/>
                <w:bCs/>
                <w:sz w:val="24"/>
                <w:szCs w:val="24"/>
              </w:rPr>
              <w:t>No</w:t>
            </w:r>
          </w:p>
        </w:tc>
        <w:tc>
          <w:tcPr>
            <w:tcW w:w="2680" w:type="dxa"/>
            <w:tcBorders>
              <w:top w:val="single" w:sz="0" w:space="0" w:color="999999"/>
              <w:left w:val="single" w:sz="0" w:space="0" w:color="999999"/>
              <w:bottom w:val="single" w:sz="0" w:space="0" w:color="999999"/>
              <w:right w:val="single" w:sz="0" w:space="0" w:color="999999"/>
            </w:tcBorders>
            <w:shd w:val="clear" w:color="auto" w:fill="FFFFFF"/>
            <w:tcMar>
              <w:top w:w="80" w:type="dxa"/>
              <w:left w:w="120" w:type="dxa"/>
              <w:bottom w:w="80" w:type="dxa"/>
              <w:right w:w="120" w:type="dxa"/>
            </w:tcMar>
          </w:tcPr>
          <w:p w14:paraId="09C3A8BE" w14:textId="77777777" w:rsidR="00817257" w:rsidRPr="0006311D" w:rsidRDefault="008B23A4">
            <w:pPr>
              <w:spacing w:after="160" w:line="256" w:lineRule="auto"/>
              <w:rPr>
                <w:sz w:val="24"/>
                <w:szCs w:val="24"/>
              </w:rPr>
            </w:pPr>
            <w:r w:rsidRPr="0006311D">
              <w:rPr>
                <w:rFonts w:hint="eastAsia"/>
                <w:sz w:val="24"/>
                <w:szCs w:val="24"/>
              </w:rPr>
              <w:t>16</w:t>
            </w:r>
          </w:p>
        </w:tc>
        <w:tc>
          <w:tcPr>
            <w:tcW w:w="2680" w:type="dxa"/>
            <w:tcBorders>
              <w:top w:val="single" w:sz="0" w:space="0" w:color="999999"/>
              <w:left w:val="single" w:sz="0" w:space="0" w:color="999999"/>
              <w:bottom w:val="single" w:sz="0" w:space="0" w:color="999999"/>
              <w:right w:val="single" w:sz="0" w:space="0" w:color="999999"/>
            </w:tcBorders>
            <w:shd w:val="clear" w:color="auto" w:fill="FFFFFF"/>
            <w:tcMar>
              <w:top w:w="80" w:type="dxa"/>
              <w:left w:w="120" w:type="dxa"/>
              <w:bottom w:w="80" w:type="dxa"/>
              <w:right w:w="120" w:type="dxa"/>
            </w:tcMar>
          </w:tcPr>
          <w:p w14:paraId="322D2AFC" w14:textId="77777777" w:rsidR="00817257" w:rsidRPr="0006311D" w:rsidRDefault="008B23A4">
            <w:pPr>
              <w:spacing w:after="160" w:line="256" w:lineRule="auto"/>
              <w:rPr>
                <w:sz w:val="24"/>
                <w:szCs w:val="24"/>
              </w:rPr>
            </w:pPr>
            <w:r w:rsidRPr="0006311D">
              <w:rPr>
                <w:rFonts w:hint="eastAsia"/>
                <w:sz w:val="24"/>
                <w:szCs w:val="24"/>
              </w:rPr>
              <w:t>17.6</w:t>
            </w:r>
          </w:p>
        </w:tc>
      </w:tr>
      <w:tr w:rsidR="00817257" w:rsidRPr="0006311D" w14:paraId="48085E63" w14:textId="77777777">
        <w:tc>
          <w:tcPr>
            <w:tcW w:w="4000"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11A6BD43" w14:textId="77777777" w:rsidR="00817257" w:rsidRPr="0006311D" w:rsidRDefault="008B23A4">
            <w:pPr>
              <w:spacing w:after="160" w:line="256" w:lineRule="auto"/>
              <w:rPr>
                <w:sz w:val="24"/>
                <w:szCs w:val="24"/>
              </w:rPr>
            </w:pPr>
            <w:r w:rsidRPr="0006311D">
              <w:rPr>
                <w:rFonts w:hint="eastAsia"/>
                <w:b/>
                <w:bCs/>
                <w:sz w:val="24"/>
                <w:szCs w:val="24"/>
              </w:rPr>
              <w:t>Total</w:t>
            </w:r>
          </w:p>
        </w:tc>
        <w:tc>
          <w:tcPr>
            <w:tcW w:w="2680"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44B77859" w14:textId="77777777" w:rsidR="00817257" w:rsidRPr="0006311D" w:rsidRDefault="008B23A4">
            <w:pPr>
              <w:spacing w:after="160" w:line="256" w:lineRule="auto"/>
              <w:rPr>
                <w:sz w:val="24"/>
                <w:szCs w:val="24"/>
              </w:rPr>
            </w:pPr>
            <w:r w:rsidRPr="0006311D">
              <w:rPr>
                <w:rFonts w:hint="eastAsia"/>
                <w:sz w:val="24"/>
                <w:szCs w:val="24"/>
              </w:rPr>
              <w:t>91</w:t>
            </w:r>
          </w:p>
        </w:tc>
        <w:tc>
          <w:tcPr>
            <w:tcW w:w="2680"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4D90D356" w14:textId="77777777" w:rsidR="00817257" w:rsidRPr="0006311D" w:rsidRDefault="008B23A4">
            <w:pPr>
              <w:spacing w:after="160" w:line="256" w:lineRule="auto"/>
              <w:rPr>
                <w:sz w:val="24"/>
                <w:szCs w:val="24"/>
              </w:rPr>
            </w:pPr>
            <w:r w:rsidRPr="0006311D">
              <w:rPr>
                <w:rFonts w:hint="eastAsia"/>
                <w:sz w:val="24"/>
                <w:szCs w:val="24"/>
              </w:rPr>
              <w:t>100.0</w:t>
            </w:r>
          </w:p>
        </w:tc>
      </w:tr>
    </w:tbl>
    <w:p w14:paraId="0419D522" w14:textId="77777777" w:rsidR="00817257" w:rsidRPr="0006311D" w:rsidRDefault="00817257">
      <w:pPr>
        <w:spacing w:before="160"/>
        <w:rPr>
          <w:sz w:val="24"/>
          <w:szCs w:val="24"/>
        </w:rPr>
      </w:pPr>
    </w:p>
    <w:p w14:paraId="6E1232AB" w14:textId="77777777" w:rsidR="00817257" w:rsidRPr="0006311D" w:rsidRDefault="008B23A4">
      <w:pPr>
        <w:pStyle w:val="Heading2"/>
        <w:rPr>
          <w:sz w:val="24"/>
          <w:szCs w:val="24"/>
        </w:rPr>
      </w:pPr>
      <w:r w:rsidRPr="0006311D">
        <w:rPr>
          <w:sz w:val="24"/>
          <w:szCs w:val="24"/>
        </w:rPr>
        <w:t>4.2 Knowledge Level</w:t>
      </w:r>
    </w:p>
    <w:p w14:paraId="4B2EC89A" w14:textId="77777777" w:rsidR="00817257" w:rsidRPr="0006311D" w:rsidRDefault="008B23A4">
      <w:pPr>
        <w:spacing w:after="160" w:line="276" w:lineRule="auto"/>
        <w:jc w:val="both"/>
        <w:rPr>
          <w:sz w:val="24"/>
          <w:szCs w:val="24"/>
        </w:rPr>
      </w:pPr>
      <w:r w:rsidRPr="0006311D">
        <w:rPr>
          <w:sz w:val="24"/>
          <w:szCs w:val="24"/>
        </w:rPr>
        <w:t>Using the composite knowledge index, 58 respondents (63.7%) were classified as having good knowledge of ART, while 33 (36.3%) demonstrated poor knowledge (Table 2). Among those with good knowledge, misconceptions remained regarding ART success rates, with a notable proportion of participants believing that treatment reliably guarantees pregnancy.</w:t>
      </w:r>
    </w:p>
    <w:p w14:paraId="5CD286CC" w14:textId="77777777" w:rsidR="00817257" w:rsidRPr="0006311D" w:rsidRDefault="00817257">
      <w:pPr>
        <w:spacing w:before="80"/>
        <w:rPr>
          <w:sz w:val="24"/>
          <w:szCs w:val="24"/>
        </w:rPr>
      </w:pPr>
    </w:p>
    <w:p w14:paraId="138A2B8F" w14:textId="77777777" w:rsidR="00817257" w:rsidRPr="0006311D" w:rsidRDefault="008B23A4">
      <w:pPr>
        <w:spacing w:before="80" w:after="60"/>
        <w:jc w:val="center"/>
        <w:rPr>
          <w:sz w:val="24"/>
          <w:szCs w:val="24"/>
        </w:rPr>
      </w:pPr>
      <w:r w:rsidRPr="0006311D">
        <w:rPr>
          <w:b/>
          <w:bCs/>
          <w:sz w:val="24"/>
          <w:szCs w:val="24"/>
        </w:rPr>
        <w:lastRenderedPageBreak/>
        <w:t>Table 2. Knowledge Level of Respondents (N = 91)</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000"/>
        <w:gridCol w:w="2680"/>
        <w:gridCol w:w="2680"/>
      </w:tblGrid>
      <w:tr w:rsidR="00817257" w:rsidRPr="0006311D" w14:paraId="3A09F6E0" w14:textId="77777777">
        <w:tc>
          <w:tcPr>
            <w:tcW w:w="4000" w:type="dxa"/>
            <w:tcBorders>
              <w:top w:val="single" w:sz="0" w:space="0" w:color="2E4057"/>
              <w:left w:val="single" w:sz="0" w:space="0" w:color="2E4057"/>
              <w:bottom w:val="single" w:sz="0" w:space="0" w:color="2E4057"/>
              <w:right w:val="single" w:sz="0" w:space="0" w:color="2E4057"/>
            </w:tcBorders>
            <w:shd w:val="clear" w:color="auto" w:fill="1F3A5F"/>
            <w:tcMar>
              <w:top w:w="80" w:type="dxa"/>
              <w:left w:w="120" w:type="dxa"/>
              <w:bottom w:w="80" w:type="dxa"/>
              <w:right w:w="120" w:type="dxa"/>
            </w:tcMar>
            <w:vAlign w:val="center"/>
          </w:tcPr>
          <w:p w14:paraId="36B5D28F" w14:textId="77777777" w:rsidR="00817257" w:rsidRPr="0006311D" w:rsidRDefault="008B23A4">
            <w:pPr>
              <w:spacing w:after="160" w:line="256" w:lineRule="auto"/>
              <w:jc w:val="center"/>
              <w:rPr>
                <w:sz w:val="24"/>
                <w:szCs w:val="24"/>
              </w:rPr>
            </w:pPr>
            <w:r w:rsidRPr="0006311D">
              <w:rPr>
                <w:rFonts w:hint="eastAsia"/>
                <w:b/>
                <w:bCs/>
                <w:sz w:val="24"/>
                <w:szCs w:val="24"/>
              </w:rPr>
              <w:t>Knowledge Level</w:t>
            </w:r>
          </w:p>
        </w:tc>
        <w:tc>
          <w:tcPr>
            <w:tcW w:w="2680" w:type="dxa"/>
            <w:tcBorders>
              <w:top w:val="single" w:sz="0" w:space="0" w:color="2E4057"/>
              <w:left w:val="single" w:sz="0" w:space="0" w:color="2E4057"/>
              <w:bottom w:val="single" w:sz="0" w:space="0" w:color="2E4057"/>
              <w:right w:val="single" w:sz="0" w:space="0" w:color="2E4057"/>
            </w:tcBorders>
            <w:shd w:val="clear" w:color="auto" w:fill="1F3A5F"/>
            <w:tcMar>
              <w:top w:w="80" w:type="dxa"/>
              <w:left w:w="120" w:type="dxa"/>
              <w:bottom w:w="80" w:type="dxa"/>
              <w:right w:w="120" w:type="dxa"/>
            </w:tcMar>
            <w:vAlign w:val="center"/>
          </w:tcPr>
          <w:p w14:paraId="785B87F8" w14:textId="77777777" w:rsidR="00817257" w:rsidRPr="0006311D" w:rsidRDefault="008B23A4">
            <w:pPr>
              <w:spacing w:after="160" w:line="256" w:lineRule="auto"/>
              <w:jc w:val="center"/>
              <w:rPr>
                <w:sz w:val="24"/>
                <w:szCs w:val="24"/>
              </w:rPr>
            </w:pPr>
            <w:r w:rsidRPr="0006311D">
              <w:rPr>
                <w:rFonts w:hint="eastAsia"/>
                <w:b/>
                <w:bCs/>
                <w:sz w:val="24"/>
                <w:szCs w:val="24"/>
              </w:rPr>
              <w:t>Frequency</w:t>
            </w:r>
          </w:p>
        </w:tc>
        <w:tc>
          <w:tcPr>
            <w:tcW w:w="2680" w:type="dxa"/>
            <w:tcBorders>
              <w:top w:val="single" w:sz="0" w:space="0" w:color="2E4057"/>
              <w:left w:val="single" w:sz="0" w:space="0" w:color="2E4057"/>
              <w:bottom w:val="single" w:sz="0" w:space="0" w:color="2E4057"/>
              <w:right w:val="single" w:sz="0" w:space="0" w:color="2E4057"/>
            </w:tcBorders>
            <w:shd w:val="clear" w:color="auto" w:fill="1F3A5F"/>
            <w:tcMar>
              <w:top w:w="80" w:type="dxa"/>
              <w:left w:w="120" w:type="dxa"/>
              <w:bottom w:w="80" w:type="dxa"/>
              <w:right w:w="120" w:type="dxa"/>
            </w:tcMar>
            <w:vAlign w:val="center"/>
          </w:tcPr>
          <w:p w14:paraId="6A7C34FE" w14:textId="77777777" w:rsidR="00817257" w:rsidRPr="0006311D" w:rsidRDefault="008B23A4">
            <w:pPr>
              <w:spacing w:after="160" w:line="256" w:lineRule="auto"/>
              <w:jc w:val="center"/>
              <w:rPr>
                <w:sz w:val="24"/>
                <w:szCs w:val="24"/>
              </w:rPr>
            </w:pPr>
            <w:r w:rsidRPr="0006311D">
              <w:rPr>
                <w:rFonts w:hint="eastAsia"/>
                <w:b/>
                <w:bCs/>
                <w:sz w:val="24"/>
                <w:szCs w:val="24"/>
              </w:rPr>
              <w:t>Percentage (%)</w:t>
            </w:r>
          </w:p>
        </w:tc>
      </w:tr>
      <w:tr w:rsidR="00817257" w:rsidRPr="0006311D" w14:paraId="142CE81C" w14:textId="77777777">
        <w:tc>
          <w:tcPr>
            <w:tcW w:w="4000"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2B50B9DB" w14:textId="77777777" w:rsidR="00817257" w:rsidRPr="0006311D" w:rsidRDefault="008B23A4">
            <w:pPr>
              <w:spacing w:after="160" w:line="256" w:lineRule="auto"/>
              <w:rPr>
                <w:sz w:val="24"/>
                <w:szCs w:val="24"/>
              </w:rPr>
            </w:pPr>
            <w:r w:rsidRPr="0006311D">
              <w:rPr>
                <w:rFonts w:hint="eastAsia"/>
                <w:b/>
                <w:bCs/>
                <w:sz w:val="24"/>
                <w:szCs w:val="24"/>
              </w:rPr>
              <w:t>Good Knowledge (score 4–6)</w:t>
            </w:r>
          </w:p>
        </w:tc>
        <w:tc>
          <w:tcPr>
            <w:tcW w:w="2680"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52F6CF2A" w14:textId="77777777" w:rsidR="00817257" w:rsidRPr="0006311D" w:rsidRDefault="008B23A4">
            <w:pPr>
              <w:spacing w:after="160" w:line="256" w:lineRule="auto"/>
              <w:rPr>
                <w:sz w:val="24"/>
                <w:szCs w:val="24"/>
              </w:rPr>
            </w:pPr>
            <w:r w:rsidRPr="0006311D">
              <w:rPr>
                <w:rFonts w:hint="eastAsia"/>
                <w:sz w:val="24"/>
                <w:szCs w:val="24"/>
              </w:rPr>
              <w:t>58</w:t>
            </w:r>
          </w:p>
        </w:tc>
        <w:tc>
          <w:tcPr>
            <w:tcW w:w="2680"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61765878" w14:textId="77777777" w:rsidR="00817257" w:rsidRPr="0006311D" w:rsidRDefault="008B23A4">
            <w:pPr>
              <w:spacing w:after="160" w:line="256" w:lineRule="auto"/>
              <w:rPr>
                <w:sz w:val="24"/>
                <w:szCs w:val="24"/>
              </w:rPr>
            </w:pPr>
            <w:r w:rsidRPr="0006311D">
              <w:rPr>
                <w:rFonts w:hint="eastAsia"/>
                <w:sz w:val="24"/>
                <w:szCs w:val="24"/>
              </w:rPr>
              <w:t>63.7</w:t>
            </w:r>
          </w:p>
        </w:tc>
      </w:tr>
      <w:tr w:rsidR="00817257" w:rsidRPr="0006311D" w14:paraId="249B2EAF" w14:textId="77777777">
        <w:tc>
          <w:tcPr>
            <w:tcW w:w="4000" w:type="dxa"/>
            <w:tcBorders>
              <w:top w:val="single" w:sz="0" w:space="0" w:color="999999"/>
              <w:left w:val="single" w:sz="0" w:space="0" w:color="999999"/>
              <w:bottom w:val="single" w:sz="0" w:space="0" w:color="999999"/>
              <w:right w:val="single" w:sz="0" w:space="0" w:color="999999"/>
            </w:tcBorders>
            <w:shd w:val="clear" w:color="auto" w:fill="FFFFFF"/>
            <w:tcMar>
              <w:top w:w="80" w:type="dxa"/>
              <w:left w:w="120" w:type="dxa"/>
              <w:bottom w:w="80" w:type="dxa"/>
              <w:right w:w="120" w:type="dxa"/>
            </w:tcMar>
          </w:tcPr>
          <w:p w14:paraId="19D13EF5" w14:textId="77777777" w:rsidR="00817257" w:rsidRPr="0006311D" w:rsidRDefault="008B23A4">
            <w:pPr>
              <w:spacing w:after="160" w:line="256" w:lineRule="auto"/>
              <w:rPr>
                <w:sz w:val="24"/>
                <w:szCs w:val="24"/>
              </w:rPr>
            </w:pPr>
            <w:r w:rsidRPr="0006311D">
              <w:rPr>
                <w:rFonts w:hint="eastAsia"/>
                <w:b/>
                <w:bCs/>
                <w:sz w:val="24"/>
                <w:szCs w:val="24"/>
              </w:rPr>
              <w:t>Poor Knowledge (score 0–3)</w:t>
            </w:r>
          </w:p>
        </w:tc>
        <w:tc>
          <w:tcPr>
            <w:tcW w:w="2680" w:type="dxa"/>
            <w:tcBorders>
              <w:top w:val="single" w:sz="0" w:space="0" w:color="999999"/>
              <w:left w:val="single" w:sz="0" w:space="0" w:color="999999"/>
              <w:bottom w:val="single" w:sz="0" w:space="0" w:color="999999"/>
              <w:right w:val="single" w:sz="0" w:space="0" w:color="999999"/>
            </w:tcBorders>
            <w:shd w:val="clear" w:color="auto" w:fill="FFFFFF"/>
            <w:tcMar>
              <w:top w:w="80" w:type="dxa"/>
              <w:left w:w="120" w:type="dxa"/>
              <w:bottom w:w="80" w:type="dxa"/>
              <w:right w:w="120" w:type="dxa"/>
            </w:tcMar>
          </w:tcPr>
          <w:p w14:paraId="0B690D1B" w14:textId="77777777" w:rsidR="00817257" w:rsidRPr="0006311D" w:rsidRDefault="008B23A4">
            <w:pPr>
              <w:spacing w:after="160" w:line="256" w:lineRule="auto"/>
              <w:rPr>
                <w:sz w:val="24"/>
                <w:szCs w:val="24"/>
              </w:rPr>
            </w:pPr>
            <w:r w:rsidRPr="0006311D">
              <w:rPr>
                <w:rFonts w:hint="eastAsia"/>
                <w:sz w:val="24"/>
                <w:szCs w:val="24"/>
              </w:rPr>
              <w:t>33</w:t>
            </w:r>
          </w:p>
        </w:tc>
        <w:tc>
          <w:tcPr>
            <w:tcW w:w="2680" w:type="dxa"/>
            <w:tcBorders>
              <w:top w:val="single" w:sz="0" w:space="0" w:color="999999"/>
              <w:left w:val="single" w:sz="0" w:space="0" w:color="999999"/>
              <w:bottom w:val="single" w:sz="0" w:space="0" w:color="999999"/>
              <w:right w:val="single" w:sz="0" w:space="0" w:color="999999"/>
            </w:tcBorders>
            <w:shd w:val="clear" w:color="auto" w:fill="FFFFFF"/>
            <w:tcMar>
              <w:top w:w="80" w:type="dxa"/>
              <w:left w:w="120" w:type="dxa"/>
              <w:bottom w:w="80" w:type="dxa"/>
              <w:right w:w="120" w:type="dxa"/>
            </w:tcMar>
          </w:tcPr>
          <w:p w14:paraId="58287EF4" w14:textId="77777777" w:rsidR="00817257" w:rsidRPr="0006311D" w:rsidRDefault="008B23A4">
            <w:pPr>
              <w:spacing w:after="160" w:line="256" w:lineRule="auto"/>
              <w:rPr>
                <w:sz w:val="24"/>
                <w:szCs w:val="24"/>
              </w:rPr>
            </w:pPr>
            <w:r w:rsidRPr="0006311D">
              <w:rPr>
                <w:rFonts w:hint="eastAsia"/>
                <w:sz w:val="24"/>
                <w:szCs w:val="24"/>
              </w:rPr>
              <w:t>36.3</w:t>
            </w:r>
          </w:p>
        </w:tc>
      </w:tr>
      <w:tr w:rsidR="00817257" w:rsidRPr="0006311D" w14:paraId="29570F22" w14:textId="77777777">
        <w:tc>
          <w:tcPr>
            <w:tcW w:w="4000"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705AB375" w14:textId="77777777" w:rsidR="00817257" w:rsidRPr="0006311D" w:rsidRDefault="008B23A4">
            <w:pPr>
              <w:spacing w:after="160" w:line="256" w:lineRule="auto"/>
              <w:rPr>
                <w:sz w:val="24"/>
                <w:szCs w:val="24"/>
              </w:rPr>
            </w:pPr>
            <w:r w:rsidRPr="0006311D">
              <w:rPr>
                <w:rFonts w:hint="eastAsia"/>
                <w:b/>
                <w:bCs/>
                <w:sz w:val="24"/>
                <w:szCs w:val="24"/>
              </w:rPr>
              <w:t>Total</w:t>
            </w:r>
          </w:p>
        </w:tc>
        <w:tc>
          <w:tcPr>
            <w:tcW w:w="2680"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62A37F12" w14:textId="77777777" w:rsidR="00817257" w:rsidRPr="0006311D" w:rsidRDefault="008B23A4">
            <w:pPr>
              <w:spacing w:after="160" w:line="256" w:lineRule="auto"/>
              <w:rPr>
                <w:sz w:val="24"/>
                <w:szCs w:val="24"/>
              </w:rPr>
            </w:pPr>
            <w:r w:rsidRPr="0006311D">
              <w:rPr>
                <w:rFonts w:hint="eastAsia"/>
                <w:sz w:val="24"/>
                <w:szCs w:val="24"/>
              </w:rPr>
              <w:t>91</w:t>
            </w:r>
          </w:p>
        </w:tc>
        <w:tc>
          <w:tcPr>
            <w:tcW w:w="2680"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354EC136" w14:textId="77777777" w:rsidR="00817257" w:rsidRPr="0006311D" w:rsidRDefault="008B23A4">
            <w:pPr>
              <w:spacing w:after="160" w:line="256" w:lineRule="auto"/>
              <w:rPr>
                <w:sz w:val="24"/>
                <w:szCs w:val="24"/>
              </w:rPr>
            </w:pPr>
            <w:r w:rsidRPr="0006311D">
              <w:rPr>
                <w:rFonts w:hint="eastAsia"/>
                <w:sz w:val="24"/>
                <w:szCs w:val="24"/>
              </w:rPr>
              <w:t>100.0</w:t>
            </w:r>
          </w:p>
        </w:tc>
      </w:tr>
    </w:tbl>
    <w:p w14:paraId="0BEC4F04" w14:textId="77777777" w:rsidR="00817257" w:rsidRPr="0006311D" w:rsidRDefault="00817257">
      <w:pPr>
        <w:spacing w:before="160"/>
        <w:rPr>
          <w:sz w:val="24"/>
          <w:szCs w:val="24"/>
        </w:rPr>
      </w:pPr>
    </w:p>
    <w:p w14:paraId="03A000C2" w14:textId="77777777" w:rsidR="00817257" w:rsidRPr="0006311D" w:rsidRDefault="008B23A4">
      <w:pPr>
        <w:pStyle w:val="Heading2"/>
        <w:rPr>
          <w:sz w:val="24"/>
          <w:szCs w:val="24"/>
        </w:rPr>
      </w:pPr>
      <w:r w:rsidRPr="0006311D">
        <w:rPr>
          <w:sz w:val="24"/>
          <w:szCs w:val="24"/>
        </w:rPr>
        <w:t>4.3 Perception Toward ART</w:t>
      </w:r>
    </w:p>
    <w:p w14:paraId="2C49BDB6" w14:textId="77777777" w:rsidR="00817257" w:rsidRPr="0006311D" w:rsidRDefault="008B23A4">
      <w:pPr>
        <w:spacing w:after="160" w:line="276" w:lineRule="auto"/>
        <w:jc w:val="both"/>
        <w:rPr>
          <w:sz w:val="24"/>
          <w:szCs w:val="24"/>
        </w:rPr>
      </w:pPr>
      <w:r w:rsidRPr="0006311D">
        <w:rPr>
          <w:sz w:val="24"/>
          <w:szCs w:val="24"/>
        </w:rPr>
        <w:t xml:space="preserve">The majority of respondents demonstrated positive perceptions of ART. Seventy-one participants (78.0%) were </w:t>
      </w:r>
      <w:proofErr w:type="spellStart"/>
      <w:r w:rsidRPr="0006311D">
        <w:rPr>
          <w:sz w:val="24"/>
          <w:szCs w:val="24"/>
        </w:rPr>
        <w:t>categorised</w:t>
      </w:r>
      <w:proofErr w:type="spellEnd"/>
      <w:r w:rsidRPr="0006311D">
        <w:rPr>
          <w:sz w:val="24"/>
          <w:szCs w:val="24"/>
        </w:rPr>
        <w:t xml:space="preserve"> as holding positive perceptions, while 20 (22.0%) held negative perceptions (Table 3). The most commonly endorsed perception was that ART offers hope to couples experiencing infertility and should not carry social stigma.</w:t>
      </w:r>
    </w:p>
    <w:p w14:paraId="23FFC18A" w14:textId="77777777" w:rsidR="00817257" w:rsidRPr="0006311D" w:rsidRDefault="00817257">
      <w:pPr>
        <w:spacing w:before="80"/>
        <w:rPr>
          <w:sz w:val="24"/>
          <w:szCs w:val="24"/>
        </w:rPr>
      </w:pPr>
    </w:p>
    <w:p w14:paraId="25B09D7B" w14:textId="77777777" w:rsidR="00817257" w:rsidRPr="0006311D" w:rsidRDefault="008B23A4">
      <w:pPr>
        <w:spacing w:before="80" w:after="60"/>
        <w:jc w:val="center"/>
        <w:rPr>
          <w:sz w:val="24"/>
          <w:szCs w:val="24"/>
        </w:rPr>
      </w:pPr>
      <w:r w:rsidRPr="0006311D">
        <w:rPr>
          <w:b/>
          <w:bCs/>
          <w:sz w:val="24"/>
          <w:szCs w:val="24"/>
        </w:rPr>
        <w:t>Table 3. Perception of ART Among Respondents (N = 91)</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000"/>
        <w:gridCol w:w="2680"/>
        <w:gridCol w:w="2680"/>
      </w:tblGrid>
      <w:tr w:rsidR="00817257" w:rsidRPr="0006311D" w14:paraId="54B70C15" w14:textId="77777777">
        <w:tc>
          <w:tcPr>
            <w:tcW w:w="4000" w:type="dxa"/>
            <w:tcBorders>
              <w:top w:val="single" w:sz="0" w:space="0" w:color="2E4057"/>
              <w:left w:val="single" w:sz="0" w:space="0" w:color="2E4057"/>
              <w:bottom w:val="single" w:sz="0" w:space="0" w:color="2E4057"/>
              <w:right w:val="single" w:sz="0" w:space="0" w:color="2E4057"/>
            </w:tcBorders>
            <w:shd w:val="clear" w:color="auto" w:fill="1F3A5F"/>
            <w:tcMar>
              <w:top w:w="80" w:type="dxa"/>
              <w:left w:w="120" w:type="dxa"/>
              <w:bottom w:w="80" w:type="dxa"/>
              <w:right w:w="120" w:type="dxa"/>
            </w:tcMar>
            <w:vAlign w:val="center"/>
          </w:tcPr>
          <w:p w14:paraId="03964311" w14:textId="77777777" w:rsidR="00817257" w:rsidRPr="0006311D" w:rsidRDefault="008B23A4">
            <w:pPr>
              <w:spacing w:after="160" w:line="256" w:lineRule="auto"/>
              <w:jc w:val="center"/>
              <w:rPr>
                <w:sz w:val="24"/>
                <w:szCs w:val="24"/>
              </w:rPr>
            </w:pPr>
            <w:r w:rsidRPr="0006311D">
              <w:rPr>
                <w:rFonts w:hint="eastAsia"/>
                <w:b/>
                <w:bCs/>
                <w:sz w:val="24"/>
                <w:szCs w:val="24"/>
              </w:rPr>
              <w:t>Perception Category</w:t>
            </w:r>
          </w:p>
        </w:tc>
        <w:tc>
          <w:tcPr>
            <w:tcW w:w="2680" w:type="dxa"/>
            <w:tcBorders>
              <w:top w:val="single" w:sz="0" w:space="0" w:color="2E4057"/>
              <w:left w:val="single" w:sz="0" w:space="0" w:color="2E4057"/>
              <w:bottom w:val="single" w:sz="0" w:space="0" w:color="2E4057"/>
              <w:right w:val="single" w:sz="0" w:space="0" w:color="2E4057"/>
            </w:tcBorders>
            <w:shd w:val="clear" w:color="auto" w:fill="1F3A5F"/>
            <w:tcMar>
              <w:top w:w="80" w:type="dxa"/>
              <w:left w:w="120" w:type="dxa"/>
              <w:bottom w:w="80" w:type="dxa"/>
              <w:right w:w="120" w:type="dxa"/>
            </w:tcMar>
            <w:vAlign w:val="center"/>
          </w:tcPr>
          <w:p w14:paraId="36978C50" w14:textId="77777777" w:rsidR="00817257" w:rsidRPr="0006311D" w:rsidRDefault="008B23A4">
            <w:pPr>
              <w:spacing w:after="160" w:line="256" w:lineRule="auto"/>
              <w:jc w:val="center"/>
              <w:rPr>
                <w:sz w:val="24"/>
                <w:szCs w:val="24"/>
              </w:rPr>
            </w:pPr>
            <w:r w:rsidRPr="0006311D">
              <w:rPr>
                <w:rFonts w:hint="eastAsia"/>
                <w:b/>
                <w:bCs/>
                <w:sz w:val="24"/>
                <w:szCs w:val="24"/>
              </w:rPr>
              <w:t>Frequency</w:t>
            </w:r>
          </w:p>
        </w:tc>
        <w:tc>
          <w:tcPr>
            <w:tcW w:w="2680" w:type="dxa"/>
            <w:tcBorders>
              <w:top w:val="single" w:sz="0" w:space="0" w:color="2E4057"/>
              <w:left w:val="single" w:sz="0" w:space="0" w:color="2E4057"/>
              <w:bottom w:val="single" w:sz="0" w:space="0" w:color="2E4057"/>
              <w:right w:val="single" w:sz="0" w:space="0" w:color="2E4057"/>
            </w:tcBorders>
            <w:shd w:val="clear" w:color="auto" w:fill="1F3A5F"/>
            <w:tcMar>
              <w:top w:w="80" w:type="dxa"/>
              <w:left w:w="120" w:type="dxa"/>
              <w:bottom w:w="80" w:type="dxa"/>
              <w:right w:w="120" w:type="dxa"/>
            </w:tcMar>
            <w:vAlign w:val="center"/>
          </w:tcPr>
          <w:p w14:paraId="6EEEA82F" w14:textId="77777777" w:rsidR="00817257" w:rsidRPr="0006311D" w:rsidRDefault="008B23A4">
            <w:pPr>
              <w:spacing w:after="160" w:line="256" w:lineRule="auto"/>
              <w:jc w:val="center"/>
              <w:rPr>
                <w:sz w:val="24"/>
                <w:szCs w:val="24"/>
              </w:rPr>
            </w:pPr>
            <w:r w:rsidRPr="0006311D">
              <w:rPr>
                <w:rFonts w:hint="eastAsia"/>
                <w:b/>
                <w:bCs/>
                <w:sz w:val="24"/>
                <w:szCs w:val="24"/>
              </w:rPr>
              <w:t>Percentage (%)</w:t>
            </w:r>
          </w:p>
        </w:tc>
      </w:tr>
      <w:tr w:rsidR="00817257" w:rsidRPr="0006311D" w14:paraId="2DE82985" w14:textId="77777777">
        <w:tc>
          <w:tcPr>
            <w:tcW w:w="4000"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0D5768F5" w14:textId="77777777" w:rsidR="00817257" w:rsidRPr="0006311D" w:rsidRDefault="008B23A4">
            <w:pPr>
              <w:spacing w:after="160" w:line="256" w:lineRule="auto"/>
              <w:rPr>
                <w:sz w:val="24"/>
                <w:szCs w:val="24"/>
              </w:rPr>
            </w:pPr>
            <w:r w:rsidRPr="0006311D">
              <w:rPr>
                <w:rFonts w:hint="eastAsia"/>
                <w:b/>
                <w:bCs/>
                <w:sz w:val="24"/>
                <w:szCs w:val="24"/>
              </w:rPr>
              <w:t>Positive</w:t>
            </w:r>
          </w:p>
        </w:tc>
        <w:tc>
          <w:tcPr>
            <w:tcW w:w="2680"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6D6244FC" w14:textId="77777777" w:rsidR="00817257" w:rsidRPr="0006311D" w:rsidRDefault="008B23A4">
            <w:pPr>
              <w:spacing w:after="160" w:line="256" w:lineRule="auto"/>
              <w:rPr>
                <w:sz w:val="24"/>
                <w:szCs w:val="24"/>
              </w:rPr>
            </w:pPr>
            <w:r w:rsidRPr="0006311D">
              <w:rPr>
                <w:rFonts w:hint="eastAsia"/>
                <w:sz w:val="24"/>
                <w:szCs w:val="24"/>
              </w:rPr>
              <w:t>71</w:t>
            </w:r>
          </w:p>
        </w:tc>
        <w:tc>
          <w:tcPr>
            <w:tcW w:w="2680"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6DFD6A69" w14:textId="77777777" w:rsidR="00817257" w:rsidRPr="0006311D" w:rsidRDefault="008B23A4">
            <w:pPr>
              <w:spacing w:after="160" w:line="256" w:lineRule="auto"/>
              <w:rPr>
                <w:sz w:val="24"/>
                <w:szCs w:val="24"/>
              </w:rPr>
            </w:pPr>
            <w:r w:rsidRPr="0006311D">
              <w:rPr>
                <w:rFonts w:hint="eastAsia"/>
                <w:sz w:val="24"/>
                <w:szCs w:val="24"/>
              </w:rPr>
              <w:t>78.0</w:t>
            </w:r>
          </w:p>
        </w:tc>
      </w:tr>
      <w:tr w:rsidR="00817257" w:rsidRPr="0006311D" w14:paraId="2C4773FB" w14:textId="77777777">
        <w:tc>
          <w:tcPr>
            <w:tcW w:w="4000" w:type="dxa"/>
            <w:tcBorders>
              <w:top w:val="single" w:sz="0" w:space="0" w:color="999999"/>
              <w:left w:val="single" w:sz="0" w:space="0" w:color="999999"/>
              <w:bottom w:val="single" w:sz="0" w:space="0" w:color="999999"/>
              <w:right w:val="single" w:sz="0" w:space="0" w:color="999999"/>
            </w:tcBorders>
            <w:shd w:val="clear" w:color="auto" w:fill="FFFFFF"/>
            <w:tcMar>
              <w:top w:w="80" w:type="dxa"/>
              <w:left w:w="120" w:type="dxa"/>
              <w:bottom w:w="80" w:type="dxa"/>
              <w:right w:w="120" w:type="dxa"/>
            </w:tcMar>
          </w:tcPr>
          <w:p w14:paraId="3E8D9208" w14:textId="77777777" w:rsidR="00817257" w:rsidRPr="0006311D" w:rsidRDefault="008B23A4">
            <w:pPr>
              <w:spacing w:after="160" w:line="256" w:lineRule="auto"/>
              <w:rPr>
                <w:sz w:val="24"/>
                <w:szCs w:val="24"/>
              </w:rPr>
            </w:pPr>
            <w:r w:rsidRPr="0006311D">
              <w:rPr>
                <w:rFonts w:hint="eastAsia"/>
                <w:b/>
                <w:bCs/>
                <w:sz w:val="24"/>
                <w:szCs w:val="24"/>
              </w:rPr>
              <w:t>Negative</w:t>
            </w:r>
          </w:p>
        </w:tc>
        <w:tc>
          <w:tcPr>
            <w:tcW w:w="2680" w:type="dxa"/>
            <w:tcBorders>
              <w:top w:val="single" w:sz="0" w:space="0" w:color="999999"/>
              <w:left w:val="single" w:sz="0" w:space="0" w:color="999999"/>
              <w:bottom w:val="single" w:sz="0" w:space="0" w:color="999999"/>
              <w:right w:val="single" w:sz="0" w:space="0" w:color="999999"/>
            </w:tcBorders>
            <w:shd w:val="clear" w:color="auto" w:fill="FFFFFF"/>
            <w:tcMar>
              <w:top w:w="80" w:type="dxa"/>
              <w:left w:w="120" w:type="dxa"/>
              <w:bottom w:w="80" w:type="dxa"/>
              <w:right w:w="120" w:type="dxa"/>
            </w:tcMar>
          </w:tcPr>
          <w:p w14:paraId="58281805" w14:textId="77777777" w:rsidR="00817257" w:rsidRPr="0006311D" w:rsidRDefault="008B23A4">
            <w:pPr>
              <w:spacing w:after="160" w:line="256" w:lineRule="auto"/>
              <w:rPr>
                <w:sz w:val="24"/>
                <w:szCs w:val="24"/>
              </w:rPr>
            </w:pPr>
            <w:r w:rsidRPr="0006311D">
              <w:rPr>
                <w:rFonts w:hint="eastAsia"/>
                <w:sz w:val="24"/>
                <w:szCs w:val="24"/>
              </w:rPr>
              <w:t>20</w:t>
            </w:r>
          </w:p>
        </w:tc>
        <w:tc>
          <w:tcPr>
            <w:tcW w:w="2680" w:type="dxa"/>
            <w:tcBorders>
              <w:top w:val="single" w:sz="0" w:space="0" w:color="999999"/>
              <w:left w:val="single" w:sz="0" w:space="0" w:color="999999"/>
              <w:bottom w:val="single" w:sz="0" w:space="0" w:color="999999"/>
              <w:right w:val="single" w:sz="0" w:space="0" w:color="999999"/>
            </w:tcBorders>
            <w:shd w:val="clear" w:color="auto" w:fill="FFFFFF"/>
            <w:tcMar>
              <w:top w:w="80" w:type="dxa"/>
              <w:left w:w="120" w:type="dxa"/>
              <w:bottom w:w="80" w:type="dxa"/>
              <w:right w:w="120" w:type="dxa"/>
            </w:tcMar>
          </w:tcPr>
          <w:p w14:paraId="152E4CDD" w14:textId="77777777" w:rsidR="00817257" w:rsidRPr="0006311D" w:rsidRDefault="008B23A4">
            <w:pPr>
              <w:spacing w:after="160" w:line="256" w:lineRule="auto"/>
              <w:rPr>
                <w:sz w:val="24"/>
                <w:szCs w:val="24"/>
              </w:rPr>
            </w:pPr>
            <w:r w:rsidRPr="0006311D">
              <w:rPr>
                <w:rFonts w:hint="eastAsia"/>
                <w:sz w:val="24"/>
                <w:szCs w:val="24"/>
              </w:rPr>
              <w:t>22.0</w:t>
            </w:r>
          </w:p>
        </w:tc>
      </w:tr>
      <w:tr w:rsidR="00817257" w:rsidRPr="0006311D" w14:paraId="0BD43387" w14:textId="77777777">
        <w:tc>
          <w:tcPr>
            <w:tcW w:w="4000"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4C3938C7" w14:textId="77777777" w:rsidR="00817257" w:rsidRPr="0006311D" w:rsidRDefault="008B23A4">
            <w:pPr>
              <w:spacing w:after="160" w:line="256" w:lineRule="auto"/>
              <w:rPr>
                <w:sz w:val="24"/>
                <w:szCs w:val="24"/>
              </w:rPr>
            </w:pPr>
            <w:r w:rsidRPr="0006311D">
              <w:rPr>
                <w:rFonts w:hint="eastAsia"/>
                <w:b/>
                <w:bCs/>
                <w:sz w:val="24"/>
                <w:szCs w:val="24"/>
              </w:rPr>
              <w:t>Total</w:t>
            </w:r>
          </w:p>
        </w:tc>
        <w:tc>
          <w:tcPr>
            <w:tcW w:w="2680"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4A4406E7" w14:textId="77777777" w:rsidR="00817257" w:rsidRPr="0006311D" w:rsidRDefault="008B23A4">
            <w:pPr>
              <w:spacing w:after="160" w:line="256" w:lineRule="auto"/>
              <w:rPr>
                <w:sz w:val="24"/>
                <w:szCs w:val="24"/>
              </w:rPr>
            </w:pPr>
            <w:r w:rsidRPr="0006311D">
              <w:rPr>
                <w:rFonts w:hint="eastAsia"/>
                <w:sz w:val="24"/>
                <w:szCs w:val="24"/>
              </w:rPr>
              <w:t>91</w:t>
            </w:r>
          </w:p>
        </w:tc>
        <w:tc>
          <w:tcPr>
            <w:tcW w:w="2680"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2EC9B93D" w14:textId="77777777" w:rsidR="00817257" w:rsidRPr="0006311D" w:rsidRDefault="008B23A4">
            <w:pPr>
              <w:spacing w:after="160" w:line="256" w:lineRule="auto"/>
              <w:rPr>
                <w:sz w:val="24"/>
                <w:szCs w:val="24"/>
              </w:rPr>
            </w:pPr>
            <w:r w:rsidRPr="0006311D">
              <w:rPr>
                <w:rFonts w:hint="eastAsia"/>
                <w:sz w:val="24"/>
                <w:szCs w:val="24"/>
              </w:rPr>
              <w:t>100.0</w:t>
            </w:r>
          </w:p>
        </w:tc>
      </w:tr>
    </w:tbl>
    <w:p w14:paraId="66C977C4" w14:textId="77777777" w:rsidR="00817257" w:rsidRPr="0006311D" w:rsidRDefault="00817257">
      <w:pPr>
        <w:spacing w:before="160"/>
        <w:rPr>
          <w:sz w:val="24"/>
          <w:szCs w:val="24"/>
        </w:rPr>
      </w:pPr>
    </w:p>
    <w:p w14:paraId="5A047D1B" w14:textId="77777777" w:rsidR="00817257" w:rsidRPr="0006311D" w:rsidRDefault="008B23A4">
      <w:pPr>
        <w:pStyle w:val="Heading2"/>
        <w:rPr>
          <w:sz w:val="24"/>
          <w:szCs w:val="24"/>
        </w:rPr>
      </w:pPr>
      <w:r w:rsidRPr="0006311D">
        <w:rPr>
          <w:sz w:val="24"/>
          <w:szCs w:val="24"/>
        </w:rPr>
        <w:t>4.4 Acceptance of ART</w:t>
      </w:r>
    </w:p>
    <w:p w14:paraId="79406C04" w14:textId="77777777" w:rsidR="00817257" w:rsidRPr="0006311D" w:rsidRDefault="008B23A4">
      <w:pPr>
        <w:spacing w:after="160" w:line="276" w:lineRule="auto"/>
        <w:jc w:val="both"/>
        <w:rPr>
          <w:sz w:val="24"/>
          <w:szCs w:val="24"/>
        </w:rPr>
      </w:pPr>
      <w:r w:rsidRPr="0006311D">
        <w:rPr>
          <w:sz w:val="24"/>
          <w:szCs w:val="24"/>
        </w:rPr>
        <w:t>When asked whether they would be willing to use ART if medically indicated, 68 respondents (74.7%) expressed acceptance, four (4.4%) declined, and 19 (20.9%) were unsure (Table 4). The high rate of uncertainty among a fifth of respondents suggests that a meaningful portion of the sample had not yet formed a definitive view, likely reflecting informational rather than principled ambivalence.</w:t>
      </w:r>
    </w:p>
    <w:p w14:paraId="377CD548" w14:textId="77777777" w:rsidR="00817257" w:rsidRPr="0006311D" w:rsidRDefault="00817257">
      <w:pPr>
        <w:spacing w:before="80"/>
        <w:rPr>
          <w:sz w:val="24"/>
          <w:szCs w:val="24"/>
        </w:rPr>
      </w:pPr>
    </w:p>
    <w:p w14:paraId="4B0F0080" w14:textId="77777777" w:rsidR="00817257" w:rsidRPr="0006311D" w:rsidRDefault="008B23A4">
      <w:pPr>
        <w:spacing w:before="80" w:after="60"/>
        <w:jc w:val="center"/>
        <w:rPr>
          <w:sz w:val="24"/>
          <w:szCs w:val="24"/>
        </w:rPr>
      </w:pPr>
      <w:r w:rsidRPr="0006311D">
        <w:rPr>
          <w:b/>
          <w:bCs/>
          <w:sz w:val="24"/>
          <w:szCs w:val="24"/>
        </w:rPr>
        <w:t>Table 4. Acceptance of ART Among Respondents (N = 91)</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000"/>
        <w:gridCol w:w="2680"/>
        <w:gridCol w:w="2680"/>
      </w:tblGrid>
      <w:tr w:rsidR="00817257" w:rsidRPr="0006311D" w14:paraId="6C4781BD" w14:textId="77777777">
        <w:tc>
          <w:tcPr>
            <w:tcW w:w="4000" w:type="dxa"/>
            <w:tcBorders>
              <w:top w:val="single" w:sz="0" w:space="0" w:color="2E4057"/>
              <w:left w:val="single" w:sz="0" w:space="0" w:color="2E4057"/>
              <w:bottom w:val="single" w:sz="0" w:space="0" w:color="2E4057"/>
              <w:right w:val="single" w:sz="0" w:space="0" w:color="2E4057"/>
            </w:tcBorders>
            <w:shd w:val="clear" w:color="auto" w:fill="1F3A5F"/>
            <w:tcMar>
              <w:top w:w="80" w:type="dxa"/>
              <w:left w:w="120" w:type="dxa"/>
              <w:bottom w:w="80" w:type="dxa"/>
              <w:right w:w="120" w:type="dxa"/>
            </w:tcMar>
            <w:vAlign w:val="center"/>
          </w:tcPr>
          <w:p w14:paraId="19930412" w14:textId="77777777" w:rsidR="00817257" w:rsidRPr="0006311D" w:rsidRDefault="008B23A4">
            <w:pPr>
              <w:spacing w:after="160" w:line="256" w:lineRule="auto"/>
              <w:jc w:val="center"/>
              <w:rPr>
                <w:sz w:val="24"/>
                <w:szCs w:val="24"/>
              </w:rPr>
            </w:pPr>
            <w:r w:rsidRPr="0006311D">
              <w:rPr>
                <w:rFonts w:hint="eastAsia"/>
                <w:b/>
                <w:bCs/>
                <w:sz w:val="24"/>
                <w:szCs w:val="24"/>
              </w:rPr>
              <w:t>Response</w:t>
            </w:r>
          </w:p>
        </w:tc>
        <w:tc>
          <w:tcPr>
            <w:tcW w:w="2680" w:type="dxa"/>
            <w:tcBorders>
              <w:top w:val="single" w:sz="0" w:space="0" w:color="2E4057"/>
              <w:left w:val="single" w:sz="0" w:space="0" w:color="2E4057"/>
              <w:bottom w:val="single" w:sz="0" w:space="0" w:color="2E4057"/>
              <w:right w:val="single" w:sz="0" w:space="0" w:color="2E4057"/>
            </w:tcBorders>
            <w:shd w:val="clear" w:color="auto" w:fill="1F3A5F"/>
            <w:tcMar>
              <w:top w:w="80" w:type="dxa"/>
              <w:left w:w="120" w:type="dxa"/>
              <w:bottom w:w="80" w:type="dxa"/>
              <w:right w:w="120" w:type="dxa"/>
            </w:tcMar>
            <w:vAlign w:val="center"/>
          </w:tcPr>
          <w:p w14:paraId="380FEAA6" w14:textId="77777777" w:rsidR="00817257" w:rsidRPr="0006311D" w:rsidRDefault="008B23A4">
            <w:pPr>
              <w:spacing w:after="160" w:line="256" w:lineRule="auto"/>
              <w:jc w:val="center"/>
              <w:rPr>
                <w:sz w:val="24"/>
                <w:szCs w:val="24"/>
              </w:rPr>
            </w:pPr>
            <w:r w:rsidRPr="0006311D">
              <w:rPr>
                <w:rFonts w:hint="eastAsia"/>
                <w:b/>
                <w:bCs/>
                <w:sz w:val="24"/>
                <w:szCs w:val="24"/>
              </w:rPr>
              <w:t>Frequency</w:t>
            </w:r>
          </w:p>
        </w:tc>
        <w:tc>
          <w:tcPr>
            <w:tcW w:w="2680" w:type="dxa"/>
            <w:tcBorders>
              <w:top w:val="single" w:sz="0" w:space="0" w:color="2E4057"/>
              <w:left w:val="single" w:sz="0" w:space="0" w:color="2E4057"/>
              <w:bottom w:val="single" w:sz="0" w:space="0" w:color="2E4057"/>
              <w:right w:val="single" w:sz="0" w:space="0" w:color="2E4057"/>
            </w:tcBorders>
            <w:shd w:val="clear" w:color="auto" w:fill="1F3A5F"/>
            <w:tcMar>
              <w:top w:w="80" w:type="dxa"/>
              <w:left w:w="120" w:type="dxa"/>
              <w:bottom w:w="80" w:type="dxa"/>
              <w:right w:w="120" w:type="dxa"/>
            </w:tcMar>
            <w:vAlign w:val="center"/>
          </w:tcPr>
          <w:p w14:paraId="55A9C06A" w14:textId="77777777" w:rsidR="00817257" w:rsidRPr="0006311D" w:rsidRDefault="008B23A4">
            <w:pPr>
              <w:spacing w:after="160" w:line="256" w:lineRule="auto"/>
              <w:jc w:val="center"/>
              <w:rPr>
                <w:sz w:val="24"/>
                <w:szCs w:val="24"/>
              </w:rPr>
            </w:pPr>
            <w:r w:rsidRPr="0006311D">
              <w:rPr>
                <w:rFonts w:hint="eastAsia"/>
                <w:b/>
                <w:bCs/>
                <w:sz w:val="24"/>
                <w:szCs w:val="24"/>
              </w:rPr>
              <w:t>Percentage (%)</w:t>
            </w:r>
          </w:p>
        </w:tc>
      </w:tr>
      <w:tr w:rsidR="00817257" w:rsidRPr="0006311D" w14:paraId="132208B6" w14:textId="77777777">
        <w:tc>
          <w:tcPr>
            <w:tcW w:w="4000"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0E492AB2" w14:textId="77777777" w:rsidR="00817257" w:rsidRPr="0006311D" w:rsidRDefault="008B23A4">
            <w:pPr>
              <w:spacing w:after="160" w:line="256" w:lineRule="auto"/>
              <w:rPr>
                <w:sz w:val="24"/>
                <w:szCs w:val="24"/>
              </w:rPr>
            </w:pPr>
            <w:r w:rsidRPr="0006311D">
              <w:rPr>
                <w:rFonts w:hint="eastAsia"/>
                <w:b/>
                <w:bCs/>
                <w:sz w:val="24"/>
                <w:szCs w:val="24"/>
              </w:rPr>
              <w:lastRenderedPageBreak/>
              <w:t>Yes</w:t>
            </w:r>
          </w:p>
        </w:tc>
        <w:tc>
          <w:tcPr>
            <w:tcW w:w="2680"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27F7AC08" w14:textId="77777777" w:rsidR="00817257" w:rsidRPr="0006311D" w:rsidRDefault="008B23A4">
            <w:pPr>
              <w:spacing w:after="160" w:line="256" w:lineRule="auto"/>
              <w:rPr>
                <w:sz w:val="24"/>
                <w:szCs w:val="24"/>
              </w:rPr>
            </w:pPr>
            <w:r w:rsidRPr="0006311D">
              <w:rPr>
                <w:rFonts w:hint="eastAsia"/>
                <w:sz w:val="24"/>
                <w:szCs w:val="24"/>
              </w:rPr>
              <w:t>68</w:t>
            </w:r>
          </w:p>
        </w:tc>
        <w:tc>
          <w:tcPr>
            <w:tcW w:w="2680"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638F7FAD" w14:textId="77777777" w:rsidR="00817257" w:rsidRPr="0006311D" w:rsidRDefault="008B23A4">
            <w:pPr>
              <w:spacing w:after="160" w:line="256" w:lineRule="auto"/>
              <w:rPr>
                <w:sz w:val="24"/>
                <w:szCs w:val="24"/>
              </w:rPr>
            </w:pPr>
            <w:r w:rsidRPr="0006311D">
              <w:rPr>
                <w:rFonts w:hint="eastAsia"/>
                <w:sz w:val="24"/>
                <w:szCs w:val="24"/>
              </w:rPr>
              <w:t>74.7</w:t>
            </w:r>
          </w:p>
        </w:tc>
      </w:tr>
      <w:tr w:rsidR="00817257" w:rsidRPr="0006311D" w14:paraId="2A263227" w14:textId="77777777">
        <w:tc>
          <w:tcPr>
            <w:tcW w:w="4000" w:type="dxa"/>
            <w:tcBorders>
              <w:top w:val="single" w:sz="0" w:space="0" w:color="999999"/>
              <w:left w:val="single" w:sz="0" w:space="0" w:color="999999"/>
              <w:bottom w:val="single" w:sz="0" w:space="0" w:color="999999"/>
              <w:right w:val="single" w:sz="0" w:space="0" w:color="999999"/>
            </w:tcBorders>
            <w:shd w:val="clear" w:color="auto" w:fill="FFFFFF"/>
            <w:tcMar>
              <w:top w:w="80" w:type="dxa"/>
              <w:left w:w="120" w:type="dxa"/>
              <w:bottom w:w="80" w:type="dxa"/>
              <w:right w:w="120" w:type="dxa"/>
            </w:tcMar>
          </w:tcPr>
          <w:p w14:paraId="1BB4E112" w14:textId="77777777" w:rsidR="00817257" w:rsidRPr="0006311D" w:rsidRDefault="008B23A4">
            <w:pPr>
              <w:spacing w:after="160" w:line="256" w:lineRule="auto"/>
              <w:rPr>
                <w:sz w:val="24"/>
                <w:szCs w:val="24"/>
              </w:rPr>
            </w:pPr>
            <w:r w:rsidRPr="0006311D">
              <w:rPr>
                <w:rFonts w:hint="eastAsia"/>
                <w:b/>
                <w:bCs/>
                <w:sz w:val="24"/>
                <w:szCs w:val="24"/>
              </w:rPr>
              <w:t>No</w:t>
            </w:r>
          </w:p>
        </w:tc>
        <w:tc>
          <w:tcPr>
            <w:tcW w:w="2680" w:type="dxa"/>
            <w:tcBorders>
              <w:top w:val="single" w:sz="0" w:space="0" w:color="999999"/>
              <w:left w:val="single" w:sz="0" w:space="0" w:color="999999"/>
              <w:bottom w:val="single" w:sz="0" w:space="0" w:color="999999"/>
              <w:right w:val="single" w:sz="0" w:space="0" w:color="999999"/>
            </w:tcBorders>
            <w:shd w:val="clear" w:color="auto" w:fill="FFFFFF"/>
            <w:tcMar>
              <w:top w:w="80" w:type="dxa"/>
              <w:left w:w="120" w:type="dxa"/>
              <w:bottom w:w="80" w:type="dxa"/>
              <w:right w:w="120" w:type="dxa"/>
            </w:tcMar>
          </w:tcPr>
          <w:p w14:paraId="052B36CD" w14:textId="77777777" w:rsidR="00817257" w:rsidRPr="0006311D" w:rsidRDefault="008B23A4">
            <w:pPr>
              <w:spacing w:after="160" w:line="256" w:lineRule="auto"/>
              <w:rPr>
                <w:sz w:val="24"/>
                <w:szCs w:val="24"/>
              </w:rPr>
            </w:pPr>
            <w:r w:rsidRPr="0006311D">
              <w:rPr>
                <w:rFonts w:hint="eastAsia"/>
                <w:sz w:val="24"/>
                <w:szCs w:val="24"/>
              </w:rPr>
              <w:t>4</w:t>
            </w:r>
          </w:p>
        </w:tc>
        <w:tc>
          <w:tcPr>
            <w:tcW w:w="2680" w:type="dxa"/>
            <w:tcBorders>
              <w:top w:val="single" w:sz="0" w:space="0" w:color="999999"/>
              <w:left w:val="single" w:sz="0" w:space="0" w:color="999999"/>
              <w:bottom w:val="single" w:sz="0" w:space="0" w:color="999999"/>
              <w:right w:val="single" w:sz="0" w:space="0" w:color="999999"/>
            </w:tcBorders>
            <w:shd w:val="clear" w:color="auto" w:fill="FFFFFF"/>
            <w:tcMar>
              <w:top w:w="80" w:type="dxa"/>
              <w:left w:w="120" w:type="dxa"/>
              <w:bottom w:w="80" w:type="dxa"/>
              <w:right w:w="120" w:type="dxa"/>
            </w:tcMar>
          </w:tcPr>
          <w:p w14:paraId="65E1FFFB" w14:textId="77777777" w:rsidR="00817257" w:rsidRPr="0006311D" w:rsidRDefault="008B23A4">
            <w:pPr>
              <w:spacing w:after="160" w:line="256" w:lineRule="auto"/>
              <w:rPr>
                <w:sz w:val="24"/>
                <w:szCs w:val="24"/>
              </w:rPr>
            </w:pPr>
            <w:r w:rsidRPr="0006311D">
              <w:rPr>
                <w:rFonts w:hint="eastAsia"/>
                <w:sz w:val="24"/>
                <w:szCs w:val="24"/>
              </w:rPr>
              <w:t>4.4</w:t>
            </w:r>
          </w:p>
        </w:tc>
      </w:tr>
      <w:tr w:rsidR="00817257" w:rsidRPr="0006311D" w14:paraId="07F6DC6B" w14:textId="77777777">
        <w:tc>
          <w:tcPr>
            <w:tcW w:w="4000"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165EC036" w14:textId="77777777" w:rsidR="00817257" w:rsidRPr="0006311D" w:rsidRDefault="008B23A4">
            <w:pPr>
              <w:spacing w:after="160" w:line="256" w:lineRule="auto"/>
              <w:rPr>
                <w:sz w:val="24"/>
                <w:szCs w:val="24"/>
              </w:rPr>
            </w:pPr>
            <w:r w:rsidRPr="0006311D">
              <w:rPr>
                <w:rFonts w:hint="eastAsia"/>
                <w:b/>
                <w:bCs/>
                <w:sz w:val="24"/>
                <w:szCs w:val="24"/>
              </w:rPr>
              <w:t>Not Sure</w:t>
            </w:r>
          </w:p>
        </w:tc>
        <w:tc>
          <w:tcPr>
            <w:tcW w:w="2680"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4C009A61" w14:textId="77777777" w:rsidR="00817257" w:rsidRPr="0006311D" w:rsidRDefault="008B23A4">
            <w:pPr>
              <w:spacing w:after="160" w:line="256" w:lineRule="auto"/>
              <w:rPr>
                <w:sz w:val="24"/>
                <w:szCs w:val="24"/>
              </w:rPr>
            </w:pPr>
            <w:r w:rsidRPr="0006311D">
              <w:rPr>
                <w:rFonts w:hint="eastAsia"/>
                <w:sz w:val="24"/>
                <w:szCs w:val="24"/>
              </w:rPr>
              <w:t>19</w:t>
            </w:r>
          </w:p>
        </w:tc>
        <w:tc>
          <w:tcPr>
            <w:tcW w:w="2680"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4E2F4F02" w14:textId="77777777" w:rsidR="00817257" w:rsidRPr="0006311D" w:rsidRDefault="008B23A4">
            <w:pPr>
              <w:spacing w:after="160" w:line="256" w:lineRule="auto"/>
              <w:rPr>
                <w:sz w:val="24"/>
                <w:szCs w:val="24"/>
              </w:rPr>
            </w:pPr>
            <w:r w:rsidRPr="0006311D">
              <w:rPr>
                <w:rFonts w:hint="eastAsia"/>
                <w:sz w:val="24"/>
                <w:szCs w:val="24"/>
              </w:rPr>
              <w:t>20.9</w:t>
            </w:r>
          </w:p>
        </w:tc>
      </w:tr>
      <w:tr w:rsidR="00817257" w:rsidRPr="0006311D" w14:paraId="00E53D1A" w14:textId="77777777">
        <w:tc>
          <w:tcPr>
            <w:tcW w:w="4000" w:type="dxa"/>
            <w:tcBorders>
              <w:top w:val="single" w:sz="0" w:space="0" w:color="999999"/>
              <w:left w:val="single" w:sz="0" w:space="0" w:color="999999"/>
              <w:bottom w:val="single" w:sz="0" w:space="0" w:color="999999"/>
              <w:right w:val="single" w:sz="0" w:space="0" w:color="999999"/>
            </w:tcBorders>
            <w:shd w:val="clear" w:color="auto" w:fill="FFFFFF"/>
            <w:tcMar>
              <w:top w:w="80" w:type="dxa"/>
              <w:left w:w="120" w:type="dxa"/>
              <w:bottom w:w="80" w:type="dxa"/>
              <w:right w:w="120" w:type="dxa"/>
            </w:tcMar>
          </w:tcPr>
          <w:p w14:paraId="24729C6F" w14:textId="77777777" w:rsidR="00817257" w:rsidRPr="0006311D" w:rsidRDefault="008B23A4">
            <w:pPr>
              <w:spacing w:after="160" w:line="256" w:lineRule="auto"/>
              <w:rPr>
                <w:sz w:val="24"/>
                <w:szCs w:val="24"/>
              </w:rPr>
            </w:pPr>
            <w:r w:rsidRPr="0006311D">
              <w:rPr>
                <w:rFonts w:hint="eastAsia"/>
                <w:b/>
                <w:bCs/>
                <w:sz w:val="24"/>
                <w:szCs w:val="24"/>
              </w:rPr>
              <w:t>Total</w:t>
            </w:r>
          </w:p>
        </w:tc>
        <w:tc>
          <w:tcPr>
            <w:tcW w:w="2680" w:type="dxa"/>
            <w:tcBorders>
              <w:top w:val="single" w:sz="0" w:space="0" w:color="999999"/>
              <w:left w:val="single" w:sz="0" w:space="0" w:color="999999"/>
              <w:bottom w:val="single" w:sz="0" w:space="0" w:color="999999"/>
              <w:right w:val="single" w:sz="0" w:space="0" w:color="999999"/>
            </w:tcBorders>
            <w:shd w:val="clear" w:color="auto" w:fill="FFFFFF"/>
            <w:tcMar>
              <w:top w:w="80" w:type="dxa"/>
              <w:left w:w="120" w:type="dxa"/>
              <w:bottom w:w="80" w:type="dxa"/>
              <w:right w:w="120" w:type="dxa"/>
            </w:tcMar>
          </w:tcPr>
          <w:p w14:paraId="5BE82491" w14:textId="77777777" w:rsidR="00817257" w:rsidRPr="0006311D" w:rsidRDefault="008B23A4">
            <w:pPr>
              <w:spacing w:after="160" w:line="256" w:lineRule="auto"/>
              <w:rPr>
                <w:sz w:val="24"/>
                <w:szCs w:val="24"/>
              </w:rPr>
            </w:pPr>
            <w:r w:rsidRPr="0006311D">
              <w:rPr>
                <w:rFonts w:hint="eastAsia"/>
                <w:sz w:val="24"/>
                <w:szCs w:val="24"/>
              </w:rPr>
              <w:t>91</w:t>
            </w:r>
          </w:p>
        </w:tc>
        <w:tc>
          <w:tcPr>
            <w:tcW w:w="2680" w:type="dxa"/>
            <w:tcBorders>
              <w:top w:val="single" w:sz="0" w:space="0" w:color="999999"/>
              <w:left w:val="single" w:sz="0" w:space="0" w:color="999999"/>
              <w:bottom w:val="single" w:sz="0" w:space="0" w:color="999999"/>
              <w:right w:val="single" w:sz="0" w:space="0" w:color="999999"/>
            </w:tcBorders>
            <w:shd w:val="clear" w:color="auto" w:fill="FFFFFF"/>
            <w:tcMar>
              <w:top w:w="80" w:type="dxa"/>
              <w:left w:w="120" w:type="dxa"/>
              <w:bottom w:w="80" w:type="dxa"/>
              <w:right w:w="120" w:type="dxa"/>
            </w:tcMar>
          </w:tcPr>
          <w:p w14:paraId="73CFAB22" w14:textId="77777777" w:rsidR="00817257" w:rsidRPr="0006311D" w:rsidRDefault="008B23A4">
            <w:pPr>
              <w:spacing w:after="160" w:line="256" w:lineRule="auto"/>
              <w:rPr>
                <w:sz w:val="24"/>
                <w:szCs w:val="24"/>
              </w:rPr>
            </w:pPr>
            <w:r w:rsidRPr="0006311D">
              <w:rPr>
                <w:rFonts w:hint="eastAsia"/>
                <w:sz w:val="24"/>
                <w:szCs w:val="24"/>
              </w:rPr>
              <w:t>100.0</w:t>
            </w:r>
          </w:p>
        </w:tc>
      </w:tr>
    </w:tbl>
    <w:p w14:paraId="7565CAC2" w14:textId="77777777" w:rsidR="00817257" w:rsidRPr="0006311D" w:rsidRDefault="00817257">
      <w:pPr>
        <w:spacing w:before="160"/>
        <w:rPr>
          <w:sz w:val="24"/>
          <w:szCs w:val="24"/>
        </w:rPr>
      </w:pPr>
    </w:p>
    <w:p w14:paraId="5D207D25" w14:textId="77777777" w:rsidR="00817257" w:rsidRPr="0006311D" w:rsidRDefault="008B23A4">
      <w:pPr>
        <w:pStyle w:val="Heading2"/>
        <w:rPr>
          <w:sz w:val="24"/>
          <w:szCs w:val="24"/>
        </w:rPr>
      </w:pPr>
      <w:r w:rsidRPr="0006311D">
        <w:rPr>
          <w:sz w:val="24"/>
          <w:szCs w:val="24"/>
        </w:rPr>
        <w:t>4.5 Association Between Knowledge and Acceptance</w:t>
      </w:r>
    </w:p>
    <w:p w14:paraId="426DE5CF" w14:textId="77777777" w:rsidR="00817257" w:rsidRPr="0006311D" w:rsidRDefault="008B23A4">
      <w:pPr>
        <w:spacing w:after="160" w:line="276" w:lineRule="auto"/>
        <w:jc w:val="both"/>
        <w:rPr>
          <w:sz w:val="24"/>
          <w:szCs w:val="24"/>
        </w:rPr>
      </w:pPr>
      <w:r w:rsidRPr="0006311D">
        <w:rPr>
          <w:sz w:val="24"/>
          <w:szCs w:val="24"/>
        </w:rPr>
        <w:t>Cross-tabulation revealed that among respondents with good knowledge, 50 (86.2%) accepted ART compared with 18 (54.5%) among those with poor knowledge (Table 5). The chi-square test indicated a statistically significant association between knowledge level and ART acceptance (χ² = 8.47, df = 2, p = 0.014), demonstrating that better-informed respondents were substantially more likely to express willingness to use ART.</w:t>
      </w:r>
    </w:p>
    <w:p w14:paraId="0D160939" w14:textId="77777777" w:rsidR="00817257" w:rsidRPr="0006311D" w:rsidRDefault="00817257">
      <w:pPr>
        <w:spacing w:before="80"/>
        <w:rPr>
          <w:sz w:val="24"/>
          <w:szCs w:val="24"/>
        </w:rPr>
      </w:pPr>
    </w:p>
    <w:p w14:paraId="216C8D13" w14:textId="77777777" w:rsidR="00817257" w:rsidRPr="0006311D" w:rsidRDefault="008B23A4">
      <w:pPr>
        <w:spacing w:before="80" w:after="60"/>
        <w:jc w:val="center"/>
        <w:rPr>
          <w:sz w:val="24"/>
          <w:szCs w:val="24"/>
        </w:rPr>
      </w:pPr>
      <w:r w:rsidRPr="0006311D">
        <w:rPr>
          <w:b/>
          <w:bCs/>
          <w:sz w:val="24"/>
          <w:szCs w:val="24"/>
        </w:rPr>
        <w:t>Table 5. Cross-Tabulation of Knowledge Level and Acceptance (N = 91)</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40"/>
        <w:gridCol w:w="1755"/>
        <w:gridCol w:w="1755"/>
        <w:gridCol w:w="1755"/>
        <w:gridCol w:w="1755"/>
      </w:tblGrid>
      <w:tr w:rsidR="00817257" w:rsidRPr="0006311D" w14:paraId="2C201C3A" w14:textId="77777777">
        <w:tc>
          <w:tcPr>
            <w:tcW w:w="2340" w:type="dxa"/>
            <w:tcBorders>
              <w:top w:val="single" w:sz="0" w:space="0" w:color="2E4057"/>
              <w:left w:val="single" w:sz="0" w:space="0" w:color="2E4057"/>
              <w:bottom w:val="single" w:sz="0" w:space="0" w:color="2E4057"/>
              <w:right w:val="single" w:sz="0" w:space="0" w:color="2E4057"/>
            </w:tcBorders>
            <w:shd w:val="clear" w:color="auto" w:fill="1F3A5F"/>
            <w:tcMar>
              <w:top w:w="80" w:type="dxa"/>
              <w:left w:w="120" w:type="dxa"/>
              <w:bottom w:w="80" w:type="dxa"/>
              <w:right w:w="120" w:type="dxa"/>
            </w:tcMar>
            <w:vAlign w:val="center"/>
          </w:tcPr>
          <w:p w14:paraId="5C6CE2AC" w14:textId="77777777" w:rsidR="00817257" w:rsidRPr="0006311D" w:rsidRDefault="008B23A4">
            <w:pPr>
              <w:spacing w:after="160" w:line="256" w:lineRule="auto"/>
              <w:jc w:val="center"/>
              <w:rPr>
                <w:sz w:val="24"/>
                <w:szCs w:val="24"/>
              </w:rPr>
            </w:pPr>
            <w:r w:rsidRPr="0006311D">
              <w:rPr>
                <w:rFonts w:hint="eastAsia"/>
                <w:b/>
                <w:bCs/>
                <w:sz w:val="24"/>
                <w:szCs w:val="24"/>
              </w:rPr>
              <w:t>Knowledge Level</w:t>
            </w:r>
          </w:p>
        </w:tc>
        <w:tc>
          <w:tcPr>
            <w:tcW w:w="1755" w:type="dxa"/>
            <w:tcBorders>
              <w:top w:val="single" w:sz="0" w:space="0" w:color="2E4057"/>
              <w:left w:val="single" w:sz="0" w:space="0" w:color="2E4057"/>
              <w:bottom w:val="single" w:sz="0" w:space="0" w:color="2E4057"/>
              <w:right w:val="single" w:sz="0" w:space="0" w:color="2E4057"/>
            </w:tcBorders>
            <w:shd w:val="clear" w:color="auto" w:fill="1F3A5F"/>
            <w:tcMar>
              <w:top w:w="80" w:type="dxa"/>
              <w:left w:w="120" w:type="dxa"/>
              <w:bottom w:w="80" w:type="dxa"/>
              <w:right w:w="120" w:type="dxa"/>
            </w:tcMar>
            <w:vAlign w:val="center"/>
          </w:tcPr>
          <w:p w14:paraId="5840D958" w14:textId="77777777" w:rsidR="00817257" w:rsidRPr="0006311D" w:rsidRDefault="008B23A4">
            <w:pPr>
              <w:spacing w:after="160" w:line="256" w:lineRule="auto"/>
              <w:jc w:val="center"/>
              <w:rPr>
                <w:sz w:val="24"/>
                <w:szCs w:val="24"/>
              </w:rPr>
            </w:pPr>
            <w:r w:rsidRPr="0006311D">
              <w:rPr>
                <w:rFonts w:hint="eastAsia"/>
                <w:b/>
                <w:bCs/>
                <w:sz w:val="24"/>
                <w:szCs w:val="24"/>
              </w:rPr>
              <w:t>Accept</w:t>
            </w:r>
          </w:p>
        </w:tc>
        <w:tc>
          <w:tcPr>
            <w:tcW w:w="1755" w:type="dxa"/>
            <w:tcBorders>
              <w:top w:val="single" w:sz="0" w:space="0" w:color="2E4057"/>
              <w:left w:val="single" w:sz="0" w:space="0" w:color="2E4057"/>
              <w:bottom w:val="single" w:sz="0" w:space="0" w:color="2E4057"/>
              <w:right w:val="single" w:sz="0" w:space="0" w:color="2E4057"/>
            </w:tcBorders>
            <w:shd w:val="clear" w:color="auto" w:fill="1F3A5F"/>
            <w:tcMar>
              <w:top w:w="80" w:type="dxa"/>
              <w:left w:w="120" w:type="dxa"/>
              <w:bottom w:w="80" w:type="dxa"/>
              <w:right w:w="120" w:type="dxa"/>
            </w:tcMar>
            <w:vAlign w:val="center"/>
          </w:tcPr>
          <w:p w14:paraId="4ADEDE48" w14:textId="77777777" w:rsidR="00817257" w:rsidRPr="0006311D" w:rsidRDefault="008B23A4">
            <w:pPr>
              <w:spacing w:after="160" w:line="256" w:lineRule="auto"/>
              <w:jc w:val="center"/>
              <w:rPr>
                <w:sz w:val="24"/>
                <w:szCs w:val="24"/>
              </w:rPr>
            </w:pPr>
            <w:r w:rsidRPr="0006311D">
              <w:rPr>
                <w:rFonts w:hint="eastAsia"/>
                <w:b/>
                <w:bCs/>
                <w:sz w:val="24"/>
                <w:szCs w:val="24"/>
              </w:rPr>
              <w:t>Do Not Accept</w:t>
            </w:r>
          </w:p>
        </w:tc>
        <w:tc>
          <w:tcPr>
            <w:tcW w:w="1755" w:type="dxa"/>
            <w:tcBorders>
              <w:top w:val="single" w:sz="0" w:space="0" w:color="2E4057"/>
              <w:left w:val="single" w:sz="0" w:space="0" w:color="2E4057"/>
              <w:bottom w:val="single" w:sz="0" w:space="0" w:color="2E4057"/>
              <w:right w:val="single" w:sz="0" w:space="0" w:color="2E4057"/>
            </w:tcBorders>
            <w:shd w:val="clear" w:color="auto" w:fill="1F3A5F"/>
            <w:tcMar>
              <w:top w:w="80" w:type="dxa"/>
              <w:left w:w="120" w:type="dxa"/>
              <w:bottom w:w="80" w:type="dxa"/>
              <w:right w:w="120" w:type="dxa"/>
            </w:tcMar>
            <w:vAlign w:val="center"/>
          </w:tcPr>
          <w:p w14:paraId="63025DC6" w14:textId="77777777" w:rsidR="00817257" w:rsidRPr="0006311D" w:rsidRDefault="008B23A4">
            <w:pPr>
              <w:spacing w:after="160" w:line="256" w:lineRule="auto"/>
              <w:jc w:val="center"/>
              <w:rPr>
                <w:sz w:val="24"/>
                <w:szCs w:val="24"/>
              </w:rPr>
            </w:pPr>
            <w:r w:rsidRPr="0006311D">
              <w:rPr>
                <w:rFonts w:hint="eastAsia"/>
                <w:b/>
                <w:bCs/>
                <w:sz w:val="24"/>
                <w:szCs w:val="24"/>
              </w:rPr>
              <w:t>Not Sure</w:t>
            </w:r>
          </w:p>
        </w:tc>
        <w:tc>
          <w:tcPr>
            <w:tcW w:w="1755" w:type="dxa"/>
            <w:tcBorders>
              <w:top w:val="single" w:sz="0" w:space="0" w:color="2E4057"/>
              <w:left w:val="single" w:sz="0" w:space="0" w:color="2E4057"/>
              <w:bottom w:val="single" w:sz="0" w:space="0" w:color="2E4057"/>
              <w:right w:val="single" w:sz="0" w:space="0" w:color="2E4057"/>
            </w:tcBorders>
            <w:shd w:val="clear" w:color="auto" w:fill="1F3A5F"/>
            <w:tcMar>
              <w:top w:w="80" w:type="dxa"/>
              <w:left w:w="120" w:type="dxa"/>
              <w:bottom w:w="80" w:type="dxa"/>
              <w:right w:w="120" w:type="dxa"/>
            </w:tcMar>
            <w:vAlign w:val="center"/>
          </w:tcPr>
          <w:p w14:paraId="6CD46B2A" w14:textId="77777777" w:rsidR="00817257" w:rsidRPr="0006311D" w:rsidRDefault="008B23A4">
            <w:pPr>
              <w:spacing w:after="160" w:line="256" w:lineRule="auto"/>
              <w:jc w:val="center"/>
              <w:rPr>
                <w:sz w:val="24"/>
                <w:szCs w:val="24"/>
              </w:rPr>
            </w:pPr>
            <w:r w:rsidRPr="0006311D">
              <w:rPr>
                <w:rFonts w:hint="eastAsia"/>
                <w:b/>
                <w:bCs/>
                <w:sz w:val="24"/>
                <w:szCs w:val="24"/>
              </w:rPr>
              <w:t>Total</w:t>
            </w:r>
          </w:p>
        </w:tc>
      </w:tr>
      <w:tr w:rsidR="00817257" w:rsidRPr="0006311D" w14:paraId="23C4B355" w14:textId="77777777">
        <w:tc>
          <w:tcPr>
            <w:tcW w:w="2340"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66E79B2F" w14:textId="77777777" w:rsidR="00817257" w:rsidRPr="0006311D" w:rsidRDefault="008B23A4">
            <w:pPr>
              <w:spacing w:after="160" w:line="256" w:lineRule="auto"/>
              <w:rPr>
                <w:sz w:val="24"/>
                <w:szCs w:val="24"/>
              </w:rPr>
            </w:pPr>
            <w:r w:rsidRPr="0006311D">
              <w:rPr>
                <w:rFonts w:hint="eastAsia"/>
                <w:b/>
                <w:bCs/>
                <w:sz w:val="24"/>
                <w:szCs w:val="24"/>
              </w:rPr>
              <w:t>Good</w:t>
            </w:r>
          </w:p>
        </w:tc>
        <w:tc>
          <w:tcPr>
            <w:tcW w:w="1755"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5E394A2A" w14:textId="77777777" w:rsidR="00817257" w:rsidRPr="0006311D" w:rsidRDefault="008B23A4">
            <w:pPr>
              <w:spacing w:after="160" w:line="256" w:lineRule="auto"/>
              <w:rPr>
                <w:sz w:val="24"/>
                <w:szCs w:val="24"/>
              </w:rPr>
            </w:pPr>
            <w:r w:rsidRPr="0006311D">
              <w:rPr>
                <w:rFonts w:hint="eastAsia"/>
                <w:sz w:val="24"/>
                <w:szCs w:val="24"/>
              </w:rPr>
              <w:t>50</w:t>
            </w:r>
          </w:p>
        </w:tc>
        <w:tc>
          <w:tcPr>
            <w:tcW w:w="1755"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56DF2345" w14:textId="77777777" w:rsidR="00817257" w:rsidRPr="0006311D" w:rsidRDefault="008B23A4">
            <w:pPr>
              <w:spacing w:after="160" w:line="256" w:lineRule="auto"/>
              <w:rPr>
                <w:sz w:val="24"/>
                <w:szCs w:val="24"/>
              </w:rPr>
            </w:pPr>
            <w:r w:rsidRPr="0006311D">
              <w:rPr>
                <w:rFonts w:hint="eastAsia"/>
                <w:sz w:val="24"/>
                <w:szCs w:val="24"/>
              </w:rPr>
              <w:t>2</w:t>
            </w:r>
          </w:p>
        </w:tc>
        <w:tc>
          <w:tcPr>
            <w:tcW w:w="1755"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4958EB21" w14:textId="77777777" w:rsidR="00817257" w:rsidRPr="0006311D" w:rsidRDefault="008B23A4">
            <w:pPr>
              <w:spacing w:after="160" w:line="256" w:lineRule="auto"/>
              <w:rPr>
                <w:sz w:val="24"/>
                <w:szCs w:val="24"/>
              </w:rPr>
            </w:pPr>
            <w:r w:rsidRPr="0006311D">
              <w:rPr>
                <w:rFonts w:hint="eastAsia"/>
                <w:sz w:val="24"/>
                <w:szCs w:val="24"/>
              </w:rPr>
              <w:t>6</w:t>
            </w:r>
          </w:p>
        </w:tc>
        <w:tc>
          <w:tcPr>
            <w:tcW w:w="1755"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73411B64" w14:textId="77777777" w:rsidR="00817257" w:rsidRPr="0006311D" w:rsidRDefault="008B23A4">
            <w:pPr>
              <w:spacing w:after="160" w:line="256" w:lineRule="auto"/>
              <w:rPr>
                <w:sz w:val="24"/>
                <w:szCs w:val="24"/>
              </w:rPr>
            </w:pPr>
            <w:r w:rsidRPr="0006311D">
              <w:rPr>
                <w:rFonts w:hint="eastAsia"/>
                <w:sz w:val="24"/>
                <w:szCs w:val="24"/>
              </w:rPr>
              <w:t>58</w:t>
            </w:r>
          </w:p>
        </w:tc>
      </w:tr>
      <w:tr w:rsidR="00817257" w:rsidRPr="0006311D" w14:paraId="61E2F6A3" w14:textId="77777777">
        <w:tc>
          <w:tcPr>
            <w:tcW w:w="2340" w:type="dxa"/>
            <w:tcBorders>
              <w:top w:val="single" w:sz="0" w:space="0" w:color="999999"/>
              <w:left w:val="single" w:sz="0" w:space="0" w:color="999999"/>
              <w:bottom w:val="single" w:sz="0" w:space="0" w:color="999999"/>
              <w:right w:val="single" w:sz="0" w:space="0" w:color="999999"/>
            </w:tcBorders>
            <w:shd w:val="clear" w:color="auto" w:fill="FFFFFF"/>
            <w:tcMar>
              <w:top w:w="80" w:type="dxa"/>
              <w:left w:w="120" w:type="dxa"/>
              <w:bottom w:w="80" w:type="dxa"/>
              <w:right w:w="120" w:type="dxa"/>
            </w:tcMar>
          </w:tcPr>
          <w:p w14:paraId="4C207BDA" w14:textId="77777777" w:rsidR="00817257" w:rsidRPr="0006311D" w:rsidRDefault="008B23A4">
            <w:pPr>
              <w:spacing w:after="160" w:line="256" w:lineRule="auto"/>
              <w:rPr>
                <w:sz w:val="24"/>
                <w:szCs w:val="24"/>
              </w:rPr>
            </w:pPr>
            <w:r w:rsidRPr="0006311D">
              <w:rPr>
                <w:rFonts w:hint="eastAsia"/>
                <w:b/>
                <w:bCs/>
                <w:sz w:val="24"/>
                <w:szCs w:val="24"/>
              </w:rPr>
              <w:t>Poor</w:t>
            </w:r>
          </w:p>
        </w:tc>
        <w:tc>
          <w:tcPr>
            <w:tcW w:w="1755" w:type="dxa"/>
            <w:tcBorders>
              <w:top w:val="single" w:sz="0" w:space="0" w:color="999999"/>
              <w:left w:val="single" w:sz="0" w:space="0" w:color="999999"/>
              <w:bottom w:val="single" w:sz="0" w:space="0" w:color="999999"/>
              <w:right w:val="single" w:sz="0" w:space="0" w:color="999999"/>
            </w:tcBorders>
            <w:shd w:val="clear" w:color="auto" w:fill="FFFFFF"/>
            <w:tcMar>
              <w:top w:w="80" w:type="dxa"/>
              <w:left w:w="120" w:type="dxa"/>
              <w:bottom w:w="80" w:type="dxa"/>
              <w:right w:w="120" w:type="dxa"/>
            </w:tcMar>
          </w:tcPr>
          <w:p w14:paraId="153C27F9" w14:textId="77777777" w:rsidR="00817257" w:rsidRPr="0006311D" w:rsidRDefault="008B23A4">
            <w:pPr>
              <w:spacing w:after="160" w:line="256" w:lineRule="auto"/>
              <w:rPr>
                <w:sz w:val="24"/>
                <w:szCs w:val="24"/>
              </w:rPr>
            </w:pPr>
            <w:r w:rsidRPr="0006311D">
              <w:rPr>
                <w:rFonts w:hint="eastAsia"/>
                <w:sz w:val="24"/>
                <w:szCs w:val="24"/>
              </w:rPr>
              <w:t>18</w:t>
            </w:r>
          </w:p>
        </w:tc>
        <w:tc>
          <w:tcPr>
            <w:tcW w:w="1755" w:type="dxa"/>
            <w:tcBorders>
              <w:top w:val="single" w:sz="0" w:space="0" w:color="999999"/>
              <w:left w:val="single" w:sz="0" w:space="0" w:color="999999"/>
              <w:bottom w:val="single" w:sz="0" w:space="0" w:color="999999"/>
              <w:right w:val="single" w:sz="0" w:space="0" w:color="999999"/>
            </w:tcBorders>
            <w:shd w:val="clear" w:color="auto" w:fill="FFFFFF"/>
            <w:tcMar>
              <w:top w:w="80" w:type="dxa"/>
              <w:left w:w="120" w:type="dxa"/>
              <w:bottom w:w="80" w:type="dxa"/>
              <w:right w:w="120" w:type="dxa"/>
            </w:tcMar>
          </w:tcPr>
          <w:p w14:paraId="3FD643C3" w14:textId="77777777" w:rsidR="00817257" w:rsidRPr="0006311D" w:rsidRDefault="008B23A4">
            <w:pPr>
              <w:spacing w:after="160" w:line="256" w:lineRule="auto"/>
              <w:rPr>
                <w:sz w:val="24"/>
                <w:szCs w:val="24"/>
              </w:rPr>
            </w:pPr>
            <w:r w:rsidRPr="0006311D">
              <w:rPr>
                <w:rFonts w:hint="eastAsia"/>
                <w:sz w:val="24"/>
                <w:szCs w:val="24"/>
              </w:rPr>
              <w:t>2</w:t>
            </w:r>
          </w:p>
        </w:tc>
        <w:tc>
          <w:tcPr>
            <w:tcW w:w="1755" w:type="dxa"/>
            <w:tcBorders>
              <w:top w:val="single" w:sz="0" w:space="0" w:color="999999"/>
              <w:left w:val="single" w:sz="0" w:space="0" w:color="999999"/>
              <w:bottom w:val="single" w:sz="0" w:space="0" w:color="999999"/>
              <w:right w:val="single" w:sz="0" w:space="0" w:color="999999"/>
            </w:tcBorders>
            <w:shd w:val="clear" w:color="auto" w:fill="FFFFFF"/>
            <w:tcMar>
              <w:top w:w="80" w:type="dxa"/>
              <w:left w:w="120" w:type="dxa"/>
              <w:bottom w:w="80" w:type="dxa"/>
              <w:right w:w="120" w:type="dxa"/>
            </w:tcMar>
          </w:tcPr>
          <w:p w14:paraId="19F2748C" w14:textId="77777777" w:rsidR="00817257" w:rsidRPr="0006311D" w:rsidRDefault="008B23A4">
            <w:pPr>
              <w:spacing w:after="160" w:line="256" w:lineRule="auto"/>
              <w:rPr>
                <w:sz w:val="24"/>
                <w:szCs w:val="24"/>
              </w:rPr>
            </w:pPr>
            <w:r w:rsidRPr="0006311D">
              <w:rPr>
                <w:rFonts w:hint="eastAsia"/>
                <w:sz w:val="24"/>
                <w:szCs w:val="24"/>
              </w:rPr>
              <w:t>13</w:t>
            </w:r>
          </w:p>
        </w:tc>
        <w:tc>
          <w:tcPr>
            <w:tcW w:w="1755" w:type="dxa"/>
            <w:tcBorders>
              <w:top w:val="single" w:sz="0" w:space="0" w:color="999999"/>
              <w:left w:val="single" w:sz="0" w:space="0" w:color="999999"/>
              <w:bottom w:val="single" w:sz="0" w:space="0" w:color="999999"/>
              <w:right w:val="single" w:sz="0" w:space="0" w:color="999999"/>
            </w:tcBorders>
            <w:shd w:val="clear" w:color="auto" w:fill="FFFFFF"/>
            <w:tcMar>
              <w:top w:w="80" w:type="dxa"/>
              <w:left w:w="120" w:type="dxa"/>
              <w:bottom w:w="80" w:type="dxa"/>
              <w:right w:w="120" w:type="dxa"/>
            </w:tcMar>
          </w:tcPr>
          <w:p w14:paraId="056DD722" w14:textId="77777777" w:rsidR="00817257" w:rsidRPr="0006311D" w:rsidRDefault="008B23A4">
            <w:pPr>
              <w:spacing w:after="160" w:line="256" w:lineRule="auto"/>
              <w:rPr>
                <w:sz w:val="24"/>
                <w:szCs w:val="24"/>
              </w:rPr>
            </w:pPr>
            <w:r w:rsidRPr="0006311D">
              <w:rPr>
                <w:rFonts w:hint="eastAsia"/>
                <w:sz w:val="24"/>
                <w:szCs w:val="24"/>
              </w:rPr>
              <w:t>33</w:t>
            </w:r>
          </w:p>
        </w:tc>
      </w:tr>
      <w:tr w:rsidR="00817257" w:rsidRPr="0006311D" w14:paraId="530F7D60" w14:textId="77777777">
        <w:tc>
          <w:tcPr>
            <w:tcW w:w="2340"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5B1CA966" w14:textId="77777777" w:rsidR="00817257" w:rsidRPr="0006311D" w:rsidRDefault="008B23A4">
            <w:pPr>
              <w:spacing w:after="160" w:line="256" w:lineRule="auto"/>
              <w:rPr>
                <w:sz w:val="24"/>
                <w:szCs w:val="24"/>
              </w:rPr>
            </w:pPr>
            <w:r w:rsidRPr="0006311D">
              <w:rPr>
                <w:rFonts w:hint="eastAsia"/>
                <w:b/>
                <w:bCs/>
                <w:sz w:val="24"/>
                <w:szCs w:val="24"/>
              </w:rPr>
              <w:t>Total</w:t>
            </w:r>
          </w:p>
        </w:tc>
        <w:tc>
          <w:tcPr>
            <w:tcW w:w="1755"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759B9441" w14:textId="77777777" w:rsidR="00817257" w:rsidRPr="0006311D" w:rsidRDefault="008B23A4">
            <w:pPr>
              <w:spacing w:after="160" w:line="256" w:lineRule="auto"/>
              <w:rPr>
                <w:sz w:val="24"/>
                <w:szCs w:val="24"/>
              </w:rPr>
            </w:pPr>
            <w:r w:rsidRPr="0006311D">
              <w:rPr>
                <w:rFonts w:hint="eastAsia"/>
                <w:sz w:val="24"/>
                <w:szCs w:val="24"/>
              </w:rPr>
              <w:t>68</w:t>
            </w:r>
          </w:p>
        </w:tc>
        <w:tc>
          <w:tcPr>
            <w:tcW w:w="1755"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6C937886" w14:textId="77777777" w:rsidR="00817257" w:rsidRPr="0006311D" w:rsidRDefault="008B23A4">
            <w:pPr>
              <w:spacing w:after="160" w:line="256" w:lineRule="auto"/>
              <w:rPr>
                <w:sz w:val="24"/>
                <w:szCs w:val="24"/>
              </w:rPr>
            </w:pPr>
            <w:r w:rsidRPr="0006311D">
              <w:rPr>
                <w:rFonts w:hint="eastAsia"/>
                <w:sz w:val="24"/>
                <w:szCs w:val="24"/>
              </w:rPr>
              <w:t>4</w:t>
            </w:r>
          </w:p>
        </w:tc>
        <w:tc>
          <w:tcPr>
            <w:tcW w:w="1755"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708390B5" w14:textId="77777777" w:rsidR="00817257" w:rsidRPr="0006311D" w:rsidRDefault="008B23A4">
            <w:pPr>
              <w:spacing w:after="160" w:line="256" w:lineRule="auto"/>
              <w:rPr>
                <w:sz w:val="24"/>
                <w:szCs w:val="24"/>
              </w:rPr>
            </w:pPr>
            <w:r w:rsidRPr="0006311D">
              <w:rPr>
                <w:rFonts w:hint="eastAsia"/>
                <w:sz w:val="24"/>
                <w:szCs w:val="24"/>
              </w:rPr>
              <w:t>19</w:t>
            </w:r>
          </w:p>
        </w:tc>
        <w:tc>
          <w:tcPr>
            <w:tcW w:w="1755"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02535C7B" w14:textId="77777777" w:rsidR="00817257" w:rsidRPr="0006311D" w:rsidRDefault="008B23A4">
            <w:pPr>
              <w:spacing w:after="160" w:line="256" w:lineRule="auto"/>
              <w:rPr>
                <w:sz w:val="24"/>
                <w:szCs w:val="24"/>
              </w:rPr>
            </w:pPr>
            <w:r w:rsidRPr="0006311D">
              <w:rPr>
                <w:rFonts w:hint="eastAsia"/>
                <w:sz w:val="24"/>
                <w:szCs w:val="24"/>
              </w:rPr>
              <w:t>91</w:t>
            </w:r>
          </w:p>
        </w:tc>
      </w:tr>
    </w:tbl>
    <w:p w14:paraId="1449A98A" w14:textId="77777777" w:rsidR="00817257" w:rsidRPr="0006311D" w:rsidRDefault="00817257">
      <w:pPr>
        <w:spacing w:before="80"/>
        <w:rPr>
          <w:sz w:val="24"/>
          <w:szCs w:val="24"/>
        </w:rPr>
      </w:pPr>
    </w:p>
    <w:p w14:paraId="68F9DF8F" w14:textId="77777777" w:rsidR="00817257" w:rsidRPr="0006311D" w:rsidRDefault="008B23A4">
      <w:pPr>
        <w:spacing w:after="160" w:line="276" w:lineRule="auto"/>
        <w:jc w:val="both"/>
        <w:rPr>
          <w:sz w:val="24"/>
          <w:szCs w:val="24"/>
        </w:rPr>
      </w:pPr>
      <w:r w:rsidRPr="0006311D">
        <w:rPr>
          <w:sz w:val="24"/>
          <w:szCs w:val="24"/>
        </w:rPr>
        <w:t>χ</w:t>
      </w:r>
      <w:proofErr w:type="gramStart"/>
      <w:r w:rsidRPr="0006311D">
        <w:rPr>
          <w:sz w:val="24"/>
          <w:szCs w:val="24"/>
        </w:rPr>
        <w:t>²(</w:t>
      </w:r>
      <w:proofErr w:type="gramEnd"/>
      <w:r w:rsidRPr="0006311D">
        <w:rPr>
          <w:sz w:val="24"/>
          <w:szCs w:val="24"/>
        </w:rPr>
        <w:t>2, N = 91) = 8.47, p = 0.014</w:t>
      </w:r>
    </w:p>
    <w:p w14:paraId="55025547" w14:textId="77777777" w:rsidR="00817257" w:rsidRPr="0006311D" w:rsidRDefault="00817257">
      <w:pPr>
        <w:spacing w:before="160"/>
        <w:rPr>
          <w:sz w:val="24"/>
          <w:szCs w:val="24"/>
        </w:rPr>
      </w:pPr>
    </w:p>
    <w:p w14:paraId="558E66F3" w14:textId="77777777" w:rsidR="00817257" w:rsidRPr="0006311D" w:rsidRDefault="008B23A4">
      <w:pPr>
        <w:pStyle w:val="Heading2"/>
        <w:rPr>
          <w:sz w:val="24"/>
          <w:szCs w:val="24"/>
        </w:rPr>
      </w:pPr>
      <w:r w:rsidRPr="0006311D">
        <w:rPr>
          <w:sz w:val="24"/>
          <w:szCs w:val="24"/>
        </w:rPr>
        <w:t>4.6 Association Between Marital Status and Acceptance</w:t>
      </w:r>
    </w:p>
    <w:p w14:paraId="5310502B" w14:textId="77777777" w:rsidR="00817257" w:rsidRPr="0006311D" w:rsidRDefault="008B23A4">
      <w:pPr>
        <w:spacing w:after="160" w:line="276" w:lineRule="auto"/>
        <w:jc w:val="both"/>
        <w:rPr>
          <w:sz w:val="24"/>
          <w:szCs w:val="24"/>
        </w:rPr>
      </w:pPr>
      <w:r w:rsidRPr="0006311D">
        <w:rPr>
          <w:sz w:val="24"/>
          <w:szCs w:val="24"/>
        </w:rPr>
        <w:t>Among married respondents, 54 of 63 (85.7%) accepted ART, compared with 14 of 28 (50.0%) among unmarried respondents (Table 6). This difference was statistically significant (χ² = 6.32, df = 1, p = 0.012), suggesting that marital status is an important correlate of ART acceptance.</w:t>
      </w:r>
    </w:p>
    <w:p w14:paraId="33E05DEF" w14:textId="77777777" w:rsidR="00817257" w:rsidRPr="0006311D" w:rsidRDefault="00817257">
      <w:pPr>
        <w:spacing w:before="80"/>
        <w:rPr>
          <w:sz w:val="24"/>
          <w:szCs w:val="24"/>
        </w:rPr>
      </w:pPr>
    </w:p>
    <w:p w14:paraId="41806B46" w14:textId="77777777" w:rsidR="00817257" w:rsidRPr="0006311D" w:rsidRDefault="008B23A4">
      <w:pPr>
        <w:spacing w:before="80" w:after="60"/>
        <w:jc w:val="center"/>
        <w:rPr>
          <w:sz w:val="24"/>
          <w:szCs w:val="24"/>
        </w:rPr>
      </w:pPr>
      <w:r w:rsidRPr="0006311D">
        <w:rPr>
          <w:b/>
          <w:bCs/>
          <w:sz w:val="24"/>
          <w:szCs w:val="24"/>
        </w:rPr>
        <w:t>Table 6. Marital Status and ART Acceptance (N = 91)</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40"/>
        <w:gridCol w:w="2340"/>
        <w:gridCol w:w="2340"/>
        <w:gridCol w:w="2340"/>
      </w:tblGrid>
      <w:tr w:rsidR="00817257" w:rsidRPr="0006311D" w14:paraId="5F4FE5A0" w14:textId="77777777">
        <w:tc>
          <w:tcPr>
            <w:tcW w:w="2340" w:type="dxa"/>
            <w:tcBorders>
              <w:top w:val="single" w:sz="0" w:space="0" w:color="2E4057"/>
              <w:left w:val="single" w:sz="0" w:space="0" w:color="2E4057"/>
              <w:bottom w:val="single" w:sz="0" w:space="0" w:color="2E4057"/>
              <w:right w:val="single" w:sz="0" w:space="0" w:color="2E4057"/>
            </w:tcBorders>
            <w:shd w:val="clear" w:color="auto" w:fill="1F3A5F"/>
            <w:tcMar>
              <w:top w:w="80" w:type="dxa"/>
              <w:left w:w="120" w:type="dxa"/>
              <w:bottom w:w="80" w:type="dxa"/>
              <w:right w:w="120" w:type="dxa"/>
            </w:tcMar>
            <w:vAlign w:val="center"/>
          </w:tcPr>
          <w:p w14:paraId="76A020E9" w14:textId="77777777" w:rsidR="00817257" w:rsidRPr="0006311D" w:rsidRDefault="008B23A4">
            <w:pPr>
              <w:spacing w:after="160" w:line="256" w:lineRule="auto"/>
              <w:jc w:val="center"/>
              <w:rPr>
                <w:sz w:val="24"/>
                <w:szCs w:val="24"/>
              </w:rPr>
            </w:pPr>
            <w:r w:rsidRPr="0006311D">
              <w:rPr>
                <w:rFonts w:hint="eastAsia"/>
                <w:b/>
                <w:bCs/>
                <w:sz w:val="24"/>
                <w:szCs w:val="24"/>
              </w:rPr>
              <w:t>Marital Status</w:t>
            </w:r>
          </w:p>
        </w:tc>
        <w:tc>
          <w:tcPr>
            <w:tcW w:w="2340" w:type="dxa"/>
            <w:tcBorders>
              <w:top w:val="single" w:sz="0" w:space="0" w:color="2E4057"/>
              <w:left w:val="single" w:sz="0" w:space="0" w:color="2E4057"/>
              <w:bottom w:val="single" w:sz="0" w:space="0" w:color="2E4057"/>
              <w:right w:val="single" w:sz="0" w:space="0" w:color="2E4057"/>
            </w:tcBorders>
            <w:shd w:val="clear" w:color="auto" w:fill="1F3A5F"/>
            <w:tcMar>
              <w:top w:w="80" w:type="dxa"/>
              <w:left w:w="120" w:type="dxa"/>
              <w:bottom w:w="80" w:type="dxa"/>
              <w:right w:w="120" w:type="dxa"/>
            </w:tcMar>
            <w:vAlign w:val="center"/>
          </w:tcPr>
          <w:p w14:paraId="781B8B98" w14:textId="77777777" w:rsidR="00817257" w:rsidRPr="0006311D" w:rsidRDefault="008B23A4">
            <w:pPr>
              <w:spacing w:after="160" w:line="256" w:lineRule="auto"/>
              <w:jc w:val="center"/>
              <w:rPr>
                <w:sz w:val="24"/>
                <w:szCs w:val="24"/>
              </w:rPr>
            </w:pPr>
            <w:r w:rsidRPr="0006311D">
              <w:rPr>
                <w:rFonts w:hint="eastAsia"/>
                <w:b/>
                <w:bCs/>
                <w:sz w:val="24"/>
                <w:szCs w:val="24"/>
              </w:rPr>
              <w:t>Accept</w:t>
            </w:r>
          </w:p>
        </w:tc>
        <w:tc>
          <w:tcPr>
            <w:tcW w:w="2340" w:type="dxa"/>
            <w:tcBorders>
              <w:top w:val="single" w:sz="0" w:space="0" w:color="2E4057"/>
              <w:left w:val="single" w:sz="0" w:space="0" w:color="2E4057"/>
              <w:bottom w:val="single" w:sz="0" w:space="0" w:color="2E4057"/>
              <w:right w:val="single" w:sz="0" w:space="0" w:color="2E4057"/>
            </w:tcBorders>
            <w:shd w:val="clear" w:color="auto" w:fill="1F3A5F"/>
            <w:tcMar>
              <w:top w:w="80" w:type="dxa"/>
              <w:left w:w="120" w:type="dxa"/>
              <w:bottom w:w="80" w:type="dxa"/>
              <w:right w:w="120" w:type="dxa"/>
            </w:tcMar>
            <w:vAlign w:val="center"/>
          </w:tcPr>
          <w:p w14:paraId="53C73749" w14:textId="77777777" w:rsidR="00817257" w:rsidRPr="0006311D" w:rsidRDefault="008B23A4">
            <w:pPr>
              <w:spacing w:after="160" w:line="256" w:lineRule="auto"/>
              <w:jc w:val="center"/>
              <w:rPr>
                <w:sz w:val="24"/>
                <w:szCs w:val="24"/>
              </w:rPr>
            </w:pPr>
            <w:r w:rsidRPr="0006311D">
              <w:rPr>
                <w:rFonts w:hint="eastAsia"/>
                <w:b/>
                <w:bCs/>
                <w:sz w:val="24"/>
                <w:szCs w:val="24"/>
              </w:rPr>
              <w:t>Not Accept / Unsure</w:t>
            </w:r>
          </w:p>
        </w:tc>
        <w:tc>
          <w:tcPr>
            <w:tcW w:w="2340" w:type="dxa"/>
            <w:tcBorders>
              <w:top w:val="single" w:sz="0" w:space="0" w:color="2E4057"/>
              <w:left w:val="single" w:sz="0" w:space="0" w:color="2E4057"/>
              <w:bottom w:val="single" w:sz="0" w:space="0" w:color="2E4057"/>
              <w:right w:val="single" w:sz="0" w:space="0" w:color="2E4057"/>
            </w:tcBorders>
            <w:shd w:val="clear" w:color="auto" w:fill="1F3A5F"/>
            <w:tcMar>
              <w:top w:w="80" w:type="dxa"/>
              <w:left w:w="120" w:type="dxa"/>
              <w:bottom w:w="80" w:type="dxa"/>
              <w:right w:w="120" w:type="dxa"/>
            </w:tcMar>
            <w:vAlign w:val="center"/>
          </w:tcPr>
          <w:p w14:paraId="1CA0C91C" w14:textId="77777777" w:rsidR="00817257" w:rsidRPr="0006311D" w:rsidRDefault="008B23A4">
            <w:pPr>
              <w:spacing w:after="160" w:line="256" w:lineRule="auto"/>
              <w:jc w:val="center"/>
              <w:rPr>
                <w:sz w:val="24"/>
                <w:szCs w:val="24"/>
              </w:rPr>
            </w:pPr>
            <w:r w:rsidRPr="0006311D">
              <w:rPr>
                <w:rFonts w:hint="eastAsia"/>
                <w:b/>
                <w:bCs/>
                <w:sz w:val="24"/>
                <w:szCs w:val="24"/>
              </w:rPr>
              <w:t>Total</w:t>
            </w:r>
          </w:p>
        </w:tc>
      </w:tr>
      <w:tr w:rsidR="00817257" w:rsidRPr="0006311D" w14:paraId="7ABA95F3" w14:textId="77777777">
        <w:tc>
          <w:tcPr>
            <w:tcW w:w="2340"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17291CA5" w14:textId="77777777" w:rsidR="00817257" w:rsidRPr="0006311D" w:rsidRDefault="008B23A4">
            <w:pPr>
              <w:spacing w:after="160" w:line="256" w:lineRule="auto"/>
              <w:rPr>
                <w:sz w:val="24"/>
                <w:szCs w:val="24"/>
              </w:rPr>
            </w:pPr>
            <w:r w:rsidRPr="0006311D">
              <w:rPr>
                <w:rFonts w:hint="eastAsia"/>
                <w:b/>
                <w:bCs/>
                <w:sz w:val="24"/>
                <w:szCs w:val="24"/>
              </w:rPr>
              <w:lastRenderedPageBreak/>
              <w:t>Married</w:t>
            </w:r>
          </w:p>
        </w:tc>
        <w:tc>
          <w:tcPr>
            <w:tcW w:w="2340"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1F3CA08A" w14:textId="77777777" w:rsidR="00817257" w:rsidRPr="0006311D" w:rsidRDefault="008B23A4">
            <w:pPr>
              <w:spacing w:after="160" w:line="256" w:lineRule="auto"/>
              <w:rPr>
                <w:sz w:val="24"/>
                <w:szCs w:val="24"/>
              </w:rPr>
            </w:pPr>
            <w:r w:rsidRPr="0006311D">
              <w:rPr>
                <w:rFonts w:hint="eastAsia"/>
                <w:sz w:val="24"/>
                <w:szCs w:val="24"/>
              </w:rPr>
              <w:t>54</w:t>
            </w:r>
          </w:p>
        </w:tc>
        <w:tc>
          <w:tcPr>
            <w:tcW w:w="2340"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73E78341" w14:textId="77777777" w:rsidR="00817257" w:rsidRPr="0006311D" w:rsidRDefault="008B23A4">
            <w:pPr>
              <w:spacing w:after="160" w:line="256" w:lineRule="auto"/>
              <w:rPr>
                <w:sz w:val="24"/>
                <w:szCs w:val="24"/>
              </w:rPr>
            </w:pPr>
            <w:r w:rsidRPr="0006311D">
              <w:rPr>
                <w:rFonts w:hint="eastAsia"/>
                <w:sz w:val="24"/>
                <w:szCs w:val="24"/>
              </w:rPr>
              <w:t>9</w:t>
            </w:r>
          </w:p>
        </w:tc>
        <w:tc>
          <w:tcPr>
            <w:tcW w:w="2340"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13A34C80" w14:textId="77777777" w:rsidR="00817257" w:rsidRPr="0006311D" w:rsidRDefault="008B23A4">
            <w:pPr>
              <w:spacing w:after="160" w:line="256" w:lineRule="auto"/>
              <w:rPr>
                <w:sz w:val="24"/>
                <w:szCs w:val="24"/>
              </w:rPr>
            </w:pPr>
            <w:r w:rsidRPr="0006311D">
              <w:rPr>
                <w:rFonts w:hint="eastAsia"/>
                <w:sz w:val="24"/>
                <w:szCs w:val="24"/>
              </w:rPr>
              <w:t>63</w:t>
            </w:r>
          </w:p>
        </w:tc>
      </w:tr>
      <w:tr w:rsidR="00817257" w:rsidRPr="0006311D" w14:paraId="10DE6FEB" w14:textId="77777777">
        <w:tc>
          <w:tcPr>
            <w:tcW w:w="2340" w:type="dxa"/>
            <w:tcBorders>
              <w:top w:val="single" w:sz="0" w:space="0" w:color="999999"/>
              <w:left w:val="single" w:sz="0" w:space="0" w:color="999999"/>
              <w:bottom w:val="single" w:sz="0" w:space="0" w:color="999999"/>
              <w:right w:val="single" w:sz="0" w:space="0" w:color="999999"/>
            </w:tcBorders>
            <w:shd w:val="clear" w:color="auto" w:fill="FFFFFF"/>
            <w:tcMar>
              <w:top w:w="80" w:type="dxa"/>
              <w:left w:w="120" w:type="dxa"/>
              <w:bottom w:w="80" w:type="dxa"/>
              <w:right w:w="120" w:type="dxa"/>
            </w:tcMar>
          </w:tcPr>
          <w:p w14:paraId="6317881B" w14:textId="77777777" w:rsidR="00817257" w:rsidRPr="0006311D" w:rsidRDefault="008B23A4">
            <w:pPr>
              <w:spacing w:after="160" w:line="256" w:lineRule="auto"/>
              <w:rPr>
                <w:sz w:val="24"/>
                <w:szCs w:val="24"/>
              </w:rPr>
            </w:pPr>
            <w:r w:rsidRPr="0006311D">
              <w:rPr>
                <w:rFonts w:hint="eastAsia"/>
                <w:b/>
                <w:bCs/>
                <w:sz w:val="24"/>
                <w:szCs w:val="24"/>
              </w:rPr>
              <w:t>Other</w:t>
            </w:r>
          </w:p>
        </w:tc>
        <w:tc>
          <w:tcPr>
            <w:tcW w:w="2340" w:type="dxa"/>
            <w:tcBorders>
              <w:top w:val="single" w:sz="0" w:space="0" w:color="999999"/>
              <w:left w:val="single" w:sz="0" w:space="0" w:color="999999"/>
              <w:bottom w:val="single" w:sz="0" w:space="0" w:color="999999"/>
              <w:right w:val="single" w:sz="0" w:space="0" w:color="999999"/>
            </w:tcBorders>
            <w:shd w:val="clear" w:color="auto" w:fill="FFFFFF"/>
            <w:tcMar>
              <w:top w:w="80" w:type="dxa"/>
              <w:left w:w="120" w:type="dxa"/>
              <w:bottom w:w="80" w:type="dxa"/>
              <w:right w:w="120" w:type="dxa"/>
            </w:tcMar>
          </w:tcPr>
          <w:p w14:paraId="18CD6554" w14:textId="77777777" w:rsidR="00817257" w:rsidRPr="0006311D" w:rsidRDefault="008B23A4">
            <w:pPr>
              <w:spacing w:after="160" w:line="256" w:lineRule="auto"/>
              <w:rPr>
                <w:sz w:val="24"/>
                <w:szCs w:val="24"/>
              </w:rPr>
            </w:pPr>
            <w:r w:rsidRPr="0006311D">
              <w:rPr>
                <w:rFonts w:hint="eastAsia"/>
                <w:sz w:val="24"/>
                <w:szCs w:val="24"/>
              </w:rPr>
              <w:t>14</w:t>
            </w:r>
          </w:p>
        </w:tc>
        <w:tc>
          <w:tcPr>
            <w:tcW w:w="2340" w:type="dxa"/>
            <w:tcBorders>
              <w:top w:val="single" w:sz="0" w:space="0" w:color="999999"/>
              <w:left w:val="single" w:sz="0" w:space="0" w:color="999999"/>
              <w:bottom w:val="single" w:sz="0" w:space="0" w:color="999999"/>
              <w:right w:val="single" w:sz="0" w:space="0" w:color="999999"/>
            </w:tcBorders>
            <w:shd w:val="clear" w:color="auto" w:fill="FFFFFF"/>
            <w:tcMar>
              <w:top w:w="80" w:type="dxa"/>
              <w:left w:w="120" w:type="dxa"/>
              <w:bottom w:w="80" w:type="dxa"/>
              <w:right w:w="120" w:type="dxa"/>
            </w:tcMar>
          </w:tcPr>
          <w:p w14:paraId="1AB5021D" w14:textId="77777777" w:rsidR="00817257" w:rsidRPr="0006311D" w:rsidRDefault="008B23A4">
            <w:pPr>
              <w:spacing w:after="160" w:line="256" w:lineRule="auto"/>
              <w:rPr>
                <w:sz w:val="24"/>
                <w:szCs w:val="24"/>
              </w:rPr>
            </w:pPr>
            <w:r w:rsidRPr="0006311D">
              <w:rPr>
                <w:rFonts w:hint="eastAsia"/>
                <w:sz w:val="24"/>
                <w:szCs w:val="24"/>
              </w:rPr>
              <w:t>14</w:t>
            </w:r>
          </w:p>
        </w:tc>
        <w:tc>
          <w:tcPr>
            <w:tcW w:w="2340" w:type="dxa"/>
            <w:tcBorders>
              <w:top w:val="single" w:sz="0" w:space="0" w:color="999999"/>
              <w:left w:val="single" w:sz="0" w:space="0" w:color="999999"/>
              <w:bottom w:val="single" w:sz="0" w:space="0" w:color="999999"/>
              <w:right w:val="single" w:sz="0" w:space="0" w:color="999999"/>
            </w:tcBorders>
            <w:shd w:val="clear" w:color="auto" w:fill="FFFFFF"/>
            <w:tcMar>
              <w:top w:w="80" w:type="dxa"/>
              <w:left w:w="120" w:type="dxa"/>
              <w:bottom w:w="80" w:type="dxa"/>
              <w:right w:w="120" w:type="dxa"/>
            </w:tcMar>
          </w:tcPr>
          <w:p w14:paraId="2D1EC7A9" w14:textId="77777777" w:rsidR="00817257" w:rsidRPr="0006311D" w:rsidRDefault="008B23A4">
            <w:pPr>
              <w:spacing w:after="160" w:line="256" w:lineRule="auto"/>
              <w:rPr>
                <w:sz w:val="24"/>
                <w:szCs w:val="24"/>
              </w:rPr>
            </w:pPr>
            <w:r w:rsidRPr="0006311D">
              <w:rPr>
                <w:rFonts w:hint="eastAsia"/>
                <w:sz w:val="24"/>
                <w:szCs w:val="24"/>
              </w:rPr>
              <w:t>28</w:t>
            </w:r>
          </w:p>
        </w:tc>
      </w:tr>
      <w:tr w:rsidR="00817257" w:rsidRPr="0006311D" w14:paraId="6C0E51EF" w14:textId="77777777">
        <w:tc>
          <w:tcPr>
            <w:tcW w:w="2340"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407855D3" w14:textId="77777777" w:rsidR="00817257" w:rsidRPr="0006311D" w:rsidRDefault="008B23A4">
            <w:pPr>
              <w:spacing w:after="160" w:line="256" w:lineRule="auto"/>
              <w:rPr>
                <w:sz w:val="24"/>
                <w:szCs w:val="24"/>
              </w:rPr>
            </w:pPr>
            <w:r w:rsidRPr="0006311D">
              <w:rPr>
                <w:rFonts w:hint="eastAsia"/>
                <w:b/>
                <w:bCs/>
                <w:sz w:val="24"/>
                <w:szCs w:val="24"/>
              </w:rPr>
              <w:t>Total</w:t>
            </w:r>
          </w:p>
        </w:tc>
        <w:tc>
          <w:tcPr>
            <w:tcW w:w="2340"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6381561E" w14:textId="77777777" w:rsidR="00817257" w:rsidRPr="0006311D" w:rsidRDefault="008B23A4">
            <w:pPr>
              <w:spacing w:after="160" w:line="256" w:lineRule="auto"/>
              <w:rPr>
                <w:sz w:val="24"/>
                <w:szCs w:val="24"/>
              </w:rPr>
            </w:pPr>
            <w:r w:rsidRPr="0006311D">
              <w:rPr>
                <w:rFonts w:hint="eastAsia"/>
                <w:sz w:val="24"/>
                <w:szCs w:val="24"/>
              </w:rPr>
              <w:t>68</w:t>
            </w:r>
          </w:p>
        </w:tc>
        <w:tc>
          <w:tcPr>
            <w:tcW w:w="2340"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73D1AE43" w14:textId="77777777" w:rsidR="00817257" w:rsidRPr="0006311D" w:rsidRDefault="008B23A4">
            <w:pPr>
              <w:spacing w:after="160" w:line="256" w:lineRule="auto"/>
              <w:rPr>
                <w:sz w:val="24"/>
                <w:szCs w:val="24"/>
              </w:rPr>
            </w:pPr>
            <w:r w:rsidRPr="0006311D">
              <w:rPr>
                <w:rFonts w:hint="eastAsia"/>
                <w:sz w:val="24"/>
                <w:szCs w:val="24"/>
              </w:rPr>
              <w:t>23</w:t>
            </w:r>
          </w:p>
        </w:tc>
        <w:tc>
          <w:tcPr>
            <w:tcW w:w="2340"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4E1739B9" w14:textId="77777777" w:rsidR="00817257" w:rsidRPr="0006311D" w:rsidRDefault="008B23A4">
            <w:pPr>
              <w:spacing w:after="160" w:line="256" w:lineRule="auto"/>
              <w:rPr>
                <w:sz w:val="24"/>
                <w:szCs w:val="24"/>
              </w:rPr>
            </w:pPr>
            <w:r w:rsidRPr="0006311D">
              <w:rPr>
                <w:rFonts w:hint="eastAsia"/>
                <w:sz w:val="24"/>
                <w:szCs w:val="24"/>
              </w:rPr>
              <w:t>91</w:t>
            </w:r>
          </w:p>
        </w:tc>
      </w:tr>
    </w:tbl>
    <w:p w14:paraId="7C6A34F5" w14:textId="77777777" w:rsidR="00817257" w:rsidRPr="0006311D" w:rsidRDefault="00817257">
      <w:pPr>
        <w:spacing w:before="80"/>
        <w:rPr>
          <w:sz w:val="24"/>
          <w:szCs w:val="24"/>
        </w:rPr>
      </w:pPr>
    </w:p>
    <w:p w14:paraId="117E9404" w14:textId="77777777" w:rsidR="00817257" w:rsidRPr="0006311D" w:rsidRDefault="008B23A4">
      <w:pPr>
        <w:spacing w:after="160" w:line="276" w:lineRule="auto"/>
        <w:jc w:val="both"/>
        <w:rPr>
          <w:sz w:val="24"/>
          <w:szCs w:val="24"/>
        </w:rPr>
      </w:pPr>
      <w:r w:rsidRPr="0006311D">
        <w:rPr>
          <w:sz w:val="24"/>
          <w:szCs w:val="24"/>
        </w:rPr>
        <w:t>χ</w:t>
      </w:r>
      <w:proofErr w:type="gramStart"/>
      <w:r w:rsidRPr="0006311D">
        <w:rPr>
          <w:sz w:val="24"/>
          <w:szCs w:val="24"/>
        </w:rPr>
        <w:t>²(</w:t>
      </w:r>
      <w:proofErr w:type="gramEnd"/>
      <w:r w:rsidRPr="0006311D">
        <w:rPr>
          <w:sz w:val="24"/>
          <w:szCs w:val="24"/>
        </w:rPr>
        <w:t>1, N = 91) = 6.32, p = 0.012</w:t>
      </w:r>
    </w:p>
    <w:p w14:paraId="40011E6B" w14:textId="77777777" w:rsidR="00817257" w:rsidRPr="0006311D" w:rsidRDefault="00817257">
      <w:pPr>
        <w:spacing w:before="160"/>
        <w:rPr>
          <w:sz w:val="24"/>
          <w:szCs w:val="24"/>
        </w:rPr>
      </w:pPr>
    </w:p>
    <w:p w14:paraId="05F8B4DC" w14:textId="77777777" w:rsidR="00817257" w:rsidRPr="0006311D" w:rsidRDefault="008B23A4">
      <w:pPr>
        <w:pStyle w:val="Heading2"/>
        <w:rPr>
          <w:sz w:val="24"/>
          <w:szCs w:val="24"/>
        </w:rPr>
      </w:pPr>
      <w:r w:rsidRPr="0006311D">
        <w:rPr>
          <w:sz w:val="24"/>
          <w:szCs w:val="24"/>
        </w:rPr>
        <w:t>4.7 Association Between Perception and Acceptance</w:t>
      </w:r>
    </w:p>
    <w:p w14:paraId="313F0210" w14:textId="77777777" w:rsidR="00817257" w:rsidRPr="0006311D" w:rsidRDefault="008B23A4">
      <w:pPr>
        <w:spacing w:after="160" w:line="276" w:lineRule="auto"/>
        <w:jc w:val="both"/>
        <w:rPr>
          <w:sz w:val="24"/>
          <w:szCs w:val="24"/>
        </w:rPr>
      </w:pPr>
      <w:r w:rsidRPr="0006311D">
        <w:rPr>
          <w:sz w:val="24"/>
          <w:szCs w:val="24"/>
        </w:rPr>
        <w:t>The association between perception and acceptance was the strongest of all tested relationships. Among respondents with positive perceptions, 60 of 71 (84.5%) accepted ART, compared with only 8 of 20 (40.0%) among those with negative perceptions (Table 7). This association was highly statistically significant (χ² = 14.56, df = 1, p = 0.001).</w:t>
      </w:r>
    </w:p>
    <w:p w14:paraId="593EE4BF" w14:textId="77777777" w:rsidR="00817257" w:rsidRPr="0006311D" w:rsidRDefault="00817257">
      <w:pPr>
        <w:spacing w:before="80"/>
        <w:rPr>
          <w:sz w:val="24"/>
          <w:szCs w:val="24"/>
        </w:rPr>
      </w:pPr>
    </w:p>
    <w:p w14:paraId="5CDA516C" w14:textId="77777777" w:rsidR="00817257" w:rsidRPr="0006311D" w:rsidRDefault="008B23A4">
      <w:pPr>
        <w:spacing w:before="80" w:after="60"/>
        <w:jc w:val="center"/>
        <w:rPr>
          <w:sz w:val="24"/>
          <w:szCs w:val="24"/>
        </w:rPr>
      </w:pPr>
      <w:r w:rsidRPr="0006311D">
        <w:rPr>
          <w:b/>
          <w:bCs/>
          <w:sz w:val="24"/>
          <w:szCs w:val="24"/>
        </w:rPr>
        <w:t>Table 7. Perception Category and ART Acceptance (N = 91)</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40"/>
        <w:gridCol w:w="2340"/>
        <w:gridCol w:w="2340"/>
        <w:gridCol w:w="2340"/>
      </w:tblGrid>
      <w:tr w:rsidR="00817257" w:rsidRPr="0006311D" w14:paraId="31F6AE76" w14:textId="77777777">
        <w:tc>
          <w:tcPr>
            <w:tcW w:w="2340" w:type="dxa"/>
            <w:tcBorders>
              <w:top w:val="single" w:sz="0" w:space="0" w:color="2E4057"/>
              <w:left w:val="single" w:sz="0" w:space="0" w:color="2E4057"/>
              <w:bottom w:val="single" w:sz="0" w:space="0" w:color="2E4057"/>
              <w:right w:val="single" w:sz="0" w:space="0" w:color="2E4057"/>
            </w:tcBorders>
            <w:shd w:val="clear" w:color="auto" w:fill="1F3A5F"/>
            <w:tcMar>
              <w:top w:w="80" w:type="dxa"/>
              <w:left w:w="120" w:type="dxa"/>
              <w:bottom w:w="80" w:type="dxa"/>
              <w:right w:w="120" w:type="dxa"/>
            </w:tcMar>
            <w:vAlign w:val="center"/>
          </w:tcPr>
          <w:p w14:paraId="3E727480" w14:textId="77777777" w:rsidR="00817257" w:rsidRPr="0006311D" w:rsidRDefault="008B23A4">
            <w:pPr>
              <w:spacing w:after="160" w:line="256" w:lineRule="auto"/>
              <w:jc w:val="center"/>
              <w:rPr>
                <w:sz w:val="24"/>
                <w:szCs w:val="24"/>
              </w:rPr>
            </w:pPr>
            <w:r w:rsidRPr="0006311D">
              <w:rPr>
                <w:rFonts w:hint="eastAsia"/>
                <w:b/>
                <w:bCs/>
                <w:sz w:val="24"/>
                <w:szCs w:val="24"/>
              </w:rPr>
              <w:t>Perception</w:t>
            </w:r>
          </w:p>
        </w:tc>
        <w:tc>
          <w:tcPr>
            <w:tcW w:w="2340" w:type="dxa"/>
            <w:tcBorders>
              <w:top w:val="single" w:sz="0" w:space="0" w:color="2E4057"/>
              <w:left w:val="single" w:sz="0" w:space="0" w:color="2E4057"/>
              <w:bottom w:val="single" w:sz="0" w:space="0" w:color="2E4057"/>
              <w:right w:val="single" w:sz="0" w:space="0" w:color="2E4057"/>
            </w:tcBorders>
            <w:shd w:val="clear" w:color="auto" w:fill="1F3A5F"/>
            <w:tcMar>
              <w:top w:w="80" w:type="dxa"/>
              <w:left w:w="120" w:type="dxa"/>
              <w:bottom w:w="80" w:type="dxa"/>
              <w:right w:w="120" w:type="dxa"/>
            </w:tcMar>
            <w:vAlign w:val="center"/>
          </w:tcPr>
          <w:p w14:paraId="47EC2B4A" w14:textId="77777777" w:rsidR="00817257" w:rsidRPr="0006311D" w:rsidRDefault="008B23A4">
            <w:pPr>
              <w:spacing w:after="160" w:line="256" w:lineRule="auto"/>
              <w:jc w:val="center"/>
              <w:rPr>
                <w:sz w:val="24"/>
                <w:szCs w:val="24"/>
              </w:rPr>
            </w:pPr>
            <w:r w:rsidRPr="0006311D">
              <w:rPr>
                <w:rFonts w:hint="eastAsia"/>
                <w:b/>
                <w:bCs/>
                <w:sz w:val="24"/>
                <w:szCs w:val="24"/>
              </w:rPr>
              <w:t>Accept</w:t>
            </w:r>
          </w:p>
        </w:tc>
        <w:tc>
          <w:tcPr>
            <w:tcW w:w="2340" w:type="dxa"/>
            <w:tcBorders>
              <w:top w:val="single" w:sz="0" w:space="0" w:color="2E4057"/>
              <w:left w:val="single" w:sz="0" w:space="0" w:color="2E4057"/>
              <w:bottom w:val="single" w:sz="0" w:space="0" w:color="2E4057"/>
              <w:right w:val="single" w:sz="0" w:space="0" w:color="2E4057"/>
            </w:tcBorders>
            <w:shd w:val="clear" w:color="auto" w:fill="1F3A5F"/>
            <w:tcMar>
              <w:top w:w="80" w:type="dxa"/>
              <w:left w:w="120" w:type="dxa"/>
              <w:bottom w:w="80" w:type="dxa"/>
              <w:right w:w="120" w:type="dxa"/>
            </w:tcMar>
            <w:vAlign w:val="center"/>
          </w:tcPr>
          <w:p w14:paraId="4A459916" w14:textId="77777777" w:rsidR="00817257" w:rsidRPr="0006311D" w:rsidRDefault="008B23A4">
            <w:pPr>
              <w:spacing w:after="160" w:line="256" w:lineRule="auto"/>
              <w:jc w:val="center"/>
              <w:rPr>
                <w:sz w:val="24"/>
                <w:szCs w:val="24"/>
              </w:rPr>
            </w:pPr>
            <w:r w:rsidRPr="0006311D">
              <w:rPr>
                <w:rFonts w:hint="eastAsia"/>
                <w:b/>
                <w:bCs/>
                <w:sz w:val="24"/>
                <w:szCs w:val="24"/>
              </w:rPr>
              <w:t>Not Accept / Unsure</w:t>
            </w:r>
          </w:p>
        </w:tc>
        <w:tc>
          <w:tcPr>
            <w:tcW w:w="2340" w:type="dxa"/>
            <w:tcBorders>
              <w:top w:val="single" w:sz="0" w:space="0" w:color="2E4057"/>
              <w:left w:val="single" w:sz="0" w:space="0" w:color="2E4057"/>
              <w:bottom w:val="single" w:sz="0" w:space="0" w:color="2E4057"/>
              <w:right w:val="single" w:sz="0" w:space="0" w:color="2E4057"/>
            </w:tcBorders>
            <w:shd w:val="clear" w:color="auto" w:fill="1F3A5F"/>
            <w:tcMar>
              <w:top w:w="80" w:type="dxa"/>
              <w:left w:w="120" w:type="dxa"/>
              <w:bottom w:w="80" w:type="dxa"/>
              <w:right w:w="120" w:type="dxa"/>
            </w:tcMar>
            <w:vAlign w:val="center"/>
          </w:tcPr>
          <w:p w14:paraId="6B0ECDB6" w14:textId="77777777" w:rsidR="00817257" w:rsidRPr="0006311D" w:rsidRDefault="008B23A4">
            <w:pPr>
              <w:spacing w:after="160" w:line="256" w:lineRule="auto"/>
              <w:jc w:val="center"/>
              <w:rPr>
                <w:sz w:val="24"/>
                <w:szCs w:val="24"/>
              </w:rPr>
            </w:pPr>
            <w:r w:rsidRPr="0006311D">
              <w:rPr>
                <w:rFonts w:hint="eastAsia"/>
                <w:b/>
                <w:bCs/>
                <w:sz w:val="24"/>
                <w:szCs w:val="24"/>
              </w:rPr>
              <w:t>Total</w:t>
            </w:r>
          </w:p>
        </w:tc>
      </w:tr>
      <w:tr w:rsidR="00817257" w:rsidRPr="0006311D" w14:paraId="1A682CB6" w14:textId="77777777">
        <w:tc>
          <w:tcPr>
            <w:tcW w:w="2340"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5F8FBBB5" w14:textId="77777777" w:rsidR="00817257" w:rsidRPr="0006311D" w:rsidRDefault="008B23A4">
            <w:pPr>
              <w:spacing w:after="160" w:line="256" w:lineRule="auto"/>
              <w:rPr>
                <w:sz w:val="24"/>
                <w:szCs w:val="24"/>
              </w:rPr>
            </w:pPr>
            <w:r w:rsidRPr="0006311D">
              <w:rPr>
                <w:rFonts w:hint="eastAsia"/>
                <w:b/>
                <w:bCs/>
                <w:sz w:val="24"/>
                <w:szCs w:val="24"/>
              </w:rPr>
              <w:t>Positive</w:t>
            </w:r>
          </w:p>
        </w:tc>
        <w:tc>
          <w:tcPr>
            <w:tcW w:w="2340"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2820FC9A" w14:textId="77777777" w:rsidR="00817257" w:rsidRPr="0006311D" w:rsidRDefault="008B23A4">
            <w:pPr>
              <w:spacing w:after="160" w:line="256" w:lineRule="auto"/>
              <w:rPr>
                <w:sz w:val="24"/>
                <w:szCs w:val="24"/>
              </w:rPr>
            </w:pPr>
            <w:r w:rsidRPr="0006311D">
              <w:rPr>
                <w:rFonts w:hint="eastAsia"/>
                <w:sz w:val="24"/>
                <w:szCs w:val="24"/>
              </w:rPr>
              <w:t>60</w:t>
            </w:r>
          </w:p>
        </w:tc>
        <w:tc>
          <w:tcPr>
            <w:tcW w:w="2340"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14875E5D" w14:textId="77777777" w:rsidR="00817257" w:rsidRPr="0006311D" w:rsidRDefault="008B23A4">
            <w:pPr>
              <w:spacing w:after="160" w:line="256" w:lineRule="auto"/>
              <w:rPr>
                <w:sz w:val="24"/>
                <w:szCs w:val="24"/>
              </w:rPr>
            </w:pPr>
            <w:r w:rsidRPr="0006311D">
              <w:rPr>
                <w:rFonts w:hint="eastAsia"/>
                <w:sz w:val="24"/>
                <w:szCs w:val="24"/>
              </w:rPr>
              <w:t>11</w:t>
            </w:r>
          </w:p>
        </w:tc>
        <w:tc>
          <w:tcPr>
            <w:tcW w:w="2340"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283BD507" w14:textId="77777777" w:rsidR="00817257" w:rsidRPr="0006311D" w:rsidRDefault="008B23A4">
            <w:pPr>
              <w:spacing w:after="160" w:line="256" w:lineRule="auto"/>
              <w:rPr>
                <w:sz w:val="24"/>
                <w:szCs w:val="24"/>
              </w:rPr>
            </w:pPr>
            <w:r w:rsidRPr="0006311D">
              <w:rPr>
                <w:rFonts w:hint="eastAsia"/>
                <w:sz w:val="24"/>
                <w:szCs w:val="24"/>
              </w:rPr>
              <w:t>71</w:t>
            </w:r>
          </w:p>
        </w:tc>
      </w:tr>
      <w:tr w:rsidR="00817257" w:rsidRPr="0006311D" w14:paraId="1CB8F80A" w14:textId="77777777">
        <w:tc>
          <w:tcPr>
            <w:tcW w:w="2340" w:type="dxa"/>
            <w:tcBorders>
              <w:top w:val="single" w:sz="0" w:space="0" w:color="999999"/>
              <w:left w:val="single" w:sz="0" w:space="0" w:color="999999"/>
              <w:bottom w:val="single" w:sz="0" w:space="0" w:color="999999"/>
              <w:right w:val="single" w:sz="0" w:space="0" w:color="999999"/>
            </w:tcBorders>
            <w:shd w:val="clear" w:color="auto" w:fill="FFFFFF"/>
            <w:tcMar>
              <w:top w:w="80" w:type="dxa"/>
              <w:left w:w="120" w:type="dxa"/>
              <w:bottom w:w="80" w:type="dxa"/>
              <w:right w:w="120" w:type="dxa"/>
            </w:tcMar>
          </w:tcPr>
          <w:p w14:paraId="2987FA51" w14:textId="77777777" w:rsidR="00817257" w:rsidRPr="0006311D" w:rsidRDefault="008B23A4">
            <w:pPr>
              <w:spacing w:after="160" w:line="256" w:lineRule="auto"/>
              <w:rPr>
                <w:sz w:val="24"/>
                <w:szCs w:val="24"/>
              </w:rPr>
            </w:pPr>
            <w:r w:rsidRPr="0006311D">
              <w:rPr>
                <w:rFonts w:hint="eastAsia"/>
                <w:b/>
                <w:bCs/>
                <w:sz w:val="24"/>
                <w:szCs w:val="24"/>
              </w:rPr>
              <w:t>Negative</w:t>
            </w:r>
          </w:p>
        </w:tc>
        <w:tc>
          <w:tcPr>
            <w:tcW w:w="2340" w:type="dxa"/>
            <w:tcBorders>
              <w:top w:val="single" w:sz="0" w:space="0" w:color="999999"/>
              <w:left w:val="single" w:sz="0" w:space="0" w:color="999999"/>
              <w:bottom w:val="single" w:sz="0" w:space="0" w:color="999999"/>
              <w:right w:val="single" w:sz="0" w:space="0" w:color="999999"/>
            </w:tcBorders>
            <w:shd w:val="clear" w:color="auto" w:fill="FFFFFF"/>
            <w:tcMar>
              <w:top w:w="80" w:type="dxa"/>
              <w:left w:w="120" w:type="dxa"/>
              <w:bottom w:w="80" w:type="dxa"/>
              <w:right w:w="120" w:type="dxa"/>
            </w:tcMar>
          </w:tcPr>
          <w:p w14:paraId="609AB1BE" w14:textId="77777777" w:rsidR="00817257" w:rsidRPr="0006311D" w:rsidRDefault="008B23A4">
            <w:pPr>
              <w:spacing w:after="160" w:line="256" w:lineRule="auto"/>
              <w:rPr>
                <w:sz w:val="24"/>
                <w:szCs w:val="24"/>
              </w:rPr>
            </w:pPr>
            <w:r w:rsidRPr="0006311D">
              <w:rPr>
                <w:rFonts w:hint="eastAsia"/>
                <w:sz w:val="24"/>
                <w:szCs w:val="24"/>
              </w:rPr>
              <w:t>8</w:t>
            </w:r>
          </w:p>
        </w:tc>
        <w:tc>
          <w:tcPr>
            <w:tcW w:w="2340" w:type="dxa"/>
            <w:tcBorders>
              <w:top w:val="single" w:sz="0" w:space="0" w:color="999999"/>
              <w:left w:val="single" w:sz="0" w:space="0" w:color="999999"/>
              <w:bottom w:val="single" w:sz="0" w:space="0" w:color="999999"/>
              <w:right w:val="single" w:sz="0" w:space="0" w:color="999999"/>
            </w:tcBorders>
            <w:shd w:val="clear" w:color="auto" w:fill="FFFFFF"/>
            <w:tcMar>
              <w:top w:w="80" w:type="dxa"/>
              <w:left w:w="120" w:type="dxa"/>
              <w:bottom w:w="80" w:type="dxa"/>
              <w:right w:w="120" w:type="dxa"/>
            </w:tcMar>
          </w:tcPr>
          <w:p w14:paraId="29A1A855" w14:textId="77777777" w:rsidR="00817257" w:rsidRPr="0006311D" w:rsidRDefault="008B23A4">
            <w:pPr>
              <w:spacing w:after="160" w:line="256" w:lineRule="auto"/>
              <w:rPr>
                <w:sz w:val="24"/>
                <w:szCs w:val="24"/>
              </w:rPr>
            </w:pPr>
            <w:r w:rsidRPr="0006311D">
              <w:rPr>
                <w:rFonts w:hint="eastAsia"/>
                <w:sz w:val="24"/>
                <w:szCs w:val="24"/>
              </w:rPr>
              <w:t>12</w:t>
            </w:r>
          </w:p>
        </w:tc>
        <w:tc>
          <w:tcPr>
            <w:tcW w:w="2340" w:type="dxa"/>
            <w:tcBorders>
              <w:top w:val="single" w:sz="0" w:space="0" w:color="999999"/>
              <w:left w:val="single" w:sz="0" w:space="0" w:color="999999"/>
              <w:bottom w:val="single" w:sz="0" w:space="0" w:color="999999"/>
              <w:right w:val="single" w:sz="0" w:space="0" w:color="999999"/>
            </w:tcBorders>
            <w:shd w:val="clear" w:color="auto" w:fill="FFFFFF"/>
            <w:tcMar>
              <w:top w:w="80" w:type="dxa"/>
              <w:left w:w="120" w:type="dxa"/>
              <w:bottom w:w="80" w:type="dxa"/>
              <w:right w:w="120" w:type="dxa"/>
            </w:tcMar>
          </w:tcPr>
          <w:p w14:paraId="39C38458" w14:textId="77777777" w:rsidR="00817257" w:rsidRPr="0006311D" w:rsidRDefault="008B23A4">
            <w:pPr>
              <w:spacing w:after="160" w:line="256" w:lineRule="auto"/>
              <w:rPr>
                <w:sz w:val="24"/>
                <w:szCs w:val="24"/>
              </w:rPr>
            </w:pPr>
            <w:r w:rsidRPr="0006311D">
              <w:rPr>
                <w:rFonts w:hint="eastAsia"/>
                <w:sz w:val="24"/>
                <w:szCs w:val="24"/>
              </w:rPr>
              <w:t>20</w:t>
            </w:r>
          </w:p>
        </w:tc>
      </w:tr>
      <w:tr w:rsidR="00817257" w:rsidRPr="0006311D" w14:paraId="19F2D1D9" w14:textId="77777777">
        <w:tc>
          <w:tcPr>
            <w:tcW w:w="2340"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7F1069D3" w14:textId="77777777" w:rsidR="00817257" w:rsidRPr="0006311D" w:rsidRDefault="008B23A4">
            <w:pPr>
              <w:spacing w:after="160" w:line="256" w:lineRule="auto"/>
              <w:rPr>
                <w:sz w:val="24"/>
                <w:szCs w:val="24"/>
              </w:rPr>
            </w:pPr>
            <w:r w:rsidRPr="0006311D">
              <w:rPr>
                <w:rFonts w:hint="eastAsia"/>
                <w:b/>
                <w:bCs/>
                <w:sz w:val="24"/>
                <w:szCs w:val="24"/>
              </w:rPr>
              <w:t>Total</w:t>
            </w:r>
          </w:p>
        </w:tc>
        <w:tc>
          <w:tcPr>
            <w:tcW w:w="2340"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33B8CDD2" w14:textId="77777777" w:rsidR="00817257" w:rsidRPr="0006311D" w:rsidRDefault="008B23A4">
            <w:pPr>
              <w:spacing w:after="160" w:line="256" w:lineRule="auto"/>
              <w:rPr>
                <w:sz w:val="24"/>
                <w:szCs w:val="24"/>
              </w:rPr>
            </w:pPr>
            <w:r w:rsidRPr="0006311D">
              <w:rPr>
                <w:rFonts w:hint="eastAsia"/>
                <w:sz w:val="24"/>
                <w:szCs w:val="24"/>
              </w:rPr>
              <w:t>68</w:t>
            </w:r>
          </w:p>
        </w:tc>
        <w:tc>
          <w:tcPr>
            <w:tcW w:w="2340"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53BCC907" w14:textId="77777777" w:rsidR="00817257" w:rsidRPr="0006311D" w:rsidRDefault="008B23A4">
            <w:pPr>
              <w:spacing w:after="160" w:line="256" w:lineRule="auto"/>
              <w:rPr>
                <w:sz w:val="24"/>
                <w:szCs w:val="24"/>
              </w:rPr>
            </w:pPr>
            <w:r w:rsidRPr="0006311D">
              <w:rPr>
                <w:rFonts w:hint="eastAsia"/>
                <w:sz w:val="24"/>
                <w:szCs w:val="24"/>
              </w:rPr>
              <w:t>23</w:t>
            </w:r>
          </w:p>
        </w:tc>
        <w:tc>
          <w:tcPr>
            <w:tcW w:w="2340"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0C790649" w14:textId="77777777" w:rsidR="00817257" w:rsidRPr="0006311D" w:rsidRDefault="008B23A4">
            <w:pPr>
              <w:spacing w:after="160" w:line="256" w:lineRule="auto"/>
              <w:rPr>
                <w:sz w:val="24"/>
                <w:szCs w:val="24"/>
              </w:rPr>
            </w:pPr>
            <w:r w:rsidRPr="0006311D">
              <w:rPr>
                <w:rFonts w:hint="eastAsia"/>
                <w:sz w:val="24"/>
                <w:szCs w:val="24"/>
              </w:rPr>
              <w:t>91</w:t>
            </w:r>
          </w:p>
        </w:tc>
      </w:tr>
    </w:tbl>
    <w:p w14:paraId="13693592" w14:textId="77777777" w:rsidR="00817257" w:rsidRPr="0006311D" w:rsidRDefault="00817257">
      <w:pPr>
        <w:spacing w:before="80"/>
        <w:rPr>
          <w:sz w:val="24"/>
          <w:szCs w:val="24"/>
        </w:rPr>
      </w:pPr>
    </w:p>
    <w:p w14:paraId="4638DD4F" w14:textId="77777777" w:rsidR="00817257" w:rsidRPr="0006311D" w:rsidRDefault="008B23A4">
      <w:pPr>
        <w:spacing w:after="160" w:line="276" w:lineRule="auto"/>
        <w:jc w:val="both"/>
        <w:rPr>
          <w:sz w:val="24"/>
          <w:szCs w:val="24"/>
        </w:rPr>
      </w:pPr>
      <w:r w:rsidRPr="0006311D">
        <w:rPr>
          <w:sz w:val="24"/>
          <w:szCs w:val="24"/>
        </w:rPr>
        <w:t>χ</w:t>
      </w:r>
      <w:proofErr w:type="gramStart"/>
      <w:r w:rsidRPr="0006311D">
        <w:rPr>
          <w:sz w:val="24"/>
          <w:szCs w:val="24"/>
        </w:rPr>
        <w:t>²(</w:t>
      </w:r>
      <w:proofErr w:type="gramEnd"/>
      <w:r w:rsidRPr="0006311D">
        <w:rPr>
          <w:sz w:val="24"/>
          <w:szCs w:val="24"/>
        </w:rPr>
        <w:t>1, N = 91) = 14.56, p = 0.001</w:t>
      </w:r>
    </w:p>
    <w:p w14:paraId="0E8EED2E" w14:textId="77777777" w:rsidR="00817257" w:rsidRPr="0006311D" w:rsidRDefault="00817257">
      <w:pPr>
        <w:spacing w:before="80"/>
        <w:rPr>
          <w:sz w:val="24"/>
          <w:szCs w:val="24"/>
        </w:rPr>
      </w:pPr>
    </w:p>
    <w:p w14:paraId="1C2DAA25" w14:textId="77777777" w:rsidR="00817257" w:rsidRPr="0006311D" w:rsidRDefault="008B23A4">
      <w:pPr>
        <w:pStyle w:val="Heading2"/>
        <w:rPr>
          <w:sz w:val="24"/>
          <w:szCs w:val="24"/>
        </w:rPr>
      </w:pPr>
      <w:r w:rsidRPr="0006311D">
        <w:rPr>
          <w:sz w:val="24"/>
          <w:szCs w:val="24"/>
        </w:rPr>
        <w:t>4.8 Summary of Inferential Findings</w:t>
      </w:r>
    </w:p>
    <w:p w14:paraId="1EE51C45" w14:textId="77777777" w:rsidR="00817257" w:rsidRPr="0006311D" w:rsidRDefault="008B23A4">
      <w:pPr>
        <w:spacing w:after="160" w:line="276" w:lineRule="auto"/>
        <w:jc w:val="both"/>
        <w:rPr>
          <w:sz w:val="24"/>
          <w:szCs w:val="24"/>
        </w:rPr>
      </w:pPr>
      <w:r w:rsidRPr="0006311D">
        <w:rPr>
          <w:sz w:val="24"/>
          <w:szCs w:val="24"/>
        </w:rPr>
        <w:t xml:space="preserve">Table 8 </w:t>
      </w:r>
      <w:proofErr w:type="spellStart"/>
      <w:r w:rsidRPr="0006311D">
        <w:rPr>
          <w:sz w:val="24"/>
          <w:szCs w:val="24"/>
        </w:rPr>
        <w:t>summarises</w:t>
      </w:r>
      <w:proofErr w:type="spellEnd"/>
      <w:r w:rsidRPr="0006311D">
        <w:rPr>
          <w:sz w:val="24"/>
          <w:szCs w:val="24"/>
        </w:rPr>
        <w:t xml:space="preserve"> the inferential findings. Knowledge, perception, and marital status were each significantly associated with ART acceptance. Religion was not independently associated with acceptance (p &gt; 0.05). Financial cost was the most frequently cited barrier to </w:t>
      </w:r>
      <w:proofErr w:type="spellStart"/>
      <w:r w:rsidRPr="0006311D">
        <w:rPr>
          <w:sz w:val="24"/>
          <w:szCs w:val="24"/>
        </w:rPr>
        <w:t>utilisation</w:t>
      </w:r>
      <w:proofErr w:type="spellEnd"/>
      <w:r w:rsidRPr="0006311D">
        <w:rPr>
          <w:sz w:val="24"/>
          <w:szCs w:val="24"/>
        </w:rPr>
        <w:t xml:space="preserve"> across all subgroups.</w:t>
      </w:r>
    </w:p>
    <w:p w14:paraId="567A39D7" w14:textId="77777777" w:rsidR="00817257" w:rsidRPr="0006311D" w:rsidRDefault="00817257">
      <w:pPr>
        <w:spacing w:before="80"/>
        <w:rPr>
          <w:sz w:val="24"/>
          <w:szCs w:val="24"/>
        </w:rPr>
      </w:pPr>
    </w:p>
    <w:p w14:paraId="2A09BE7B" w14:textId="77777777" w:rsidR="00817257" w:rsidRPr="0006311D" w:rsidRDefault="008B23A4">
      <w:pPr>
        <w:spacing w:before="80" w:after="60"/>
        <w:jc w:val="center"/>
        <w:rPr>
          <w:sz w:val="24"/>
          <w:szCs w:val="24"/>
        </w:rPr>
      </w:pPr>
      <w:r w:rsidRPr="0006311D">
        <w:rPr>
          <w:b/>
          <w:bCs/>
          <w:sz w:val="24"/>
          <w:szCs w:val="24"/>
        </w:rPr>
        <w:t>Table 8. Summary of Chi-Square Results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960"/>
        <w:gridCol w:w="1480"/>
        <w:gridCol w:w="960"/>
        <w:gridCol w:w="1480"/>
        <w:gridCol w:w="2480"/>
      </w:tblGrid>
      <w:tr w:rsidR="00817257" w:rsidRPr="0006311D" w14:paraId="17FD4481" w14:textId="77777777">
        <w:tc>
          <w:tcPr>
            <w:tcW w:w="2960" w:type="dxa"/>
            <w:tcBorders>
              <w:top w:val="single" w:sz="0" w:space="0" w:color="2E4057"/>
              <w:left w:val="single" w:sz="0" w:space="0" w:color="2E4057"/>
              <w:bottom w:val="single" w:sz="0" w:space="0" w:color="2E4057"/>
              <w:right w:val="single" w:sz="0" w:space="0" w:color="2E4057"/>
            </w:tcBorders>
            <w:shd w:val="clear" w:color="auto" w:fill="1F3A5F"/>
            <w:tcMar>
              <w:top w:w="80" w:type="dxa"/>
              <w:left w:w="120" w:type="dxa"/>
              <w:bottom w:w="80" w:type="dxa"/>
              <w:right w:w="120" w:type="dxa"/>
            </w:tcMar>
            <w:vAlign w:val="center"/>
          </w:tcPr>
          <w:p w14:paraId="52DD3233" w14:textId="77777777" w:rsidR="00817257" w:rsidRPr="0006311D" w:rsidRDefault="008B23A4">
            <w:pPr>
              <w:spacing w:after="160" w:line="256" w:lineRule="auto"/>
              <w:jc w:val="center"/>
              <w:rPr>
                <w:sz w:val="24"/>
                <w:szCs w:val="24"/>
              </w:rPr>
            </w:pPr>
            <w:r w:rsidRPr="0006311D">
              <w:rPr>
                <w:rFonts w:hint="eastAsia"/>
                <w:b/>
                <w:bCs/>
                <w:sz w:val="24"/>
                <w:szCs w:val="24"/>
              </w:rPr>
              <w:t>Variable</w:t>
            </w:r>
          </w:p>
        </w:tc>
        <w:tc>
          <w:tcPr>
            <w:tcW w:w="1480" w:type="dxa"/>
            <w:tcBorders>
              <w:top w:val="single" w:sz="0" w:space="0" w:color="2E4057"/>
              <w:left w:val="single" w:sz="0" w:space="0" w:color="2E4057"/>
              <w:bottom w:val="single" w:sz="0" w:space="0" w:color="2E4057"/>
              <w:right w:val="single" w:sz="0" w:space="0" w:color="2E4057"/>
            </w:tcBorders>
            <w:shd w:val="clear" w:color="auto" w:fill="1F3A5F"/>
            <w:tcMar>
              <w:top w:w="80" w:type="dxa"/>
              <w:left w:w="120" w:type="dxa"/>
              <w:bottom w:w="80" w:type="dxa"/>
              <w:right w:w="120" w:type="dxa"/>
            </w:tcMar>
            <w:vAlign w:val="center"/>
          </w:tcPr>
          <w:p w14:paraId="0ADBAD3E" w14:textId="77777777" w:rsidR="00817257" w:rsidRPr="0006311D" w:rsidRDefault="008B23A4">
            <w:pPr>
              <w:spacing w:after="160" w:line="256" w:lineRule="auto"/>
              <w:jc w:val="center"/>
              <w:rPr>
                <w:sz w:val="24"/>
                <w:szCs w:val="24"/>
              </w:rPr>
            </w:pPr>
            <w:r w:rsidRPr="0006311D">
              <w:rPr>
                <w:rFonts w:hint="eastAsia"/>
                <w:b/>
                <w:bCs/>
                <w:sz w:val="24"/>
                <w:szCs w:val="24"/>
              </w:rPr>
              <w:t>χ² Value</w:t>
            </w:r>
          </w:p>
        </w:tc>
        <w:tc>
          <w:tcPr>
            <w:tcW w:w="960" w:type="dxa"/>
            <w:tcBorders>
              <w:top w:val="single" w:sz="0" w:space="0" w:color="2E4057"/>
              <w:left w:val="single" w:sz="0" w:space="0" w:color="2E4057"/>
              <w:bottom w:val="single" w:sz="0" w:space="0" w:color="2E4057"/>
              <w:right w:val="single" w:sz="0" w:space="0" w:color="2E4057"/>
            </w:tcBorders>
            <w:shd w:val="clear" w:color="auto" w:fill="1F3A5F"/>
            <w:tcMar>
              <w:top w:w="80" w:type="dxa"/>
              <w:left w:w="120" w:type="dxa"/>
              <w:bottom w:w="80" w:type="dxa"/>
              <w:right w:w="120" w:type="dxa"/>
            </w:tcMar>
            <w:vAlign w:val="center"/>
          </w:tcPr>
          <w:p w14:paraId="2891C76A" w14:textId="77777777" w:rsidR="00817257" w:rsidRPr="0006311D" w:rsidRDefault="008B23A4">
            <w:pPr>
              <w:spacing w:after="160" w:line="256" w:lineRule="auto"/>
              <w:jc w:val="center"/>
              <w:rPr>
                <w:sz w:val="24"/>
                <w:szCs w:val="24"/>
              </w:rPr>
            </w:pPr>
            <w:r w:rsidRPr="0006311D">
              <w:rPr>
                <w:rFonts w:hint="eastAsia"/>
                <w:b/>
                <w:bCs/>
                <w:sz w:val="24"/>
                <w:szCs w:val="24"/>
              </w:rPr>
              <w:t>df</w:t>
            </w:r>
          </w:p>
        </w:tc>
        <w:tc>
          <w:tcPr>
            <w:tcW w:w="1480" w:type="dxa"/>
            <w:tcBorders>
              <w:top w:val="single" w:sz="0" w:space="0" w:color="2E4057"/>
              <w:left w:val="single" w:sz="0" w:space="0" w:color="2E4057"/>
              <w:bottom w:val="single" w:sz="0" w:space="0" w:color="2E4057"/>
              <w:right w:val="single" w:sz="0" w:space="0" w:color="2E4057"/>
            </w:tcBorders>
            <w:shd w:val="clear" w:color="auto" w:fill="1F3A5F"/>
            <w:tcMar>
              <w:top w:w="80" w:type="dxa"/>
              <w:left w:w="120" w:type="dxa"/>
              <w:bottom w:w="80" w:type="dxa"/>
              <w:right w:w="120" w:type="dxa"/>
            </w:tcMar>
            <w:vAlign w:val="center"/>
          </w:tcPr>
          <w:p w14:paraId="7B9C0791" w14:textId="77777777" w:rsidR="00817257" w:rsidRPr="0006311D" w:rsidRDefault="008B23A4">
            <w:pPr>
              <w:spacing w:after="160" w:line="256" w:lineRule="auto"/>
              <w:jc w:val="center"/>
              <w:rPr>
                <w:sz w:val="24"/>
                <w:szCs w:val="24"/>
              </w:rPr>
            </w:pPr>
            <w:r w:rsidRPr="0006311D">
              <w:rPr>
                <w:rFonts w:hint="eastAsia"/>
                <w:b/>
                <w:bCs/>
                <w:sz w:val="24"/>
                <w:szCs w:val="24"/>
              </w:rPr>
              <w:t>p-Value</w:t>
            </w:r>
          </w:p>
        </w:tc>
        <w:tc>
          <w:tcPr>
            <w:tcW w:w="2480" w:type="dxa"/>
            <w:tcBorders>
              <w:top w:val="single" w:sz="0" w:space="0" w:color="2E4057"/>
              <w:left w:val="single" w:sz="0" w:space="0" w:color="2E4057"/>
              <w:bottom w:val="single" w:sz="0" w:space="0" w:color="2E4057"/>
              <w:right w:val="single" w:sz="0" w:space="0" w:color="2E4057"/>
            </w:tcBorders>
            <w:shd w:val="clear" w:color="auto" w:fill="1F3A5F"/>
            <w:tcMar>
              <w:top w:w="80" w:type="dxa"/>
              <w:left w:w="120" w:type="dxa"/>
              <w:bottom w:w="80" w:type="dxa"/>
              <w:right w:w="120" w:type="dxa"/>
            </w:tcMar>
            <w:vAlign w:val="center"/>
          </w:tcPr>
          <w:p w14:paraId="2BDB529E" w14:textId="77777777" w:rsidR="00817257" w:rsidRPr="0006311D" w:rsidRDefault="008B23A4">
            <w:pPr>
              <w:spacing w:after="160" w:line="256" w:lineRule="auto"/>
              <w:jc w:val="center"/>
              <w:rPr>
                <w:sz w:val="24"/>
                <w:szCs w:val="24"/>
              </w:rPr>
            </w:pPr>
            <w:r w:rsidRPr="0006311D">
              <w:rPr>
                <w:rFonts w:hint="eastAsia"/>
                <w:b/>
                <w:bCs/>
                <w:sz w:val="24"/>
                <w:szCs w:val="24"/>
              </w:rPr>
              <w:t>Significance</w:t>
            </w:r>
          </w:p>
        </w:tc>
      </w:tr>
      <w:tr w:rsidR="00817257" w:rsidRPr="0006311D" w14:paraId="6A7AECF1" w14:textId="77777777">
        <w:tc>
          <w:tcPr>
            <w:tcW w:w="2960"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6A39B8D1" w14:textId="77777777" w:rsidR="00817257" w:rsidRPr="0006311D" w:rsidRDefault="008B23A4">
            <w:pPr>
              <w:spacing w:after="160" w:line="256" w:lineRule="auto"/>
              <w:rPr>
                <w:sz w:val="24"/>
                <w:szCs w:val="24"/>
              </w:rPr>
            </w:pPr>
            <w:r w:rsidRPr="0006311D">
              <w:rPr>
                <w:rFonts w:hint="eastAsia"/>
                <w:b/>
                <w:bCs/>
                <w:sz w:val="24"/>
                <w:szCs w:val="24"/>
              </w:rPr>
              <w:lastRenderedPageBreak/>
              <w:t>Knowledge vs. Acceptance</w:t>
            </w:r>
          </w:p>
        </w:tc>
        <w:tc>
          <w:tcPr>
            <w:tcW w:w="1480"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43740D5B" w14:textId="77777777" w:rsidR="00817257" w:rsidRPr="0006311D" w:rsidRDefault="008B23A4">
            <w:pPr>
              <w:spacing w:after="160" w:line="256" w:lineRule="auto"/>
              <w:rPr>
                <w:sz w:val="24"/>
                <w:szCs w:val="24"/>
              </w:rPr>
            </w:pPr>
            <w:r w:rsidRPr="0006311D">
              <w:rPr>
                <w:rFonts w:hint="eastAsia"/>
                <w:sz w:val="24"/>
                <w:szCs w:val="24"/>
              </w:rPr>
              <w:t>8.47</w:t>
            </w:r>
          </w:p>
        </w:tc>
        <w:tc>
          <w:tcPr>
            <w:tcW w:w="960"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56313752" w14:textId="77777777" w:rsidR="00817257" w:rsidRPr="0006311D" w:rsidRDefault="008B23A4">
            <w:pPr>
              <w:spacing w:after="160" w:line="256" w:lineRule="auto"/>
              <w:rPr>
                <w:sz w:val="24"/>
                <w:szCs w:val="24"/>
              </w:rPr>
            </w:pPr>
            <w:r w:rsidRPr="0006311D">
              <w:rPr>
                <w:rFonts w:hint="eastAsia"/>
                <w:sz w:val="24"/>
                <w:szCs w:val="24"/>
              </w:rPr>
              <w:t>2</w:t>
            </w:r>
          </w:p>
        </w:tc>
        <w:tc>
          <w:tcPr>
            <w:tcW w:w="1480"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392427C5" w14:textId="77777777" w:rsidR="00817257" w:rsidRPr="0006311D" w:rsidRDefault="008B23A4">
            <w:pPr>
              <w:spacing w:after="160" w:line="256" w:lineRule="auto"/>
              <w:rPr>
                <w:sz w:val="24"/>
                <w:szCs w:val="24"/>
              </w:rPr>
            </w:pPr>
            <w:r w:rsidRPr="0006311D">
              <w:rPr>
                <w:rFonts w:hint="eastAsia"/>
                <w:sz w:val="24"/>
                <w:szCs w:val="24"/>
              </w:rPr>
              <w:t>0.014</w:t>
            </w:r>
          </w:p>
        </w:tc>
        <w:tc>
          <w:tcPr>
            <w:tcW w:w="2480"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3B168862" w14:textId="77777777" w:rsidR="00817257" w:rsidRPr="0006311D" w:rsidRDefault="008B23A4">
            <w:pPr>
              <w:spacing w:after="160" w:line="256" w:lineRule="auto"/>
              <w:rPr>
                <w:sz w:val="24"/>
                <w:szCs w:val="24"/>
              </w:rPr>
            </w:pPr>
            <w:r w:rsidRPr="0006311D">
              <w:rPr>
                <w:rFonts w:hint="eastAsia"/>
                <w:sz w:val="24"/>
                <w:szCs w:val="24"/>
              </w:rPr>
              <w:t>Significant</w:t>
            </w:r>
          </w:p>
        </w:tc>
      </w:tr>
      <w:tr w:rsidR="00817257" w:rsidRPr="0006311D" w14:paraId="18DB42F6" w14:textId="77777777">
        <w:tc>
          <w:tcPr>
            <w:tcW w:w="2960" w:type="dxa"/>
            <w:tcBorders>
              <w:top w:val="single" w:sz="0" w:space="0" w:color="999999"/>
              <w:left w:val="single" w:sz="0" w:space="0" w:color="999999"/>
              <w:bottom w:val="single" w:sz="0" w:space="0" w:color="999999"/>
              <w:right w:val="single" w:sz="0" w:space="0" w:color="999999"/>
            </w:tcBorders>
            <w:shd w:val="clear" w:color="auto" w:fill="FFFFFF"/>
            <w:tcMar>
              <w:top w:w="80" w:type="dxa"/>
              <w:left w:w="120" w:type="dxa"/>
              <w:bottom w:w="80" w:type="dxa"/>
              <w:right w:w="120" w:type="dxa"/>
            </w:tcMar>
          </w:tcPr>
          <w:p w14:paraId="08E0D57C" w14:textId="77777777" w:rsidR="00817257" w:rsidRPr="0006311D" w:rsidRDefault="008B23A4">
            <w:pPr>
              <w:spacing w:after="160" w:line="256" w:lineRule="auto"/>
              <w:rPr>
                <w:sz w:val="24"/>
                <w:szCs w:val="24"/>
              </w:rPr>
            </w:pPr>
            <w:r w:rsidRPr="0006311D">
              <w:rPr>
                <w:rFonts w:hint="eastAsia"/>
                <w:b/>
                <w:bCs/>
                <w:sz w:val="24"/>
                <w:szCs w:val="24"/>
              </w:rPr>
              <w:t>Marital Status vs. Acceptance</w:t>
            </w:r>
          </w:p>
        </w:tc>
        <w:tc>
          <w:tcPr>
            <w:tcW w:w="1480" w:type="dxa"/>
            <w:tcBorders>
              <w:top w:val="single" w:sz="0" w:space="0" w:color="999999"/>
              <w:left w:val="single" w:sz="0" w:space="0" w:color="999999"/>
              <w:bottom w:val="single" w:sz="0" w:space="0" w:color="999999"/>
              <w:right w:val="single" w:sz="0" w:space="0" w:color="999999"/>
            </w:tcBorders>
            <w:shd w:val="clear" w:color="auto" w:fill="FFFFFF"/>
            <w:tcMar>
              <w:top w:w="80" w:type="dxa"/>
              <w:left w:w="120" w:type="dxa"/>
              <w:bottom w:w="80" w:type="dxa"/>
              <w:right w:w="120" w:type="dxa"/>
            </w:tcMar>
          </w:tcPr>
          <w:p w14:paraId="346ABA28" w14:textId="77777777" w:rsidR="00817257" w:rsidRPr="0006311D" w:rsidRDefault="008B23A4">
            <w:pPr>
              <w:spacing w:after="160" w:line="256" w:lineRule="auto"/>
              <w:rPr>
                <w:sz w:val="24"/>
                <w:szCs w:val="24"/>
              </w:rPr>
            </w:pPr>
            <w:r w:rsidRPr="0006311D">
              <w:rPr>
                <w:rFonts w:hint="eastAsia"/>
                <w:sz w:val="24"/>
                <w:szCs w:val="24"/>
              </w:rPr>
              <w:t>6.32</w:t>
            </w:r>
          </w:p>
        </w:tc>
        <w:tc>
          <w:tcPr>
            <w:tcW w:w="960" w:type="dxa"/>
            <w:tcBorders>
              <w:top w:val="single" w:sz="0" w:space="0" w:color="999999"/>
              <w:left w:val="single" w:sz="0" w:space="0" w:color="999999"/>
              <w:bottom w:val="single" w:sz="0" w:space="0" w:color="999999"/>
              <w:right w:val="single" w:sz="0" w:space="0" w:color="999999"/>
            </w:tcBorders>
            <w:shd w:val="clear" w:color="auto" w:fill="FFFFFF"/>
            <w:tcMar>
              <w:top w:w="80" w:type="dxa"/>
              <w:left w:w="120" w:type="dxa"/>
              <w:bottom w:w="80" w:type="dxa"/>
              <w:right w:w="120" w:type="dxa"/>
            </w:tcMar>
          </w:tcPr>
          <w:p w14:paraId="7D746EA3" w14:textId="77777777" w:rsidR="00817257" w:rsidRPr="0006311D" w:rsidRDefault="008B23A4">
            <w:pPr>
              <w:spacing w:after="160" w:line="256" w:lineRule="auto"/>
              <w:rPr>
                <w:sz w:val="24"/>
                <w:szCs w:val="24"/>
              </w:rPr>
            </w:pPr>
            <w:r w:rsidRPr="0006311D">
              <w:rPr>
                <w:rFonts w:hint="eastAsia"/>
                <w:sz w:val="24"/>
                <w:szCs w:val="24"/>
              </w:rPr>
              <w:t>1</w:t>
            </w:r>
          </w:p>
        </w:tc>
        <w:tc>
          <w:tcPr>
            <w:tcW w:w="1480" w:type="dxa"/>
            <w:tcBorders>
              <w:top w:val="single" w:sz="0" w:space="0" w:color="999999"/>
              <w:left w:val="single" w:sz="0" w:space="0" w:color="999999"/>
              <w:bottom w:val="single" w:sz="0" w:space="0" w:color="999999"/>
              <w:right w:val="single" w:sz="0" w:space="0" w:color="999999"/>
            </w:tcBorders>
            <w:shd w:val="clear" w:color="auto" w:fill="FFFFFF"/>
            <w:tcMar>
              <w:top w:w="80" w:type="dxa"/>
              <w:left w:w="120" w:type="dxa"/>
              <w:bottom w:w="80" w:type="dxa"/>
              <w:right w:w="120" w:type="dxa"/>
            </w:tcMar>
          </w:tcPr>
          <w:p w14:paraId="76C568CF" w14:textId="77777777" w:rsidR="00817257" w:rsidRPr="0006311D" w:rsidRDefault="008B23A4">
            <w:pPr>
              <w:spacing w:after="160" w:line="256" w:lineRule="auto"/>
              <w:rPr>
                <w:sz w:val="24"/>
                <w:szCs w:val="24"/>
              </w:rPr>
            </w:pPr>
            <w:r w:rsidRPr="0006311D">
              <w:rPr>
                <w:rFonts w:hint="eastAsia"/>
                <w:sz w:val="24"/>
                <w:szCs w:val="24"/>
              </w:rPr>
              <w:t>0.012</w:t>
            </w:r>
          </w:p>
        </w:tc>
        <w:tc>
          <w:tcPr>
            <w:tcW w:w="2480" w:type="dxa"/>
            <w:tcBorders>
              <w:top w:val="single" w:sz="0" w:space="0" w:color="999999"/>
              <w:left w:val="single" w:sz="0" w:space="0" w:color="999999"/>
              <w:bottom w:val="single" w:sz="0" w:space="0" w:color="999999"/>
              <w:right w:val="single" w:sz="0" w:space="0" w:color="999999"/>
            </w:tcBorders>
            <w:shd w:val="clear" w:color="auto" w:fill="FFFFFF"/>
            <w:tcMar>
              <w:top w:w="80" w:type="dxa"/>
              <w:left w:w="120" w:type="dxa"/>
              <w:bottom w:w="80" w:type="dxa"/>
              <w:right w:w="120" w:type="dxa"/>
            </w:tcMar>
          </w:tcPr>
          <w:p w14:paraId="0E52C84F" w14:textId="77777777" w:rsidR="00817257" w:rsidRPr="0006311D" w:rsidRDefault="008B23A4">
            <w:pPr>
              <w:spacing w:after="160" w:line="256" w:lineRule="auto"/>
              <w:rPr>
                <w:sz w:val="24"/>
                <w:szCs w:val="24"/>
              </w:rPr>
            </w:pPr>
            <w:r w:rsidRPr="0006311D">
              <w:rPr>
                <w:rFonts w:hint="eastAsia"/>
                <w:sz w:val="24"/>
                <w:szCs w:val="24"/>
              </w:rPr>
              <w:t>Significant</w:t>
            </w:r>
          </w:p>
        </w:tc>
      </w:tr>
      <w:tr w:rsidR="00817257" w:rsidRPr="0006311D" w14:paraId="518B812F" w14:textId="77777777">
        <w:tc>
          <w:tcPr>
            <w:tcW w:w="2960"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2EA49D0D" w14:textId="77777777" w:rsidR="00817257" w:rsidRPr="0006311D" w:rsidRDefault="008B23A4">
            <w:pPr>
              <w:spacing w:after="160" w:line="256" w:lineRule="auto"/>
              <w:rPr>
                <w:sz w:val="24"/>
                <w:szCs w:val="24"/>
              </w:rPr>
            </w:pPr>
            <w:r w:rsidRPr="0006311D">
              <w:rPr>
                <w:rFonts w:hint="eastAsia"/>
                <w:b/>
                <w:bCs/>
                <w:sz w:val="24"/>
                <w:szCs w:val="24"/>
              </w:rPr>
              <w:t>Perception vs. Acceptance</w:t>
            </w:r>
          </w:p>
        </w:tc>
        <w:tc>
          <w:tcPr>
            <w:tcW w:w="1480"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7C29D2B6" w14:textId="77777777" w:rsidR="00817257" w:rsidRPr="0006311D" w:rsidRDefault="008B23A4">
            <w:pPr>
              <w:spacing w:after="160" w:line="256" w:lineRule="auto"/>
              <w:rPr>
                <w:sz w:val="24"/>
                <w:szCs w:val="24"/>
              </w:rPr>
            </w:pPr>
            <w:r w:rsidRPr="0006311D">
              <w:rPr>
                <w:rFonts w:hint="eastAsia"/>
                <w:sz w:val="24"/>
                <w:szCs w:val="24"/>
              </w:rPr>
              <w:t>14.56</w:t>
            </w:r>
          </w:p>
        </w:tc>
        <w:tc>
          <w:tcPr>
            <w:tcW w:w="960"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6B858BE5" w14:textId="77777777" w:rsidR="00817257" w:rsidRPr="0006311D" w:rsidRDefault="008B23A4">
            <w:pPr>
              <w:spacing w:after="160" w:line="256" w:lineRule="auto"/>
              <w:rPr>
                <w:sz w:val="24"/>
                <w:szCs w:val="24"/>
              </w:rPr>
            </w:pPr>
            <w:r w:rsidRPr="0006311D">
              <w:rPr>
                <w:rFonts w:hint="eastAsia"/>
                <w:sz w:val="24"/>
                <w:szCs w:val="24"/>
              </w:rPr>
              <w:t>1</w:t>
            </w:r>
          </w:p>
        </w:tc>
        <w:tc>
          <w:tcPr>
            <w:tcW w:w="1480"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7D54D316" w14:textId="77777777" w:rsidR="00817257" w:rsidRPr="0006311D" w:rsidRDefault="008B23A4">
            <w:pPr>
              <w:spacing w:after="160" w:line="256" w:lineRule="auto"/>
              <w:rPr>
                <w:sz w:val="24"/>
                <w:szCs w:val="24"/>
              </w:rPr>
            </w:pPr>
            <w:r w:rsidRPr="0006311D">
              <w:rPr>
                <w:rFonts w:hint="eastAsia"/>
                <w:sz w:val="24"/>
                <w:szCs w:val="24"/>
              </w:rPr>
              <w:t>0.001</w:t>
            </w:r>
          </w:p>
        </w:tc>
        <w:tc>
          <w:tcPr>
            <w:tcW w:w="2480"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3A32FFC8" w14:textId="77777777" w:rsidR="00817257" w:rsidRPr="0006311D" w:rsidRDefault="008B23A4">
            <w:pPr>
              <w:spacing w:after="160" w:line="256" w:lineRule="auto"/>
              <w:rPr>
                <w:sz w:val="24"/>
                <w:szCs w:val="24"/>
              </w:rPr>
            </w:pPr>
            <w:r w:rsidRPr="0006311D">
              <w:rPr>
                <w:rFonts w:hint="eastAsia"/>
                <w:sz w:val="24"/>
                <w:szCs w:val="24"/>
              </w:rPr>
              <w:t>Highly Significant</w:t>
            </w:r>
          </w:p>
        </w:tc>
      </w:tr>
      <w:tr w:rsidR="00817257" w:rsidRPr="0006311D" w14:paraId="34D519F2" w14:textId="77777777">
        <w:tc>
          <w:tcPr>
            <w:tcW w:w="2960" w:type="dxa"/>
            <w:tcBorders>
              <w:top w:val="single" w:sz="0" w:space="0" w:color="999999"/>
              <w:left w:val="single" w:sz="0" w:space="0" w:color="999999"/>
              <w:bottom w:val="single" w:sz="0" w:space="0" w:color="999999"/>
              <w:right w:val="single" w:sz="0" w:space="0" w:color="999999"/>
            </w:tcBorders>
            <w:shd w:val="clear" w:color="auto" w:fill="FFFFFF"/>
            <w:tcMar>
              <w:top w:w="80" w:type="dxa"/>
              <w:left w:w="120" w:type="dxa"/>
              <w:bottom w:w="80" w:type="dxa"/>
              <w:right w:w="120" w:type="dxa"/>
            </w:tcMar>
          </w:tcPr>
          <w:p w14:paraId="6FE7C6A2" w14:textId="77777777" w:rsidR="00817257" w:rsidRPr="0006311D" w:rsidRDefault="008B23A4">
            <w:pPr>
              <w:spacing w:after="160" w:line="256" w:lineRule="auto"/>
              <w:rPr>
                <w:sz w:val="24"/>
                <w:szCs w:val="24"/>
              </w:rPr>
            </w:pPr>
            <w:r w:rsidRPr="0006311D">
              <w:rPr>
                <w:rFonts w:hint="eastAsia"/>
                <w:b/>
                <w:bCs/>
                <w:sz w:val="24"/>
                <w:szCs w:val="24"/>
              </w:rPr>
              <w:t>Religion vs. Acceptance</w:t>
            </w:r>
          </w:p>
        </w:tc>
        <w:tc>
          <w:tcPr>
            <w:tcW w:w="1480" w:type="dxa"/>
            <w:tcBorders>
              <w:top w:val="single" w:sz="0" w:space="0" w:color="999999"/>
              <w:left w:val="single" w:sz="0" w:space="0" w:color="999999"/>
              <w:bottom w:val="single" w:sz="0" w:space="0" w:color="999999"/>
              <w:right w:val="single" w:sz="0" w:space="0" w:color="999999"/>
            </w:tcBorders>
            <w:shd w:val="clear" w:color="auto" w:fill="FFFFFF"/>
            <w:tcMar>
              <w:top w:w="80" w:type="dxa"/>
              <w:left w:w="120" w:type="dxa"/>
              <w:bottom w:w="80" w:type="dxa"/>
              <w:right w:w="120" w:type="dxa"/>
            </w:tcMar>
          </w:tcPr>
          <w:p w14:paraId="29BC1789" w14:textId="77777777" w:rsidR="00817257" w:rsidRPr="0006311D" w:rsidRDefault="008B23A4">
            <w:pPr>
              <w:spacing w:after="160" w:line="256" w:lineRule="auto"/>
              <w:rPr>
                <w:sz w:val="24"/>
                <w:szCs w:val="24"/>
              </w:rPr>
            </w:pPr>
            <w:r w:rsidRPr="0006311D">
              <w:rPr>
                <w:rFonts w:hint="eastAsia"/>
                <w:sz w:val="24"/>
                <w:szCs w:val="24"/>
              </w:rPr>
              <w:t>—</w:t>
            </w:r>
          </w:p>
        </w:tc>
        <w:tc>
          <w:tcPr>
            <w:tcW w:w="960" w:type="dxa"/>
            <w:tcBorders>
              <w:top w:val="single" w:sz="0" w:space="0" w:color="999999"/>
              <w:left w:val="single" w:sz="0" w:space="0" w:color="999999"/>
              <w:bottom w:val="single" w:sz="0" w:space="0" w:color="999999"/>
              <w:right w:val="single" w:sz="0" w:space="0" w:color="999999"/>
            </w:tcBorders>
            <w:shd w:val="clear" w:color="auto" w:fill="FFFFFF"/>
            <w:tcMar>
              <w:top w:w="80" w:type="dxa"/>
              <w:left w:w="120" w:type="dxa"/>
              <w:bottom w:w="80" w:type="dxa"/>
              <w:right w:w="120" w:type="dxa"/>
            </w:tcMar>
          </w:tcPr>
          <w:p w14:paraId="2FDF9ECA" w14:textId="77777777" w:rsidR="00817257" w:rsidRPr="0006311D" w:rsidRDefault="008B23A4">
            <w:pPr>
              <w:spacing w:after="160" w:line="256" w:lineRule="auto"/>
              <w:rPr>
                <w:sz w:val="24"/>
                <w:szCs w:val="24"/>
              </w:rPr>
            </w:pPr>
            <w:r w:rsidRPr="0006311D">
              <w:rPr>
                <w:rFonts w:hint="eastAsia"/>
                <w:sz w:val="24"/>
                <w:szCs w:val="24"/>
              </w:rPr>
              <w:t>—</w:t>
            </w:r>
          </w:p>
        </w:tc>
        <w:tc>
          <w:tcPr>
            <w:tcW w:w="1480" w:type="dxa"/>
            <w:tcBorders>
              <w:top w:val="single" w:sz="0" w:space="0" w:color="999999"/>
              <w:left w:val="single" w:sz="0" w:space="0" w:color="999999"/>
              <w:bottom w:val="single" w:sz="0" w:space="0" w:color="999999"/>
              <w:right w:val="single" w:sz="0" w:space="0" w:color="999999"/>
            </w:tcBorders>
            <w:shd w:val="clear" w:color="auto" w:fill="FFFFFF"/>
            <w:tcMar>
              <w:top w:w="80" w:type="dxa"/>
              <w:left w:w="120" w:type="dxa"/>
              <w:bottom w:w="80" w:type="dxa"/>
              <w:right w:w="120" w:type="dxa"/>
            </w:tcMar>
          </w:tcPr>
          <w:p w14:paraId="30DB71D1" w14:textId="77777777" w:rsidR="00817257" w:rsidRPr="0006311D" w:rsidRDefault="008B23A4">
            <w:pPr>
              <w:spacing w:after="160" w:line="256" w:lineRule="auto"/>
              <w:rPr>
                <w:sz w:val="24"/>
                <w:szCs w:val="24"/>
              </w:rPr>
            </w:pPr>
            <w:r w:rsidRPr="0006311D">
              <w:rPr>
                <w:rFonts w:hint="eastAsia"/>
                <w:sz w:val="24"/>
                <w:szCs w:val="24"/>
              </w:rPr>
              <w:t>&gt; 0.05</w:t>
            </w:r>
          </w:p>
        </w:tc>
        <w:tc>
          <w:tcPr>
            <w:tcW w:w="2480" w:type="dxa"/>
            <w:tcBorders>
              <w:top w:val="single" w:sz="0" w:space="0" w:color="999999"/>
              <w:left w:val="single" w:sz="0" w:space="0" w:color="999999"/>
              <w:bottom w:val="single" w:sz="0" w:space="0" w:color="999999"/>
              <w:right w:val="single" w:sz="0" w:space="0" w:color="999999"/>
            </w:tcBorders>
            <w:shd w:val="clear" w:color="auto" w:fill="FFFFFF"/>
            <w:tcMar>
              <w:top w:w="80" w:type="dxa"/>
              <w:left w:w="120" w:type="dxa"/>
              <w:bottom w:w="80" w:type="dxa"/>
              <w:right w:w="120" w:type="dxa"/>
            </w:tcMar>
          </w:tcPr>
          <w:p w14:paraId="6DAA2EDF" w14:textId="77777777" w:rsidR="00817257" w:rsidRPr="0006311D" w:rsidRDefault="008B23A4">
            <w:pPr>
              <w:spacing w:after="160" w:line="256" w:lineRule="auto"/>
              <w:rPr>
                <w:sz w:val="24"/>
                <w:szCs w:val="24"/>
              </w:rPr>
            </w:pPr>
            <w:r w:rsidRPr="0006311D">
              <w:rPr>
                <w:rFonts w:hint="eastAsia"/>
                <w:sz w:val="24"/>
                <w:szCs w:val="24"/>
              </w:rPr>
              <w:t>Not Significant</w:t>
            </w:r>
          </w:p>
        </w:tc>
      </w:tr>
    </w:tbl>
    <w:p w14:paraId="6E513958" w14:textId="77777777" w:rsidR="00817257" w:rsidRPr="0006311D" w:rsidRDefault="00817257">
      <w:pPr>
        <w:spacing w:before="200"/>
        <w:rPr>
          <w:sz w:val="24"/>
          <w:szCs w:val="24"/>
        </w:rPr>
      </w:pPr>
    </w:p>
    <w:p w14:paraId="3D11DC68" w14:textId="77777777" w:rsidR="00817257" w:rsidRPr="0006311D" w:rsidRDefault="008B23A4">
      <w:pPr>
        <w:pStyle w:val="Heading1"/>
      </w:pPr>
      <w:r w:rsidRPr="0006311D">
        <w:t>5. DISCUSSION</w:t>
      </w:r>
    </w:p>
    <w:p w14:paraId="714149EF" w14:textId="77777777" w:rsidR="00817257" w:rsidRPr="0006311D" w:rsidRDefault="008B23A4">
      <w:pPr>
        <w:pStyle w:val="Heading2"/>
        <w:rPr>
          <w:sz w:val="24"/>
          <w:szCs w:val="24"/>
        </w:rPr>
      </w:pPr>
      <w:r w:rsidRPr="0006311D">
        <w:rPr>
          <w:sz w:val="24"/>
          <w:szCs w:val="24"/>
        </w:rPr>
        <w:t>5.1 The Paradox of High Awareness and Incomplete Knowledge</w:t>
      </w:r>
    </w:p>
    <w:p w14:paraId="70BE52F4" w14:textId="77777777" w:rsidR="00817257" w:rsidRPr="0006311D" w:rsidRDefault="008B23A4">
      <w:pPr>
        <w:spacing w:after="160" w:line="276" w:lineRule="auto"/>
        <w:jc w:val="both"/>
        <w:rPr>
          <w:sz w:val="24"/>
          <w:szCs w:val="24"/>
        </w:rPr>
      </w:pPr>
      <w:r w:rsidRPr="0006311D">
        <w:rPr>
          <w:sz w:val="24"/>
          <w:szCs w:val="24"/>
        </w:rPr>
        <w:t xml:space="preserve">The high rate of ART awareness (82.4%) in this study is consistent with findings from other Nigerian tertiary hospital settings. </w:t>
      </w:r>
      <w:proofErr w:type="spellStart"/>
      <w:r w:rsidRPr="0006311D">
        <w:rPr>
          <w:sz w:val="24"/>
          <w:szCs w:val="24"/>
        </w:rPr>
        <w:t>Chikeme</w:t>
      </w:r>
      <w:proofErr w:type="spellEnd"/>
      <w:r w:rsidRPr="0006311D">
        <w:rPr>
          <w:sz w:val="24"/>
          <w:szCs w:val="24"/>
        </w:rPr>
        <w:t xml:space="preserve"> et al. (2022) reported comparable awareness levels among women in a southeastern fertility clinic, while Johnson-</w:t>
      </w:r>
      <w:proofErr w:type="spellStart"/>
      <w:r w:rsidRPr="0006311D">
        <w:rPr>
          <w:sz w:val="24"/>
          <w:szCs w:val="24"/>
        </w:rPr>
        <w:t>Ekeleba</w:t>
      </w:r>
      <w:proofErr w:type="spellEnd"/>
      <w:r w:rsidRPr="0006311D">
        <w:rPr>
          <w:sz w:val="24"/>
          <w:szCs w:val="24"/>
        </w:rPr>
        <w:t xml:space="preserve"> et al. (2024) found similarly elevated awareness among educated young adults in Ghana. These findings collectively suggest that, at least in tertiary healthcare environments, ART is no longer an obscure clinical concept.</w:t>
      </w:r>
    </w:p>
    <w:p w14:paraId="508141AB" w14:textId="77777777" w:rsidR="00817257" w:rsidRPr="0006311D" w:rsidRDefault="008B23A4">
      <w:pPr>
        <w:spacing w:after="160" w:line="276" w:lineRule="auto"/>
        <w:jc w:val="both"/>
        <w:rPr>
          <w:sz w:val="24"/>
          <w:szCs w:val="24"/>
        </w:rPr>
      </w:pPr>
      <w:r w:rsidRPr="0006311D">
        <w:rPr>
          <w:sz w:val="24"/>
          <w:szCs w:val="24"/>
        </w:rPr>
        <w:t>However, the persistence of misconceptions, particularly the belief that ART guarantees pregnancy, introduces an important qualification. Bunting and Boivin (2007) identified this pattern of superficial familiarity in their seminal review and argued that it poses distinct clinical risks: women who overestimate success rates may commence treatment without adequate psychological preparation for failure, while those who have absorbed inaccurate fears may decline treatment unnecessarily. The significant association between knowledge level and acceptance in this study (p = 0.014) lends empirical weight to the argument that what matters is not awareness per se, but the accuracy and depth of understanding. This has clear implications for how ART education is designed: public health messaging should move beyond introductory awareness campaigns toward patient-</w:t>
      </w:r>
      <w:proofErr w:type="spellStart"/>
      <w:r w:rsidRPr="0006311D">
        <w:rPr>
          <w:sz w:val="24"/>
          <w:szCs w:val="24"/>
        </w:rPr>
        <w:t>centred</w:t>
      </w:r>
      <w:proofErr w:type="spellEnd"/>
      <w:r w:rsidRPr="0006311D">
        <w:rPr>
          <w:sz w:val="24"/>
          <w:szCs w:val="24"/>
        </w:rPr>
        <w:t>, procedurally specific education that explicitly addresses common misconceptions.</w:t>
      </w:r>
    </w:p>
    <w:p w14:paraId="09C10DAC" w14:textId="77777777" w:rsidR="00817257" w:rsidRPr="0006311D" w:rsidRDefault="008B23A4">
      <w:pPr>
        <w:pStyle w:val="Heading2"/>
        <w:rPr>
          <w:sz w:val="24"/>
          <w:szCs w:val="24"/>
        </w:rPr>
      </w:pPr>
      <w:r w:rsidRPr="0006311D">
        <w:rPr>
          <w:sz w:val="24"/>
          <w:szCs w:val="24"/>
        </w:rPr>
        <w:t>5.2 Perceptions as the Strongest Predictor of Acceptance</w:t>
      </w:r>
    </w:p>
    <w:p w14:paraId="4E363D13" w14:textId="77777777" w:rsidR="00817257" w:rsidRPr="0006311D" w:rsidRDefault="008B23A4">
      <w:pPr>
        <w:spacing w:after="160" w:line="276" w:lineRule="auto"/>
        <w:jc w:val="both"/>
        <w:rPr>
          <w:sz w:val="24"/>
          <w:szCs w:val="24"/>
        </w:rPr>
      </w:pPr>
      <w:r w:rsidRPr="0006311D">
        <w:rPr>
          <w:sz w:val="24"/>
          <w:szCs w:val="24"/>
        </w:rPr>
        <w:t xml:space="preserve">Perception emerged as the single most powerful predictor of ART acceptance in this sample (χ² = 14.56, p = 0.001). This is consistent with the attitude construct within the Theory of Planned </w:t>
      </w:r>
      <w:proofErr w:type="spellStart"/>
      <w:r w:rsidRPr="0006311D">
        <w:rPr>
          <w:sz w:val="24"/>
          <w:szCs w:val="24"/>
        </w:rPr>
        <w:t>Behaviour</w:t>
      </w:r>
      <w:proofErr w:type="spellEnd"/>
      <w:r w:rsidRPr="0006311D">
        <w:rPr>
          <w:sz w:val="24"/>
          <w:szCs w:val="24"/>
        </w:rPr>
        <w:t xml:space="preserve">, which holds that a person's evaluative response to a </w:t>
      </w:r>
      <w:proofErr w:type="spellStart"/>
      <w:r w:rsidRPr="0006311D">
        <w:rPr>
          <w:sz w:val="24"/>
          <w:szCs w:val="24"/>
        </w:rPr>
        <w:t>behaviour</w:t>
      </w:r>
      <w:proofErr w:type="spellEnd"/>
      <w:r w:rsidRPr="0006311D">
        <w:rPr>
          <w:sz w:val="24"/>
          <w:szCs w:val="24"/>
        </w:rPr>
        <w:t xml:space="preserve"> is a primary driver of </w:t>
      </w:r>
      <w:proofErr w:type="spellStart"/>
      <w:r w:rsidRPr="0006311D">
        <w:rPr>
          <w:sz w:val="24"/>
          <w:szCs w:val="24"/>
        </w:rPr>
        <w:t>behavioural</w:t>
      </w:r>
      <w:proofErr w:type="spellEnd"/>
      <w:r w:rsidRPr="0006311D">
        <w:rPr>
          <w:sz w:val="24"/>
          <w:szCs w:val="24"/>
        </w:rPr>
        <w:t xml:space="preserve"> intention (Ajzen, 1991; Montaño &amp; Kasprzyk, 2015). The fact that positive perceptions were held by 78% of respondents, and that these strongly predicted acceptance, suggests a relatively </w:t>
      </w:r>
      <w:proofErr w:type="spellStart"/>
      <w:r w:rsidRPr="0006311D">
        <w:rPr>
          <w:sz w:val="24"/>
          <w:szCs w:val="24"/>
        </w:rPr>
        <w:t>favourable</w:t>
      </w:r>
      <w:proofErr w:type="spellEnd"/>
      <w:r w:rsidRPr="0006311D">
        <w:rPr>
          <w:sz w:val="24"/>
          <w:szCs w:val="24"/>
        </w:rPr>
        <w:t xml:space="preserve"> attitudinal climate for ART in this tertiary setting.</w:t>
      </w:r>
    </w:p>
    <w:p w14:paraId="11D1E795" w14:textId="77777777" w:rsidR="00817257" w:rsidRPr="0006311D" w:rsidRDefault="008B23A4">
      <w:pPr>
        <w:spacing w:after="160" w:line="276" w:lineRule="auto"/>
        <w:jc w:val="both"/>
        <w:rPr>
          <w:sz w:val="24"/>
          <w:szCs w:val="24"/>
        </w:rPr>
      </w:pPr>
      <w:r w:rsidRPr="0006311D">
        <w:rPr>
          <w:sz w:val="24"/>
          <w:szCs w:val="24"/>
        </w:rPr>
        <w:t xml:space="preserve">Several scholars have cautioned against interpreting positive clinical perceptions as evidence of broader cultural acceptance (Inhorn &amp; Patrizio, 2015; </w:t>
      </w:r>
      <w:proofErr w:type="spellStart"/>
      <w:r w:rsidRPr="0006311D">
        <w:rPr>
          <w:sz w:val="24"/>
          <w:szCs w:val="24"/>
        </w:rPr>
        <w:t>Ezeome</w:t>
      </w:r>
      <w:proofErr w:type="spellEnd"/>
      <w:r w:rsidRPr="0006311D">
        <w:rPr>
          <w:sz w:val="24"/>
          <w:szCs w:val="24"/>
        </w:rPr>
        <w:t xml:space="preserve">, 2021). This sample, drawn from </w:t>
      </w:r>
      <w:r w:rsidRPr="0006311D">
        <w:rPr>
          <w:sz w:val="24"/>
          <w:szCs w:val="24"/>
        </w:rPr>
        <w:lastRenderedPageBreak/>
        <w:t xml:space="preserve">women accessing tertiary health services, may not be representative of attitudes across the wider population of Ebonyi State or Nigeria. Nonetheless, the finding that moral and religious concerns, while present in a minority of respondents, did not constitute a decisive barrier to acceptance is consistent with what </w:t>
      </w:r>
      <w:proofErr w:type="spellStart"/>
      <w:r w:rsidRPr="0006311D">
        <w:rPr>
          <w:sz w:val="24"/>
          <w:szCs w:val="24"/>
        </w:rPr>
        <w:t>Ezeome</w:t>
      </w:r>
      <w:proofErr w:type="spellEnd"/>
      <w:r w:rsidRPr="0006311D">
        <w:rPr>
          <w:sz w:val="24"/>
          <w:szCs w:val="24"/>
        </w:rPr>
        <w:t xml:space="preserve"> (2021) describes as the ethical pragmatism characteristic of ART recipients in Nigerian clinical settings — a readiness to reconcile medical necessity with personal beliefs.</w:t>
      </w:r>
    </w:p>
    <w:p w14:paraId="3CAE0543" w14:textId="77777777" w:rsidR="00817257" w:rsidRPr="0006311D" w:rsidRDefault="008B23A4">
      <w:pPr>
        <w:pStyle w:val="Heading2"/>
        <w:rPr>
          <w:sz w:val="24"/>
          <w:szCs w:val="24"/>
        </w:rPr>
      </w:pPr>
      <w:r w:rsidRPr="0006311D">
        <w:rPr>
          <w:sz w:val="24"/>
          <w:szCs w:val="24"/>
        </w:rPr>
        <w:t>5.3 Marital Status and the Social Urgency of Fertility</w:t>
      </w:r>
    </w:p>
    <w:p w14:paraId="7B0CB5C6" w14:textId="77777777" w:rsidR="00817257" w:rsidRPr="0006311D" w:rsidRDefault="008B23A4">
      <w:pPr>
        <w:spacing w:after="160" w:line="276" w:lineRule="auto"/>
        <w:jc w:val="both"/>
        <w:rPr>
          <w:sz w:val="24"/>
          <w:szCs w:val="24"/>
        </w:rPr>
      </w:pPr>
      <w:r w:rsidRPr="0006311D">
        <w:rPr>
          <w:sz w:val="24"/>
          <w:szCs w:val="24"/>
        </w:rPr>
        <w:t xml:space="preserve">The significant association between marital status and ART acceptance (p = 0.012) reflects the social architecture of fertility decision-making in southeastern Nigeria. Marriage in many Nigerian communities is institutionally tied to childbearing expectations, and infertility within marriage is experienced not merely as a medical diagnosis but as a status threat (Naab et al., 2013; </w:t>
      </w:r>
      <w:proofErr w:type="spellStart"/>
      <w:r w:rsidRPr="0006311D">
        <w:rPr>
          <w:sz w:val="24"/>
          <w:szCs w:val="24"/>
        </w:rPr>
        <w:t>Taebi</w:t>
      </w:r>
      <w:proofErr w:type="spellEnd"/>
      <w:r w:rsidRPr="0006311D">
        <w:rPr>
          <w:sz w:val="24"/>
          <w:szCs w:val="24"/>
        </w:rPr>
        <w:t xml:space="preserve"> et al., 2021). Through the lens of the Health Belief Model, married women may perceive infertility as more severe and their susceptibility to its social consequences as more immediate, thereby increasing the perceived benefits of pursuing treatment.</w:t>
      </w:r>
    </w:p>
    <w:p w14:paraId="31A67659" w14:textId="77777777" w:rsidR="00817257" w:rsidRPr="0006311D" w:rsidRDefault="008B23A4">
      <w:pPr>
        <w:spacing w:after="160" w:line="276" w:lineRule="auto"/>
        <w:jc w:val="both"/>
        <w:rPr>
          <w:sz w:val="24"/>
          <w:szCs w:val="24"/>
        </w:rPr>
      </w:pPr>
      <w:r w:rsidRPr="0006311D">
        <w:rPr>
          <w:sz w:val="24"/>
          <w:szCs w:val="24"/>
        </w:rPr>
        <w:t>This finding also raises ethically important questions about the nature of the acceptance expressed. As Olorunfemi et al. (2020) noted, spousal and familial pressure can render reproductive decisions less autonomous than they appear. Clinicians should be attentive to the possibility that expressed willingness to use ART among married women may sometimes reflect social compliance as much as genuine informed consent. Couple-</w:t>
      </w:r>
      <w:proofErr w:type="spellStart"/>
      <w:r w:rsidRPr="0006311D">
        <w:rPr>
          <w:sz w:val="24"/>
          <w:szCs w:val="24"/>
        </w:rPr>
        <w:t>centred</w:t>
      </w:r>
      <w:proofErr w:type="spellEnd"/>
      <w:r w:rsidRPr="0006311D">
        <w:rPr>
          <w:sz w:val="24"/>
          <w:szCs w:val="24"/>
        </w:rPr>
        <w:t xml:space="preserve"> counselling, which actively involves partners and creates space for honest disclosure of motivations and reservations, is therefore indicated.</w:t>
      </w:r>
    </w:p>
    <w:p w14:paraId="5A171344" w14:textId="77777777" w:rsidR="00817257" w:rsidRPr="0006311D" w:rsidRDefault="008B23A4">
      <w:pPr>
        <w:pStyle w:val="Heading2"/>
        <w:rPr>
          <w:sz w:val="24"/>
          <w:szCs w:val="24"/>
        </w:rPr>
      </w:pPr>
      <w:r w:rsidRPr="0006311D">
        <w:rPr>
          <w:sz w:val="24"/>
          <w:szCs w:val="24"/>
        </w:rPr>
        <w:t>5.4 Financial Cost as the Decisive Structural Barrier</w:t>
      </w:r>
    </w:p>
    <w:p w14:paraId="424AF6DD" w14:textId="77777777" w:rsidR="00817257" w:rsidRPr="0006311D" w:rsidRDefault="008B23A4">
      <w:pPr>
        <w:spacing w:after="160" w:line="276" w:lineRule="auto"/>
        <w:jc w:val="both"/>
        <w:rPr>
          <w:sz w:val="24"/>
          <w:szCs w:val="24"/>
        </w:rPr>
      </w:pPr>
      <w:r w:rsidRPr="0006311D">
        <w:rPr>
          <w:sz w:val="24"/>
          <w:szCs w:val="24"/>
        </w:rPr>
        <w:t xml:space="preserve">The identification of financial cost as the primary barrier to ART </w:t>
      </w:r>
      <w:proofErr w:type="spellStart"/>
      <w:r w:rsidRPr="0006311D">
        <w:rPr>
          <w:sz w:val="24"/>
          <w:szCs w:val="24"/>
        </w:rPr>
        <w:t>utilisation</w:t>
      </w:r>
      <w:proofErr w:type="spellEnd"/>
      <w:r w:rsidRPr="0006311D">
        <w:rPr>
          <w:sz w:val="24"/>
          <w:szCs w:val="24"/>
        </w:rPr>
        <w:t xml:space="preserve">, reported by the majority of respondents across acceptance categories, is perhaps the most practically significant finding of this study. It aligns with an emerging international consensus: in sub-Saharan African tertiary settings, cost has displaced cultural resistance as the dominant obstacle to ART uptake (Dyer &amp; Patel, 2019; Whittaker et al., 2024; </w:t>
      </w:r>
      <w:proofErr w:type="spellStart"/>
      <w:r w:rsidRPr="0006311D">
        <w:rPr>
          <w:sz w:val="24"/>
          <w:szCs w:val="24"/>
        </w:rPr>
        <w:t>Tenchov</w:t>
      </w:r>
      <w:proofErr w:type="spellEnd"/>
      <w:r w:rsidRPr="0006311D">
        <w:rPr>
          <w:sz w:val="24"/>
          <w:szCs w:val="24"/>
        </w:rPr>
        <w:t xml:space="preserve"> &amp; Zhou, 2025). The gap between the 74.7% who expressed willingness to use ART and the much smaller proportion who could realistically afford it illustrates what </w:t>
      </w:r>
      <w:proofErr w:type="spellStart"/>
      <w:r w:rsidRPr="0006311D">
        <w:rPr>
          <w:sz w:val="24"/>
          <w:szCs w:val="24"/>
        </w:rPr>
        <w:t>behavioural</w:t>
      </w:r>
      <w:proofErr w:type="spellEnd"/>
      <w:r w:rsidRPr="0006311D">
        <w:rPr>
          <w:sz w:val="24"/>
          <w:szCs w:val="24"/>
        </w:rPr>
        <w:t xml:space="preserve"> economists describe as an intention-capacity divide — a situation in which positive attitudes and genuine desire for a health service are insufficient to produce actual </w:t>
      </w:r>
      <w:proofErr w:type="spellStart"/>
      <w:r w:rsidRPr="0006311D">
        <w:rPr>
          <w:sz w:val="24"/>
          <w:szCs w:val="24"/>
        </w:rPr>
        <w:t>utilisation</w:t>
      </w:r>
      <w:proofErr w:type="spellEnd"/>
      <w:r w:rsidRPr="0006311D">
        <w:rPr>
          <w:sz w:val="24"/>
          <w:szCs w:val="24"/>
        </w:rPr>
        <w:t xml:space="preserve"> when structural affordability constraints are absent.</w:t>
      </w:r>
    </w:p>
    <w:p w14:paraId="50ED49FC" w14:textId="77777777" w:rsidR="00817257" w:rsidRPr="0006311D" w:rsidRDefault="008B23A4">
      <w:pPr>
        <w:spacing w:after="160" w:line="276" w:lineRule="auto"/>
        <w:jc w:val="both"/>
        <w:rPr>
          <w:sz w:val="24"/>
          <w:szCs w:val="24"/>
        </w:rPr>
      </w:pPr>
      <w:r w:rsidRPr="0006311D">
        <w:rPr>
          <w:sz w:val="24"/>
          <w:szCs w:val="24"/>
        </w:rPr>
        <w:t xml:space="preserve">This finding has direct implications for institutional policy at AEFUTHA. The presence of an ART unit creates clinical capacity, but without complementary financial mechanisms — including insurance coverage, instalment payment schemes, or public subsidies — that capacity may primarily serve the wealthiest patients seeking care at the institution. Dyer and Patel (2019) argued that structural affordability interventions in Nigerian ART delivery are more urgently needed than cultural </w:t>
      </w:r>
      <w:proofErr w:type="spellStart"/>
      <w:r w:rsidRPr="0006311D">
        <w:rPr>
          <w:sz w:val="24"/>
          <w:szCs w:val="24"/>
        </w:rPr>
        <w:t>sensitisation</w:t>
      </w:r>
      <w:proofErr w:type="spellEnd"/>
      <w:r w:rsidRPr="0006311D">
        <w:rPr>
          <w:sz w:val="24"/>
          <w:szCs w:val="24"/>
        </w:rPr>
        <w:t xml:space="preserve"> </w:t>
      </w:r>
      <w:proofErr w:type="spellStart"/>
      <w:r w:rsidRPr="0006311D">
        <w:rPr>
          <w:sz w:val="24"/>
          <w:szCs w:val="24"/>
        </w:rPr>
        <w:t>programmes</w:t>
      </w:r>
      <w:proofErr w:type="spellEnd"/>
      <w:r w:rsidRPr="0006311D">
        <w:rPr>
          <w:sz w:val="24"/>
          <w:szCs w:val="24"/>
        </w:rPr>
        <w:t>, and the data from this study support that assessment.</w:t>
      </w:r>
    </w:p>
    <w:p w14:paraId="3A3C3040" w14:textId="77777777" w:rsidR="00817257" w:rsidRPr="0006311D" w:rsidRDefault="008B23A4">
      <w:pPr>
        <w:pStyle w:val="Heading2"/>
        <w:rPr>
          <w:sz w:val="24"/>
          <w:szCs w:val="24"/>
        </w:rPr>
      </w:pPr>
      <w:r w:rsidRPr="0006311D">
        <w:rPr>
          <w:sz w:val="24"/>
          <w:szCs w:val="24"/>
        </w:rPr>
        <w:t>5.5 Religion as Contextual Rather Than Deterministic</w:t>
      </w:r>
    </w:p>
    <w:p w14:paraId="3213C9B6" w14:textId="77777777" w:rsidR="00817257" w:rsidRPr="0006311D" w:rsidRDefault="008B23A4">
      <w:pPr>
        <w:spacing w:after="160" w:line="276" w:lineRule="auto"/>
        <w:jc w:val="both"/>
        <w:rPr>
          <w:sz w:val="24"/>
          <w:szCs w:val="24"/>
        </w:rPr>
      </w:pPr>
      <w:r w:rsidRPr="0006311D">
        <w:rPr>
          <w:sz w:val="24"/>
          <w:szCs w:val="24"/>
        </w:rPr>
        <w:lastRenderedPageBreak/>
        <w:t>The absence of a statistically significant association between religious affiliation and ART acceptance in this study (p &gt; 0.05) deserves careful interpretation. It would be incorrect to conclude that religion plays no role in reproductive decision-making; the qualitative literature from Nigeria consistently identifies religious concerns as part of women's deliberative process (</w:t>
      </w:r>
      <w:proofErr w:type="spellStart"/>
      <w:r w:rsidRPr="0006311D">
        <w:rPr>
          <w:sz w:val="24"/>
          <w:szCs w:val="24"/>
        </w:rPr>
        <w:t>Ezeome</w:t>
      </w:r>
      <w:proofErr w:type="spellEnd"/>
      <w:r w:rsidRPr="0006311D">
        <w:rPr>
          <w:sz w:val="24"/>
          <w:szCs w:val="24"/>
        </w:rPr>
        <w:t>, 2021; Olorunfemi et al., 2020). Rather, the present finding suggests that religion functions as a contextual influence on perception rather than a categorical determinant of acceptance, and that its effects may be attenuated in tertiary healthcare environments where exposure to clinical reasoning provides a framework within which religious and biomedical considerations can be reconciled.</w:t>
      </w:r>
    </w:p>
    <w:p w14:paraId="3C2E2961" w14:textId="77777777" w:rsidR="00817257" w:rsidRPr="0006311D" w:rsidRDefault="008B23A4">
      <w:pPr>
        <w:spacing w:after="160" w:line="276" w:lineRule="auto"/>
        <w:jc w:val="both"/>
        <w:rPr>
          <w:sz w:val="24"/>
          <w:szCs w:val="24"/>
        </w:rPr>
      </w:pPr>
      <w:r w:rsidRPr="0006311D">
        <w:rPr>
          <w:sz w:val="24"/>
          <w:szCs w:val="24"/>
        </w:rPr>
        <w:t>This interpretation aligns with Inhorn and Patrizio's (2015) observation that both Christian and Islamic frameworks contain internal diversity on questions of reproductive technology, with most mainstream positions permitting medically assisted conception for married couples while drawing theological distinctions around gamete donation, embryo creation, and surrogacy. Patients navigating these distinctions in a supportive clinical environment may be better placed to integrate their beliefs with an informed acceptance of ART than population-level data on religious affiliation might suggest.</w:t>
      </w:r>
    </w:p>
    <w:p w14:paraId="51F6350B" w14:textId="67FA44B5" w:rsidR="00817257" w:rsidRDefault="008B23A4">
      <w:pPr>
        <w:pStyle w:val="Heading1"/>
      </w:pPr>
      <w:r w:rsidRPr="0006311D">
        <w:t>6. CONCLUSION</w:t>
      </w:r>
    </w:p>
    <w:p w14:paraId="0EFE679B" w14:textId="77777777" w:rsidR="006E2C64" w:rsidRPr="00726EDD" w:rsidRDefault="006E2C64" w:rsidP="006E2C64">
      <w:pPr>
        <w:spacing w:before="100" w:beforeAutospacing="1" w:after="100" w:afterAutospacing="1"/>
        <w:rPr>
          <w:sz w:val="24"/>
          <w:szCs w:val="24"/>
        </w:rPr>
      </w:pPr>
      <w:r w:rsidRPr="00726EDD">
        <w:rPr>
          <w:sz w:val="24"/>
          <w:szCs w:val="24"/>
        </w:rPr>
        <w:t xml:space="preserve">This study concludes that women attending the obstetrics and </w:t>
      </w:r>
      <w:proofErr w:type="spellStart"/>
      <w:r w:rsidRPr="00726EDD">
        <w:rPr>
          <w:sz w:val="24"/>
          <w:szCs w:val="24"/>
        </w:rPr>
        <w:t>gynaecology</w:t>
      </w:r>
      <w:proofErr w:type="spellEnd"/>
      <w:r w:rsidRPr="00726EDD">
        <w:rPr>
          <w:sz w:val="24"/>
          <w:szCs w:val="24"/>
        </w:rPr>
        <w:t xml:space="preserve"> clinic at Alex Ekwueme Federal University Teaching Hospital </w:t>
      </w:r>
      <w:proofErr w:type="spellStart"/>
      <w:r w:rsidRPr="00726EDD">
        <w:rPr>
          <w:sz w:val="24"/>
          <w:szCs w:val="24"/>
        </w:rPr>
        <w:t>Abakaliki</w:t>
      </w:r>
      <w:proofErr w:type="spellEnd"/>
      <w:r w:rsidRPr="00726EDD">
        <w:rPr>
          <w:sz w:val="24"/>
          <w:szCs w:val="24"/>
        </w:rPr>
        <w:t xml:space="preserve"> demonstrated relatively high awareness and acceptance of Assisted Reproductive Technology. Most respondents had positive perceptions, and acceptance was more common among women with good knowledge and </w:t>
      </w:r>
      <w:proofErr w:type="spellStart"/>
      <w:r w:rsidRPr="00726EDD">
        <w:rPr>
          <w:sz w:val="24"/>
          <w:szCs w:val="24"/>
        </w:rPr>
        <w:t>favourable</w:t>
      </w:r>
      <w:proofErr w:type="spellEnd"/>
      <w:r w:rsidRPr="00726EDD">
        <w:rPr>
          <w:sz w:val="24"/>
          <w:szCs w:val="24"/>
        </w:rPr>
        <w:t xml:space="preserve"> attitudes. Marital status was also associated with acceptance, suggesting that the social importance of childbearing within marriage may influence willingness to consider treatment. Although awareness was high, some misconceptions remained, particularly regarding treatment success. Financial cost was identified as a major barrier that may limit actual use even among women who express willingness to accept treatment. These findings highlight the need for structured counselling, accurate patient education, and affordability-focused support mechanisms within fertility services. Improving knowledge and addressing financial barriers may help women and couples make informed decisions about Assisted Reproductive Technology while ensuring that acceptance is based on realistic expectations and voluntary choice.</w:t>
      </w:r>
    </w:p>
    <w:p w14:paraId="50D95377" w14:textId="77777777" w:rsidR="006E2C64" w:rsidRPr="00726EDD" w:rsidRDefault="006E2C64" w:rsidP="006E2C64">
      <w:pPr>
        <w:spacing w:before="100" w:beforeAutospacing="1" w:after="100" w:afterAutospacing="1"/>
        <w:rPr>
          <w:sz w:val="24"/>
          <w:szCs w:val="24"/>
        </w:rPr>
      </w:pPr>
      <w:r w:rsidRPr="00726EDD">
        <w:rPr>
          <w:b/>
          <w:bCs/>
          <w:sz w:val="24"/>
          <w:szCs w:val="24"/>
        </w:rPr>
        <w:t>Limitation</w:t>
      </w:r>
    </w:p>
    <w:p w14:paraId="3C63D1E0" w14:textId="77777777" w:rsidR="006E2C64" w:rsidRPr="00726EDD" w:rsidRDefault="006E2C64" w:rsidP="006E2C64">
      <w:pPr>
        <w:spacing w:before="100" w:beforeAutospacing="1" w:after="100" w:afterAutospacing="1"/>
        <w:rPr>
          <w:sz w:val="24"/>
          <w:szCs w:val="24"/>
        </w:rPr>
      </w:pPr>
      <w:r w:rsidRPr="00726EDD">
        <w:rPr>
          <w:sz w:val="24"/>
          <w:szCs w:val="24"/>
        </w:rPr>
        <w:t>This study was limited to 91 women attending one tertiary hospital clinic in southeastern Nigeria, and the findings may not represent women in other hospitals, rural communities, or non-clinical settings. The use of consecutive convenience sampling may have introduced selection bias. Data were self-reported and may be influenced by recall or social desirability bias. The cross-sectional design identifies associations but cannot establish causality. Some subgroup analyses involved small cell counts, which may reduce statistical reliability. Future studies should use larger samples, multiple sites, qualitative interviews, and prospective designs to examine actual utilization after expressed acceptance.</w:t>
      </w:r>
    </w:p>
    <w:p w14:paraId="5C774974" w14:textId="77777777" w:rsidR="006E2C64" w:rsidRDefault="006E2C64" w:rsidP="006E2C64">
      <w:pPr>
        <w:rPr>
          <w:sz w:val="6"/>
          <w:szCs w:val="8"/>
          <w:lang w:eastAsia="en-GB"/>
        </w:rPr>
      </w:pPr>
    </w:p>
    <w:p w14:paraId="5251875A" w14:textId="77777777" w:rsidR="006E2C64" w:rsidRPr="000839CE" w:rsidRDefault="006E2C64" w:rsidP="006E2C64">
      <w:pPr>
        <w:rPr>
          <w:b/>
        </w:rPr>
      </w:pPr>
      <w:bookmarkStart w:id="0" w:name="_Hlk232755622"/>
      <w:r w:rsidRPr="000839CE">
        <w:rPr>
          <w:b/>
        </w:rPr>
        <w:lastRenderedPageBreak/>
        <w:t>Declaration of AI Use</w:t>
      </w:r>
    </w:p>
    <w:p w14:paraId="1CC27731" w14:textId="77777777" w:rsidR="006E2C64" w:rsidRPr="000839CE" w:rsidRDefault="006E2C64" w:rsidP="006E2C64"/>
    <w:p w14:paraId="6B635110" w14:textId="77777777" w:rsidR="006E2C64" w:rsidRPr="000839CE" w:rsidRDefault="006E2C64" w:rsidP="006E2C64">
      <w:pPr>
        <w:jc w:val="both"/>
      </w:pPr>
      <w:r w:rsidRPr="00C56790">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bookmarkEnd w:id="0"/>
    <w:p w14:paraId="6749C121" w14:textId="77777777" w:rsidR="006E2C64" w:rsidRDefault="006E2C64" w:rsidP="006E2C64"/>
    <w:p w14:paraId="40448437" w14:textId="77777777" w:rsidR="003730AD" w:rsidRPr="0006311D" w:rsidRDefault="003730AD" w:rsidP="003730AD">
      <w:pPr>
        <w:rPr>
          <w:rFonts w:ascii="Aptos" w:eastAsia="Aptos" w:hAnsi="Aptos"/>
          <w:b/>
          <w:bCs/>
          <w:lang w:bidi="ar"/>
        </w:rPr>
      </w:pPr>
    </w:p>
    <w:p w14:paraId="1F90F98A" w14:textId="77777777" w:rsidR="003730AD" w:rsidRPr="0006311D" w:rsidRDefault="003730AD" w:rsidP="003730AD">
      <w:pPr>
        <w:spacing w:after="160" w:line="276" w:lineRule="auto"/>
        <w:jc w:val="both"/>
        <w:rPr>
          <w:sz w:val="24"/>
          <w:szCs w:val="24"/>
        </w:rPr>
      </w:pPr>
      <w:r w:rsidRPr="0006311D">
        <w:rPr>
          <w:b/>
          <w:bCs/>
          <w:sz w:val="24"/>
          <w:szCs w:val="24"/>
        </w:rPr>
        <w:t xml:space="preserve">Conflict of Interest: </w:t>
      </w:r>
      <w:r w:rsidRPr="0006311D">
        <w:rPr>
          <w:sz w:val="24"/>
          <w:szCs w:val="24"/>
        </w:rPr>
        <w:t>The authors declare no conflicts of interest.</w:t>
      </w:r>
    </w:p>
    <w:p w14:paraId="17C1E885" w14:textId="77777777" w:rsidR="003730AD" w:rsidRPr="0006311D" w:rsidRDefault="003730AD" w:rsidP="003730AD">
      <w:pPr>
        <w:spacing w:before="60"/>
        <w:rPr>
          <w:sz w:val="24"/>
          <w:szCs w:val="24"/>
        </w:rPr>
      </w:pPr>
    </w:p>
    <w:p w14:paraId="3698153A" w14:textId="77777777" w:rsidR="003730AD" w:rsidRPr="0006311D" w:rsidRDefault="003730AD" w:rsidP="003730AD">
      <w:pPr>
        <w:spacing w:before="60"/>
        <w:rPr>
          <w:sz w:val="24"/>
          <w:szCs w:val="24"/>
        </w:rPr>
      </w:pPr>
    </w:p>
    <w:p w14:paraId="03732D1D" w14:textId="77777777" w:rsidR="003730AD" w:rsidRPr="0006311D" w:rsidRDefault="003730AD" w:rsidP="003730AD">
      <w:pPr>
        <w:spacing w:after="160" w:line="276" w:lineRule="auto"/>
        <w:jc w:val="both"/>
        <w:rPr>
          <w:sz w:val="24"/>
          <w:szCs w:val="24"/>
        </w:rPr>
      </w:pPr>
      <w:r w:rsidRPr="0006311D">
        <w:rPr>
          <w:b/>
          <w:bCs/>
          <w:sz w:val="24"/>
          <w:szCs w:val="24"/>
        </w:rPr>
        <w:t xml:space="preserve">Data Availability: </w:t>
      </w:r>
      <w:r w:rsidRPr="0006311D">
        <w:rPr>
          <w:sz w:val="24"/>
          <w:szCs w:val="24"/>
        </w:rPr>
        <w:t>Data are available upon reasonable request and will be deposited in the public domain in due course.</w:t>
      </w:r>
    </w:p>
    <w:p w14:paraId="7496593F" w14:textId="77777777" w:rsidR="003730AD" w:rsidRPr="0006311D" w:rsidRDefault="003730AD" w:rsidP="003730AD">
      <w:pPr>
        <w:spacing w:before="60"/>
        <w:rPr>
          <w:sz w:val="24"/>
          <w:szCs w:val="24"/>
        </w:rPr>
      </w:pPr>
    </w:p>
    <w:p w14:paraId="46EAAA11" w14:textId="77777777" w:rsidR="003730AD" w:rsidRPr="0006311D" w:rsidRDefault="003730AD" w:rsidP="003730AD">
      <w:pPr>
        <w:spacing w:after="160" w:line="276" w:lineRule="auto"/>
        <w:jc w:val="both"/>
        <w:rPr>
          <w:sz w:val="24"/>
          <w:szCs w:val="24"/>
        </w:rPr>
      </w:pPr>
      <w:r w:rsidRPr="0006311D">
        <w:rPr>
          <w:b/>
          <w:bCs/>
          <w:sz w:val="24"/>
          <w:szCs w:val="24"/>
        </w:rPr>
        <w:t xml:space="preserve">Ethical Approval: </w:t>
      </w:r>
      <w:r w:rsidRPr="0006311D">
        <w:rPr>
          <w:sz w:val="24"/>
          <w:szCs w:val="24"/>
        </w:rPr>
        <w:t>Ethical approval was obtained from the Health Research Ethics Committee (HREC) of AEFUTHA and the Research and Ethics Committee of ACE-PUTOR, University of Port Harcourt. All participants provided written informed consent.</w:t>
      </w:r>
    </w:p>
    <w:p w14:paraId="20565C21" w14:textId="77777777" w:rsidR="00817257" w:rsidRPr="0006311D" w:rsidRDefault="008B23A4">
      <w:pPr>
        <w:pStyle w:val="Heading1"/>
      </w:pPr>
      <w:r w:rsidRPr="0006311D">
        <w:t>REFERENCES</w:t>
      </w:r>
    </w:p>
    <w:p w14:paraId="2C193415" w14:textId="77777777" w:rsidR="00817257" w:rsidRPr="0006311D" w:rsidRDefault="008B23A4">
      <w:pPr>
        <w:spacing w:after="140" w:line="276" w:lineRule="auto"/>
        <w:ind w:left="720" w:hanging="720"/>
        <w:rPr>
          <w:sz w:val="24"/>
          <w:szCs w:val="24"/>
        </w:rPr>
      </w:pPr>
      <w:r w:rsidRPr="0006311D">
        <w:rPr>
          <w:sz w:val="24"/>
          <w:szCs w:val="24"/>
        </w:rPr>
        <w:t xml:space="preserve">Agarwal, A., </w:t>
      </w:r>
      <w:proofErr w:type="spellStart"/>
      <w:r w:rsidRPr="0006311D">
        <w:rPr>
          <w:sz w:val="24"/>
          <w:szCs w:val="24"/>
        </w:rPr>
        <w:t>Mulgund</w:t>
      </w:r>
      <w:proofErr w:type="spellEnd"/>
      <w:r w:rsidRPr="0006311D">
        <w:rPr>
          <w:sz w:val="24"/>
          <w:szCs w:val="24"/>
        </w:rPr>
        <w:t xml:space="preserve">, A., Hamada, A., &amp; </w:t>
      </w:r>
      <w:proofErr w:type="spellStart"/>
      <w:r w:rsidRPr="0006311D">
        <w:rPr>
          <w:sz w:val="24"/>
          <w:szCs w:val="24"/>
        </w:rPr>
        <w:t>Chyatte</w:t>
      </w:r>
      <w:proofErr w:type="spellEnd"/>
      <w:r w:rsidRPr="0006311D">
        <w:rPr>
          <w:sz w:val="24"/>
          <w:szCs w:val="24"/>
        </w:rPr>
        <w:t xml:space="preserve">, M. R. (2015). A unique view on male infertility around the globe. </w:t>
      </w:r>
      <w:r w:rsidRPr="0006311D">
        <w:rPr>
          <w:i/>
          <w:iCs/>
          <w:sz w:val="24"/>
          <w:szCs w:val="24"/>
        </w:rPr>
        <w:t>Reproductive Biology and Endocrinology, 13</w:t>
      </w:r>
      <w:r w:rsidRPr="0006311D">
        <w:rPr>
          <w:sz w:val="24"/>
          <w:szCs w:val="24"/>
        </w:rPr>
        <w:t xml:space="preserve">(1), 37. </w:t>
      </w:r>
      <w:hyperlink r:id="rId6" w:history="1">
        <w:r w:rsidRPr="0006311D">
          <w:rPr>
            <w:rStyle w:val="Hyperlink"/>
            <w:sz w:val="24"/>
            <w:szCs w:val="24"/>
          </w:rPr>
          <w:t>https://doi.org/10.1186/s12958-015-0032-1</w:t>
        </w:r>
      </w:hyperlink>
      <w:r w:rsidRPr="0006311D">
        <w:rPr>
          <w:sz w:val="24"/>
          <w:szCs w:val="24"/>
        </w:rPr>
        <w:t xml:space="preserve"> </w:t>
      </w:r>
    </w:p>
    <w:p w14:paraId="5DEFD827" w14:textId="77777777" w:rsidR="00817257" w:rsidRPr="0006311D" w:rsidRDefault="008B23A4">
      <w:pPr>
        <w:spacing w:after="140" w:line="276" w:lineRule="auto"/>
        <w:ind w:left="720" w:hanging="720"/>
        <w:rPr>
          <w:sz w:val="24"/>
          <w:szCs w:val="24"/>
        </w:rPr>
      </w:pPr>
      <w:r w:rsidRPr="0006311D">
        <w:rPr>
          <w:sz w:val="24"/>
          <w:szCs w:val="24"/>
        </w:rPr>
        <w:t xml:space="preserve">Ajzen, I. (1991). The theory of planned behavior. </w:t>
      </w:r>
      <w:r w:rsidRPr="0006311D">
        <w:rPr>
          <w:i/>
          <w:iCs/>
          <w:sz w:val="24"/>
          <w:szCs w:val="24"/>
        </w:rPr>
        <w:t>Organizational Behavior and Human Decision Processes, 50</w:t>
      </w:r>
      <w:r w:rsidRPr="0006311D">
        <w:rPr>
          <w:sz w:val="24"/>
          <w:szCs w:val="24"/>
        </w:rPr>
        <w:t xml:space="preserve">(2), 179–211. </w:t>
      </w:r>
      <w:hyperlink r:id="rId7" w:history="1">
        <w:r w:rsidRPr="0006311D">
          <w:rPr>
            <w:rStyle w:val="Hyperlink"/>
            <w:sz w:val="24"/>
            <w:szCs w:val="24"/>
          </w:rPr>
          <w:t>https://doi.org/10.1016/0749-5978(91)90020-T</w:t>
        </w:r>
      </w:hyperlink>
      <w:r w:rsidRPr="0006311D">
        <w:rPr>
          <w:sz w:val="24"/>
          <w:szCs w:val="24"/>
        </w:rPr>
        <w:t xml:space="preserve"> </w:t>
      </w:r>
    </w:p>
    <w:p w14:paraId="554437CB" w14:textId="77777777" w:rsidR="00817257" w:rsidRPr="0006311D" w:rsidRDefault="008B23A4">
      <w:pPr>
        <w:spacing w:after="140" w:line="276" w:lineRule="auto"/>
        <w:ind w:left="720" w:hanging="720"/>
        <w:rPr>
          <w:sz w:val="24"/>
          <w:szCs w:val="24"/>
        </w:rPr>
      </w:pPr>
      <w:r w:rsidRPr="0006311D">
        <w:rPr>
          <w:sz w:val="24"/>
          <w:szCs w:val="24"/>
        </w:rPr>
        <w:t xml:space="preserve">Becker, M. H. (1974). The health belief model and personal health behavior. </w:t>
      </w:r>
      <w:r w:rsidRPr="0006311D">
        <w:rPr>
          <w:i/>
          <w:iCs/>
          <w:sz w:val="24"/>
          <w:szCs w:val="24"/>
        </w:rPr>
        <w:t xml:space="preserve">Health Education Monographs, 2, </w:t>
      </w:r>
      <w:r w:rsidRPr="0006311D">
        <w:rPr>
          <w:sz w:val="24"/>
          <w:szCs w:val="24"/>
        </w:rPr>
        <w:t xml:space="preserve">324–473. </w:t>
      </w:r>
      <w:hyperlink r:id="rId8" w:history="1">
        <w:r w:rsidRPr="0006311D">
          <w:rPr>
            <w:rStyle w:val="Hyperlink"/>
            <w:sz w:val="24"/>
            <w:szCs w:val="24"/>
          </w:rPr>
          <w:t>https://doi.org/10.1177/109019817400200306</w:t>
        </w:r>
      </w:hyperlink>
      <w:r w:rsidRPr="0006311D">
        <w:rPr>
          <w:sz w:val="24"/>
          <w:szCs w:val="24"/>
        </w:rPr>
        <w:t xml:space="preserve"> </w:t>
      </w:r>
    </w:p>
    <w:p w14:paraId="351D489A" w14:textId="77777777" w:rsidR="00817257" w:rsidRPr="0006311D" w:rsidRDefault="008B23A4">
      <w:pPr>
        <w:spacing w:after="140" w:line="276" w:lineRule="auto"/>
        <w:ind w:left="720" w:hanging="720"/>
        <w:rPr>
          <w:sz w:val="24"/>
          <w:szCs w:val="24"/>
        </w:rPr>
      </w:pPr>
      <w:r w:rsidRPr="0006311D">
        <w:rPr>
          <w:sz w:val="24"/>
          <w:szCs w:val="24"/>
        </w:rPr>
        <w:t xml:space="preserve">Bello, F. A., Adesanya, O. A., Afolabi, B. M., &amp; Mora, J. (2021). Knowledge and acceptance of assisted reproductive technologies among infertile women in Ibadan, Nigeria. </w:t>
      </w:r>
      <w:r w:rsidRPr="0006311D">
        <w:rPr>
          <w:i/>
          <w:iCs/>
          <w:sz w:val="24"/>
          <w:szCs w:val="24"/>
        </w:rPr>
        <w:t>Fertility Research and Practice, 7</w:t>
      </w:r>
      <w:r w:rsidRPr="0006311D">
        <w:rPr>
          <w:sz w:val="24"/>
          <w:szCs w:val="24"/>
        </w:rPr>
        <w:t xml:space="preserve">(1), 14. </w:t>
      </w:r>
      <w:hyperlink r:id="rId9" w:history="1">
        <w:r w:rsidRPr="0006311D">
          <w:rPr>
            <w:rStyle w:val="Hyperlink"/>
            <w:sz w:val="24"/>
            <w:szCs w:val="24"/>
          </w:rPr>
          <w:t>https://doi.org/10.1186/s40738-021-00107-5</w:t>
        </w:r>
      </w:hyperlink>
      <w:r w:rsidRPr="0006311D">
        <w:rPr>
          <w:sz w:val="24"/>
          <w:szCs w:val="24"/>
        </w:rPr>
        <w:t xml:space="preserve"> </w:t>
      </w:r>
    </w:p>
    <w:p w14:paraId="3F771E54" w14:textId="77777777" w:rsidR="00817257" w:rsidRPr="0006311D" w:rsidRDefault="008B23A4">
      <w:pPr>
        <w:spacing w:after="140" w:line="276" w:lineRule="auto"/>
        <w:ind w:left="720" w:hanging="720"/>
        <w:rPr>
          <w:sz w:val="24"/>
          <w:szCs w:val="24"/>
        </w:rPr>
      </w:pPr>
      <w:r w:rsidRPr="0006311D">
        <w:rPr>
          <w:sz w:val="24"/>
          <w:szCs w:val="24"/>
        </w:rPr>
        <w:t xml:space="preserve">Bunting, L., &amp; Boivin, J. (2007). Knowledge about infertility risk factors, fertility myths and illusory benefits of healthy habits in young people. </w:t>
      </w:r>
      <w:r w:rsidRPr="0006311D">
        <w:rPr>
          <w:i/>
          <w:iCs/>
          <w:sz w:val="24"/>
          <w:szCs w:val="24"/>
        </w:rPr>
        <w:t>Human Reproduction, 22</w:t>
      </w:r>
      <w:r w:rsidRPr="0006311D">
        <w:rPr>
          <w:sz w:val="24"/>
          <w:szCs w:val="24"/>
        </w:rPr>
        <w:t xml:space="preserve">(8), 2162–2168. </w:t>
      </w:r>
      <w:hyperlink r:id="rId10" w:history="1">
        <w:r w:rsidRPr="0006311D">
          <w:rPr>
            <w:rStyle w:val="Hyperlink"/>
            <w:sz w:val="24"/>
            <w:szCs w:val="24"/>
          </w:rPr>
          <w:t>https://doi.org/10.1093/humrep/dem127</w:t>
        </w:r>
      </w:hyperlink>
      <w:r w:rsidRPr="0006311D">
        <w:rPr>
          <w:sz w:val="24"/>
          <w:szCs w:val="24"/>
        </w:rPr>
        <w:t xml:space="preserve"> </w:t>
      </w:r>
    </w:p>
    <w:p w14:paraId="57D342F2" w14:textId="77777777" w:rsidR="00817257" w:rsidRPr="0006311D" w:rsidRDefault="008B23A4">
      <w:pPr>
        <w:spacing w:after="140" w:line="276" w:lineRule="auto"/>
        <w:ind w:left="720" w:hanging="720"/>
        <w:rPr>
          <w:sz w:val="24"/>
          <w:szCs w:val="24"/>
        </w:rPr>
      </w:pPr>
      <w:proofErr w:type="spellStart"/>
      <w:r w:rsidRPr="0006311D">
        <w:rPr>
          <w:sz w:val="24"/>
          <w:szCs w:val="24"/>
        </w:rPr>
        <w:t>Chikeme</w:t>
      </w:r>
      <w:proofErr w:type="spellEnd"/>
      <w:r w:rsidRPr="0006311D">
        <w:rPr>
          <w:sz w:val="24"/>
          <w:szCs w:val="24"/>
        </w:rPr>
        <w:t xml:space="preserve">, P. C., </w:t>
      </w:r>
      <w:proofErr w:type="spellStart"/>
      <w:r w:rsidRPr="0006311D">
        <w:rPr>
          <w:sz w:val="24"/>
          <w:szCs w:val="24"/>
        </w:rPr>
        <w:t>Ihudiebube-Splendour</w:t>
      </w:r>
      <w:proofErr w:type="spellEnd"/>
      <w:r w:rsidRPr="0006311D">
        <w:rPr>
          <w:sz w:val="24"/>
          <w:szCs w:val="24"/>
        </w:rPr>
        <w:t xml:space="preserve">, C. N., &amp; Arinze, L. B. (2022). Awareness, perceived efficacy, and utilization of assisted reproductive technologies among women attending a Nigerian tertiary fertility clinic. </w:t>
      </w:r>
      <w:r w:rsidRPr="0006311D">
        <w:rPr>
          <w:i/>
          <w:iCs/>
          <w:sz w:val="24"/>
          <w:szCs w:val="24"/>
        </w:rPr>
        <w:t>Pan African Medical Journal, 42</w:t>
      </w:r>
      <w:r w:rsidRPr="0006311D">
        <w:rPr>
          <w:sz w:val="24"/>
          <w:szCs w:val="24"/>
        </w:rPr>
        <w:t xml:space="preserve">, 181. </w:t>
      </w:r>
      <w:hyperlink r:id="rId11" w:history="1">
        <w:r w:rsidRPr="0006311D">
          <w:rPr>
            <w:rStyle w:val="Hyperlink"/>
            <w:sz w:val="24"/>
            <w:szCs w:val="24"/>
          </w:rPr>
          <w:t>https://doi.org/10.11604/pamj.2022.42.181.31254</w:t>
        </w:r>
      </w:hyperlink>
      <w:r w:rsidRPr="0006311D">
        <w:rPr>
          <w:sz w:val="24"/>
          <w:szCs w:val="24"/>
        </w:rPr>
        <w:t xml:space="preserve"> </w:t>
      </w:r>
    </w:p>
    <w:p w14:paraId="5EBC3439" w14:textId="77777777" w:rsidR="00817257" w:rsidRPr="0006311D" w:rsidRDefault="008B23A4">
      <w:pPr>
        <w:spacing w:after="140" w:line="276" w:lineRule="auto"/>
        <w:ind w:left="720" w:hanging="720"/>
        <w:rPr>
          <w:sz w:val="24"/>
          <w:szCs w:val="24"/>
        </w:rPr>
      </w:pPr>
      <w:r w:rsidRPr="0006311D">
        <w:rPr>
          <w:sz w:val="24"/>
          <w:szCs w:val="24"/>
        </w:rPr>
        <w:lastRenderedPageBreak/>
        <w:t xml:space="preserve">Dyer, S. J., &amp; Patel, M. (2019). The economic impact of infertility on women in developing countries. </w:t>
      </w:r>
      <w:r w:rsidRPr="0006311D">
        <w:rPr>
          <w:i/>
          <w:iCs/>
          <w:sz w:val="24"/>
          <w:szCs w:val="24"/>
        </w:rPr>
        <w:t xml:space="preserve">Facts, Views &amp; Vision in </w:t>
      </w:r>
      <w:proofErr w:type="spellStart"/>
      <w:r w:rsidRPr="0006311D">
        <w:rPr>
          <w:i/>
          <w:iCs/>
          <w:sz w:val="24"/>
          <w:szCs w:val="24"/>
        </w:rPr>
        <w:t>ObGyn</w:t>
      </w:r>
      <w:proofErr w:type="spellEnd"/>
      <w:r w:rsidRPr="0006311D">
        <w:rPr>
          <w:i/>
          <w:iCs/>
          <w:sz w:val="24"/>
          <w:szCs w:val="24"/>
        </w:rPr>
        <w:t>, 11</w:t>
      </w:r>
      <w:r w:rsidRPr="0006311D">
        <w:rPr>
          <w:sz w:val="24"/>
          <w:szCs w:val="24"/>
        </w:rPr>
        <w:t>(1), 37–45.</w:t>
      </w:r>
    </w:p>
    <w:p w14:paraId="752C67A3" w14:textId="77777777" w:rsidR="00817257" w:rsidRPr="0006311D" w:rsidRDefault="008B23A4">
      <w:pPr>
        <w:spacing w:after="140" w:line="276" w:lineRule="auto"/>
        <w:ind w:left="720" w:hanging="720"/>
        <w:rPr>
          <w:sz w:val="24"/>
          <w:szCs w:val="24"/>
        </w:rPr>
      </w:pPr>
      <w:r w:rsidRPr="0006311D">
        <w:rPr>
          <w:sz w:val="24"/>
          <w:szCs w:val="24"/>
        </w:rPr>
        <w:t xml:space="preserve">European Society of Human Reproduction and Embryology. (2022). ART fact sheet and global data summary. </w:t>
      </w:r>
      <w:hyperlink r:id="rId12" w:history="1">
        <w:r w:rsidRPr="0006311D">
          <w:rPr>
            <w:rStyle w:val="Hyperlink"/>
            <w:sz w:val="24"/>
            <w:szCs w:val="24"/>
          </w:rPr>
          <w:t>https://www.eshre.eu/</w:t>
        </w:r>
      </w:hyperlink>
      <w:r w:rsidRPr="0006311D">
        <w:rPr>
          <w:sz w:val="24"/>
          <w:szCs w:val="24"/>
        </w:rPr>
        <w:t xml:space="preserve"> </w:t>
      </w:r>
    </w:p>
    <w:p w14:paraId="4390DEDC" w14:textId="77777777" w:rsidR="00817257" w:rsidRPr="0006311D" w:rsidRDefault="008B23A4">
      <w:pPr>
        <w:spacing w:after="140" w:line="276" w:lineRule="auto"/>
        <w:ind w:left="720" w:hanging="720"/>
        <w:rPr>
          <w:sz w:val="24"/>
          <w:szCs w:val="24"/>
        </w:rPr>
      </w:pPr>
      <w:proofErr w:type="spellStart"/>
      <w:r w:rsidRPr="0006311D">
        <w:rPr>
          <w:sz w:val="24"/>
          <w:szCs w:val="24"/>
        </w:rPr>
        <w:t>Ezeome</w:t>
      </w:r>
      <w:proofErr w:type="spellEnd"/>
      <w:r w:rsidRPr="0006311D">
        <w:rPr>
          <w:sz w:val="24"/>
          <w:szCs w:val="24"/>
        </w:rPr>
        <w:t xml:space="preserve">, I. V. (2021). Perception of key ethical issues in assisted reproductive technologies among clients and practitioners in Nigeria. </w:t>
      </w:r>
      <w:r w:rsidRPr="0006311D">
        <w:rPr>
          <w:i/>
          <w:iCs/>
          <w:sz w:val="24"/>
          <w:szCs w:val="24"/>
        </w:rPr>
        <w:t>International Journal of Women's Health, 13</w:t>
      </w:r>
      <w:r w:rsidRPr="0006311D">
        <w:rPr>
          <w:sz w:val="24"/>
          <w:szCs w:val="24"/>
        </w:rPr>
        <w:t xml:space="preserve">, 333–343. </w:t>
      </w:r>
      <w:hyperlink r:id="rId13" w:history="1">
        <w:r w:rsidRPr="0006311D">
          <w:rPr>
            <w:rStyle w:val="Hyperlink"/>
            <w:sz w:val="24"/>
            <w:szCs w:val="24"/>
          </w:rPr>
          <w:t>https://doi.org/10.2147/IJWH.S297023</w:t>
        </w:r>
      </w:hyperlink>
      <w:r w:rsidRPr="0006311D">
        <w:rPr>
          <w:sz w:val="24"/>
          <w:szCs w:val="24"/>
        </w:rPr>
        <w:t xml:space="preserve"> </w:t>
      </w:r>
    </w:p>
    <w:p w14:paraId="27C2877F" w14:textId="77777777" w:rsidR="00817257" w:rsidRPr="0006311D" w:rsidRDefault="008B23A4">
      <w:pPr>
        <w:spacing w:after="140" w:line="276" w:lineRule="auto"/>
        <w:ind w:left="720" w:hanging="720"/>
        <w:rPr>
          <w:sz w:val="24"/>
          <w:szCs w:val="24"/>
        </w:rPr>
      </w:pPr>
      <w:r w:rsidRPr="0006311D">
        <w:rPr>
          <w:sz w:val="24"/>
          <w:szCs w:val="24"/>
        </w:rPr>
        <w:t xml:space="preserve">Inhorn, M. C., &amp; Patrizio, P. (2015). Infertility around the globe: New thinking on gender, reproductive technologies and global movements in the 21st century. </w:t>
      </w:r>
      <w:r w:rsidRPr="0006311D">
        <w:rPr>
          <w:i/>
          <w:iCs/>
          <w:sz w:val="24"/>
          <w:szCs w:val="24"/>
        </w:rPr>
        <w:t>Human Reproduction Update, 21</w:t>
      </w:r>
      <w:r w:rsidRPr="0006311D">
        <w:rPr>
          <w:sz w:val="24"/>
          <w:szCs w:val="24"/>
        </w:rPr>
        <w:t xml:space="preserve">(4), 411–426. </w:t>
      </w:r>
      <w:hyperlink r:id="rId14" w:history="1">
        <w:r w:rsidRPr="0006311D">
          <w:rPr>
            <w:rStyle w:val="Hyperlink"/>
            <w:sz w:val="24"/>
            <w:szCs w:val="24"/>
          </w:rPr>
          <w:t>https://doi.org/10.1093/humupd/dmv016</w:t>
        </w:r>
      </w:hyperlink>
      <w:r w:rsidRPr="0006311D">
        <w:rPr>
          <w:sz w:val="24"/>
          <w:szCs w:val="24"/>
        </w:rPr>
        <w:t xml:space="preserve"> </w:t>
      </w:r>
    </w:p>
    <w:p w14:paraId="6CD4EA5A" w14:textId="77777777" w:rsidR="00817257" w:rsidRPr="0006311D" w:rsidRDefault="008B23A4">
      <w:pPr>
        <w:spacing w:after="140" w:line="276" w:lineRule="auto"/>
        <w:ind w:left="720" w:hanging="720"/>
        <w:rPr>
          <w:sz w:val="24"/>
          <w:szCs w:val="24"/>
        </w:rPr>
      </w:pPr>
      <w:r w:rsidRPr="0006311D">
        <w:rPr>
          <w:sz w:val="24"/>
          <w:szCs w:val="24"/>
        </w:rPr>
        <w:t>Johnson-</w:t>
      </w:r>
      <w:proofErr w:type="spellStart"/>
      <w:r w:rsidRPr="0006311D">
        <w:rPr>
          <w:sz w:val="24"/>
          <w:szCs w:val="24"/>
        </w:rPr>
        <w:t>Ekeleba</w:t>
      </w:r>
      <w:proofErr w:type="spellEnd"/>
      <w:r w:rsidRPr="0006311D">
        <w:rPr>
          <w:sz w:val="24"/>
          <w:szCs w:val="24"/>
        </w:rPr>
        <w:t xml:space="preserve">, A. C., </w:t>
      </w:r>
      <w:proofErr w:type="spellStart"/>
      <w:r w:rsidRPr="0006311D">
        <w:rPr>
          <w:sz w:val="24"/>
          <w:szCs w:val="24"/>
        </w:rPr>
        <w:t>Sefogah</w:t>
      </w:r>
      <w:proofErr w:type="spellEnd"/>
      <w:r w:rsidRPr="0006311D">
        <w:rPr>
          <w:sz w:val="24"/>
          <w:szCs w:val="24"/>
        </w:rPr>
        <w:t xml:space="preserve">, P. E., </w:t>
      </w:r>
      <w:proofErr w:type="spellStart"/>
      <w:r w:rsidRPr="0006311D">
        <w:rPr>
          <w:sz w:val="24"/>
          <w:szCs w:val="24"/>
        </w:rPr>
        <w:t>Swarray</w:t>
      </w:r>
      <w:proofErr w:type="spellEnd"/>
      <w:r w:rsidRPr="0006311D">
        <w:rPr>
          <w:sz w:val="24"/>
          <w:szCs w:val="24"/>
        </w:rPr>
        <w:t xml:space="preserve">-Deen, A., &amp; Mumuni, K. (2024). Awareness and acceptability of assisted reproductive technology among non-medical tertiary students in a low-resource setting. </w:t>
      </w:r>
      <w:r w:rsidRPr="0006311D">
        <w:rPr>
          <w:i/>
          <w:iCs/>
          <w:sz w:val="24"/>
          <w:szCs w:val="24"/>
        </w:rPr>
        <w:t>Reproductive Biology and Endocrinology, 22</w:t>
      </w:r>
      <w:r w:rsidRPr="0006311D">
        <w:rPr>
          <w:sz w:val="24"/>
          <w:szCs w:val="24"/>
        </w:rPr>
        <w:t xml:space="preserve">(1), 131. </w:t>
      </w:r>
      <w:hyperlink r:id="rId15" w:history="1">
        <w:r w:rsidRPr="0006311D">
          <w:rPr>
            <w:rStyle w:val="Hyperlink"/>
            <w:sz w:val="24"/>
            <w:szCs w:val="24"/>
          </w:rPr>
          <w:t>https://doi.org/10.1186/s12958-024-01301-2</w:t>
        </w:r>
      </w:hyperlink>
      <w:r w:rsidRPr="0006311D">
        <w:rPr>
          <w:sz w:val="24"/>
          <w:szCs w:val="24"/>
        </w:rPr>
        <w:t xml:space="preserve"> </w:t>
      </w:r>
    </w:p>
    <w:p w14:paraId="3F2F6905" w14:textId="77777777" w:rsidR="00817257" w:rsidRPr="0006311D" w:rsidRDefault="008B23A4">
      <w:pPr>
        <w:spacing w:after="140" w:line="276" w:lineRule="auto"/>
        <w:ind w:left="720" w:hanging="720"/>
        <w:rPr>
          <w:sz w:val="24"/>
          <w:szCs w:val="24"/>
        </w:rPr>
      </w:pPr>
      <w:r w:rsidRPr="0006311D">
        <w:rPr>
          <w:sz w:val="24"/>
          <w:szCs w:val="24"/>
        </w:rPr>
        <w:t>Mascarenhas, M. N., Flaxman, S. R., Boerma, T., Vanderpoel, S., &amp; Stevens, G. A. (2012). National, regional, and global trends in infertility prevalence since 1990: A systematic analysis of 277 health surveys.</w:t>
      </w:r>
      <w:r w:rsidRPr="0006311D">
        <w:rPr>
          <w:i/>
          <w:iCs/>
          <w:sz w:val="24"/>
          <w:szCs w:val="24"/>
        </w:rPr>
        <w:t xml:space="preserve"> PLOS Medicine, 9</w:t>
      </w:r>
      <w:r w:rsidRPr="0006311D">
        <w:rPr>
          <w:sz w:val="24"/>
          <w:szCs w:val="24"/>
        </w:rPr>
        <w:t xml:space="preserve">(12), e1001356. </w:t>
      </w:r>
      <w:hyperlink r:id="rId16" w:history="1">
        <w:r w:rsidRPr="0006311D">
          <w:rPr>
            <w:rStyle w:val="Hyperlink"/>
            <w:sz w:val="24"/>
            <w:szCs w:val="24"/>
          </w:rPr>
          <w:t>https://doi.org/10.1371/journal.pmed.1001356</w:t>
        </w:r>
      </w:hyperlink>
      <w:r w:rsidRPr="0006311D">
        <w:rPr>
          <w:sz w:val="24"/>
          <w:szCs w:val="24"/>
        </w:rPr>
        <w:t xml:space="preserve"> </w:t>
      </w:r>
    </w:p>
    <w:p w14:paraId="18DCB511" w14:textId="77777777" w:rsidR="00817257" w:rsidRPr="0006311D" w:rsidRDefault="008B23A4">
      <w:pPr>
        <w:spacing w:after="140" w:line="276" w:lineRule="auto"/>
        <w:ind w:left="720" w:hanging="720"/>
        <w:rPr>
          <w:sz w:val="24"/>
          <w:szCs w:val="24"/>
        </w:rPr>
      </w:pPr>
      <w:r w:rsidRPr="0006311D">
        <w:rPr>
          <w:sz w:val="24"/>
          <w:szCs w:val="24"/>
        </w:rPr>
        <w:t xml:space="preserve">Montaño, D. E., &amp; Kasprzyk, D. (2015). Theory of reasoned action, theory of planned behavior, and the integrated behavioral model. In K. Glanz, B. K. Rimer, &amp; K. Viswanath (Eds.), </w:t>
      </w:r>
      <w:r w:rsidRPr="0006311D">
        <w:rPr>
          <w:i/>
          <w:iCs/>
          <w:sz w:val="24"/>
          <w:szCs w:val="24"/>
        </w:rPr>
        <w:t>Health behavior: Theory, research, and practice</w:t>
      </w:r>
      <w:r w:rsidRPr="0006311D">
        <w:rPr>
          <w:sz w:val="24"/>
          <w:szCs w:val="24"/>
        </w:rPr>
        <w:t xml:space="preserve"> (5th ed., pp. 95–124). Jossey-Bass.</w:t>
      </w:r>
    </w:p>
    <w:p w14:paraId="661B1541" w14:textId="77777777" w:rsidR="00817257" w:rsidRPr="0006311D" w:rsidRDefault="008B23A4">
      <w:pPr>
        <w:spacing w:after="140" w:line="276" w:lineRule="auto"/>
        <w:ind w:left="720" w:hanging="720"/>
        <w:rPr>
          <w:sz w:val="24"/>
          <w:szCs w:val="24"/>
        </w:rPr>
      </w:pPr>
      <w:r w:rsidRPr="0006311D">
        <w:rPr>
          <w:sz w:val="24"/>
          <w:szCs w:val="24"/>
        </w:rPr>
        <w:t xml:space="preserve">Naab, F., Brown, R., &amp; Heidrich, S. (2013). Psychosocial health of infertile Ghanaian women and their infertility beliefs. </w:t>
      </w:r>
      <w:r w:rsidRPr="0006311D">
        <w:rPr>
          <w:i/>
          <w:iCs/>
          <w:sz w:val="24"/>
          <w:szCs w:val="24"/>
        </w:rPr>
        <w:t>Journal of Nursing Scholarship, 45</w:t>
      </w:r>
      <w:r w:rsidRPr="0006311D">
        <w:rPr>
          <w:sz w:val="24"/>
          <w:szCs w:val="24"/>
        </w:rPr>
        <w:t>(2), 132–140. https://doi.org/10.1111/jnu.12013</w:t>
      </w:r>
    </w:p>
    <w:p w14:paraId="380B54C7" w14:textId="77777777" w:rsidR="00817257" w:rsidRPr="0006311D" w:rsidRDefault="008B23A4">
      <w:pPr>
        <w:spacing w:after="140" w:line="276" w:lineRule="auto"/>
        <w:ind w:left="720" w:hanging="720"/>
        <w:rPr>
          <w:sz w:val="24"/>
          <w:szCs w:val="24"/>
        </w:rPr>
      </w:pPr>
      <w:r w:rsidRPr="0006311D">
        <w:rPr>
          <w:sz w:val="24"/>
          <w:szCs w:val="24"/>
        </w:rPr>
        <w:t xml:space="preserve">Nunnally, J. C., &amp; Bernstein, I. H. (1994). </w:t>
      </w:r>
      <w:r w:rsidRPr="0006311D">
        <w:rPr>
          <w:i/>
          <w:iCs/>
          <w:sz w:val="24"/>
          <w:szCs w:val="24"/>
        </w:rPr>
        <w:t>Psychometric theory (3rd ed.)</w:t>
      </w:r>
      <w:r w:rsidRPr="0006311D">
        <w:rPr>
          <w:sz w:val="24"/>
          <w:szCs w:val="24"/>
        </w:rPr>
        <w:t>. McGraw-Hill.</w:t>
      </w:r>
    </w:p>
    <w:p w14:paraId="25C01AEE" w14:textId="77777777" w:rsidR="00817257" w:rsidRPr="0006311D" w:rsidRDefault="008B23A4">
      <w:pPr>
        <w:spacing w:after="140" w:line="276" w:lineRule="auto"/>
        <w:ind w:left="720" w:hanging="720"/>
        <w:rPr>
          <w:sz w:val="24"/>
          <w:szCs w:val="24"/>
        </w:rPr>
      </w:pPr>
      <w:r w:rsidRPr="0006311D">
        <w:rPr>
          <w:sz w:val="24"/>
          <w:szCs w:val="24"/>
        </w:rPr>
        <w:t xml:space="preserve">Olorunfemi, O., Osian, E. A., </w:t>
      </w:r>
      <w:proofErr w:type="spellStart"/>
      <w:r w:rsidRPr="0006311D">
        <w:rPr>
          <w:sz w:val="24"/>
          <w:szCs w:val="24"/>
        </w:rPr>
        <w:t>Oahimijie</w:t>
      </w:r>
      <w:proofErr w:type="spellEnd"/>
      <w:r w:rsidRPr="0006311D">
        <w:rPr>
          <w:sz w:val="24"/>
          <w:szCs w:val="24"/>
        </w:rPr>
        <w:t xml:space="preserve">, F. O., Osunde, N. R., &amp; </w:t>
      </w:r>
      <w:proofErr w:type="spellStart"/>
      <w:r w:rsidRPr="0006311D">
        <w:rPr>
          <w:sz w:val="24"/>
          <w:szCs w:val="24"/>
        </w:rPr>
        <w:t>Oduyemi</w:t>
      </w:r>
      <w:proofErr w:type="spellEnd"/>
      <w:r w:rsidRPr="0006311D">
        <w:rPr>
          <w:sz w:val="24"/>
          <w:szCs w:val="24"/>
        </w:rPr>
        <w:t xml:space="preserve">, R. O. (2020). Acceptability of babies conceived through assisted reproductive technology among married women in a Nigerian tertiary hospital. </w:t>
      </w:r>
      <w:r w:rsidRPr="0006311D">
        <w:rPr>
          <w:i/>
          <w:iCs/>
          <w:sz w:val="24"/>
          <w:szCs w:val="24"/>
        </w:rPr>
        <w:t>CHRISMED Journal of Health and Research, 7</w:t>
      </w:r>
      <w:r w:rsidRPr="0006311D">
        <w:rPr>
          <w:sz w:val="24"/>
          <w:szCs w:val="24"/>
        </w:rPr>
        <w:t xml:space="preserve">(3), 162–166. </w:t>
      </w:r>
      <w:hyperlink r:id="rId17" w:history="1">
        <w:r w:rsidRPr="0006311D">
          <w:rPr>
            <w:rStyle w:val="Hyperlink"/>
            <w:sz w:val="24"/>
            <w:szCs w:val="24"/>
          </w:rPr>
          <w:t>https://doi.org/10.4103/cjhr.cjhr_93_19</w:t>
        </w:r>
      </w:hyperlink>
      <w:r w:rsidRPr="0006311D">
        <w:rPr>
          <w:sz w:val="24"/>
          <w:szCs w:val="24"/>
        </w:rPr>
        <w:t xml:space="preserve"> </w:t>
      </w:r>
    </w:p>
    <w:p w14:paraId="55D5DE9F" w14:textId="77777777" w:rsidR="00817257" w:rsidRPr="0006311D" w:rsidRDefault="008B23A4">
      <w:pPr>
        <w:spacing w:after="140" w:line="276" w:lineRule="auto"/>
        <w:ind w:left="720" w:hanging="720"/>
        <w:rPr>
          <w:sz w:val="24"/>
          <w:szCs w:val="24"/>
        </w:rPr>
      </w:pPr>
      <w:r w:rsidRPr="0006311D">
        <w:rPr>
          <w:sz w:val="24"/>
          <w:szCs w:val="24"/>
        </w:rPr>
        <w:t xml:space="preserve">Polit, D. F., &amp; Beck, C. T. (2021). </w:t>
      </w:r>
      <w:r w:rsidRPr="0006311D">
        <w:rPr>
          <w:i/>
          <w:iCs/>
          <w:sz w:val="24"/>
          <w:szCs w:val="24"/>
        </w:rPr>
        <w:t>Nursing research: Generating and assessing evidence for nursing practice (11th ed.)</w:t>
      </w:r>
      <w:r w:rsidRPr="0006311D">
        <w:rPr>
          <w:sz w:val="24"/>
          <w:szCs w:val="24"/>
        </w:rPr>
        <w:t>. Wolters Kluwer.</w:t>
      </w:r>
    </w:p>
    <w:p w14:paraId="08CA6284" w14:textId="77777777" w:rsidR="00817257" w:rsidRPr="0006311D" w:rsidRDefault="008B23A4">
      <w:pPr>
        <w:spacing w:after="140" w:line="276" w:lineRule="auto"/>
        <w:ind w:left="720" w:hanging="720"/>
        <w:rPr>
          <w:sz w:val="24"/>
          <w:szCs w:val="24"/>
        </w:rPr>
      </w:pPr>
      <w:r w:rsidRPr="0006311D">
        <w:rPr>
          <w:sz w:val="24"/>
          <w:szCs w:val="24"/>
        </w:rPr>
        <w:t xml:space="preserve">Rosenstock, I. M. (1966). Why people use health services. </w:t>
      </w:r>
      <w:r w:rsidRPr="0006311D">
        <w:rPr>
          <w:i/>
          <w:iCs/>
          <w:sz w:val="24"/>
          <w:szCs w:val="24"/>
        </w:rPr>
        <w:t>The Milbank Memorial Fund Quarterly, 44</w:t>
      </w:r>
      <w:r w:rsidRPr="0006311D">
        <w:rPr>
          <w:sz w:val="24"/>
          <w:szCs w:val="24"/>
        </w:rPr>
        <w:t xml:space="preserve">(3), 94–127. </w:t>
      </w:r>
      <w:hyperlink r:id="rId18" w:history="1">
        <w:r w:rsidRPr="0006311D">
          <w:rPr>
            <w:rStyle w:val="Hyperlink"/>
            <w:sz w:val="24"/>
            <w:szCs w:val="24"/>
          </w:rPr>
          <w:t>https://doi.org/10.2307/3348967</w:t>
        </w:r>
      </w:hyperlink>
      <w:r w:rsidRPr="0006311D">
        <w:rPr>
          <w:sz w:val="24"/>
          <w:szCs w:val="24"/>
        </w:rPr>
        <w:t xml:space="preserve"> </w:t>
      </w:r>
    </w:p>
    <w:p w14:paraId="573212E1" w14:textId="77777777" w:rsidR="00817257" w:rsidRPr="0006311D" w:rsidRDefault="008B23A4">
      <w:pPr>
        <w:spacing w:after="140" w:line="276" w:lineRule="auto"/>
        <w:ind w:left="720" w:hanging="720"/>
        <w:rPr>
          <w:sz w:val="24"/>
          <w:szCs w:val="24"/>
        </w:rPr>
      </w:pPr>
      <w:proofErr w:type="spellStart"/>
      <w:r w:rsidRPr="0006311D">
        <w:rPr>
          <w:sz w:val="24"/>
          <w:szCs w:val="24"/>
        </w:rPr>
        <w:lastRenderedPageBreak/>
        <w:t>Taebi</w:t>
      </w:r>
      <w:proofErr w:type="spellEnd"/>
      <w:r w:rsidRPr="0006311D">
        <w:rPr>
          <w:sz w:val="24"/>
          <w:szCs w:val="24"/>
        </w:rPr>
        <w:t xml:space="preserve">, M., Salehi, A., </w:t>
      </w:r>
      <w:proofErr w:type="spellStart"/>
      <w:r w:rsidRPr="0006311D">
        <w:rPr>
          <w:sz w:val="24"/>
          <w:szCs w:val="24"/>
        </w:rPr>
        <w:t>Garrusi</w:t>
      </w:r>
      <w:proofErr w:type="spellEnd"/>
      <w:r w:rsidRPr="0006311D">
        <w:rPr>
          <w:sz w:val="24"/>
          <w:szCs w:val="24"/>
        </w:rPr>
        <w:t xml:space="preserve">, B., </w:t>
      </w:r>
      <w:proofErr w:type="spellStart"/>
      <w:r w:rsidRPr="0006311D">
        <w:rPr>
          <w:sz w:val="24"/>
          <w:szCs w:val="24"/>
        </w:rPr>
        <w:t>Tafaroj</w:t>
      </w:r>
      <w:proofErr w:type="spellEnd"/>
      <w:r w:rsidRPr="0006311D">
        <w:rPr>
          <w:sz w:val="24"/>
          <w:szCs w:val="24"/>
        </w:rPr>
        <w:t xml:space="preserve">, S., &amp; </w:t>
      </w:r>
      <w:proofErr w:type="spellStart"/>
      <w:r w:rsidRPr="0006311D">
        <w:rPr>
          <w:sz w:val="24"/>
          <w:szCs w:val="24"/>
        </w:rPr>
        <w:t>Matlabi</w:t>
      </w:r>
      <w:proofErr w:type="spellEnd"/>
      <w:r w:rsidRPr="0006311D">
        <w:rPr>
          <w:sz w:val="24"/>
          <w:szCs w:val="24"/>
        </w:rPr>
        <w:t xml:space="preserve">, H. (2021). Infertility stigma: A qualitative study on feelings and experiences of infertile women. </w:t>
      </w:r>
      <w:r w:rsidRPr="0006311D">
        <w:rPr>
          <w:i/>
          <w:iCs/>
          <w:sz w:val="24"/>
          <w:szCs w:val="24"/>
        </w:rPr>
        <w:t>International Journal of Fertility &amp; Sterility, 15</w:t>
      </w:r>
      <w:r w:rsidRPr="0006311D">
        <w:rPr>
          <w:sz w:val="24"/>
          <w:szCs w:val="24"/>
        </w:rPr>
        <w:t xml:space="preserve">(2), 102–108. </w:t>
      </w:r>
      <w:hyperlink r:id="rId19" w:history="1">
        <w:r w:rsidRPr="0006311D">
          <w:rPr>
            <w:rStyle w:val="Hyperlink"/>
            <w:sz w:val="24"/>
            <w:szCs w:val="24"/>
          </w:rPr>
          <w:t>https://doi.org/10.22074/ijfs.2021.128032</w:t>
        </w:r>
      </w:hyperlink>
      <w:r w:rsidRPr="0006311D">
        <w:rPr>
          <w:sz w:val="24"/>
          <w:szCs w:val="24"/>
        </w:rPr>
        <w:t xml:space="preserve"> </w:t>
      </w:r>
    </w:p>
    <w:p w14:paraId="370B3308" w14:textId="77777777" w:rsidR="00817257" w:rsidRPr="0006311D" w:rsidRDefault="008B23A4">
      <w:pPr>
        <w:spacing w:after="140" w:line="276" w:lineRule="auto"/>
        <w:ind w:left="720" w:hanging="720"/>
        <w:rPr>
          <w:sz w:val="24"/>
          <w:szCs w:val="24"/>
        </w:rPr>
      </w:pPr>
      <w:proofErr w:type="spellStart"/>
      <w:r w:rsidRPr="0006311D">
        <w:rPr>
          <w:sz w:val="24"/>
          <w:szCs w:val="24"/>
        </w:rPr>
        <w:t>Tenchov</w:t>
      </w:r>
      <w:proofErr w:type="spellEnd"/>
      <w:r w:rsidRPr="0006311D">
        <w:rPr>
          <w:sz w:val="24"/>
          <w:szCs w:val="24"/>
        </w:rPr>
        <w:t xml:space="preserve">, R., &amp; Zhou, Q. A. (2025). Assisted reproductive technology: A ray of hope for infertility. </w:t>
      </w:r>
      <w:r w:rsidRPr="0006311D">
        <w:rPr>
          <w:i/>
          <w:iCs/>
          <w:sz w:val="24"/>
          <w:szCs w:val="24"/>
        </w:rPr>
        <w:t>ACS Pharmacology &amp; Translational Science, 8</w:t>
      </w:r>
      <w:r w:rsidRPr="0006311D">
        <w:rPr>
          <w:sz w:val="24"/>
          <w:szCs w:val="24"/>
        </w:rPr>
        <w:t xml:space="preserve">(1), 23–45. </w:t>
      </w:r>
      <w:hyperlink r:id="rId20" w:history="1">
        <w:r w:rsidRPr="0006311D">
          <w:rPr>
            <w:rStyle w:val="Hyperlink"/>
            <w:sz w:val="24"/>
            <w:szCs w:val="24"/>
          </w:rPr>
          <w:t>https://doi.org/10.1021/acsptsci.4c00499</w:t>
        </w:r>
      </w:hyperlink>
      <w:r w:rsidRPr="0006311D">
        <w:rPr>
          <w:sz w:val="24"/>
          <w:szCs w:val="24"/>
        </w:rPr>
        <w:t xml:space="preserve"> </w:t>
      </w:r>
    </w:p>
    <w:p w14:paraId="43B185F5" w14:textId="77777777" w:rsidR="00817257" w:rsidRPr="0006311D" w:rsidRDefault="008B23A4">
      <w:pPr>
        <w:spacing w:after="140" w:line="276" w:lineRule="auto"/>
        <w:ind w:left="720" w:hanging="720"/>
        <w:rPr>
          <w:sz w:val="24"/>
          <w:szCs w:val="24"/>
        </w:rPr>
      </w:pPr>
      <w:r w:rsidRPr="0006311D">
        <w:rPr>
          <w:sz w:val="24"/>
          <w:szCs w:val="24"/>
        </w:rPr>
        <w:t xml:space="preserve">Whittaker, A., Gerrits, T., Hammarberg, K., &amp; Manderson, L. (2024). Access to assisted reproductive technologies in sub-Saharan Africa: Fertility professionals' views. </w:t>
      </w:r>
      <w:r w:rsidRPr="0006311D">
        <w:rPr>
          <w:i/>
          <w:iCs/>
          <w:sz w:val="24"/>
          <w:szCs w:val="24"/>
        </w:rPr>
        <w:t>Sexual and Reproductive Health Matters, 32</w:t>
      </w:r>
      <w:r w:rsidRPr="0006311D">
        <w:rPr>
          <w:sz w:val="24"/>
          <w:szCs w:val="24"/>
        </w:rPr>
        <w:t xml:space="preserve">(1), Article 2355790. </w:t>
      </w:r>
      <w:hyperlink r:id="rId21" w:history="1">
        <w:r w:rsidRPr="0006311D">
          <w:rPr>
            <w:rStyle w:val="Hyperlink"/>
            <w:sz w:val="24"/>
            <w:szCs w:val="24"/>
          </w:rPr>
          <w:t>https://doi.org/10.1080/26410397.2024.2355790</w:t>
        </w:r>
      </w:hyperlink>
      <w:r w:rsidRPr="0006311D">
        <w:rPr>
          <w:sz w:val="24"/>
          <w:szCs w:val="24"/>
        </w:rPr>
        <w:t xml:space="preserve"> </w:t>
      </w:r>
    </w:p>
    <w:p w14:paraId="0C6CEFDC" w14:textId="77777777" w:rsidR="00817257" w:rsidRPr="0006311D" w:rsidRDefault="008B23A4">
      <w:pPr>
        <w:spacing w:after="140" w:line="276" w:lineRule="auto"/>
        <w:ind w:left="720" w:hanging="720"/>
        <w:rPr>
          <w:sz w:val="24"/>
          <w:szCs w:val="24"/>
        </w:rPr>
      </w:pPr>
      <w:r w:rsidRPr="0006311D">
        <w:rPr>
          <w:sz w:val="24"/>
          <w:szCs w:val="24"/>
        </w:rPr>
        <w:t>World Health Organization. (2023). Infertility fact sheet. https://www.who.int/news-room/fact-sheets/detail/infertility</w:t>
      </w:r>
    </w:p>
    <w:p w14:paraId="4A3A74F5" w14:textId="77777777" w:rsidR="00817257" w:rsidRPr="0006311D" w:rsidRDefault="008B23A4">
      <w:pPr>
        <w:spacing w:after="140" w:line="276" w:lineRule="auto"/>
        <w:ind w:left="720" w:hanging="720"/>
        <w:rPr>
          <w:sz w:val="24"/>
          <w:szCs w:val="24"/>
        </w:rPr>
      </w:pPr>
      <w:r w:rsidRPr="0006311D">
        <w:rPr>
          <w:sz w:val="24"/>
          <w:szCs w:val="24"/>
        </w:rPr>
        <w:t xml:space="preserve">Yamane, T. (1967). </w:t>
      </w:r>
      <w:r w:rsidRPr="0006311D">
        <w:rPr>
          <w:i/>
          <w:iCs/>
          <w:sz w:val="24"/>
          <w:szCs w:val="24"/>
        </w:rPr>
        <w:t>Statistics: An introductory analysis (2nd ed.)</w:t>
      </w:r>
      <w:r w:rsidRPr="0006311D">
        <w:rPr>
          <w:sz w:val="24"/>
          <w:szCs w:val="24"/>
        </w:rPr>
        <w:t>. Harper and Row.</w:t>
      </w:r>
    </w:p>
    <w:p w14:paraId="3FA5B106" w14:textId="77777777" w:rsidR="00817257" w:rsidRPr="0006311D" w:rsidRDefault="008B23A4">
      <w:pPr>
        <w:spacing w:after="140" w:line="276" w:lineRule="auto"/>
        <w:ind w:left="720" w:hanging="720"/>
        <w:rPr>
          <w:sz w:val="24"/>
          <w:szCs w:val="24"/>
        </w:rPr>
      </w:pPr>
      <w:r w:rsidRPr="0006311D">
        <w:rPr>
          <w:sz w:val="24"/>
          <w:szCs w:val="24"/>
        </w:rPr>
        <w:t xml:space="preserve">Yaya, S., Bishwajit, G., &amp; Uthman, O. A. (2021). Male involvement in reproductive health care utilization in sub-Saharan Africa: </w:t>
      </w:r>
      <w:r w:rsidRPr="0006311D">
        <w:rPr>
          <w:i/>
          <w:iCs/>
          <w:sz w:val="24"/>
          <w:szCs w:val="24"/>
        </w:rPr>
        <w:t>A systematic review and meta-analysis. BMJ Global Health, 6</w:t>
      </w:r>
      <w:r w:rsidRPr="0006311D">
        <w:rPr>
          <w:sz w:val="24"/>
          <w:szCs w:val="24"/>
        </w:rPr>
        <w:t xml:space="preserve">(7), e005237. </w:t>
      </w:r>
      <w:hyperlink r:id="rId22" w:history="1">
        <w:r w:rsidRPr="0006311D">
          <w:rPr>
            <w:rStyle w:val="Hyperlink"/>
            <w:sz w:val="24"/>
            <w:szCs w:val="24"/>
          </w:rPr>
          <w:t>https://doi.org/10.1136/bmjgh-2021-005237</w:t>
        </w:r>
      </w:hyperlink>
      <w:r w:rsidRPr="0006311D">
        <w:rPr>
          <w:sz w:val="24"/>
          <w:szCs w:val="24"/>
        </w:rPr>
        <w:t xml:space="preserve"> </w:t>
      </w:r>
    </w:p>
    <w:p w14:paraId="5284FABC" w14:textId="77777777" w:rsidR="00817257" w:rsidRDefault="008B23A4">
      <w:pPr>
        <w:spacing w:after="140" w:line="276" w:lineRule="auto"/>
        <w:ind w:left="720" w:hanging="720"/>
        <w:rPr>
          <w:sz w:val="24"/>
          <w:szCs w:val="24"/>
        </w:rPr>
      </w:pPr>
      <w:r w:rsidRPr="0006311D">
        <w:rPr>
          <w:sz w:val="24"/>
          <w:szCs w:val="24"/>
        </w:rPr>
        <w:t xml:space="preserve">Zegers-Hochschild, F., Adamson, G. D., Dyer, S., Racowsky, C., de Mouzon, J., Sokol, R., &amp; van der Poel, S. (2017). The international glossary on infertility and fertility care. </w:t>
      </w:r>
      <w:r w:rsidRPr="0006311D">
        <w:rPr>
          <w:i/>
          <w:iCs/>
          <w:sz w:val="24"/>
          <w:szCs w:val="24"/>
        </w:rPr>
        <w:t>Human Reproduction, 32</w:t>
      </w:r>
      <w:r w:rsidRPr="0006311D">
        <w:rPr>
          <w:sz w:val="24"/>
          <w:szCs w:val="24"/>
        </w:rPr>
        <w:t xml:space="preserve">(9), 1786–1801. </w:t>
      </w:r>
      <w:hyperlink r:id="rId23" w:history="1">
        <w:r w:rsidRPr="0006311D">
          <w:rPr>
            <w:rStyle w:val="Hyperlink"/>
            <w:sz w:val="24"/>
            <w:szCs w:val="24"/>
          </w:rPr>
          <w:t>https://doi.org/10.1093/humrep/dex234</w:t>
        </w:r>
      </w:hyperlink>
      <w:r>
        <w:rPr>
          <w:sz w:val="24"/>
          <w:szCs w:val="24"/>
        </w:rPr>
        <w:t xml:space="preserve"> </w:t>
      </w:r>
    </w:p>
    <w:sectPr w:rsidR="00817257">
      <w:headerReference w:type="even" r:id="rId24"/>
      <w:headerReference w:type="default" r:id="rId25"/>
      <w:footerReference w:type="even" r:id="rId26"/>
      <w:footerReference w:type="default" r:id="rId27"/>
      <w:headerReference w:type="first" r:id="rId28"/>
      <w:footerReference w:type="first" r:id="rId29"/>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81B846" w14:textId="77777777" w:rsidR="00E348E9" w:rsidRDefault="00E348E9">
      <w:r>
        <w:separator/>
      </w:r>
    </w:p>
  </w:endnote>
  <w:endnote w:type="continuationSeparator" w:id="0">
    <w:p w14:paraId="4C918031" w14:textId="77777777" w:rsidR="00E348E9" w:rsidRDefault="00E348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9B0C1" w14:textId="77777777" w:rsidR="00732E93" w:rsidRDefault="00732E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0016958"/>
    </w:sdtPr>
    <w:sdtContent>
      <w:p w14:paraId="073B4F70" w14:textId="77777777" w:rsidR="00817257" w:rsidRDefault="008B23A4">
        <w:pPr>
          <w:pStyle w:val="Footer"/>
          <w:jc w:val="center"/>
        </w:pPr>
        <w:r>
          <w:fldChar w:fldCharType="begin"/>
        </w:r>
        <w:r>
          <w:instrText xml:space="preserve"> PAGE   \* MERGEFORMAT </w:instrText>
        </w:r>
        <w:r>
          <w:fldChar w:fldCharType="separate"/>
        </w:r>
        <w:r>
          <w:t>2</w:t>
        </w:r>
        <w:r>
          <w:fldChar w:fldCharType="end"/>
        </w:r>
      </w:p>
    </w:sdtContent>
  </w:sdt>
  <w:p w14:paraId="17DB23AF" w14:textId="77777777" w:rsidR="00817257" w:rsidRDefault="0081725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8A45F" w14:textId="77777777" w:rsidR="00732E93" w:rsidRDefault="00732E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9B4C3F" w14:textId="77777777" w:rsidR="00E348E9" w:rsidRDefault="00E348E9">
      <w:r>
        <w:separator/>
      </w:r>
    </w:p>
  </w:footnote>
  <w:footnote w:type="continuationSeparator" w:id="0">
    <w:p w14:paraId="1F52E52D" w14:textId="77777777" w:rsidR="00E348E9" w:rsidRDefault="00E348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566C0" w14:textId="1C0FB1C2" w:rsidR="00732E93" w:rsidRDefault="00732E93">
    <w:pPr>
      <w:pStyle w:val="Header"/>
    </w:pPr>
    <w:r>
      <w:rPr>
        <w:noProof/>
      </w:rPr>
      <w:pict w14:anchorId="4C2755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9782844" o:spid="_x0000_s1026" type="#_x0000_t136" style="position:absolute;margin-left:0;margin-top:0;width:593.85pt;height:65.95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C4E92" w14:textId="6197FE29" w:rsidR="00732E93" w:rsidRDefault="00732E93">
    <w:pPr>
      <w:pStyle w:val="Header"/>
    </w:pPr>
    <w:r>
      <w:rPr>
        <w:noProof/>
      </w:rPr>
      <w:pict w14:anchorId="610D984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9782845" o:spid="_x0000_s1027" type="#_x0000_t136" style="position:absolute;margin-left:0;margin-top:0;width:593.85pt;height:65.95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C8DF0" w14:textId="6D572E2D" w:rsidR="00732E93" w:rsidRDefault="00732E93">
    <w:pPr>
      <w:pStyle w:val="Header"/>
    </w:pPr>
    <w:r>
      <w:rPr>
        <w:noProof/>
      </w:rPr>
      <w:pict w14:anchorId="6A2D77B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9782843" o:spid="_x0000_s1025" type="#_x0000_t136" style="position:absolute;margin-left:0;margin-top:0;width:593.85pt;height:65.95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1A8"/>
    <w:rsid w:val="0006311D"/>
    <w:rsid w:val="003730AD"/>
    <w:rsid w:val="003B7E55"/>
    <w:rsid w:val="00421B78"/>
    <w:rsid w:val="00497A46"/>
    <w:rsid w:val="005F1D7A"/>
    <w:rsid w:val="005F6112"/>
    <w:rsid w:val="006D42AD"/>
    <w:rsid w:val="006E2C64"/>
    <w:rsid w:val="00732E93"/>
    <w:rsid w:val="00757D1C"/>
    <w:rsid w:val="007E11A8"/>
    <w:rsid w:val="00801B12"/>
    <w:rsid w:val="00817257"/>
    <w:rsid w:val="008B23A4"/>
    <w:rsid w:val="00983929"/>
    <w:rsid w:val="00986FF3"/>
    <w:rsid w:val="009C3AFC"/>
    <w:rsid w:val="00A66ACF"/>
    <w:rsid w:val="00BD2391"/>
    <w:rsid w:val="00C0036D"/>
    <w:rsid w:val="00C30F56"/>
    <w:rsid w:val="00C31AF1"/>
    <w:rsid w:val="00DC125A"/>
    <w:rsid w:val="00E348E9"/>
    <w:rsid w:val="07D50981"/>
    <w:rsid w:val="2F3E5ADF"/>
    <w:rsid w:val="306A45A7"/>
    <w:rsid w:val="519E516B"/>
    <w:rsid w:val="52B21C48"/>
    <w:rsid w:val="57724C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285D57"/>
  <w15:docId w15:val="{5FA94114-3117-4DC9-91D3-C9D158B0F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sz w:val="22"/>
      <w:szCs w:val="22"/>
      <w:lang w:val="en-US" w:eastAsia="en-US"/>
    </w:rPr>
  </w:style>
  <w:style w:type="paragraph" w:styleId="Heading1">
    <w:name w:val="heading 1"/>
    <w:uiPriority w:val="9"/>
    <w:qFormat/>
    <w:pPr>
      <w:spacing w:before="280" w:after="160"/>
      <w:outlineLvl w:val="0"/>
    </w:pPr>
    <w:rPr>
      <w:rFonts w:ascii="Times New Roman" w:eastAsia="Times New Roman" w:hAnsi="Times New Roman" w:cs="Times New Roman"/>
      <w:b/>
      <w:bCs/>
      <w:sz w:val="24"/>
      <w:szCs w:val="24"/>
      <w:lang w:val="en-US" w:eastAsia="en-US"/>
    </w:rPr>
  </w:style>
  <w:style w:type="paragraph" w:styleId="Heading2">
    <w:name w:val="heading 2"/>
    <w:uiPriority w:val="9"/>
    <w:unhideWhenUsed/>
    <w:qFormat/>
    <w:pPr>
      <w:spacing w:before="200" w:after="120"/>
      <w:outlineLvl w:val="1"/>
    </w:pPr>
    <w:rPr>
      <w:rFonts w:ascii="Times New Roman" w:eastAsia="Times New Roman" w:hAnsi="Times New Roman" w:cs="Times New Roman"/>
      <w:b/>
      <w:bCs/>
      <w:i/>
      <w:iCs/>
      <w:sz w:val="22"/>
      <w:szCs w:val="22"/>
      <w:lang w:val="en-US" w:eastAsia="en-US"/>
    </w:rPr>
  </w:style>
  <w:style w:type="paragraph" w:styleId="Heading3">
    <w:name w:val="heading 3"/>
    <w:uiPriority w:val="9"/>
    <w:semiHidden/>
    <w:unhideWhenUsed/>
    <w:qFormat/>
    <w:pPr>
      <w:outlineLvl w:val="2"/>
    </w:pPr>
    <w:rPr>
      <w:rFonts w:ascii="Times New Roman" w:eastAsia="Times New Roman" w:hAnsi="Times New Roman" w:cs="Times New Roman"/>
      <w:color w:val="1F4D78"/>
      <w:sz w:val="24"/>
      <w:szCs w:val="24"/>
      <w:lang w:val="en-US" w:eastAsia="en-US"/>
    </w:rPr>
  </w:style>
  <w:style w:type="paragraph" w:styleId="Heading4">
    <w:name w:val="heading 4"/>
    <w:uiPriority w:val="9"/>
    <w:semiHidden/>
    <w:unhideWhenUsed/>
    <w:qFormat/>
    <w:pPr>
      <w:outlineLvl w:val="3"/>
    </w:pPr>
    <w:rPr>
      <w:rFonts w:ascii="Times New Roman" w:eastAsia="Times New Roman" w:hAnsi="Times New Roman" w:cs="Times New Roman"/>
      <w:i/>
      <w:iCs/>
      <w:color w:val="2E74B5"/>
      <w:sz w:val="22"/>
      <w:szCs w:val="22"/>
      <w:lang w:val="en-US" w:eastAsia="en-US"/>
    </w:rPr>
  </w:style>
  <w:style w:type="paragraph" w:styleId="Heading5">
    <w:name w:val="heading 5"/>
    <w:uiPriority w:val="9"/>
    <w:semiHidden/>
    <w:unhideWhenUsed/>
    <w:qFormat/>
    <w:pPr>
      <w:outlineLvl w:val="4"/>
    </w:pPr>
    <w:rPr>
      <w:rFonts w:ascii="Times New Roman" w:eastAsia="Times New Roman" w:hAnsi="Times New Roman" w:cs="Times New Roman"/>
      <w:color w:val="2E74B5"/>
      <w:sz w:val="22"/>
      <w:szCs w:val="22"/>
      <w:lang w:val="en-US" w:eastAsia="en-US"/>
    </w:rPr>
  </w:style>
  <w:style w:type="paragraph" w:styleId="Heading6">
    <w:name w:val="heading 6"/>
    <w:uiPriority w:val="9"/>
    <w:semiHidden/>
    <w:unhideWhenUsed/>
    <w:qFormat/>
    <w:pPr>
      <w:outlineLvl w:val="5"/>
    </w:pPr>
    <w:rPr>
      <w:rFonts w:ascii="Times New Roman" w:eastAsia="Times New Roman" w:hAnsi="Times New Roman" w:cs="Times New Roman"/>
      <w:color w:val="1F4D78"/>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uiPriority w:val="99"/>
    <w:semiHidden/>
    <w:unhideWhenUsed/>
    <w:qFormat/>
    <w:rPr>
      <w:vertAlign w:val="superscript"/>
    </w:rPr>
  </w:style>
  <w:style w:type="paragraph" w:styleId="EndnoteText">
    <w:name w:val="endnote text"/>
    <w:link w:val="EndnoteTextChar"/>
    <w:uiPriority w:val="99"/>
    <w:semiHidden/>
    <w:unhideWhenUsed/>
    <w:qFormat/>
    <w:rPr>
      <w:rFonts w:ascii="Times New Roman" w:eastAsia="Times New Roman" w:hAnsi="Times New Roman" w:cs="Times New Roman"/>
      <w:lang w:val="en-US" w:eastAsia="en-US"/>
    </w:rPr>
  </w:style>
  <w:style w:type="character" w:styleId="FollowedHyperlink">
    <w:name w:val="FollowedHyperlink"/>
    <w:basedOn w:val="DefaultParagraphFont"/>
    <w:uiPriority w:val="99"/>
    <w:semiHidden/>
    <w:unhideWhenUsed/>
    <w:qFormat/>
    <w:rPr>
      <w:color w:val="954F72" w:themeColor="followedHyperlink"/>
      <w:u w:val="single"/>
    </w:rPr>
  </w:style>
  <w:style w:type="paragraph" w:styleId="Footer">
    <w:name w:val="footer"/>
    <w:basedOn w:val="Normal"/>
    <w:link w:val="FooterChar"/>
    <w:uiPriority w:val="99"/>
    <w:unhideWhenUsed/>
    <w:qFormat/>
    <w:pPr>
      <w:tabs>
        <w:tab w:val="center" w:pos="4680"/>
        <w:tab w:val="right" w:pos="9360"/>
      </w:tabs>
    </w:p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qFormat/>
    <w:rPr>
      <w:rFonts w:ascii="Times New Roman" w:eastAsia="Times New Roman" w:hAnsi="Times New Roman" w:cs="Times New Roman"/>
      <w:lang w:val="en-US" w:eastAsia="en-US"/>
    </w:rPr>
  </w:style>
  <w:style w:type="paragraph" w:styleId="Header">
    <w:name w:val="header"/>
    <w:basedOn w:val="Normal"/>
    <w:link w:val="HeaderChar"/>
    <w:uiPriority w:val="99"/>
    <w:unhideWhenUsed/>
    <w:qFormat/>
    <w:pPr>
      <w:tabs>
        <w:tab w:val="center" w:pos="4680"/>
        <w:tab w:val="right" w:pos="9360"/>
      </w:tabs>
    </w:pPr>
  </w:style>
  <w:style w:type="character" w:styleId="Hyperlink">
    <w:name w:val="Hyperlink"/>
    <w:uiPriority w:val="99"/>
    <w:unhideWhenUsed/>
    <w:qFormat/>
    <w:rPr>
      <w:color w:val="0563C1"/>
      <w:u w:val="single"/>
    </w:rPr>
  </w:style>
  <w:style w:type="paragraph" w:styleId="Title">
    <w:name w:val="Title"/>
    <w:uiPriority w:val="10"/>
    <w:qFormat/>
    <w:rPr>
      <w:rFonts w:ascii="Times New Roman" w:eastAsia="Times New Roman" w:hAnsi="Times New Roman" w:cs="Times New Roman"/>
      <w:sz w:val="56"/>
      <w:szCs w:val="56"/>
      <w:lang w:val="en-US" w:eastAsia="en-US"/>
    </w:rPr>
  </w:style>
  <w:style w:type="paragraph" w:customStyle="1" w:styleId="Strong1">
    <w:name w:val="Strong1"/>
    <w:qFormat/>
    <w:rPr>
      <w:rFonts w:ascii="Times New Roman" w:eastAsia="Times New Roman" w:hAnsi="Times New Roman" w:cs="Times New Roman"/>
      <w:b/>
      <w:bCs/>
      <w:sz w:val="22"/>
      <w:szCs w:val="22"/>
      <w:lang w:val="en-US" w:eastAsia="en-US"/>
    </w:rPr>
  </w:style>
  <w:style w:type="paragraph" w:styleId="ListParagraph">
    <w:name w:val="List Paragraph"/>
    <w:qFormat/>
    <w:rPr>
      <w:rFonts w:ascii="Times New Roman" w:eastAsia="Times New Roman" w:hAnsi="Times New Roman" w:cs="Times New Roman"/>
      <w:sz w:val="22"/>
      <w:szCs w:val="22"/>
      <w:lang w:val="en-US" w:eastAsia="en-US"/>
    </w:rPr>
  </w:style>
  <w:style w:type="character" w:customStyle="1" w:styleId="FootnoteTextChar">
    <w:name w:val="Footnote Text Char"/>
    <w:link w:val="FootnoteText"/>
    <w:uiPriority w:val="99"/>
    <w:semiHidden/>
    <w:unhideWhenUsed/>
    <w:qFormat/>
    <w:rPr>
      <w:sz w:val="20"/>
      <w:szCs w:val="20"/>
    </w:rPr>
  </w:style>
  <w:style w:type="character" w:customStyle="1" w:styleId="EndnoteTextChar">
    <w:name w:val="Endnote Text Char"/>
    <w:link w:val="EndnoteText"/>
    <w:uiPriority w:val="99"/>
    <w:semiHidden/>
    <w:unhideWhenUsed/>
    <w:qFormat/>
    <w:rPr>
      <w:sz w:val="20"/>
      <w:szCs w:val="20"/>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styleId="UnresolvedMention">
    <w:name w:val="Unresolved Mention"/>
    <w:basedOn w:val="DefaultParagraphFont"/>
    <w:uiPriority w:val="99"/>
    <w:semiHidden/>
    <w:unhideWhenUsed/>
    <w:rsid w:val="00A66A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oi.org/10.1177/109019817400200306" TargetMode="External"/><Relationship Id="rId13" Type="http://schemas.openxmlformats.org/officeDocument/2006/relationships/hyperlink" Target="https://doi.org/10.2147/IJWH.S297023" TargetMode="External"/><Relationship Id="rId18" Type="http://schemas.openxmlformats.org/officeDocument/2006/relationships/hyperlink" Target="https://doi.org/10.2307/3348967" TargetMode="External"/><Relationship Id="rId26"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hyperlink" Target="https://doi.org/10.1080/26410397.2024.2355790" TargetMode="External"/><Relationship Id="rId7" Type="http://schemas.openxmlformats.org/officeDocument/2006/relationships/hyperlink" Target="https://doi.org/10.1016/0749-5978(91)90020-T" TargetMode="External"/><Relationship Id="rId12" Type="http://schemas.openxmlformats.org/officeDocument/2006/relationships/hyperlink" Target="https://www.eshre.eu/" TargetMode="External"/><Relationship Id="rId17" Type="http://schemas.openxmlformats.org/officeDocument/2006/relationships/hyperlink" Target="https://doi.org/10.4103/cjhr.cjhr_93_19" TargetMode="External"/><Relationship Id="rId25" Type="http://schemas.openxmlformats.org/officeDocument/2006/relationships/header" Target="header2.xml"/><Relationship Id="rId2" Type="http://schemas.openxmlformats.org/officeDocument/2006/relationships/settings" Target="settings.xml"/><Relationship Id="rId16" Type="http://schemas.openxmlformats.org/officeDocument/2006/relationships/hyperlink" Target="https://doi.org/10.1371/journal.pmed.1001356" TargetMode="External"/><Relationship Id="rId20" Type="http://schemas.openxmlformats.org/officeDocument/2006/relationships/hyperlink" Target="https://doi.org/10.1021/acsptsci.4c00499" TargetMode="External"/><Relationship Id="rId29"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doi.org/10.1186/s12958-015-0032-1" TargetMode="External"/><Relationship Id="rId11" Type="http://schemas.openxmlformats.org/officeDocument/2006/relationships/hyperlink" Target="https://doi.org/10.11604/pamj.2022.42.181.31254" TargetMode="External"/><Relationship Id="rId24"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yperlink" Target="https://doi.org/10.1186/s12958-024-01301-2" TargetMode="External"/><Relationship Id="rId23" Type="http://schemas.openxmlformats.org/officeDocument/2006/relationships/hyperlink" Target="https://doi.org/10.1093/humrep/dex234" TargetMode="External"/><Relationship Id="rId28" Type="http://schemas.openxmlformats.org/officeDocument/2006/relationships/header" Target="header3.xml"/><Relationship Id="rId10" Type="http://schemas.openxmlformats.org/officeDocument/2006/relationships/hyperlink" Target="https://doi.org/10.1093/humrep/dem127" TargetMode="External"/><Relationship Id="rId19" Type="http://schemas.openxmlformats.org/officeDocument/2006/relationships/hyperlink" Target="https://doi.org/10.22074/ijfs.2021.128032" TargetMode="External"/><Relationship Id="rId31"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doi.org/10.1186/s40738-021-00107-5" TargetMode="External"/><Relationship Id="rId14" Type="http://schemas.openxmlformats.org/officeDocument/2006/relationships/hyperlink" Target="https://doi.org/10.1093/humupd/dmv016" TargetMode="External"/><Relationship Id="rId22" Type="http://schemas.openxmlformats.org/officeDocument/2006/relationships/hyperlink" Target="https://doi.org/10.1136/bmjgh-2021-005237"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15</Pages>
  <Words>5504</Words>
  <Characters>31374</Characters>
  <Application>Microsoft Office Word</Application>
  <DocSecurity>0</DocSecurity>
  <Lines>261</Lines>
  <Paragraphs>73</Paragraphs>
  <ScaleCrop>false</ScaleCrop>
  <Company/>
  <LinksUpToDate>false</LinksUpToDate>
  <CharactersWithSpaces>36805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SDI 1166</cp:lastModifiedBy>
  <cp:revision>15</cp:revision>
  <dcterms:created xsi:type="dcterms:W3CDTF">2026-05-30T20:22:00Z</dcterms:created>
  <dcterms:modified xsi:type="dcterms:W3CDTF">2026-06-29T09:26:00Z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58e6a916-4572-4532-9060-20e9831f01eb</vt:lpwstr>
  </property>
  <property fmtid="{D5CDD505-2E9C-101B-9397-08002B2CF9AE}" pid="3" name="KSOTemplateDocerSaveRecord">
    <vt:lpwstr>eyJoZGlkIjoiNTAzMjljNWUwZTEwYjEwMzY3N2UxMTdkMmM3NTBkZjIiLCJ1c2VySWQiOiIyNzY2MzQwMDg4NDY0In0=</vt:lpwstr>
  </property>
  <property fmtid="{D5CDD505-2E9C-101B-9397-08002B2CF9AE}" pid="4" name="KSOProductBuildVer">
    <vt:lpwstr>1033-12.1.0.26880</vt:lpwstr>
  </property>
  <property fmtid="{D5CDD505-2E9C-101B-9397-08002B2CF9AE}" pid="5" name="ICV">
    <vt:lpwstr>214768FA409F43AE8AD395B0493A4CC5_13</vt:lpwstr>
  </property>
</Properties>
</file>