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3470E" w14:textId="094E834C" w:rsidR="00A1194E" w:rsidRPr="00A1194E" w:rsidRDefault="00A1194E" w:rsidP="00A1194E">
      <w:pPr>
        <w:pStyle w:val="Heading1"/>
        <w:spacing w:before="100" w:beforeAutospacing="1" w:after="100" w:afterAutospacing="1" w:line="240" w:lineRule="auto"/>
      </w:pPr>
      <w:r w:rsidRPr="00A1194E">
        <w:t>Medical Laboratory Science and the Diagnostic Response to Rising Infertility in Low- and Middle-Income Countries: A Critical Review with Particular Reference to Nigeria</w:t>
      </w:r>
    </w:p>
    <w:p w14:paraId="3541EE29" w14:textId="77777777" w:rsidR="00A1194E" w:rsidRDefault="00A1194E" w:rsidP="00A1194E">
      <w:pPr>
        <w:pStyle w:val="Heading1"/>
        <w:spacing w:before="100" w:beforeAutospacing="1" w:after="100" w:afterAutospacing="1" w:line="240" w:lineRule="auto"/>
        <w:rPr>
          <w:rFonts w:ascii="Times New Roman" w:hAnsi="Times New Roman"/>
          <w:b w:val="0"/>
        </w:rPr>
      </w:pPr>
    </w:p>
    <w:p w14:paraId="4D1E261F" w14:textId="4019B502" w:rsidR="00257D2E" w:rsidRDefault="00495EF8" w:rsidP="00A1194E">
      <w:pPr>
        <w:pStyle w:val="Heading1"/>
        <w:spacing w:before="100" w:beforeAutospacing="1" w:after="100" w:afterAutospacing="1" w:line="240" w:lineRule="auto"/>
      </w:pPr>
      <w:r>
        <w:rPr>
          <w:rFonts w:ascii="Times New Roman" w:hAnsi="Times New Roman"/>
          <w:b w:val="0"/>
        </w:rPr>
        <w:t>Abstract</w:t>
      </w:r>
    </w:p>
    <w:p w14:paraId="18A95891" w14:textId="77777777" w:rsidR="00257D2E" w:rsidRDefault="00495EF8" w:rsidP="00A1194E">
      <w:pPr>
        <w:spacing w:before="100" w:beforeAutospacing="1" w:after="100" w:afterAutospacing="1" w:line="240" w:lineRule="auto"/>
        <w:ind w:firstLine="567"/>
        <w:jc w:val="both"/>
      </w:pPr>
      <w:r>
        <w:t xml:space="preserve">Infertility is now </w:t>
      </w:r>
      <w:proofErr w:type="spellStart"/>
      <w:r>
        <w:t>recognised</w:t>
      </w:r>
      <w:proofErr w:type="spellEnd"/>
      <w:r>
        <w:t xml:space="preserve"> as a common reproductive disorder rather than a marginal concern of affluent health systems, yet the laboratory infrastructure required to </w:t>
      </w:r>
      <w:proofErr w:type="spellStart"/>
      <w:r>
        <w:t>characterise</w:t>
      </w:r>
      <w:proofErr w:type="spellEnd"/>
      <w:r>
        <w:t xml:space="preserve"> it remains weakest in the settings where its social consequences are most severe. This critical narrative review examines the contribution of medical laboratory science to the recognition, causal attribution and management of infertility in low- and middle-income countries, with sustained attention to Nigeria. Peer-reviewed literature was identified through PubMed and MEDLINE and </w:t>
      </w:r>
      <w:proofErr w:type="spellStart"/>
      <w:r>
        <w:t>Crossref</w:t>
      </w:r>
      <w:proofErr w:type="spellEnd"/>
      <w:r>
        <w:t xml:space="preserve"> Metadata Search, supplemented by targeted retrieval of institutional documents, and appraised for methodological adequacy, consistency and relevance rather than citation frequency. The synthesis is </w:t>
      </w:r>
      <w:proofErr w:type="spellStart"/>
      <w:r>
        <w:t>organised</w:t>
      </w:r>
      <w:proofErr w:type="spellEnd"/>
      <w:r>
        <w:t xml:space="preserve"> around five analytical problems: the measurement of infertility burden, the diagnostic evaluation of male factor infertility, the microbiological attribution of tubal and genital tract disease, the analytical performance of endocrine and genetic testing, and the systems conditions under which laboratory results acquire clinical meaning. The available evidence indicates that basic semen examination remains the single most consequential laboratory investigation in this context, that its reliability is undermined by measurement variability that external quality assessment can reduce but has rarely been applied to in African andrology laboratories, and that serological diagnosis of chlamydial tubal disease, which dominates the Nigerian literature, rests on assays of uncertain specificity and cannot support the causal claims frequently made from it. Evidence on regional laboratory quality systems demonstrates that accreditation has expanded substantially but remains geographically concentrated and largely confined to vertically funded disease </w:t>
      </w:r>
      <w:proofErr w:type="spellStart"/>
      <w:r>
        <w:t>programmes</w:t>
      </w:r>
      <w:proofErr w:type="spellEnd"/>
      <w:r>
        <w:t xml:space="preserve">, from which reproductive diagnostics have been excluded. Confidence in most published </w:t>
      </w:r>
      <w:proofErr w:type="spellStart"/>
      <w:r>
        <w:t>aetiological</w:t>
      </w:r>
      <w:proofErr w:type="spellEnd"/>
      <w:r>
        <w:t xml:space="preserve"> fractions is limited by single-</w:t>
      </w:r>
      <w:proofErr w:type="spellStart"/>
      <w:r>
        <w:t>centre</w:t>
      </w:r>
      <w:proofErr w:type="spellEnd"/>
      <w:r>
        <w:t xml:space="preserve"> designs, reliance on convenience samples and inconsistent adherence to </w:t>
      </w:r>
      <w:proofErr w:type="spellStart"/>
      <w:r>
        <w:t>standardised</w:t>
      </w:r>
      <w:proofErr w:type="spellEnd"/>
      <w:r>
        <w:t xml:space="preserve"> laboratory methods. Priorities for research include the establishment of andrology proficiency testing schemes, prospective evaluation of nucleic acid amplification testing against serology for tubal disease attribution, and analytical verification of reproductive hormone assays in African populations.</w:t>
      </w:r>
    </w:p>
    <w:p w14:paraId="33B77C55" w14:textId="77777777" w:rsidR="00257D2E" w:rsidRDefault="00495EF8" w:rsidP="00A1194E">
      <w:pPr>
        <w:pStyle w:val="Heading1"/>
        <w:spacing w:before="100" w:beforeAutospacing="1" w:after="100" w:afterAutospacing="1" w:line="240" w:lineRule="auto"/>
      </w:pPr>
      <w:r>
        <w:rPr>
          <w:rFonts w:ascii="Times New Roman" w:hAnsi="Times New Roman"/>
          <w:b w:val="0"/>
        </w:rPr>
        <w:t>Keywords</w:t>
      </w:r>
    </w:p>
    <w:p w14:paraId="21299190" w14:textId="77777777" w:rsidR="00257D2E" w:rsidRDefault="00495EF8" w:rsidP="00A1194E">
      <w:pPr>
        <w:spacing w:before="100" w:beforeAutospacing="1" w:after="100" w:afterAutospacing="1" w:line="240" w:lineRule="auto"/>
        <w:ind w:firstLine="567"/>
        <w:jc w:val="both"/>
      </w:pPr>
      <w:r>
        <w:t>Infertility; semen analysis; laboratory quality management; external quality assessment; tubal factor infertility; Nigeria; low- and middle-income countries</w:t>
      </w:r>
    </w:p>
    <w:p w14:paraId="52C1FC21" w14:textId="77777777" w:rsidR="00257D2E" w:rsidRDefault="00495EF8" w:rsidP="00A1194E">
      <w:pPr>
        <w:pStyle w:val="Heading1"/>
        <w:spacing w:before="100" w:beforeAutospacing="1" w:after="100" w:afterAutospacing="1" w:line="240" w:lineRule="auto"/>
      </w:pPr>
      <w:r>
        <w:rPr>
          <w:rFonts w:ascii="Times New Roman" w:hAnsi="Times New Roman"/>
          <w:b w:val="0"/>
        </w:rPr>
        <w:t>1. Introduction</w:t>
      </w:r>
    </w:p>
    <w:p w14:paraId="76F26E61" w14:textId="77777777" w:rsidR="00257D2E" w:rsidRDefault="00495EF8" w:rsidP="00A1194E">
      <w:pPr>
        <w:spacing w:before="100" w:beforeAutospacing="1" w:after="100" w:afterAutospacing="1" w:line="240" w:lineRule="auto"/>
        <w:ind w:firstLine="567"/>
        <w:jc w:val="both"/>
      </w:pPr>
      <w:r>
        <w:t xml:space="preserve">Infertility, defined by the failure to achieve a clinical pregnancy after twelve months or more of regular unprotected sexual intercourse, occupies an unusual position in global health. It is simultaneously one of the most prevalent reproductive disorders and one of the least systematically measured. Pooled analysis of studies published between 1990 and 2021 placed lifetime prevalence at 17.5 per cent and twelve-month period prevalence at 12.6 per cent, with </w:t>
      </w:r>
      <w:r>
        <w:lastRenderedPageBreak/>
        <w:t>both estimates carrying very wide ranges and extreme statistical heterogeneity (Cox et al., 2022). The associated World Health Organization report concluded that the burden differs remarkably little between income groups, which contradicts a long-standing assumption that infertility is a disorder of demographic transition and affluence (World Health Organization, 2023). If prevalence is broadly comparable across settings while diagnostic and therapeutic capacity is not, the practical burden of infertility falls disproportionately on populations least equipped to investigate it.</w:t>
      </w:r>
    </w:p>
    <w:p w14:paraId="4D816AC3" w14:textId="77777777" w:rsidR="00257D2E" w:rsidRDefault="00495EF8" w:rsidP="00A1194E">
      <w:pPr>
        <w:spacing w:before="100" w:beforeAutospacing="1" w:after="100" w:afterAutospacing="1" w:line="240" w:lineRule="auto"/>
        <w:ind w:firstLine="567"/>
        <w:jc w:val="both"/>
      </w:pPr>
      <w:r>
        <w:t>Sub-Saharan Africa illustrates this asymmetry sharply. A meta-analysis of sixteen primary studies from ten countries, comprising 22,303 participants, produced a pooled regional prevalence of 16.98 per cent, with obstetric complications, sexually transmitted infection and pelvic inflammatory disease, substance use and increasing female age emerging as the principal associated factors (</w:t>
      </w:r>
      <w:proofErr w:type="spellStart"/>
      <w:r>
        <w:t>Gedef</w:t>
      </w:r>
      <w:proofErr w:type="spellEnd"/>
      <w:r>
        <w:t xml:space="preserve"> et al., 2025). The </w:t>
      </w:r>
      <w:proofErr w:type="spellStart"/>
      <w:r>
        <w:t>aetiological</w:t>
      </w:r>
      <w:proofErr w:type="spellEnd"/>
      <w:r>
        <w:t xml:space="preserve"> profile implied by those associations is largely preventable and, more to the point of the present review, largely diagnosable by laboratory methods. Infection-related tubal damage, endocrine dysfunction and impaired spermatogenesis are all conditions whose recognition depends on microbiological, biochemical and andrological testing rather than on clinical examination alone.</w:t>
      </w:r>
    </w:p>
    <w:p w14:paraId="78E9877D" w14:textId="77777777" w:rsidR="00257D2E" w:rsidRDefault="00495EF8" w:rsidP="00A1194E">
      <w:pPr>
        <w:spacing w:before="100" w:beforeAutospacing="1" w:after="100" w:afterAutospacing="1" w:line="240" w:lineRule="auto"/>
        <w:ind w:firstLine="567"/>
        <w:jc w:val="both"/>
      </w:pPr>
      <w:r>
        <w:t xml:space="preserve">The reliability of prevalence estimates themselves depends on measurement architecture. Analysis of nationally representative survey data from Burkina Faso, Côte d'Ivoire, Kenya and Uganda demonstrated that twelve-month infertility among women actively attempting conception ranged from approximately eight per cent to thirty per cent, and that estimates rose substantially when the denominator was widened to all women exposed to unprotected intercourse (Bell et al., 2024). The same analysis showed that model assumptions concerning injectable contraceptive use, </w:t>
      </w:r>
      <w:proofErr w:type="spellStart"/>
      <w:r>
        <w:t>unrecognised</w:t>
      </w:r>
      <w:proofErr w:type="spellEnd"/>
      <w:r>
        <w:t xml:space="preserve"> pregnancy and underreported contraception materially altered the resulting figures. Prevalence in this field is therefore not a fixed quantity awaiting discovery but a construct sensitive to definition, sampling frame and analytical choice. That observation matters for laboratory science because population figures derived from self-report cannot distinguish male from female factor, cannot attribute cause, and cannot indicate which diagnostic services a health system should provide.</w:t>
      </w:r>
    </w:p>
    <w:p w14:paraId="31FFBFA5" w14:textId="77777777" w:rsidR="00257D2E" w:rsidRDefault="00495EF8" w:rsidP="00A1194E">
      <w:pPr>
        <w:spacing w:before="100" w:beforeAutospacing="1" w:after="100" w:afterAutospacing="1" w:line="240" w:lineRule="auto"/>
        <w:ind w:firstLine="567"/>
        <w:jc w:val="both"/>
      </w:pPr>
      <w:r>
        <w:t xml:space="preserve">Nigeria occupies a particular place in this literature. It is the most populous country in Africa, carries a substantial burden of sexually transmitted infection and of postpartum and post-abortion sepsis, and sustains a large private fertility sector alongside a public system in which infertility is not treated as a funded priority. Clinical audit from Lagos documented that infertility management is dominated by tubal and male factors, and that patients frequently present after protracted and expensive itineraries through informal care (Adegbola &amp; Akindele, 2013). Cross-sectional work in Ogun State among 230 women scheduled for hysterosalpingography found tubal pathology in 36.1 per cent and uterine pathology in 30.0 per cent, with genital tract organisms isolated from a substantial minority of high vaginal and endocervical specimens (Adekoya et al., 2024). Qualitative research with Nigerian women undergoing assisted reproduction has described diagnostic pathways </w:t>
      </w:r>
      <w:proofErr w:type="spellStart"/>
      <w:r>
        <w:t>characterised</w:t>
      </w:r>
      <w:proofErr w:type="spellEnd"/>
      <w:r>
        <w:t xml:space="preserve"> by repeated, </w:t>
      </w:r>
      <w:proofErr w:type="spellStart"/>
      <w:r>
        <w:t>unstandardised</w:t>
      </w:r>
      <w:proofErr w:type="spellEnd"/>
      <w:r>
        <w:t xml:space="preserve"> and out-of-pocket testing (</w:t>
      </w:r>
      <w:proofErr w:type="spellStart"/>
      <w:r>
        <w:t>Ezeome</w:t>
      </w:r>
      <w:proofErr w:type="spellEnd"/>
      <w:r>
        <w:t xml:space="preserve"> et al., 2023). Each of these observations points to laboratory practice as a determinant of clinical outcome, yet the laboratory dimension is usually treated as background rather than as an object of analysis.</w:t>
      </w:r>
    </w:p>
    <w:p w14:paraId="3B67F2E2" w14:textId="77777777" w:rsidR="00257D2E" w:rsidRDefault="00495EF8" w:rsidP="00A1194E">
      <w:pPr>
        <w:spacing w:before="100" w:beforeAutospacing="1" w:after="100" w:afterAutospacing="1" w:line="240" w:lineRule="auto"/>
        <w:ind w:firstLine="567"/>
        <w:jc w:val="both"/>
      </w:pPr>
      <w:r>
        <w:lastRenderedPageBreak/>
        <w:t>The wider diagnostic context is instructive. The Lancet Commission on diagnostics estimated that a very large proportion of the population in low- and middle-income countries has no access to basic diagnostic services, and identified primary and community-level testing as the principal gap in the diagnostic pyramid (Fleming et al., 2021). Regional analysis of laboratory quality systems found that 668 medical laboratories in the World Health Organization African Region had achieved ISO 15189 accreditation by 2020, an increase of about 75 per cent since 2013, but that 55 per cent of these were located in South Africa and a further 16 per cent in Kenya (Odhiambo et al., 2023). Accreditation, in other words, has expanded without becoming geographically representative. Meta-analysis of external quality assessment performance across African clinical laboratories, drawing on seventeen studies and 4,509 participating laboratories, produced a pooled satisfactory performance of 71.25 per cent (Cherie et al., 2025), a figure that would be considered unacceptable for the analytes on which reproductive decisions depend.</w:t>
      </w:r>
    </w:p>
    <w:p w14:paraId="1DDDAF0E" w14:textId="77777777" w:rsidR="00257D2E" w:rsidRDefault="00495EF8" w:rsidP="00A1194E">
      <w:pPr>
        <w:spacing w:before="100" w:beforeAutospacing="1" w:after="100" w:afterAutospacing="1" w:line="240" w:lineRule="auto"/>
        <w:ind w:firstLine="567"/>
        <w:jc w:val="both"/>
      </w:pPr>
      <w:r>
        <w:t>Existing reviews address adjacent territory without occupying it. Systematic landscape analysis of assisted reproductive technology in low- and middle-income countries concentrated on service availability and simplified culture systems rather than on diagnostic laboratories (Chiware et al., 2021). Reviews of male infertility evaluation in sub-Saharan Africa have been written primarily for clinicians and treat semen analysis as a stable input rather than as a measurement problem (</w:t>
      </w:r>
      <w:proofErr w:type="spellStart"/>
      <w:r>
        <w:t>Muteshi</w:t>
      </w:r>
      <w:proofErr w:type="spellEnd"/>
      <w:r>
        <w:t xml:space="preserve"> &amp; Chesire, 2025). Qualitative evidence synthesis on fertility care policy in Africa examined political and financing barriers without engaging with analytical quality (</w:t>
      </w:r>
      <w:proofErr w:type="spellStart"/>
      <w:r>
        <w:t>Afferri</w:t>
      </w:r>
      <w:proofErr w:type="spellEnd"/>
      <w:r>
        <w:t xml:space="preserve"> et al., 2022). Reviews of laboratory strengthening in the region have concentrated on human immunodeficiency virus, tuberculosis and outbreak preparedness (</w:t>
      </w:r>
      <w:proofErr w:type="spellStart"/>
      <w:r>
        <w:t>Alemnji</w:t>
      </w:r>
      <w:proofErr w:type="spellEnd"/>
      <w:r>
        <w:t xml:space="preserve"> et al., 2014; Odhiambo et al., 2023). No recent critical synthesis has taken the laboratory contribution to infertility care in low- and middle-income countries as its central object, examined the analytical evidence underpinning the tests actually used, and asked whether the diagnostic claims made in the regional literature are supported by the methods employed.</w:t>
      </w:r>
    </w:p>
    <w:p w14:paraId="5C917597" w14:textId="77777777" w:rsidR="00257D2E" w:rsidRDefault="00495EF8" w:rsidP="00A1194E">
      <w:pPr>
        <w:pStyle w:val="Heading2"/>
        <w:spacing w:before="100" w:beforeAutospacing="1" w:after="100" w:afterAutospacing="1" w:line="240" w:lineRule="auto"/>
      </w:pPr>
      <w:r>
        <w:rPr>
          <w:rFonts w:ascii="Times New Roman" w:hAnsi="Times New Roman"/>
          <w:b w:val="0"/>
        </w:rPr>
        <w:t>1.1 Scope, Research Gap and Objectives</w:t>
      </w:r>
    </w:p>
    <w:p w14:paraId="535902F6" w14:textId="77777777" w:rsidR="00257D2E" w:rsidRDefault="00495EF8" w:rsidP="00A1194E">
      <w:pPr>
        <w:spacing w:before="100" w:beforeAutospacing="1" w:after="100" w:afterAutospacing="1" w:line="240" w:lineRule="auto"/>
        <w:ind w:firstLine="567"/>
        <w:jc w:val="both"/>
      </w:pPr>
      <w:r>
        <w:t>This review examines the role of medical laboratory science in the recognition, causal attribution and clinical management of infertility in low- and middle-income countries, with Nigeria as a sustained reference case. The boundaries are deliberately drawn around diagnostic laboratory disciplines relevant to reproductive investigation: andrology and semen examination, clinical microbiology and molecular diagnostics of genital tract infection, clinical chemistry and endocrinology, and cytogenetics and molecular genetics. Laboratory support for assisted reproduction is considered only where embryology practice bears directly on diagnostic function or on quality infrastructure.</w:t>
      </w:r>
    </w:p>
    <w:p w14:paraId="18D380CB" w14:textId="77777777" w:rsidR="00257D2E" w:rsidRDefault="00495EF8" w:rsidP="00A1194E">
      <w:pPr>
        <w:spacing w:before="100" w:beforeAutospacing="1" w:after="100" w:afterAutospacing="1" w:line="240" w:lineRule="auto"/>
        <w:ind w:firstLine="567"/>
        <w:jc w:val="both"/>
      </w:pPr>
      <w:r>
        <w:t xml:space="preserve">The knowledge gap addressed is specific. Prevalence and access to fertility care in the region have been reviewed repeatedly, and laboratory system strengthening has been reviewed in the context of communicable disease </w:t>
      </w:r>
      <w:proofErr w:type="spellStart"/>
      <w:r>
        <w:t>programmes</w:t>
      </w:r>
      <w:proofErr w:type="spellEnd"/>
      <w:r>
        <w:t xml:space="preserve">, but the analytical validity, quality assurance status and interpretive limits of the laboratory tests through which infertility is actually diagnosed in these settings have not been critically evaluated as a coherent body of evidence. The consequence is that </w:t>
      </w:r>
      <w:proofErr w:type="spellStart"/>
      <w:r>
        <w:t>aetiological</w:t>
      </w:r>
      <w:proofErr w:type="spellEnd"/>
      <w:r>
        <w:t xml:space="preserve"> fractions reported from the region are widely reproduced without scrutiny of the measurement processes that generated them.</w:t>
      </w:r>
    </w:p>
    <w:p w14:paraId="0500B508" w14:textId="77777777" w:rsidR="00257D2E" w:rsidRDefault="00495EF8" w:rsidP="00A1194E">
      <w:pPr>
        <w:spacing w:before="100" w:beforeAutospacing="1" w:after="100" w:afterAutospacing="1" w:line="240" w:lineRule="auto"/>
        <w:ind w:firstLine="567"/>
        <w:jc w:val="both"/>
      </w:pPr>
      <w:r>
        <w:lastRenderedPageBreak/>
        <w:t xml:space="preserve">The objectives are to evaluate the strength and consistency of evidence on laboratory investigation of infertility in low- and middle-income settings; to assess the methodological adequacy of studies from which regional </w:t>
      </w:r>
      <w:proofErr w:type="spellStart"/>
      <w:r>
        <w:t>aetiological</w:t>
      </w:r>
      <w:proofErr w:type="spellEnd"/>
      <w:r>
        <w:t xml:space="preserve"> patterns are derived, with emphasis on Nigeria; to compare the analytical characteristics and resource requirements of competing diagnostic strategies; to examine how laboratory quality systems, workforce arrangements and financing shape diagnostic reliability; and to identify defensible research priorities. The intended contribution is an integrated critical appraisal that links analytical laboratory evidence to reproductive health policy.</w:t>
      </w:r>
    </w:p>
    <w:p w14:paraId="072D99C0" w14:textId="77777777" w:rsidR="00257D2E" w:rsidRDefault="00495EF8" w:rsidP="00A1194E">
      <w:pPr>
        <w:spacing w:before="100" w:beforeAutospacing="1" w:after="100" w:afterAutospacing="1" w:line="240" w:lineRule="auto"/>
        <w:ind w:firstLine="567"/>
        <w:jc w:val="both"/>
      </w:pPr>
      <w:r>
        <w:t xml:space="preserve">Excluded from consideration are the surgical and radiological management of infertility, detailed embryology and cryobiology protocols, veterinary and animal reproductive science, and </w:t>
      </w:r>
      <w:proofErr w:type="spellStart"/>
      <w:r>
        <w:t>paediatric</w:t>
      </w:r>
      <w:proofErr w:type="spellEnd"/>
      <w:r>
        <w:t xml:space="preserve"> or adolescent reproductive endocrinology except where directly relevant to adult diagnostic pathways.</w:t>
      </w:r>
    </w:p>
    <w:p w14:paraId="7B7003CF" w14:textId="77777777" w:rsidR="00257D2E" w:rsidRDefault="00495EF8" w:rsidP="00A1194E">
      <w:pPr>
        <w:pStyle w:val="Heading1"/>
        <w:spacing w:before="100" w:beforeAutospacing="1" w:after="100" w:afterAutospacing="1" w:line="240" w:lineRule="auto"/>
      </w:pPr>
      <w:r>
        <w:rPr>
          <w:rFonts w:ascii="Times New Roman" w:hAnsi="Times New Roman"/>
          <w:b w:val="0"/>
        </w:rPr>
        <w:t>2. Methods for Literature Selection</w:t>
      </w:r>
    </w:p>
    <w:p w14:paraId="134F0AB9" w14:textId="77777777" w:rsidR="00257D2E" w:rsidRDefault="00495EF8" w:rsidP="00A1194E">
      <w:pPr>
        <w:pStyle w:val="Heading2"/>
        <w:spacing w:before="100" w:beforeAutospacing="1" w:after="100" w:afterAutospacing="1" w:line="240" w:lineRule="auto"/>
      </w:pPr>
      <w:r>
        <w:rPr>
          <w:rFonts w:ascii="Times New Roman" w:hAnsi="Times New Roman"/>
          <w:b w:val="0"/>
        </w:rPr>
        <w:t>2.1 Review Design and Rationale</w:t>
      </w:r>
    </w:p>
    <w:p w14:paraId="5A5B0BAF" w14:textId="77777777" w:rsidR="00257D2E" w:rsidRDefault="00495EF8" w:rsidP="00A1194E">
      <w:pPr>
        <w:spacing w:before="100" w:beforeAutospacing="1" w:after="100" w:afterAutospacing="1" w:line="240" w:lineRule="auto"/>
        <w:ind w:firstLine="567"/>
        <w:jc w:val="both"/>
      </w:pPr>
      <w:r>
        <w:t xml:space="preserve">A critical narrative design was selected because the review question is conceptual and cross-disciplinary rather than answerable by a single specified comparison. The evidence base spans analytical laboratory science, clinical epidemiology, health systems research and social science, and the outcomes reported are not commensurable: coefficients of variation in semen assessment, seroprevalence odds ratios, accreditation counts and qualitative accounts of care cannot be pooled. A systematic review would have required narrowing the question to a degree that would exclude the interpretive problem at the </w:t>
      </w:r>
      <w:proofErr w:type="spellStart"/>
      <w:r>
        <w:t>centre</w:t>
      </w:r>
      <w:proofErr w:type="spellEnd"/>
      <w:r>
        <w:t xml:space="preserve"> of this analysis, and meta-analysis would have been inappropriate given the heterogeneity of designs and measures. A scoping review would have mapped the literature without evaluating it, whereas the principal difficulty in this field is that weak evidence is repeatedly cited as though it were strong.</w:t>
      </w:r>
    </w:p>
    <w:p w14:paraId="71DC266B" w14:textId="77777777" w:rsidR="00257D2E" w:rsidRDefault="00495EF8" w:rsidP="00A1194E">
      <w:pPr>
        <w:spacing w:before="100" w:beforeAutospacing="1" w:after="100" w:afterAutospacing="1" w:line="240" w:lineRule="auto"/>
        <w:ind w:firstLine="567"/>
        <w:jc w:val="both"/>
      </w:pPr>
      <w:r>
        <w:t>Narrative reviews are vulnerable to selection and interpretive bias, and the design does not exempt an author from methodological transparency or critical appraisal. The reporting and appraisal principles articulated in the Scale for the Assessment of Narrative Review Articles were used as an internal framework for justifying the importance of the topic, stating the literature search, referencing claims, and presenting evidence appropriately (</w:t>
      </w:r>
      <w:proofErr w:type="spellStart"/>
      <w:r>
        <w:t>Baethge</w:t>
      </w:r>
      <w:proofErr w:type="spellEnd"/>
      <w:r>
        <w:t xml:space="preserve"> et al., 2019). Search sources, eligibility decisions and appraisal criteria are reported below with the same explicitness expected of a structured review, and the limitations of the design are stated in the final section.</w:t>
      </w:r>
    </w:p>
    <w:p w14:paraId="25BABBA7" w14:textId="77777777" w:rsidR="00257D2E" w:rsidRDefault="00495EF8" w:rsidP="00A1194E">
      <w:pPr>
        <w:pStyle w:val="Heading2"/>
        <w:spacing w:before="100" w:beforeAutospacing="1" w:after="100" w:afterAutospacing="1" w:line="240" w:lineRule="auto"/>
      </w:pPr>
      <w:r>
        <w:rPr>
          <w:rFonts w:ascii="Times New Roman" w:hAnsi="Times New Roman"/>
          <w:b w:val="0"/>
        </w:rPr>
        <w:t>2.2 Information Sources</w:t>
      </w:r>
    </w:p>
    <w:p w14:paraId="07BDB4FC" w14:textId="77777777" w:rsidR="00257D2E" w:rsidRDefault="00495EF8" w:rsidP="00A1194E">
      <w:pPr>
        <w:spacing w:before="100" w:beforeAutospacing="1" w:after="100" w:afterAutospacing="1" w:line="240" w:lineRule="auto"/>
        <w:ind w:firstLine="567"/>
        <w:jc w:val="both"/>
      </w:pPr>
      <w:r>
        <w:t xml:space="preserve">Two bibliographic sources were searched directly in the course of preparing this review: PubMed and MEDLINE, accessed through the National Center for Biotechnology Information programmatic interface, and </w:t>
      </w:r>
      <w:proofErr w:type="spellStart"/>
      <w:r>
        <w:t>Crossref</w:t>
      </w:r>
      <w:proofErr w:type="spellEnd"/>
      <w:r>
        <w:t xml:space="preserve"> Metadata Search. These were supplemented by general web searching used to locate and verify institutional publications, and by targeted retrieval from the World Health Organization institutional repository and publications catalogue. Bibliographic details for every cited article were verified against </w:t>
      </w:r>
      <w:proofErr w:type="spellStart"/>
      <w:r>
        <w:t>Crossref</w:t>
      </w:r>
      <w:proofErr w:type="spellEnd"/>
      <w:r>
        <w:t xml:space="preserve"> registry records, and where registry </w:t>
      </w:r>
      <w:r>
        <w:lastRenderedPageBreak/>
        <w:t>metadata and index records disagreed on publication year, volume, issue or author order, the record consistent with the published issue was adopted.</w:t>
      </w:r>
    </w:p>
    <w:p w14:paraId="13D4EDAF" w14:textId="77777777" w:rsidR="00257D2E" w:rsidRDefault="00495EF8" w:rsidP="00A1194E">
      <w:pPr>
        <w:spacing w:before="100" w:beforeAutospacing="1" w:after="100" w:afterAutospacing="1" w:line="240" w:lineRule="auto"/>
        <w:ind w:firstLine="567"/>
        <w:jc w:val="both"/>
      </w:pPr>
      <w:r>
        <w:t>Subscription-only indexes, including Web of Science Core Collection, Scopus, Embase, CAB Abstracts, Global Health and CINAHL, were not accessible during preparation and were not searched. No claim is made regarding coverage of those resources. Citation-chaining was performed informally by inspecting the reference lists of retrieved reviews to identify candidate primary studies, which were then located and verified through the sources named above.</w:t>
      </w:r>
    </w:p>
    <w:p w14:paraId="6AAF06A6" w14:textId="77777777" w:rsidR="00257D2E" w:rsidRDefault="00495EF8" w:rsidP="00A1194E">
      <w:pPr>
        <w:pStyle w:val="Heading2"/>
        <w:spacing w:before="100" w:beforeAutospacing="1" w:after="100" w:afterAutospacing="1" w:line="240" w:lineRule="auto"/>
      </w:pPr>
      <w:r>
        <w:rPr>
          <w:rFonts w:ascii="Times New Roman" w:hAnsi="Times New Roman"/>
          <w:b w:val="0"/>
        </w:rPr>
        <w:t>2.3 Search Strategy and Search Period</w:t>
      </w:r>
    </w:p>
    <w:p w14:paraId="579EF15C" w14:textId="77777777" w:rsidR="00257D2E" w:rsidRDefault="00495EF8" w:rsidP="00A1194E">
      <w:pPr>
        <w:spacing w:before="100" w:beforeAutospacing="1" w:after="100" w:afterAutospacing="1" w:line="240" w:lineRule="auto"/>
        <w:ind w:firstLine="567"/>
        <w:jc w:val="both"/>
      </w:pPr>
      <w:r>
        <w:t xml:space="preserve">Search concepts were constructed around five axes: the reproductive condition, the laboratory discipline or test, the </w:t>
      </w:r>
      <w:proofErr w:type="spellStart"/>
      <w:r>
        <w:t>aetiological</w:t>
      </w:r>
      <w:proofErr w:type="spellEnd"/>
      <w:r>
        <w:t xml:space="preserve"> mechanism, the health systems dimension and the geographical setting. Free-text terms were combined with Medical Subject Headings where these were available, and synonyms were combined with the Boolean operator OR before </w:t>
      </w:r>
      <w:proofErr w:type="spellStart"/>
      <w:r>
        <w:t>axes</w:t>
      </w:r>
      <w:proofErr w:type="spellEnd"/>
      <w:r>
        <w:t xml:space="preserve"> were combined with AND. Representative strings are presented in Table 1. Searches were run iteratively, with terms revised in response to retrieved records, and each substantive theme in the synthesis was searched separately rather than through a single omnibus query.</w:t>
      </w:r>
    </w:p>
    <w:p w14:paraId="079E3536" w14:textId="77777777" w:rsidR="00257D2E" w:rsidRDefault="00495EF8" w:rsidP="00A1194E">
      <w:pPr>
        <w:spacing w:before="100" w:beforeAutospacing="1" w:after="100" w:afterAutospacing="1" w:line="240" w:lineRule="auto"/>
        <w:ind w:firstLine="567"/>
        <w:jc w:val="both"/>
      </w:pPr>
      <w:r>
        <w:t xml:space="preserve">The search period extended from January 1980 to 2 June 2026. The starting point corresponds to the publication of the first edition of the World Health Organization laboratory manual for semen examination, which marks the beginning of internationally </w:t>
      </w:r>
      <w:proofErr w:type="spellStart"/>
      <w:r>
        <w:t>standardised</w:t>
      </w:r>
      <w:proofErr w:type="spellEnd"/>
      <w:r>
        <w:t xml:space="preserve"> laboratory andrology and therefore the beginning of the intellectual problem this review addresses (Wang et al., 2022). Publications predating this boundary were considered only where conceptually indispensable, and none proved necessary. The final search was conducted on 2 June 2026.</w:t>
      </w:r>
    </w:p>
    <w:p w14:paraId="5B6C037A" w14:textId="77777777" w:rsidR="00257D2E" w:rsidRDefault="00495EF8" w:rsidP="00A1194E">
      <w:pPr>
        <w:spacing w:before="100" w:beforeAutospacing="1" w:after="100" w:afterAutospacing="1" w:line="240" w:lineRule="auto"/>
        <w:ind w:firstLine="567"/>
        <w:jc w:val="both"/>
      </w:pPr>
      <w:r>
        <w:t>Table 1 sets out the concept structure and representative search strings applied across the searched sources. Its purpose is to make the retrieval process reproducible rather than to enumerate every query executed; strings were adapted in wording and field tags according to the syntax of each source, and additional targeted searches were run for individual analytes, organisms and country names as the synthesis developed. The table also makes explicit which concepts were deliberately combined, since the principal methodological risk in this field is that searches restricted to clinical terminology retrieve the reproductive literature while missing the laboratory quality literature entirely, and searches restricted to laboratory terminology do the reverse.</w:t>
      </w:r>
    </w:p>
    <w:p w14:paraId="59CE3543" w14:textId="77777777" w:rsidR="00257D2E" w:rsidRDefault="00495EF8" w:rsidP="00A1194E">
      <w:pPr>
        <w:keepNext/>
        <w:spacing w:before="100" w:beforeAutospacing="1" w:after="100" w:afterAutospacing="1" w:line="240" w:lineRule="auto"/>
      </w:pPr>
      <w:r>
        <w:rPr>
          <w:b/>
          <w:sz w:val="22"/>
        </w:rPr>
        <w:t xml:space="preserve">Table 1. </w:t>
      </w:r>
      <w:r>
        <w:rPr>
          <w:sz w:val="22"/>
        </w:rPr>
        <w:t>Search concept structure and representative search strings</w:t>
      </w:r>
    </w:p>
    <w:tbl>
      <w:tblPr>
        <w:tblStyle w:val="TableGrid"/>
        <w:tblW w:w="5000" w:type="pct"/>
        <w:jc w:val="center"/>
        <w:tblLook w:val="04A0" w:firstRow="1" w:lastRow="0" w:firstColumn="1" w:lastColumn="0" w:noHBand="0" w:noVBand="1"/>
      </w:tblPr>
      <w:tblGrid>
        <w:gridCol w:w="1567"/>
        <w:gridCol w:w="4623"/>
        <w:gridCol w:w="2178"/>
        <w:gridCol w:w="1208"/>
      </w:tblGrid>
      <w:tr w:rsidR="00257D2E" w14:paraId="015964D5" w14:textId="77777777" w:rsidTr="00A1194E">
        <w:trPr>
          <w:jc w:val="center"/>
        </w:trPr>
        <w:tc>
          <w:tcPr>
            <w:tcW w:w="818" w:type="pct"/>
            <w:shd w:val="clear" w:color="auto" w:fill="E8E8E8"/>
          </w:tcPr>
          <w:p w14:paraId="56DE324A" w14:textId="77777777" w:rsidR="00257D2E" w:rsidRDefault="00495EF8" w:rsidP="00A1194E">
            <w:pPr>
              <w:spacing w:before="100" w:beforeAutospacing="1" w:after="100" w:afterAutospacing="1" w:line="240" w:lineRule="auto"/>
            </w:pPr>
            <w:r>
              <w:rPr>
                <w:b/>
                <w:sz w:val="19"/>
              </w:rPr>
              <w:t>Concept axis</w:t>
            </w:r>
          </w:p>
        </w:tc>
        <w:tc>
          <w:tcPr>
            <w:tcW w:w="2414" w:type="pct"/>
            <w:shd w:val="clear" w:color="auto" w:fill="E8E8E8"/>
          </w:tcPr>
          <w:p w14:paraId="253C30C1" w14:textId="77777777" w:rsidR="00257D2E" w:rsidRDefault="00495EF8" w:rsidP="00A1194E">
            <w:pPr>
              <w:spacing w:before="100" w:beforeAutospacing="1" w:after="100" w:afterAutospacing="1" w:line="240" w:lineRule="auto"/>
            </w:pPr>
            <w:r>
              <w:rPr>
                <w:b/>
                <w:sz w:val="19"/>
              </w:rPr>
              <w:t>Representative terms and strings</w:t>
            </w:r>
          </w:p>
        </w:tc>
        <w:tc>
          <w:tcPr>
            <w:tcW w:w="1137" w:type="pct"/>
            <w:shd w:val="clear" w:color="auto" w:fill="E8E8E8"/>
          </w:tcPr>
          <w:p w14:paraId="112716DC" w14:textId="77777777" w:rsidR="00257D2E" w:rsidRDefault="00495EF8" w:rsidP="00A1194E">
            <w:pPr>
              <w:spacing w:before="100" w:beforeAutospacing="1" w:after="100" w:afterAutospacing="1" w:line="240" w:lineRule="auto"/>
            </w:pPr>
            <w:r>
              <w:rPr>
                <w:b/>
                <w:sz w:val="19"/>
              </w:rPr>
              <w:t>Rationale</w:t>
            </w:r>
          </w:p>
        </w:tc>
        <w:tc>
          <w:tcPr>
            <w:tcW w:w="631" w:type="pct"/>
            <w:shd w:val="clear" w:color="auto" w:fill="E8E8E8"/>
          </w:tcPr>
          <w:p w14:paraId="23A4B8FC" w14:textId="77777777" w:rsidR="00257D2E" w:rsidRDefault="00495EF8" w:rsidP="00A1194E">
            <w:pPr>
              <w:spacing w:before="100" w:beforeAutospacing="1" w:after="100" w:afterAutospacing="1" w:line="240" w:lineRule="auto"/>
            </w:pPr>
            <w:r>
              <w:rPr>
                <w:b/>
                <w:sz w:val="19"/>
              </w:rPr>
              <w:t>Supporting references</w:t>
            </w:r>
          </w:p>
        </w:tc>
      </w:tr>
      <w:tr w:rsidR="00257D2E" w14:paraId="2379DC9B" w14:textId="77777777" w:rsidTr="00A1194E">
        <w:trPr>
          <w:jc w:val="center"/>
        </w:trPr>
        <w:tc>
          <w:tcPr>
            <w:tcW w:w="818" w:type="pct"/>
          </w:tcPr>
          <w:p w14:paraId="5D7DE537" w14:textId="77777777" w:rsidR="00257D2E" w:rsidRDefault="00495EF8" w:rsidP="00A1194E">
            <w:pPr>
              <w:spacing w:before="100" w:beforeAutospacing="1" w:after="100" w:afterAutospacing="1" w:line="240" w:lineRule="auto"/>
            </w:pPr>
            <w:r>
              <w:rPr>
                <w:sz w:val="19"/>
              </w:rPr>
              <w:t>Reproductive condition</w:t>
            </w:r>
          </w:p>
        </w:tc>
        <w:tc>
          <w:tcPr>
            <w:tcW w:w="2414" w:type="pct"/>
          </w:tcPr>
          <w:p w14:paraId="41CF64C5" w14:textId="77777777" w:rsidR="00257D2E" w:rsidRDefault="00495EF8" w:rsidP="00A1194E">
            <w:pPr>
              <w:spacing w:before="100" w:beforeAutospacing="1" w:after="100" w:afterAutospacing="1" w:line="240" w:lineRule="auto"/>
            </w:pPr>
            <w:r>
              <w:rPr>
                <w:sz w:val="19"/>
              </w:rPr>
              <w:t>("infertility" OR "subfertility" OR "tubal factor infertility" OR "azoospermia" OR "</w:t>
            </w:r>
            <w:proofErr w:type="spellStart"/>
            <w:r>
              <w:rPr>
                <w:sz w:val="19"/>
              </w:rPr>
              <w:t>oligozoospermia</w:t>
            </w:r>
            <w:proofErr w:type="spellEnd"/>
            <w:r>
              <w:rPr>
                <w:sz w:val="19"/>
              </w:rPr>
              <w:t>" OR "fecundability")</w:t>
            </w:r>
          </w:p>
        </w:tc>
        <w:tc>
          <w:tcPr>
            <w:tcW w:w="1137" w:type="pct"/>
          </w:tcPr>
          <w:p w14:paraId="4C59AD30" w14:textId="77777777" w:rsidR="00257D2E" w:rsidRDefault="00495EF8" w:rsidP="00A1194E">
            <w:pPr>
              <w:spacing w:before="100" w:beforeAutospacing="1" w:after="100" w:afterAutospacing="1" w:line="240" w:lineRule="auto"/>
            </w:pPr>
            <w:r>
              <w:rPr>
                <w:sz w:val="19"/>
              </w:rPr>
              <w:t>Captures the clinical condition and its principal laboratory-defined phenotypes</w:t>
            </w:r>
          </w:p>
        </w:tc>
        <w:tc>
          <w:tcPr>
            <w:tcW w:w="631" w:type="pct"/>
          </w:tcPr>
          <w:p w14:paraId="2755D930" w14:textId="77777777" w:rsidR="00257D2E" w:rsidRDefault="00495EF8" w:rsidP="00A1194E">
            <w:pPr>
              <w:spacing w:before="100" w:beforeAutospacing="1" w:after="100" w:afterAutospacing="1" w:line="240" w:lineRule="auto"/>
            </w:pPr>
            <w:r>
              <w:rPr>
                <w:sz w:val="19"/>
              </w:rPr>
              <w:t>Cox et al. (2022); World Health Organization (2023)</w:t>
            </w:r>
          </w:p>
        </w:tc>
      </w:tr>
      <w:tr w:rsidR="00257D2E" w14:paraId="5193EC52" w14:textId="77777777" w:rsidTr="00A1194E">
        <w:trPr>
          <w:jc w:val="center"/>
        </w:trPr>
        <w:tc>
          <w:tcPr>
            <w:tcW w:w="818" w:type="pct"/>
          </w:tcPr>
          <w:p w14:paraId="1510FBCE" w14:textId="77777777" w:rsidR="00257D2E" w:rsidRDefault="00495EF8" w:rsidP="00A1194E">
            <w:pPr>
              <w:spacing w:before="100" w:beforeAutospacing="1" w:after="100" w:afterAutospacing="1" w:line="240" w:lineRule="auto"/>
            </w:pPr>
            <w:r>
              <w:rPr>
                <w:sz w:val="19"/>
              </w:rPr>
              <w:t xml:space="preserve">Laboratory </w:t>
            </w:r>
            <w:r>
              <w:rPr>
                <w:sz w:val="19"/>
              </w:rPr>
              <w:lastRenderedPageBreak/>
              <w:t>discipline and test</w:t>
            </w:r>
          </w:p>
        </w:tc>
        <w:tc>
          <w:tcPr>
            <w:tcW w:w="2414" w:type="pct"/>
          </w:tcPr>
          <w:p w14:paraId="4798CAFA" w14:textId="77777777" w:rsidR="00257D2E" w:rsidRDefault="00495EF8" w:rsidP="00A1194E">
            <w:pPr>
              <w:spacing w:before="100" w:beforeAutospacing="1" w:after="100" w:afterAutospacing="1" w:line="240" w:lineRule="auto"/>
            </w:pPr>
            <w:r>
              <w:rPr>
                <w:sz w:val="19"/>
              </w:rPr>
              <w:lastRenderedPageBreak/>
              <w:t xml:space="preserve">("semen analysis" OR "semen examination" OR "external </w:t>
            </w:r>
            <w:r>
              <w:rPr>
                <w:sz w:val="19"/>
              </w:rPr>
              <w:lastRenderedPageBreak/>
              <w:t>quality assessment" OR "proficiency testing" OR "nucleic acid amplification" OR "immunoassay" OR "anti-Mullerian hormone" OR "karyotype" OR "Y chromosome microdeletion")</w:t>
            </w:r>
          </w:p>
        </w:tc>
        <w:tc>
          <w:tcPr>
            <w:tcW w:w="1137" w:type="pct"/>
          </w:tcPr>
          <w:p w14:paraId="4BAFBB0D" w14:textId="77777777" w:rsidR="00257D2E" w:rsidRDefault="00495EF8" w:rsidP="00A1194E">
            <w:pPr>
              <w:spacing w:before="100" w:beforeAutospacing="1" w:after="100" w:afterAutospacing="1" w:line="240" w:lineRule="auto"/>
            </w:pPr>
            <w:r>
              <w:rPr>
                <w:sz w:val="19"/>
              </w:rPr>
              <w:lastRenderedPageBreak/>
              <w:t xml:space="preserve">Identifies the diagnostic </w:t>
            </w:r>
            <w:r>
              <w:rPr>
                <w:sz w:val="19"/>
              </w:rPr>
              <w:lastRenderedPageBreak/>
              <w:t>technologies whose analytical performance is under evaluation</w:t>
            </w:r>
          </w:p>
        </w:tc>
        <w:tc>
          <w:tcPr>
            <w:tcW w:w="631" w:type="pct"/>
          </w:tcPr>
          <w:p w14:paraId="2FA7C095" w14:textId="77777777" w:rsidR="00257D2E" w:rsidRDefault="00495EF8" w:rsidP="00A1194E">
            <w:pPr>
              <w:spacing w:before="100" w:beforeAutospacing="1" w:after="100" w:afterAutospacing="1" w:line="240" w:lineRule="auto"/>
            </w:pPr>
            <w:proofErr w:type="spellStart"/>
            <w:r>
              <w:rPr>
                <w:sz w:val="19"/>
              </w:rPr>
              <w:lastRenderedPageBreak/>
              <w:t>Björndahl</w:t>
            </w:r>
            <w:proofErr w:type="spellEnd"/>
            <w:r>
              <w:rPr>
                <w:sz w:val="19"/>
              </w:rPr>
              <w:t xml:space="preserve"> </w:t>
            </w:r>
            <w:r>
              <w:rPr>
                <w:sz w:val="19"/>
              </w:rPr>
              <w:lastRenderedPageBreak/>
              <w:t>(2022); Krausz et al. (2024); Zheng et al. (2025)</w:t>
            </w:r>
          </w:p>
        </w:tc>
      </w:tr>
      <w:tr w:rsidR="00257D2E" w14:paraId="03D7A3BC" w14:textId="77777777" w:rsidTr="00A1194E">
        <w:trPr>
          <w:jc w:val="center"/>
        </w:trPr>
        <w:tc>
          <w:tcPr>
            <w:tcW w:w="818" w:type="pct"/>
          </w:tcPr>
          <w:p w14:paraId="32DDD79D" w14:textId="77777777" w:rsidR="00257D2E" w:rsidRDefault="00495EF8" w:rsidP="00A1194E">
            <w:pPr>
              <w:spacing w:before="100" w:beforeAutospacing="1" w:after="100" w:afterAutospacing="1" w:line="240" w:lineRule="auto"/>
            </w:pPr>
            <w:proofErr w:type="spellStart"/>
            <w:r>
              <w:rPr>
                <w:sz w:val="19"/>
              </w:rPr>
              <w:lastRenderedPageBreak/>
              <w:t>Aetiological</w:t>
            </w:r>
            <w:proofErr w:type="spellEnd"/>
            <w:r>
              <w:rPr>
                <w:sz w:val="19"/>
              </w:rPr>
              <w:t xml:space="preserve"> mechanism</w:t>
            </w:r>
          </w:p>
        </w:tc>
        <w:tc>
          <w:tcPr>
            <w:tcW w:w="2414" w:type="pct"/>
          </w:tcPr>
          <w:p w14:paraId="03A56301" w14:textId="77777777" w:rsidR="00257D2E" w:rsidRDefault="00495EF8" w:rsidP="00A1194E">
            <w:pPr>
              <w:spacing w:before="100" w:beforeAutospacing="1" w:after="100" w:afterAutospacing="1" w:line="240" w:lineRule="auto"/>
            </w:pPr>
            <w:r>
              <w:rPr>
                <w:sz w:val="19"/>
              </w:rPr>
              <w:t>("Chlamydia trachomatis" OR "Neisseria gonorrhoeae" OR "Mycoplasma genitalium" OR "pelvic inflammatory disease" OR "genital tuberculosis" OR "female genital schistosomiasis" OR "oxidative stress")</w:t>
            </w:r>
          </w:p>
        </w:tc>
        <w:tc>
          <w:tcPr>
            <w:tcW w:w="1137" w:type="pct"/>
          </w:tcPr>
          <w:p w14:paraId="7AD3BCFB" w14:textId="77777777" w:rsidR="00257D2E" w:rsidRDefault="00495EF8" w:rsidP="00A1194E">
            <w:pPr>
              <w:spacing w:before="100" w:beforeAutospacing="1" w:after="100" w:afterAutospacing="1" w:line="240" w:lineRule="auto"/>
            </w:pPr>
            <w:r>
              <w:rPr>
                <w:sz w:val="19"/>
              </w:rPr>
              <w:t>Retrieves infection-related and biochemical causal pathways amenable to laboratory attribution</w:t>
            </w:r>
          </w:p>
        </w:tc>
        <w:tc>
          <w:tcPr>
            <w:tcW w:w="631" w:type="pct"/>
          </w:tcPr>
          <w:p w14:paraId="2805DC0D" w14:textId="77777777" w:rsidR="00257D2E" w:rsidRDefault="00495EF8" w:rsidP="00A1194E">
            <w:pPr>
              <w:spacing w:before="100" w:beforeAutospacing="1" w:after="100" w:afterAutospacing="1" w:line="240" w:lineRule="auto"/>
            </w:pPr>
            <w:proofErr w:type="spellStart"/>
            <w:r>
              <w:rPr>
                <w:sz w:val="19"/>
              </w:rPr>
              <w:t>Dubbink</w:t>
            </w:r>
            <w:proofErr w:type="spellEnd"/>
            <w:r>
              <w:rPr>
                <w:sz w:val="19"/>
              </w:rPr>
              <w:t xml:space="preserve"> et al. (2018); </w:t>
            </w:r>
            <w:proofErr w:type="spellStart"/>
            <w:r>
              <w:rPr>
                <w:sz w:val="19"/>
              </w:rPr>
              <w:t>Tzelios</w:t>
            </w:r>
            <w:proofErr w:type="spellEnd"/>
            <w:r>
              <w:rPr>
                <w:sz w:val="19"/>
              </w:rPr>
              <w:t xml:space="preserve"> et al. (2022); Bowers et al. (2025)</w:t>
            </w:r>
          </w:p>
        </w:tc>
      </w:tr>
      <w:tr w:rsidR="00257D2E" w14:paraId="3DE162A0" w14:textId="77777777" w:rsidTr="00A1194E">
        <w:trPr>
          <w:jc w:val="center"/>
        </w:trPr>
        <w:tc>
          <w:tcPr>
            <w:tcW w:w="818" w:type="pct"/>
          </w:tcPr>
          <w:p w14:paraId="02B121F1" w14:textId="77777777" w:rsidR="00257D2E" w:rsidRDefault="00495EF8" w:rsidP="00A1194E">
            <w:pPr>
              <w:spacing w:before="100" w:beforeAutospacing="1" w:after="100" w:afterAutospacing="1" w:line="240" w:lineRule="auto"/>
            </w:pPr>
            <w:r>
              <w:rPr>
                <w:sz w:val="19"/>
              </w:rPr>
              <w:t>Health systems dimension</w:t>
            </w:r>
          </w:p>
        </w:tc>
        <w:tc>
          <w:tcPr>
            <w:tcW w:w="2414" w:type="pct"/>
          </w:tcPr>
          <w:p w14:paraId="606FC855" w14:textId="77777777" w:rsidR="00257D2E" w:rsidRDefault="00495EF8" w:rsidP="00A1194E">
            <w:pPr>
              <w:spacing w:before="100" w:beforeAutospacing="1" w:after="100" w:afterAutospacing="1" w:line="240" w:lineRule="auto"/>
            </w:pPr>
            <w:r>
              <w:rPr>
                <w:sz w:val="19"/>
              </w:rPr>
              <w:t>("laboratory accreditation" OR "ISO 15189" OR "quality management system" OR "diagnostic network" OR "point-of-care testing" OR "out-of-pocket" OR "catastrophic health expenditure")</w:t>
            </w:r>
          </w:p>
        </w:tc>
        <w:tc>
          <w:tcPr>
            <w:tcW w:w="1137" w:type="pct"/>
          </w:tcPr>
          <w:p w14:paraId="3B653E0C" w14:textId="77777777" w:rsidR="00257D2E" w:rsidRDefault="00495EF8" w:rsidP="00A1194E">
            <w:pPr>
              <w:spacing w:before="100" w:beforeAutospacing="1" w:after="100" w:afterAutospacing="1" w:line="240" w:lineRule="auto"/>
            </w:pPr>
            <w:r>
              <w:rPr>
                <w:sz w:val="19"/>
              </w:rPr>
              <w:t xml:space="preserve">Locates evidence on the </w:t>
            </w:r>
            <w:proofErr w:type="spellStart"/>
            <w:r>
              <w:rPr>
                <w:sz w:val="19"/>
              </w:rPr>
              <w:t>organisational</w:t>
            </w:r>
            <w:proofErr w:type="spellEnd"/>
            <w:r>
              <w:rPr>
                <w:sz w:val="19"/>
              </w:rPr>
              <w:t xml:space="preserve"> conditions determining diagnostic reliability and access</w:t>
            </w:r>
          </w:p>
        </w:tc>
        <w:tc>
          <w:tcPr>
            <w:tcW w:w="631" w:type="pct"/>
          </w:tcPr>
          <w:p w14:paraId="360A22AF" w14:textId="77777777" w:rsidR="00257D2E" w:rsidRDefault="00495EF8" w:rsidP="00A1194E">
            <w:pPr>
              <w:spacing w:before="100" w:beforeAutospacing="1" w:after="100" w:afterAutospacing="1" w:line="240" w:lineRule="auto"/>
            </w:pPr>
            <w:r>
              <w:rPr>
                <w:sz w:val="19"/>
              </w:rPr>
              <w:t xml:space="preserve">Fleming et al. (2021); Odhiambo et al. (2023); </w:t>
            </w:r>
            <w:proofErr w:type="spellStart"/>
            <w:r>
              <w:rPr>
                <w:sz w:val="19"/>
              </w:rPr>
              <w:t>Okedo</w:t>
            </w:r>
            <w:proofErr w:type="spellEnd"/>
            <w:r>
              <w:rPr>
                <w:sz w:val="19"/>
              </w:rPr>
              <w:t>-Alex et al. (2019)</w:t>
            </w:r>
          </w:p>
        </w:tc>
      </w:tr>
      <w:tr w:rsidR="00257D2E" w14:paraId="41EE75AF" w14:textId="77777777" w:rsidTr="00A1194E">
        <w:trPr>
          <w:jc w:val="center"/>
        </w:trPr>
        <w:tc>
          <w:tcPr>
            <w:tcW w:w="818" w:type="pct"/>
          </w:tcPr>
          <w:p w14:paraId="0A915FCE" w14:textId="77777777" w:rsidR="00257D2E" w:rsidRDefault="00495EF8" w:rsidP="00A1194E">
            <w:pPr>
              <w:spacing w:before="100" w:beforeAutospacing="1" w:after="100" w:afterAutospacing="1" w:line="240" w:lineRule="auto"/>
            </w:pPr>
            <w:r>
              <w:rPr>
                <w:sz w:val="19"/>
              </w:rPr>
              <w:t>Geographical setting</w:t>
            </w:r>
          </w:p>
        </w:tc>
        <w:tc>
          <w:tcPr>
            <w:tcW w:w="2414" w:type="pct"/>
          </w:tcPr>
          <w:p w14:paraId="061526D9" w14:textId="77777777" w:rsidR="00257D2E" w:rsidRDefault="00495EF8" w:rsidP="00A1194E">
            <w:pPr>
              <w:spacing w:before="100" w:beforeAutospacing="1" w:after="100" w:afterAutospacing="1" w:line="240" w:lineRule="auto"/>
            </w:pPr>
            <w:r>
              <w:rPr>
                <w:sz w:val="19"/>
              </w:rPr>
              <w:t>("Nigeria" OR "sub-Saharan Africa" OR "low- and middle-income countries" OR "resource-limited settings")</w:t>
            </w:r>
          </w:p>
        </w:tc>
        <w:tc>
          <w:tcPr>
            <w:tcW w:w="1137" w:type="pct"/>
          </w:tcPr>
          <w:p w14:paraId="74801178" w14:textId="77777777" w:rsidR="00257D2E" w:rsidRDefault="00495EF8" w:rsidP="00A1194E">
            <w:pPr>
              <w:spacing w:before="100" w:beforeAutospacing="1" w:after="100" w:afterAutospacing="1" w:line="240" w:lineRule="auto"/>
            </w:pPr>
            <w:r>
              <w:rPr>
                <w:sz w:val="19"/>
              </w:rPr>
              <w:t>Constrains retrieval to the settings under review while permitting comparative evidence</w:t>
            </w:r>
          </w:p>
        </w:tc>
        <w:tc>
          <w:tcPr>
            <w:tcW w:w="631" w:type="pct"/>
          </w:tcPr>
          <w:p w14:paraId="702B2319" w14:textId="77777777" w:rsidR="00257D2E" w:rsidRDefault="00495EF8" w:rsidP="00A1194E">
            <w:pPr>
              <w:spacing w:before="100" w:beforeAutospacing="1" w:after="100" w:afterAutospacing="1" w:line="240" w:lineRule="auto"/>
            </w:pPr>
            <w:r>
              <w:rPr>
                <w:sz w:val="19"/>
              </w:rPr>
              <w:t xml:space="preserve">Chiware et al. (2021); </w:t>
            </w:r>
            <w:proofErr w:type="spellStart"/>
            <w:r>
              <w:rPr>
                <w:sz w:val="19"/>
              </w:rPr>
              <w:t>Gedef</w:t>
            </w:r>
            <w:proofErr w:type="spellEnd"/>
            <w:r>
              <w:rPr>
                <w:sz w:val="19"/>
              </w:rPr>
              <w:t xml:space="preserve"> et al. (2025)</w:t>
            </w:r>
          </w:p>
        </w:tc>
      </w:tr>
    </w:tbl>
    <w:p w14:paraId="7425A14C" w14:textId="77777777" w:rsidR="00257D2E" w:rsidRDefault="00495EF8" w:rsidP="00A1194E">
      <w:pPr>
        <w:spacing w:before="100" w:beforeAutospacing="1" w:after="100" w:afterAutospacing="1" w:line="240" w:lineRule="auto"/>
      </w:pPr>
      <w:r>
        <w:rPr>
          <w:sz w:val="19"/>
        </w:rPr>
        <w:t>Note. Strings are shown in generic form; field tags and truncation symbols were adapted to the syntax of each source searched. Terms within each axis were combined with OR and axes were combined with AND. Scientific names were searched as text terms and, where available, as indexing terms.</w:t>
      </w:r>
    </w:p>
    <w:p w14:paraId="62A9E1EF" w14:textId="77777777" w:rsidR="00257D2E" w:rsidRDefault="00495EF8" w:rsidP="00A1194E">
      <w:pPr>
        <w:pStyle w:val="Heading2"/>
        <w:spacing w:before="100" w:beforeAutospacing="1" w:after="100" w:afterAutospacing="1" w:line="240" w:lineRule="auto"/>
      </w:pPr>
      <w:r>
        <w:rPr>
          <w:rFonts w:ascii="Times New Roman" w:hAnsi="Times New Roman"/>
          <w:b w:val="0"/>
        </w:rPr>
        <w:t>2.4 Eligibility Criteria</w:t>
      </w:r>
    </w:p>
    <w:p w14:paraId="2A4D7B72" w14:textId="77777777" w:rsidR="00257D2E" w:rsidRDefault="00495EF8" w:rsidP="00A1194E">
      <w:pPr>
        <w:spacing w:before="100" w:beforeAutospacing="1" w:after="100" w:afterAutospacing="1" w:line="240" w:lineRule="auto"/>
        <w:ind w:firstLine="567"/>
        <w:jc w:val="both"/>
      </w:pPr>
      <w:r>
        <w:t xml:space="preserve">Peer-reviewed original research, systematic and narrative reviews, meta-analyses, consensus statements and professional guidelines were eligible. Reports from </w:t>
      </w:r>
      <w:proofErr w:type="spellStart"/>
      <w:r>
        <w:t>recognised</w:t>
      </w:r>
      <w:proofErr w:type="spellEnd"/>
      <w:r>
        <w:t xml:space="preserve"> international and governmental institutions were eligible where they provided authoritative estimates or standards not available in the journal literature. Publications were required to address infertility diagnosis or laboratory practice relevant to reproductive investigation, or to address laboratory quality systems in settings comparable to those under review.</w:t>
      </w:r>
    </w:p>
    <w:p w14:paraId="79859449" w14:textId="77777777" w:rsidR="00257D2E" w:rsidRDefault="00495EF8" w:rsidP="00A1194E">
      <w:pPr>
        <w:spacing w:before="100" w:beforeAutospacing="1" w:after="100" w:afterAutospacing="1" w:line="240" w:lineRule="auto"/>
        <w:ind w:firstLine="567"/>
        <w:jc w:val="both"/>
      </w:pPr>
      <w:r>
        <w:t>Excluded were trade publications, promotional material, personal weblogs, anonymous webpages, conference abstracts without full reporting, non-scholarly commentary, patents, and any source whose bibliographic identity could not be confirmed against a registry record. Preprints were not used. Publications in languages other than English were not retrieved, and no translation was undertaken. Studies confined to non-human species were excluded except where methodological principles were directly transferable, and no such case arose. Sources retrieved through registry records but bearing a creation date after 2 June 2026 were excluded irrespective of relevance.</w:t>
      </w:r>
    </w:p>
    <w:p w14:paraId="1496A67D" w14:textId="77777777" w:rsidR="00257D2E" w:rsidRDefault="00495EF8" w:rsidP="00A1194E">
      <w:pPr>
        <w:pStyle w:val="Heading2"/>
        <w:spacing w:before="100" w:beforeAutospacing="1" w:after="100" w:afterAutospacing="1" w:line="240" w:lineRule="auto"/>
      </w:pPr>
      <w:r>
        <w:rPr>
          <w:rFonts w:ascii="Times New Roman" w:hAnsi="Times New Roman"/>
          <w:b w:val="0"/>
        </w:rPr>
        <w:t>2.5 Screening, Duplicate Handling and Study Selection</w:t>
      </w:r>
    </w:p>
    <w:p w14:paraId="727DC786" w14:textId="77777777" w:rsidR="00257D2E" w:rsidRDefault="00495EF8" w:rsidP="00A1194E">
      <w:pPr>
        <w:spacing w:before="100" w:beforeAutospacing="1" w:after="100" w:afterAutospacing="1" w:line="240" w:lineRule="auto"/>
        <w:ind w:firstLine="567"/>
        <w:jc w:val="both"/>
      </w:pPr>
      <w:r>
        <w:t xml:space="preserve">Records retrieved from each source were screened first by title and abstract for topical relevance, then assessed in full text where the abstract indicated that the study addressed a laboratory method, an </w:t>
      </w:r>
      <w:proofErr w:type="spellStart"/>
      <w:r>
        <w:t>aetiological</w:t>
      </w:r>
      <w:proofErr w:type="spellEnd"/>
      <w:r>
        <w:t xml:space="preserve"> attribution or a health systems determinant within scope. Duplicates arising between the two bibliographic sources were identified by digital object identifier and, where an identifier was absent, by matching of title, first author and journal. </w:t>
      </w:r>
      <w:r>
        <w:lastRenderedPageBreak/>
        <w:t>Records without a resolvable identifier or a verifiable registry entry were not carried forward, since bibliographic authenticity could not be established.</w:t>
      </w:r>
    </w:p>
    <w:p w14:paraId="5E5C4FC5" w14:textId="77777777" w:rsidR="00257D2E" w:rsidRDefault="00495EF8" w:rsidP="00A1194E">
      <w:pPr>
        <w:spacing w:before="100" w:beforeAutospacing="1" w:after="100" w:afterAutospacing="1" w:line="240" w:lineRule="auto"/>
        <w:ind w:firstLine="567"/>
        <w:jc w:val="both"/>
      </w:pPr>
      <w:r>
        <w:t>Selection was purposive rather than exhaustive, consistent with the review design. Studies were retained where they contributed evidence on a theme identified during synthesis, where they represented a methodological improvement or corrective to earlier work, or where they reported findings inconsistent with the prevailing interpretation. Where several studies addressed the same question with comparable methods, preference was given to those with larger samples, clearer description of laboratory procedures and explicit reporting of comparison groups. No record counts are reported, since no systematic screening log with documented counts was maintained and the reporting of such figures for a narrative review would misrepresent the process.</w:t>
      </w:r>
    </w:p>
    <w:p w14:paraId="166D2E95" w14:textId="77777777" w:rsidR="00257D2E" w:rsidRDefault="00495EF8" w:rsidP="00A1194E">
      <w:pPr>
        <w:pStyle w:val="Heading2"/>
        <w:spacing w:before="100" w:beforeAutospacing="1" w:after="100" w:afterAutospacing="1" w:line="240" w:lineRule="auto"/>
      </w:pPr>
      <w:r>
        <w:rPr>
          <w:rFonts w:ascii="Times New Roman" w:hAnsi="Times New Roman"/>
          <w:b w:val="0"/>
        </w:rPr>
        <w:t>2.6 Critical Appraisal and Evidence Synthesis</w:t>
      </w:r>
    </w:p>
    <w:p w14:paraId="75A0C0D3" w14:textId="77777777" w:rsidR="00257D2E" w:rsidRDefault="00495EF8" w:rsidP="00A1194E">
      <w:pPr>
        <w:spacing w:before="100" w:beforeAutospacing="1" w:after="100" w:afterAutospacing="1" w:line="240" w:lineRule="auto"/>
        <w:ind w:firstLine="567"/>
        <w:jc w:val="both"/>
      </w:pPr>
      <w:r>
        <w:t xml:space="preserve">Studies were appraised against criteria appropriate to their design. For laboratory method studies, appraisal considered whether the reference procedure was specified, whether counting chambers, staining methods and assessment criteria were reported, whether replicate measurements were performed, and whether variability was quantified. For observational </w:t>
      </w:r>
      <w:proofErr w:type="spellStart"/>
      <w:r>
        <w:t>aetiological</w:t>
      </w:r>
      <w:proofErr w:type="spellEnd"/>
      <w:r>
        <w:t xml:space="preserve"> studies, appraisal considered the adequacy of the comparison group, the representativeness of sampling, the analytical validity of the diagnostic assay used to define exposure, control of confounding, and whether the design permitted temporal inference. For health systems studies, appraisal considered data provenance, completeness of the sampling frame and whether reported associations were adjusted. Formal risk-of-bias instruments were not applied, since the reporting available in most retrieved studies was insufficient for reliable scoring and the application of such tools without adequate information would generate a false impression of </w:t>
      </w:r>
      <w:proofErr w:type="spellStart"/>
      <w:r>
        <w:t>rigour</w:t>
      </w:r>
      <w:proofErr w:type="spellEnd"/>
      <w:r>
        <w:t>.</w:t>
      </w:r>
    </w:p>
    <w:p w14:paraId="33124F6C" w14:textId="77777777" w:rsidR="00257D2E" w:rsidRDefault="00495EF8" w:rsidP="00A1194E">
      <w:pPr>
        <w:spacing w:before="100" w:beforeAutospacing="1" w:after="100" w:afterAutospacing="1" w:line="240" w:lineRule="auto"/>
        <w:ind w:firstLine="567"/>
        <w:jc w:val="both"/>
      </w:pPr>
      <w:r>
        <w:t xml:space="preserve">Themes were developed inductively from the appraised evidence and </w:t>
      </w:r>
      <w:proofErr w:type="spellStart"/>
      <w:r>
        <w:t>organised</w:t>
      </w:r>
      <w:proofErr w:type="spellEnd"/>
      <w:r>
        <w:t xml:space="preserve"> around analytical problems rather than around test menus or disease categories. Where studies disagreed, the synthesis examined whether the discrepancy was attributable to differences in assay, case definition, comparison group or setting before considering substantive explanations. Claims were graded implicitly in the text through calibrated language, with stronger formulations reserved for findings replicated across independent samples using specified methods. Evidence from different disciplines was integrated only where the underlying constructs were compatible, and no attempt was made to reconcile analytical performance data with epidemiological estimates derived from self-report.</w:t>
      </w:r>
    </w:p>
    <w:p w14:paraId="607DA3F2" w14:textId="77777777" w:rsidR="00257D2E" w:rsidRDefault="00495EF8" w:rsidP="00A1194E">
      <w:pPr>
        <w:pStyle w:val="Heading1"/>
        <w:spacing w:before="100" w:beforeAutospacing="1" w:after="100" w:afterAutospacing="1" w:line="240" w:lineRule="auto"/>
      </w:pPr>
      <w:r>
        <w:rPr>
          <w:rFonts w:ascii="Times New Roman" w:hAnsi="Times New Roman"/>
          <w:b w:val="0"/>
        </w:rPr>
        <w:t>3. Measuring the Burden: What Laboratory Evidence Can and Cannot Establish</w:t>
      </w:r>
    </w:p>
    <w:p w14:paraId="4F076037" w14:textId="77777777" w:rsidR="00257D2E" w:rsidRDefault="00495EF8" w:rsidP="00A1194E">
      <w:pPr>
        <w:pStyle w:val="Heading2"/>
        <w:spacing w:before="100" w:beforeAutospacing="1" w:after="100" w:afterAutospacing="1" w:line="240" w:lineRule="auto"/>
      </w:pPr>
      <w:r>
        <w:rPr>
          <w:rFonts w:ascii="Times New Roman" w:hAnsi="Times New Roman"/>
          <w:b w:val="0"/>
        </w:rPr>
        <w:t>3.1 The Instability of Prevalence Estimates and Its Diagnostic Consequences</w:t>
      </w:r>
    </w:p>
    <w:p w14:paraId="69030DFF" w14:textId="77777777" w:rsidR="00257D2E" w:rsidRDefault="00495EF8" w:rsidP="00A1194E">
      <w:pPr>
        <w:spacing w:before="100" w:beforeAutospacing="1" w:after="100" w:afterAutospacing="1" w:line="240" w:lineRule="auto"/>
        <w:ind w:firstLine="567"/>
        <w:jc w:val="both"/>
      </w:pPr>
      <w:r>
        <w:t xml:space="preserve">Estimates of infertility prevalence in low- and middle-income settings are generated almost entirely without laboratory input. The pooled global figures of 17.5 per cent lifetime and 12.6 per cent period prevalence were derived from studies employing five distinct methodological approaches, including prospective and retrospective time-to-pregnancy designs, current duration </w:t>
      </w:r>
      <w:r>
        <w:lastRenderedPageBreak/>
        <w:t>methods, self-reported measures and constructed measures, and the ranges around those pooled values were extremely wide even after accounting for methodological and study characteristics (Cox et al., 2022). Statistical heterogeneity approached the maximum observable value, which indicates that the pooled figure describes a distribution of incompatible measurements rather than a common underlying quantity estimated with noise.</w:t>
      </w:r>
    </w:p>
    <w:p w14:paraId="353CDEAE" w14:textId="77777777" w:rsidR="00257D2E" w:rsidRDefault="00495EF8" w:rsidP="00A1194E">
      <w:pPr>
        <w:spacing w:before="100" w:beforeAutospacing="1" w:after="100" w:afterAutospacing="1" w:line="240" w:lineRule="auto"/>
        <w:ind w:firstLine="567"/>
        <w:jc w:val="both"/>
      </w:pPr>
      <w:r>
        <w:t>The regional literature reproduces this instability. The sub-Saharan African pooled estimate of 16.98 per cent, with a confidence interval extending from 11.62 to 22.33 per cent, was assembled from sixteen studies across ten countries (</w:t>
      </w:r>
      <w:proofErr w:type="spellStart"/>
      <w:r>
        <w:t>Gedef</w:t>
      </w:r>
      <w:proofErr w:type="spellEnd"/>
      <w:r>
        <w:t xml:space="preserve"> et al., 2025). Landscape analysis of assisted reproduction in low- and middle-income countries cited prevalence figures ranging from 3.5 to 16.7 per cent in those settings generally, with markedly higher figures reported for parts of sub-Saharan Africa (Chiware et al., 2021). The methodological analysis of survey data from four African countries clarified why such ranges arise: shifting the analytic sample from women actively attempting conception to all women exposed to unprotected intercourse substantially increased estimated prevalence within the same populations, and adjustments for recent injectable contraceptive use, </w:t>
      </w:r>
      <w:proofErr w:type="spellStart"/>
      <w:r>
        <w:t>unrecognised</w:t>
      </w:r>
      <w:proofErr w:type="spellEnd"/>
      <w:r>
        <w:t xml:space="preserve"> pregnancy and underreported contraception each moved the estimate further (Bell et al., 2024).</w:t>
      </w:r>
    </w:p>
    <w:p w14:paraId="7B379A64" w14:textId="77777777" w:rsidR="00257D2E" w:rsidRDefault="00495EF8" w:rsidP="00A1194E">
      <w:pPr>
        <w:spacing w:before="100" w:beforeAutospacing="1" w:after="100" w:afterAutospacing="1" w:line="240" w:lineRule="auto"/>
        <w:ind w:firstLine="567"/>
        <w:jc w:val="both"/>
      </w:pPr>
      <w:r>
        <w:t xml:space="preserve">The implication for laboratory science is not that population estimates are worthless but that they are the wrong instrument for service planning. A period prevalence derived from self-reported non-conception cannot indicate how many couples require semen examination, how many require assessment for tubal disease, or what proportion of apparent infertility reflects endocrine disorder amenable to inexpensive biochemical diagnosis. Health systems that plan diagnostic capacity from demographic estimates alone will systematically misjudge both the volume and the composition of demand. The alternative, which is to derive service requirements from clinic-based </w:t>
      </w:r>
      <w:proofErr w:type="spellStart"/>
      <w:r>
        <w:t>aetiological</w:t>
      </w:r>
      <w:proofErr w:type="spellEnd"/>
      <w:r>
        <w:t xml:space="preserve"> studies, encounters a different problem examined in the following subsection: those studies are themselves shaped by the diagnostic capacity available at the sites where they were conducted.</w:t>
      </w:r>
    </w:p>
    <w:p w14:paraId="1F2ADEB9" w14:textId="77777777" w:rsidR="00257D2E" w:rsidRDefault="00495EF8" w:rsidP="00A1194E">
      <w:pPr>
        <w:pStyle w:val="Heading2"/>
        <w:spacing w:before="100" w:beforeAutospacing="1" w:after="100" w:afterAutospacing="1" w:line="240" w:lineRule="auto"/>
      </w:pPr>
      <w:r>
        <w:rPr>
          <w:rFonts w:ascii="Times New Roman" w:hAnsi="Times New Roman"/>
          <w:b w:val="0"/>
        </w:rPr>
        <w:t xml:space="preserve">3.2 </w:t>
      </w:r>
      <w:proofErr w:type="spellStart"/>
      <w:r>
        <w:rPr>
          <w:rFonts w:ascii="Times New Roman" w:hAnsi="Times New Roman"/>
          <w:b w:val="0"/>
        </w:rPr>
        <w:t>Aetiological</w:t>
      </w:r>
      <w:proofErr w:type="spellEnd"/>
      <w:r>
        <w:rPr>
          <w:rFonts w:ascii="Times New Roman" w:hAnsi="Times New Roman"/>
          <w:b w:val="0"/>
        </w:rPr>
        <w:t xml:space="preserve"> Attribution and the Circularity of Clinic-Based Evidence</w:t>
      </w:r>
    </w:p>
    <w:p w14:paraId="4AAF245E" w14:textId="77777777" w:rsidR="00257D2E" w:rsidRDefault="00495EF8" w:rsidP="00A1194E">
      <w:pPr>
        <w:spacing w:before="100" w:beforeAutospacing="1" w:after="100" w:afterAutospacing="1" w:line="240" w:lineRule="auto"/>
        <w:ind w:firstLine="567"/>
        <w:jc w:val="both"/>
      </w:pPr>
      <w:r>
        <w:t xml:space="preserve">The </w:t>
      </w:r>
      <w:proofErr w:type="spellStart"/>
      <w:r>
        <w:t>aetiological</w:t>
      </w:r>
      <w:proofErr w:type="spellEnd"/>
      <w:r>
        <w:t xml:space="preserve"> profile most frequently reported for Nigeria assigns primacy to tubal factor and male factor causes. Clinical audit from Lagos described tubal disease and male factor as the dominant contributors and documented substantial delay before presentation to formal services (Adegbola &amp; Akindele, 2013). The Ogun State series found tubal pathology in 36.1 per cent and uterine pathology in 30.0 per cent of 230 women undergoing hysterosalpingography, with tubal blockage accounting for 82.5 per cent of tubal abnormalities and hydrosalpinx for the remainder; secondary infertility predominated over primary infertility by a wide margin, at 77.8 per cent against 22.2 per cent (Adekoya et al., 2024). The predominance of secondary infertility is </w:t>
      </w:r>
      <w:proofErr w:type="spellStart"/>
      <w:r>
        <w:t>aetiologically</w:t>
      </w:r>
      <w:proofErr w:type="spellEnd"/>
      <w:r>
        <w:t xml:space="preserve"> informative, since it is consistent with acquired tubal damage following pregnancy-related or sexually transmitted infection rather than with congenital or constitutional causes.</w:t>
      </w:r>
    </w:p>
    <w:p w14:paraId="3C12F6BA" w14:textId="77777777" w:rsidR="00257D2E" w:rsidRDefault="00495EF8" w:rsidP="00A1194E">
      <w:pPr>
        <w:spacing w:before="100" w:beforeAutospacing="1" w:after="100" w:afterAutospacing="1" w:line="240" w:lineRule="auto"/>
        <w:ind w:firstLine="567"/>
        <w:jc w:val="both"/>
      </w:pPr>
      <w:r>
        <w:t xml:space="preserve">The reference standard against which tubal status is defined introduces its own error. A prospective Nigerian study of 96 women who underwent both hysterosalpingography and </w:t>
      </w:r>
      <w:proofErr w:type="spellStart"/>
      <w:r>
        <w:t>hysterolaparoscopy</w:t>
      </w:r>
      <w:proofErr w:type="spellEnd"/>
      <w:r>
        <w:t xml:space="preserve"> with dye test reported diagnostic accuracy of 77.8 per cent, 76.3 per cent and </w:t>
      </w:r>
      <w:r>
        <w:lastRenderedPageBreak/>
        <w:t>78.3 per cent for right, left and bilateral tubal blockage respectively, with overall accuracy for tubal assessment of approximately 77 per cent (</w:t>
      </w:r>
      <w:proofErr w:type="spellStart"/>
      <w:r>
        <w:t>Igbodike</w:t>
      </w:r>
      <w:proofErr w:type="spellEnd"/>
      <w:r>
        <w:t xml:space="preserve"> et al., 2022). Roughly one in four tubal classifications based on hysterosalpingography therefore diverges from the laparoscopic finding. Studies that recruit on the basis of hysterosalpingography and then attribute tubal disease to an infectious exposure inherit this misclassification, which will generally attenuate rather than inflate observed associations, but which also means that the case definitions used across the Nigerian literature are not equivalent.</w:t>
      </w:r>
    </w:p>
    <w:p w14:paraId="3E900979" w14:textId="77777777" w:rsidR="00257D2E" w:rsidRDefault="00495EF8" w:rsidP="00A1194E">
      <w:pPr>
        <w:spacing w:before="100" w:beforeAutospacing="1" w:after="100" w:afterAutospacing="1" w:line="240" w:lineRule="auto"/>
        <w:ind w:firstLine="567"/>
        <w:jc w:val="both"/>
      </w:pPr>
      <w:r>
        <w:t xml:space="preserve">The interpretive difficulty is that these proportions are conditioned on the investigations performed. A study that recruits women referred for hysterosalpingography will report tubal disease at high frequency because tubal assessment is the reason for referral. Where male partners are not systematically evaluated, male factor will be </w:t>
      </w:r>
      <w:proofErr w:type="spellStart"/>
      <w:r>
        <w:t>underascertained</w:t>
      </w:r>
      <w:proofErr w:type="spellEnd"/>
      <w:r>
        <w:t>; where ovarian reserve and thyroid function are not measured, endocrine causes will be invisible. The regional male infertility literature has drawn attention to this asymmetry, noting that evaluation of the male partner in sub-Saharan Africa is frequently deferred, incomplete or omitted despite the male contribution being substantial (</w:t>
      </w:r>
      <w:proofErr w:type="spellStart"/>
      <w:r>
        <w:t>Muteshi</w:t>
      </w:r>
      <w:proofErr w:type="spellEnd"/>
      <w:r>
        <w:t xml:space="preserve"> &amp; Chesire, 2025). Global synthesis places male factor involvement at a level that cannot be reconciled with the low ascertainment reported from many African </w:t>
      </w:r>
      <w:proofErr w:type="spellStart"/>
      <w:r>
        <w:t>centres</w:t>
      </w:r>
      <w:proofErr w:type="spellEnd"/>
      <w:r>
        <w:t xml:space="preserve"> (Agarwal et al., 2015). The discrepancy is more plausibly explained by differential investigation than by biological difference between populations.</w:t>
      </w:r>
    </w:p>
    <w:p w14:paraId="36C840DF" w14:textId="77777777" w:rsidR="00257D2E" w:rsidRDefault="00495EF8" w:rsidP="00A1194E">
      <w:pPr>
        <w:spacing w:before="100" w:beforeAutospacing="1" w:after="100" w:afterAutospacing="1" w:line="240" w:lineRule="auto"/>
        <w:ind w:firstLine="567"/>
        <w:jc w:val="both"/>
      </w:pPr>
      <w:r>
        <w:t>A second difficulty concerns the exposure measures used to attribute causation. The Nigerian tubal infertility literature relies overwhelmingly on chlamydial antibody testing, an approach examined in detail in Section 5. Studies using this method have reported strong associations: seropositivity of 63.9 per cent among 147 women with tubal blockage confirmed at laparoscopy against 25.2 per cent among pregnant controls in Ogun State (</w:t>
      </w:r>
      <w:proofErr w:type="spellStart"/>
      <w:r>
        <w:t>Odelola</w:t>
      </w:r>
      <w:proofErr w:type="spellEnd"/>
      <w:r>
        <w:t xml:space="preserve"> &amp; </w:t>
      </w:r>
      <w:proofErr w:type="spellStart"/>
      <w:r>
        <w:t>Akadri</w:t>
      </w:r>
      <w:proofErr w:type="spellEnd"/>
      <w:r>
        <w:t>, 2023), and 81.2 per cent against 13.5 per cent in a case-control study of 96 case-control pairs in Imo State, yielding an odds ratio of 27.7 with a confidence interval from 12.7 to 60.2 (</w:t>
      </w:r>
      <w:proofErr w:type="spellStart"/>
      <w:r>
        <w:t>Onyeabochukwu</w:t>
      </w:r>
      <w:proofErr w:type="spellEnd"/>
      <w:r>
        <w:t xml:space="preserve"> et al., 2021). Effect sizes of this magnitude in observational studies of a common exposure warrant scrutiny rather than acceptance, particularly where the comparison group is drawn from pregnant women, whose fertility status is by definition different and whose exposure history may differ systematically.</w:t>
      </w:r>
    </w:p>
    <w:p w14:paraId="3B6D83A7" w14:textId="77777777" w:rsidR="00257D2E" w:rsidRDefault="00495EF8" w:rsidP="00A1194E">
      <w:pPr>
        <w:spacing w:before="100" w:beforeAutospacing="1" w:after="100" w:afterAutospacing="1" w:line="240" w:lineRule="auto"/>
        <w:ind w:firstLine="567"/>
        <w:jc w:val="both"/>
      </w:pPr>
      <w:r>
        <w:t>A third line of evidence concerns the genital microbiota. Bacterial vaginosis was detected using Amsel criteria in 28.1 per cent of 178 women with tubal factor infertility against 7.9 per cent of an equal number of fertile controls in Port Harcourt, with strong associations reported for low socioeconomic class, vaginal douching and use of vaginal drying agents (</w:t>
      </w:r>
      <w:proofErr w:type="spellStart"/>
      <w:r>
        <w:t>Durugbo</w:t>
      </w:r>
      <w:proofErr w:type="spellEnd"/>
      <w:r>
        <w:t xml:space="preserve"> et al., 2015). The </w:t>
      </w:r>
      <w:proofErr w:type="spellStart"/>
      <w:r>
        <w:t>behavioural</w:t>
      </w:r>
      <w:proofErr w:type="spellEnd"/>
      <w:r>
        <w:t xml:space="preserve"> associations are as informative as the microbiological one, since they identify modifiable practices, but the cross-sectional design cannot establish whether dysbiosis preceded tubal damage or followed the same exposures that produced it.</w:t>
      </w:r>
    </w:p>
    <w:p w14:paraId="736072EF" w14:textId="77777777" w:rsidR="00257D2E" w:rsidRDefault="00495EF8" w:rsidP="00A1194E">
      <w:pPr>
        <w:spacing w:before="100" w:beforeAutospacing="1" w:after="100" w:afterAutospacing="1" w:line="240" w:lineRule="auto"/>
        <w:ind w:firstLine="567"/>
        <w:jc w:val="both"/>
      </w:pPr>
      <w:r>
        <w:t xml:space="preserve">Comparative evidence from elsewhere in the region shows a similar pattern of infection-associated risk with weak causal architecture. A survey and medical records study in Tanzania identified obstetric and infectious antecedents as prominent among women presenting with infertility and documented substantial barriers to obtaining treatment (Groene et al., 2023). Meta-analytic synthesis across sub-Saharan Africa reported that obstetric complications carried the strongest association with infertility, with an odds ratio of 7.94, followed by sexually transmitted </w:t>
      </w:r>
      <w:r>
        <w:lastRenderedPageBreak/>
        <w:t>infection and pelvic inflammatory disease at 3.24, substance use at 3.84 and increasing female age at 2.19 (</w:t>
      </w:r>
      <w:proofErr w:type="spellStart"/>
      <w:r>
        <w:t>Gedef</w:t>
      </w:r>
      <w:proofErr w:type="spellEnd"/>
      <w:r>
        <w:t xml:space="preserve"> et al., 2025). These pooled associations derive from studies with heterogeneous exposure definitions, and the confidence intervals reported for the strongest association are wide.</w:t>
      </w:r>
    </w:p>
    <w:p w14:paraId="56262FC9" w14:textId="77777777" w:rsidR="00257D2E" w:rsidRDefault="00495EF8" w:rsidP="00A1194E">
      <w:pPr>
        <w:spacing w:before="100" w:beforeAutospacing="1" w:after="100" w:afterAutospacing="1" w:line="240" w:lineRule="auto"/>
        <w:ind w:firstLine="567"/>
        <w:jc w:val="both"/>
      </w:pPr>
      <w:r>
        <w:t xml:space="preserve">Table 2 </w:t>
      </w:r>
      <w:proofErr w:type="spellStart"/>
      <w:r>
        <w:t>summarises</w:t>
      </w:r>
      <w:proofErr w:type="spellEnd"/>
      <w:r>
        <w:t xml:space="preserve"> the principal </w:t>
      </w:r>
      <w:proofErr w:type="spellStart"/>
      <w:r>
        <w:t>aetiological</w:t>
      </w:r>
      <w:proofErr w:type="spellEnd"/>
      <w:r>
        <w:t xml:space="preserve"> findings from Nigerian and comparable sub-Saharan African studies together with an assessment of what each design can and cannot support. The table is intended to display the mismatch between the strength of the reported associations and the strength of the designs generating them. Two patterns are visible. First, the largest effect estimates come from the smallest studies using serological exposure definitions, which is the configuration in which selection and misclassification bias are most likely to inflate associations. Second, no retrieved study from Nigeria employed nucleic acid amplification testing to define current infection in an infertile population with an appropriate fertile comparison group, which means that the causal claim most frequently made in the Nigerian literature has not been tested with the method best suited to testing it.</w:t>
      </w:r>
    </w:p>
    <w:p w14:paraId="120420B1" w14:textId="77777777" w:rsidR="00257D2E" w:rsidRDefault="00495EF8" w:rsidP="00A1194E">
      <w:pPr>
        <w:keepNext/>
        <w:spacing w:before="100" w:beforeAutospacing="1" w:after="100" w:afterAutospacing="1" w:line="240" w:lineRule="auto"/>
      </w:pPr>
      <w:r>
        <w:rPr>
          <w:b/>
          <w:sz w:val="22"/>
        </w:rPr>
        <w:t xml:space="preserve">Table 2. </w:t>
      </w:r>
      <w:r>
        <w:rPr>
          <w:sz w:val="22"/>
        </w:rPr>
        <w:t xml:space="preserve">Reported </w:t>
      </w:r>
      <w:proofErr w:type="spellStart"/>
      <w:r>
        <w:rPr>
          <w:sz w:val="22"/>
        </w:rPr>
        <w:t>aetiological</w:t>
      </w:r>
      <w:proofErr w:type="spellEnd"/>
      <w:r>
        <w:rPr>
          <w:sz w:val="22"/>
        </w:rPr>
        <w:t xml:space="preserve"> associations for infertility in Nigeria and comparable sub-Saharan African settings, with design limitations</w:t>
      </w:r>
    </w:p>
    <w:tbl>
      <w:tblPr>
        <w:tblStyle w:val="TableGrid"/>
        <w:tblW w:w="5000" w:type="pct"/>
        <w:jc w:val="center"/>
        <w:tblLook w:val="04A0" w:firstRow="1" w:lastRow="0" w:firstColumn="1" w:lastColumn="0" w:noHBand="0" w:noVBand="1"/>
      </w:tblPr>
      <w:tblGrid>
        <w:gridCol w:w="1802"/>
        <w:gridCol w:w="1947"/>
        <w:gridCol w:w="2315"/>
        <w:gridCol w:w="2008"/>
        <w:gridCol w:w="1504"/>
      </w:tblGrid>
      <w:tr w:rsidR="00257D2E" w14:paraId="59AF9BAB" w14:textId="77777777" w:rsidTr="00A1194E">
        <w:trPr>
          <w:jc w:val="center"/>
        </w:trPr>
        <w:tc>
          <w:tcPr>
            <w:tcW w:w="1010" w:type="pct"/>
            <w:shd w:val="clear" w:color="auto" w:fill="E8E8E8"/>
          </w:tcPr>
          <w:p w14:paraId="4366E4A4" w14:textId="77777777" w:rsidR="00257D2E" w:rsidRDefault="00495EF8" w:rsidP="00A1194E">
            <w:pPr>
              <w:spacing w:before="100" w:beforeAutospacing="1" w:after="100" w:afterAutospacing="1" w:line="240" w:lineRule="auto"/>
            </w:pPr>
            <w:r>
              <w:rPr>
                <w:b/>
                <w:sz w:val="19"/>
              </w:rPr>
              <w:t>Reported association</w:t>
            </w:r>
          </w:p>
        </w:tc>
        <w:tc>
          <w:tcPr>
            <w:tcW w:w="1011" w:type="pct"/>
            <w:shd w:val="clear" w:color="auto" w:fill="E8E8E8"/>
          </w:tcPr>
          <w:p w14:paraId="5D5E4636" w14:textId="77777777" w:rsidR="00257D2E" w:rsidRDefault="00495EF8" w:rsidP="00A1194E">
            <w:pPr>
              <w:spacing w:before="100" w:beforeAutospacing="1" w:after="100" w:afterAutospacing="1" w:line="240" w:lineRule="auto"/>
            </w:pPr>
            <w:r>
              <w:rPr>
                <w:b/>
                <w:sz w:val="19"/>
              </w:rPr>
              <w:t>Setting and sample</w:t>
            </w:r>
          </w:p>
        </w:tc>
        <w:tc>
          <w:tcPr>
            <w:tcW w:w="1277" w:type="pct"/>
            <w:shd w:val="clear" w:color="auto" w:fill="E8E8E8"/>
          </w:tcPr>
          <w:p w14:paraId="04B86F45" w14:textId="77777777" w:rsidR="00257D2E" w:rsidRDefault="00495EF8" w:rsidP="00A1194E">
            <w:pPr>
              <w:spacing w:before="100" w:beforeAutospacing="1" w:after="100" w:afterAutospacing="1" w:line="240" w:lineRule="auto"/>
            </w:pPr>
            <w:r>
              <w:rPr>
                <w:b/>
                <w:sz w:val="19"/>
              </w:rPr>
              <w:t>Principal finding</w:t>
            </w:r>
          </w:p>
        </w:tc>
        <w:tc>
          <w:tcPr>
            <w:tcW w:w="1117" w:type="pct"/>
            <w:shd w:val="clear" w:color="auto" w:fill="E8E8E8"/>
          </w:tcPr>
          <w:p w14:paraId="329161E4" w14:textId="77777777" w:rsidR="00257D2E" w:rsidRDefault="00495EF8" w:rsidP="00A1194E">
            <w:pPr>
              <w:spacing w:before="100" w:beforeAutospacing="1" w:after="100" w:afterAutospacing="1" w:line="240" w:lineRule="auto"/>
            </w:pPr>
            <w:r>
              <w:rPr>
                <w:b/>
                <w:sz w:val="19"/>
              </w:rPr>
              <w:t>Design limitation constraining inference</w:t>
            </w:r>
          </w:p>
        </w:tc>
        <w:tc>
          <w:tcPr>
            <w:tcW w:w="585" w:type="pct"/>
            <w:shd w:val="clear" w:color="auto" w:fill="E8E8E8"/>
          </w:tcPr>
          <w:p w14:paraId="0E6527AC" w14:textId="77777777" w:rsidR="00257D2E" w:rsidRDefault="00495EF8" w:rsidP="00A1194E">
            <w:pPr>
              <w:spacing w:before="100" w:beforeAutospacing="1" w:after="100" w:afterAutospacing="1" w:line="240" w:lineRule="auto"/>
            </w:pPr>
            <w:r>
              <w:rPr>
                <w:b/>
                <w:sz w:val="19"/>
              </w:rPr>
              <w:t>Supporting references</w:t>
            </w:r>
          </w:p>
        </w:tc>
      </w:tr>
      <w:tr w:rsidR="00257D2E" w14:paraId="41C2F144" w14:textId="77777777" w:rsidTr="00A1194E">
        <w:trPr>
          <w:jc w:val="center"/>
        </w:trPr>
        <w:tc>
          <w:tcPr>
            <w:tcW w:w="1010" w:type="pct"/>
          </w:tcPr>
          <w:p w14:paraId="40F3D313" w14:textId="77777777" w:rsidR="00257D2E" w:rsidRDefault="00495EF8" w:rsidP="00A1194E">
            <w:pPr>
              <w:spacing w:before="100" w:beforeAutospacing="1" w:after="100" w:afterAutospacing="1" w:line="240" w:lineRule="auto"/>
            </w:pPr>
            <w:r>
              <w:rPr>
                <w:sz w:val="19"/>
              </w:rPr>
              <w:t>Chlamydial seropositivity and tubal blockage</w:t>
            </w:r>
          </w:p>
        </w:tc>
        <w:tc>
          <w:tcPr>
            <w:tcW w:w="1011" w:type="pct"/>
          </w:tcPr>
          <w:p w14:paraId="64F56594" w14:textId="77777777" w:rsidR="00257D2E" w:rsidRDefault="00495EF8" w:rsidP="00A1194E">
            <w:pPr>
              <w:spacing w:before="100" w:beforeAutospacing="1" w:after="100" w:afterAutospacing="1" w:line="240" w:lineRule="auto"/>
            </w:pPr>
            <w:r>
              <w:rPr>
                <w:sz w:val="19"/>
              </w:rPr>
              <w:t>Ogun State, Nigeria; 147 women with tubal blockage and pregnant controls</w:t>
            </w:r>
          </w:p>
        </w:tc>
        <w:tc>
          <w:tcPr>
            <w:tcW w:w="1277" w:type="pct"/>
          </w:tcPr>
          <w:p w14:paraId="3546CB43" w14:textId="77777777" w:rsidR="00257D2E" w:rsidRDefault="00495EF8" w:rsidP="00A1194E">
            <w:pPr>
              <w:spacing w:before="100" w:beforeAutospacing="1" w:after="100" w:afterAutospacing="1" w:line="240" w:lineRule="auto"/>
            </w:pPr>
            <w:r>
              <w:rPr>
                <w:sz w:val="19"/>
              </w:rPr>
              <w:t>Seropositivity 63.9 per cent in cases against 25.2 per cent in controls</w:t>
            </w:r>
          </w:p>
        </w:tc>
        <w:tc>
          <w:tcPr>
            <w:tcW w:w="1117" w:type="pct"/>
          </w:tcPr>
          <w:p w14:paraId="77F0A3C6" w14:textId="77777777" w:rsidR="00257D2E" w:rsidRDefault="00495EF8" w:rsidP="00A1194E">
            <w:pPr>
              <w:spacing w:before="100" w:beforeAutospacing="1" w:after="100" w:afterAutospacing="1" w:line="240" w:lineRule="auto"/>
            </w:pPr>
            <w:r>
              <w:rPr>
                <w:sz w:val="19"/>
              </w:rPr>
              <w:t>Serology indicates past exposure, not current infection or causation; pregnant comparison group differs systematically in fertility status</w:t>
            </w:r>
          </w:p>
        </w:tc>
        <w:tc>
          <w:tcPr>
            <w:tcW w:w="585" w:type="pct"/>
          </w:tcPr>
          <w:p w14:paraId="65C7EC59" w14:textId="77777777" w:rsidR="00257D2E" w:rsidRDefault="00495EF8" w:rsidP="00A1194E">
            <w:pPr>
              <w:spacing w:before="100" w:beforeAutospacing="1" w:after="100" w:afterAutospacing="1" w:line="240" w:lineRule="auto"/>
            </w:pPr>
            <w:proofErr w:type="spellStart"/>
            <w:r>
              <w:rPr>
                <w:sz w:val="19"/>
              </w:rPr>
              <w:t>Odelola</w:t>
            </w:r>
            <w:proofErr w:type="spellEnd"/>
            <w:r>
              <w:rPr>
                <w:sz w:val="19"/>
              </w:rPr>
              <w:t xml:space="preserve"> &amp; </w:t>
            </w:r>
            <w:proofErr w:type="spellStart"/>
            <w:r>
              <w:rPr>
                <w:sz w:val="19"/>
              </w:rPr>
              <w:t>Akadri</w:t>
            </w:r>
            <w:proofErr w:type="spellEnd"/>
            <w:r>
              <w:rPr>
                <w:sz w:val="19"/>
              </w:rPr>
              <w:t xml:space="preserve"> (2023)</w:t>
            </w:r>
          </w:p>
        </w:tc>
      </w:tr>
      <w:tr w:rsidR="00257D2E" w14:paraId="6F6B40E2" w14:textId="77777777" w:rsidTr="00A1194E">
        <w:trPr>
          <w:jc w:val="center"/>
        </w:trPr>
        <w:tc>
          <w:tcPr>
            <w:tcW w:w="1010" w:type="pct"/>
          </w:tcPr>
          <w:p w14:paraId="6EAE9CDC" w14:textId="77777777" w:rsidR="00257D2E" w:rsidRDefault="00495EF8" w:rsidP="00A1194E">
            <w:pPr>
              <w:spacing w:before="100" w:beforeAutospacing="1" w:after="100" w:afterAutospacing="1" w:line="240" w:lineRule="auto"/>
            </w:pPr>
            <w:r>
              <w:rPr>
                <w:sz w:val="19"/>
              </w:rPr>
              <w:t>Chlamydial seropositivity and tubal infertility</w:t>
            </w:r>
          </w:p>
        </w:tc>
        <w:tc>
          <w:tcPr>
            <w:tcW w:w="1011" w:type="pct"/>
          </w:tcPr>
          <w:p w14:paraId="3BC497FD" w14:textId="77777777" w:rsidR="00257D2E" w:rsidRDefault="00495EF8" w:rsidP="00A1194E">
            <w:pPr>
              <w:spacing w:before="100" w:beforeAutospacing="1" w:after="100" w:afterAutospacing="1" w:line="240" w:lineRule="auto"/>
            </w:pPr>
            <w:r>
              <w:rPr>
                <w:sz w:val="19"/>
              </w:rPr>
              <w:t>Imo State, Nigeria; 96 cases and 96 age-matched pregnant controls</w:t>
            </w:r>
          </w:p>
        </w:tc>
        <w:tc>
          <w:tcPr>
            <w:tcW w:w="1277" w:type="pct"/>
          </w:tcPr>
          <w:p w14:paraId="00078654" w14:textId="77777777" w:rsidR="00257D2E" w:rsidRDefault="00495EF8" w:rsidP="00A1194E">
            <w:pPr>
              <w:spacing w:before="100" w:beforeAutospacing="1" w:after="100" w:afterAutospacing="1" w:line="240" w:lineRule="auto"/>
            </w:pPr>
            <w:r>
              <w:rPr>
                <w:sz w:val="19"/>
              </w:rPr>
              <w:t>Seropositivity 81.2 per cent against 13.5 per cent; odds ratio 27.7</w:t>
            </w:r>
          </w:p>
        </w:tc>
        <w:tc>
          <w:tcPr>
            <w:tcW w:w="1117" w:type="pct"/>
          </w:tcPr>
          <w:p w14:paraId="3BB8E795" w14:textId="77777777" w:rsidR="00257D2E" w:rsidRDefault="00495EF8" w:rsidP="00A1194E">
            <w:pPr>
              <w:spacing w:before="100" w:beforeAutospacing="1" w:after="100" w:afterAutospacing="1" w:line="240" w:lineRule="auto"/>
            </w:pPr>
            <w:r>
              <w:rPr>
                <w:sz w:val="19"/>
              </w:rPr>
              <w:t>Very large effect estimate from small single-</w:t>
            </w:r>
            <w:proofErr w:type="spellStart"/>
            <w:r>
              <w:rPr>
                <w:sz w:val="19"/>
              </w:rPr>
              <w:t>centre</w:t>
            </w:r>
            <w:proofErr w:type="spellEnd"/>
            <w:r>
              <w:rPr>
                <w:sz w:val="19"/>
              </w:rPr>
              <w:t xml:space="preserve"> sample; assay specificity not independently established; wide confidence interval</w:t>
            </w:r>
          </w:p>
        </w:tc>
        <w:tc>
          <w:tcPr>
            <w:tcW w:w="585" w:type="pct"/>
          </w:tcPr>
          <w:p w14:paraId="3F991945" w14:textId="77777777" w:rsidR="00257D2E" w:rsidRDefault="00495EF8" w:rsidP="00A1194E">
            <w:pPr>
              <w:spacing w:before="100" w:beforeAutospacing="1" w:after="100" w:afterAutospacing="1" w:line="240" w:lineRule="auto"/>
            </w:pPr>
            <w:proofErr w:type="spellStart"/>
            <w:r>
              <w:rPr>
                <w:sz w:val="19"/>
              </w:rPr>
              <w:t>Onyeabochukwu</w:t>
            </w:r>
            <w:proofErr w:type="spellEnd"/>
            <w:r>
              <w:rPr>
                <w:sz w:val="19"/>
              </w:rPr>
              <w:t xml:space="preserve"> et al. (2021)</w:t>
            </w:r>
          </w:p>
        </w:tc>
      </w:tr>
      <w:tr w:rsidR="00257D2E" w14:paraId="1FEEF1F0" w14:textId="77777777" w:rsidTr="00A1194E">
        <w:trPr>
          <w:jc w:val="center"/>
        </w:trPr>
        <w:tc>
          <w:tcPr>
            <w:tcW w:w="1010" w:type="pct"/>
          </w:tcPr>
          <w:p w14:paraId="00A50F9F" w14:textId="77777777" w:rsidR="00257D2E" w:rsidRDefault="00495EF8" w:rsidP="00A1194E">
            <w:pPr>
              <w:spacing w:before="100" w:beforeAutospacing="1" w:after="100" w:afterAutospacing="1" w:line="240" w:lineRule="auto"/>
            </w:pPr>
            <w:r>
              <w:rPr>
                <w:sz w:val="19"/>
              </w:rPr>
              <w:t>Bacterial vaginosis and tubal factor infertility</w:t>
            </w:r>
          </w:p>
        </w:tc>
        <w:tc>
          <w:tcPr>
            <w:tcW w:w="1011" w:type="pct"/>
          </w:tcPr>
          <w:p w14:paraId="5755016E" w14:textId="77777777" w:rsidR="00257D2E" w:rsidRDefault="00495EF8" w:rsidP="00A1194E">
            <w:pPr>
              <w:spacing w:before="100" w:beforeAutospacing="1" w:after="100" w:afterAutospacing="1" w:line="240" w:lineRule="auto"/>
            </w:pPr>
            <w:r>
              <w:rPr>
                <w:sz w:val="19"/>
              </w:rPr>
              <w:t>Port Harcourt, Nigeria; 178 cases and 178 fertile controls</w:t>
            </w:r>
          </w:p>
        </w:tc>
        <w:tc>
          <w:tcPr>
            <w:tcW w:w="1277" w:type="pct"/>
          </w:tcPr>
          <w:p w14:paraId="7324BB6A" w14:textId="77777777" w:rsidR="00257D2E" w:rsidRDefault="00495EF8" w:rsidP="00A1194E">
            <w:pPr>
              <w:spacing w:before="100" w:beforeAutospacing="1" w:after="100" w:afterAutospacing="1" w:line="240" w:lineRule="auto"/>
            </w:pPr>
            <w:r>
              <w:rPr>
                <w:sz w:val="19"/>
              </w:rPr>
              <w:t>Bacterial vaginosis in 28.1 per cent against 7.9 per cent; strong associations with douching and drying agents</w:t>
            </w:r>
          </w:p>
        </w:tc>
        <w:tc>
          <w:tcPr>
            <w:tcW w:w="1117" w:type="pct"/>
          </w:tcPr>
          <w:p w14:paraId="6336D0BC" w14:textId="77777777" w:rsidR="00257D2E" w:rsidRDefault="00495EF8" w:rsidP="00A1194E">
            <w:pPr>
              <w:spacing w:before="100" w:beforeAutospacing="1" w:after="100" w:afterAutospacing="1" w:line="240" w:lineRule="auto"/>
            </w:pPr>
            <w:r>
              <w:rPr>
                <w:sz w:val="19"/>
              </w:rPr>
              <w:t>Cross-sectional design cannot establish temporal ordering; Amsel criteria are observer-dependent</w:t>
            </w:r>
          </w:p>
        </w:tc>
        <w:tc>
          <w:tcPr>
            <w:tcW w:w="585" w:type="pct"/>
          </w:tcPr>
          <w:p w14:paraId="48F2A69F" w14:textId="77777777" w:rsidR="00257D2E" w:rsidRDefault="00495EF8" w:rsidP="00A1194E">
            <w:pPr>
              <w:spacing w:before="100" w:beforeAutospacing="1" w:after="100" w:afterAutospacing="1" w:line="240" w:lineRule="auto"/>
            </w:pPr>
            <w:proofErr w:type="spellStart"/>
            <w:r>
              <w:rPr>
                <w:sz w:val="19"/>
              </w:rPr>
              <w:t>Durugbo</w:t>
            </w:r>
            <w:proofErr w:type="spellEnd"/>
            <w:r>
              <w:rPr>
                <w:sz w:val="19"/>
              </w:rPr>
              <w:t xml:space="preserve"> et al. (2015)</w:t>
            </w:r>
          </w:p>
        </w:tc>
      </w:tr>
      <w:tr w:rsidR="00257D2E" w14:paraId="61DD2282" w14:textId="77777777" w:rsidTr="00A1194E">
        <w:trPr>
          <w:jc w:val="center"/>
        </w:trPr>
        <w:tc>
          <w:tcPr>
            <w:tcW w:w="1010" w:type="pct"/>
          </w:tcPr>
          <w:p w14:paraId="2CC4454D" w14:textId="77777777" w:rsidR="00257D2E" w:rsidRDefault="00495EF8" w:rsidP="00A1194E">
            <w:pPr>
              <w:spacing w:before="100" w:beforeAutospacing="1" w:after="100" w:afterAutospacing="1" w:line="240" w:lineRule="auto"/>
            </w:pPr>
            <w:r>
              <w:rPr>
                <w:sz w:val="19"/>
              </w:rPr>
              <w:t>Tubal and uterine pathology with genital tract organisms</w:t>
            </w:r>
          </w:p>
        </w:tc>
        <w:tc>
          <w:tcPr>
            <w:tcW w:w="1011" w:type="pct"/>
          </w:tcPr>
          <w:p w14:paraId="00A36EE6" w14:textId="77777777" w:rsidR="00257D2E" w:rsidRDefault="00495EF8" w:rsidP="00A1194E">
            <w:pPr>
              <w:spacing w:before="100" w:beforeAutospacing="1" w:after="100" w:afterAutospacing="1" w:line="240" w:lineRule="auto"/>
            </w:pPr>
            <w:r>
              <w:rPr>
                <w:sz w:val="19"/>
              </w:rPr>
              <w:t>Ogun State, Nigeria; 230 women referred for hysterosalpingography</w:t>
            </w:r>
          </w:p>
        </w:tc>
        <w:tc>
          <w:tcPr>
            <w:tcW w:w="1277" w:type="pct"/>
          </w:tcPr>
          <w:p w14:paraId="18E20B74" w14:textId="77777777" w:rsidR="00257D2E" w:rsidRDefault="00495EF8" w:rsidP="00A1194E">
            <w:pPr>
              <w:spacing w:before="100" w:beforeAutospacing="1" w:after="100" w:afterAutospacing="1" w:line="240" w:lineRule="auto"/>
            </w:pPr>
            <w:r>
              <w:rPr>
                <w:sz w:val="19"/>
              </w:rPr>
              <w:t>Tubal pathology 36.1 per cent, uterine pathology 30.0 per cent; organisms isolated from a minority of swabs</w:t>
            </w:r>
          </w:p>
        </w:tc>
        <w:tc>
          <w:tcPr>
            <w:tcW w:w="1117" w:type="pct"/>
          </w:tcPr>
          <w:p w14:paraId="32DE26D4" w14:textId="77777777" w:rsidR="00257D2E" w:rsidRDefault="00495EF8" w:rsidP="00A1194E">
            <w:pPr>
              <w:spacing w:before="100" w:beforeAutospacing="1" w:after="100" w:afterAutospacing="1" w:line="240" w:lineRule="auto"/>
            </w:pPr>
            <w:r>
              <w:rPr>
                <w:sz w:val="19"/>
              </w:rPr>
              <w:t>Referral-conditioned sample inflates apparent tubal contribution; no male partner data</w:t>
            </w:r>
          </w:p>
        </w:tc>
        <w:tc>
          <w:tcPr>
            <w:tcW w:w="585" w:type="pct"/>
          </w:tcPr>
          <w:p w14:paraId="0F844F26" w14:textId="77777777" w:rsidR="00257D2E" w:rsidRDefault="00495EF8" w:rsidP="00A1194E">
            <w:pPr>
              <w:spacing w:before="100" w:beforeAutospacing="1" w:after="100" w:afterAutospacing="1" w:line="240" w:lineRule="auto"/>
            </w:pPr>
            <w:r>
              <w:rPr>
                <w:sz w:val="19"/>
              </w:rPr>
              <w:t>Adekoya et al. (2024)</w:t>
            </w:r>
          </w:p>
        </w:tc>
      </w:tr>
      <w:tr w:rsidR="00257D2E" w14:paraId="06066874" w14:textId="77777777" w:rsidTr="00A1194E">
        <w:trPr>
          <w:jc w:val="center"/>
        </w:trPr>
        <w:tc>
          <w:tcPr>
            <w:tcW w:w="1010" w:type="pct"/>
          </w:tcPr>
          <w:p w14:paraId="7B81B22C" w14:textId="77777777" w:rsidR="00257D2E" w:rsidRDefault="00495EF8" w:rsidP="00A1194E">
            <w:pPr>
              <w:spacing w:before="100" w:beforeAutospacing="1" w:after="100" w:afterAutospacing="1" w:line="240" w:lineRule="auto"/>
            </w:pPr>
            <w:r>
              <w:rPr>
                <w:sz w:val="19"/>
              </w:rPr>
              <w:t>Obstetric complications, sexually transmitted infection and substance use</w:t>
            </w:r>
          </w:p>
        </w:tc>
        <w:tc>
          <w:tcPr>
            <w:tcW w:w="1011" w:type="pct"/>
          </w:tcPr>
          <w:p w14:paraId="399D3B85" w14:textId="77777777" w:rsidR="00257D2E" w:rsidRDefault="00495EF8" w:rsidP="00A1194E">
            <w:pPr>
              <w:spacing w:before="100" w:beforeAutospacing="1" w:after="100" w:afterAutospacing="1" w:line="240" w:lineRule="auto"/>
            </w:pPr>
            <w:r>
              <w:rPr>
                <w:sz w:val="19"/>
              </w:rPr>
              <w:t>Sub-Saharan Africa; 16 studies, 22,303 participants</w:t>
            </w:r>
          </w:p>
        </w:tc>
        <w:tc>
          <w:tcPr>
            <w:tcW w:w="1277" w:type="pct"/>
          </w:tcPr>
          <w:p w14:paraId="600128C4" w14:textId="77777777" w:rsidR="00257D2E" w:rsidRDefault="00495EF8" w:rsidP="00A1194E">
            <w:pPr>
              <w:spacing w:before="100" w:beforeAutospacing="1" w:after="100" w:afterAutospacing="1" w:line="240" w:lineRule="auto"/>
            </w:pPr>
            <w:r>
              <w:rPr>
                <w:sz w:val="19"/>
              </w:rPr>
              <w:t>Pooled prevalence 16.98 per cent; odds ratios 7.94, 3.24 and 3.84 respectively</w:t>
            </w:r>
          </w:p>
        </w:tc>
        <w:tc>
          <w:tcPr>
            <w:tcW w:w="1117" w:type="pct"/>
          </w:tcPr>
          <w:p w14:paraId="2785E409" w14:textId="77777777" w:rsidR="00257D2E" w:rsidRDefault="00495EF8" w:rsidP="00A1194E">
            <w:pPr>
              <w:spacing w:before="100" w:beforeAutospacing="1" w:after="100" w:afterAutospacing="1" w:line="240" w:lineRule="auto"/>
            </w:pPr>
            <w:r>
              <w:rPr>
                <w:sz w:val="19"/>
              </w:rPr>
              <w:t>Heterogeneous exposure definitions across primary studies; wide confidence intervals; residual confounding likely</w:t>
            </w:r>
          </w:p>
        </w:tc>
        <w:tc>
          <w:tcPr>
            <w:tcW w:w="585" w:type="pct"/>
          </w:tcPr>
          <w:p w14:paraId="5689F846" w14:textId="77777777" w:rsidR="00257D2E" w:rsidRDefault="00495EF8" w:rsidP="00A1194E">
            <w:pPr>
              <w:spacing w:before="100" w:beforeAutospacing="1" w:after="100" w:afterAutospacing="1" w:line="240" w:lineRule="auto"/>
            </w:pPr>
            <w:proofErr w:type="spellStart"/>
            <w:r>
              <w:rPr>
                <w:sz w:val="19"/>
              </w:rPr>
              <w:t>Gedef</w:t>
            </w:r>
            <w:proofErr w:type="spellEnd"/>
            <w:r>
              <w:rPr>
                <w:sz w:val="19"/>
              </w:rPr>
              <w:t xml:space="preserve"> et al. (2025)</w:t>
            </w:r>
          </w:p>
        </w:tc>
      </w:tr>
      <w:tr w:rsidR="00257D2E" w14:paraId="759B11D1" w14:textId="77777777" w:rsidTr="00A1194E">
        <w:trPr>
          <w:jc w:val="center"/>
        </w:trPr>
        <w:tc>
          <w:tcPr>
            <w:tcW w:w="1010" w:type="pct"/>
          </w:tcPr>
          <w:p w14:paraId="3EE1E782" w14:textId="77777777" w:rsidR="00257D2E" w:rsidRDefault="00495EF8" w:rsidP="00A1194E">
            <w:pPr>
              <w:spacing w:before="100" w:beforeAutospacing="1" w:after="100" w:afterAutospacing="1" w:line="240" w:lineRule="auto"/>
            </w:pPr>
            <w:r>
              <w:rPr>
                <w:sz w:val="19"/>
              </w:rPr>
              <w:t xml:space="preserve">Schistosoma haematobium </w:t>
            </w:r>
            <w:r>
              <w:rPr>
                <w:sz w:val="19"/>
              </w:rPr>
              <w:lastRenderedPageBreak/>
              <w:t>exposure and infertility</w:t>
            </w:r>
          </w:p>
        </w:tc>
        <w:tc>
          <w:tcPr>
            <w:tcW w:w="1011" w:type="pct"/>
          </w:tcPr>
          <w:p w14:paraId="7B7B36FF" w14:textId="77777777" w:rsidR="00257D2E" w:rsidRDefault="00495EF8" w:rsidP="00A1194E">
            <w:pPr>
              <w:spacing w:before="100" w:beforeAutospacing="1" w:after="100" w:afterAutospacing="1" w:line="240" w:lineRule="auto"/>
            </w:pPr>
            <w:r>
              <w:rPr>
                <w:sz w:val="19"/>
              </w:rPr>
              <w:lastRenderedPageBreak/>
              <w:t xml:space="preserve">East Africa; multilevel semi-ecological </w:t>
            </w:r>
            <w:r>
              <w:rPr>
                <w:sz w:val="19"/>
              </w:rPr>
              <w:lastRenderedPageBreak/>
              <w:t>analysis of survey and mapping data</w:t>
            </w:r>
          </w:p>
        </w:tc>
        <w:tc>
          <w:tcPr>
            <w:tcW w:w="1277" w:type="pct"/>
          </w:tcPr>
          <w:p w14:paraId="40F9CD7F" w14:textId="77777777" w:rsidR="00257D2E" w:rsidRDefault="00495EF8" w:rsidP="00A1194E">
            <w:pPr>
              <w:spacing w:before="100" w:beforeAutospacing="1" w:after="100" w:afterAutospacing="1" w:line="240" w:lineRule="auto"/>
            </w:pPr>
            <w:r>
              <w:rPr>
                <w:sz w:val="19"/>
              </w:rPr>
              <w:lastRenderedPageBreak/>
              <w:t xml:space="preserve">Odds of infertility elevated in high-prevalence </w:t>
            </w:r>
            <w:r>
              <w:rPr>
                <w:sz w:val="19"/>
              </w:rPr>
              <w:lastRenderedPageBreak/>
              <w:t>locations relative to absent locations</w:t>
            </w:r>
          </w:p>
        </w:tc>
        <w:tc>
          <w:tcPr>
            <w:tcW w:w="1117" w:type="pct"/>
          </w:tcPr>
          <w:p w14:paraId="4A4D5A87" w14:textId="77777777" w:rsidR="00257D2E" w:rsidRDefault="00495EF8" w:rsidP="00A1194E">
            <w:pPr>
              <w:spacing w:before="100" w:beforeAutospacing="1" w:after="100" w:afterAutospacing="1" w:line="240" w:lineRule="auto"/>
            </w:pPr>
            <w:r>
              <w:rPr>
                <w:sz w:val="19"/>
              </w:rPr>
              <w:lastRenderedPageBreak/>
              <w:t xml:space="preserve">Ecological exposure assignment; individual </w:t>
            </w:r>
            <w:r>
              <w:rPr>
                <w:sz w:val="19"/>
              </w:rPr>
              <w:lastRenderedPageBreak/>
              <w:t>infection status not measured; residual spatial confounding</w:t>
            </w:r>
          </w:p>
        </w:tc>
        <w:tc>
          <w:tcPr>
            <w:tcW w:w="585" w:type="pct"/>
          </w:tcPr>
          <w:p w14:paraId="1496BB45" w14:textId="77777777" w:rsidR="00257D2E" w:rsidRDefault="00495EF8" w:rsidP="00A1194E">
            <w:pPr>
              <w:spacing w:before="100" w:beforeAutospacing="1" w:after="100" w:afterAutospacing="1" w:line="240" w:lineRule="auto"/>
            </w:pPr>
            <w:r>
              <w:rPr>
                <w:sz w:val="19"/>
              </w:rPr>
              <w:lastRenderedPageBreak/>
              <w:t>Woodall &amp; Kramer (2018)</w:t>
            </w:r>
          </w:p>
        </w:tc>
      </w:tr>
    </w:tbl>
    <w:p w14:paraId="59077144" w14:textId="77777777" w:rsidR="00257D2E" w:rsidRDefault="00495EF8" w:rsidP="00A1194E">
      <w:pPr>
        <w:spacing w:before="100" w:beforeAutospacing="1" w:after="100" w:afterAutospacing="1" w:line="240" w:lineRule="auto"/>
      </w:pPr>
      <w:r>
        <w:rPr>
          <w:sz w:val="19"/>
        </w:rPr>
        <w:t>Note. Odds ratios are as reported in the cited sources. Absence of a study addressing a given association in Nigeria does not indicate absence of the association.</w:t>
      </w:r>
    </w:p>
    <w:p w14:paraId="0D911EBD" w14:textId="77777777" w:rsidR="00257D2E" w:rsidRDefault="00495EF8" w:rsidP="00A1194E">
      <w:pPr>
        <w:pStyle w:val="Heading1"/>
        <w:spacing w:before="100" w:beforeAutospacing="1" w:after="100" w:afterAutospacing="1" w:line="240" w:lineRule="auto"/>
      </w:pPr>
      <w:r>
        <w:rPr>
          <w:rFonts w:ascii="Times New Roman" w:hAnsi="Times New Roman"/>
          <w:b w:val="0"/>
        </w:rPr>
        <w:t>4. Basic Semen Examination as the Pivot of Diagnostic Practice</w:t>
      </w:r>
    </w:p>
    <w:p w14:paraId="1354F4C1" w14:textId="77777777" w:rsidR="00257D2E" w:rsidRDefault="00495EF8" w:rsidP="00A1194E">
      <w:pPr>
        <w:pStyle w:val="Heading2"/>
        <w:spacing w:before="100" w:beforeAutospacing="1" w:after="100" w:afterAutospacing="1" w:line="240" w:lineRule="auto"/>
      </w:pPr>
      <w:r>
        <w:rPr>
          <w:rFonts w:ascii="Times New Roman" w:hAnsi="Times New Roman"/>
          <w:b w:val="0"/>
        </w:rPr>
        <w:t xml:space="preserve">4.1 </w:t>
      </w:r>
      <w:proofErr w:type="spellStart"/>
      <w:r>
        <w:rPr>
          <w:rFonts w:ascii="Times New Roman" w:hAnsi="Times New Roman"/>
          <w:b w:val="0"/>
        </w:rPr>
        <w:t>Standardisation</w:t>
      </w:r>
      <w:proofErr w:type="spellEnd"/>
      <w:r>
        <w:rPr>
          <w:rFonts w:ascii="Times New Roman" w:hAnsi="Times New Roman"/>
          <w:b w:val="0"/>
        </w:rPr>
        <w:t>, the Sixth Edition and the Formal Standard</w:t>
      </w:r>
    </w:p>
    <w:p w14:paraId="3D3E5D84" w14:textId="77777777" w:rsidR="00257D2E" w:rsidRDefault="00495EF8" w:rsidP="00A1194E">
      <w:pPr>
        <w:spacing w:before="100" w:beforeAutospacing="1" w:after="100" w:afterAutospacing="1" w:line="240" w:lineRule="auto"/>
        <w:ind w:firstLine="567"/>
        <w:jc w:val="both"/>
      </w:pPr>
      <w:r>
        <w:t>Semen examination is the only laboratory investigation that directly assesses one partner's reproductive function at low cost, without imaging and without an invasive procedure. Its centrality in resource-constrained settings is therefore structural rather than merely conventional. The World Health Organization manual has been revised across six editions since 1980, with each revision responding to accumulated evidence on measurement error and on the clinical interpretation of semen variables (Wang et al., 2022). The sixth edition revised the basic methods, reintroduced the four-category classification of sperm motility, and widened the stated purpose of examination from prognosis for medically assisted reproduction to assessment of male reproductive function and general male health (</w:t>
      </w:r>
      <w:proofErr w:type="spellStart"/>
      <w:r>
        <w:t>Björndahl</w:t>
      </w:r>
      <w:proofErr w:type="spellEnd"/>
      <w:r>
        <w:t xml:space="preserve"> &amp; Kirkman Brown, 2022; World Health Organization, 2021).</w:t>
      </w:r>
    </w:p>
    <w:p w14:paraId="1C965CC8" w14:textId="77777777" w:rsidR="00257D2E" w:rsidRDefault="00495EF8" w:rsidP="00A1194E">
      <w:pPr>
        <w:spacing w:before="100" w:beforeAutospacing="1" w:after="100" w:afterAutospacing="1" w:line="240" w:lineRule="auto"/>
        <w:ind w:firstLine="567"/>
        <w:jc w:val="both"/>
      </w:pPr>
      <w:r>
        <w:t>The accompanying development of a formal international standard for basic semen examination represents a substantive change in the governance of andrology laboratories. Where earlier accreditation frameworks provided no specific requirements for semen examination, the existence of a dedicated standard aligned with the manual permits laboratories to seek accreditation for the procedure without independently demonstrating the reliability of each assessment technique, provided the specified methods are followed in full (Björndahl, 2022). For laboratories in low- and middle-income countries this is consequential, because the principal barrier to accreditation of andrology services has been the absence of an applicable normative document rather than an unwillingness to comply with one.</w:t>
      </w:r>
    </w:p>
    <w:p w14:paraId="4F72379A" w14:textId="77777777" w:rsidR="00257D2E" w:rsidRDefault="00495EF8" w:rsidP="00A1194E">
      <w:pPr>
        <w:spacing w:before="100" w:beforeAutospacing="1" w:after="100" w:afterAutospacing="1" w:line="240" w:lineRule="auto"/>
        <w:ind w:firstLine="567"/>
        <w:jc w:val="both"/>
      </w:pPr>
      <w:r>
        <w:t xml:space="preserve">The reintroduction of four motility categories illustrates the tension between analytical </w:t>
      </w:r>
      <w:proofErr w:type="spellStart"/>
      <w:r>
        <w:t>rigour</w:t>
      </w:r>
      <w:proofErr w:type="spellEnd"/>
      <w:r>
        <w:t xml:space="preserve"> and operational feasibility that runs through this literature. The change increases workload and requires retraining, and it was adopted because the collapsed classification used in the fifth edition discarded clinically relevant information (</w:t>
      </w:r>
      <w:proofErr w:type="spellStart"/>
      <w:r>
        <w:t>Björndahl</w:t>
      </w:r>
      <w:proofErr w:type="spellEnd"/>
      <w:r>
        <w:t xml:space="preserve"> &amp; Kirkman Brown, 2022). In settings where a single technician performs semen examination alongside </w:t>
      </w:r>
      <w:proofErr w:type="spellStart"/>
      <w:r>
        <w:t>haematology</w:t>
      </w:r>
      <w:proofErr w:type="spellEnd"/>
      <w:r>
        <w:t>, chemistry and microbiology duties, the additional burden is not trivial. The evidence does not indicate that the requirement should be relaxed, but it does indicate that adoption cannot be assumed simply because a manual has been published.</w:t>
      </w:r>
    </w:p>
    <w:p w14:paraId="6BCBEBB4" w14:textId="77777777" w:rsidR="00257D2E" w:rsidRDefault="00495EF8" w:rsidP="00A1194E">
      <w:pPr>
        <w:pStyle w:val="Heading2"/>
        <w:spacing w:before="100" w:beforeAutospacing="1" w:after="100" w:afterAutospacing="1" w:line="240" w:lineRule="auto"/>
      </w:pPr>
      <w:r>
        <w:rPr>
          <w:rFonts w:ascii="Times New Roman" w:hAnsi="Times New Roman"/>
          <w:b w:val="0"/>
        </w:rPr>
        <w:t>4.2 Measurement Variability and the Evidence from External Quality Assessment</w:t>
      </w:r>
    </w:p>
    <w:p w14:paraId="091E53A7" w14:textId="77777777" w:rsidR="00257D2E" w:rsidRDefault="00495EF8" w:rsidP="00A1194E">
      <w:pPr>
        <w:spacing w:before="100" w:beforeAutospacing="1" w:after="100" w:afterAutospacing="1" w:line="240" w:lineRule="auto"/>
        <w:ind w:firstLine="567"/>
        <w:jc w:val="both"/>
      </w:pPr>
      <w:r>
        <w:t xml:space="preserve">The strongest evidence bearing on the reliability of semen examination comes from external quality assessment schemes in high-income countries, and it is not reassuring. Fifteen years of Belgian experience involving 121 laboratories produced a median interlaboratory coefficient of variation of 19.2 per cent for sperm concentration across all methods, falling to </w:t>
      </w:r>
      <w:r>
        <w:lastRenderedPageBreak/>
        <w:t xml:space="preserve">14.4 per cent where an improved Neubauer chamber was used; the median coefficient of variation for rapid progressive motility was 37.1 per cent, while progressive motility at 15.1 per cent and total motility at 13.8 per cent were considered acceptable; morphology assessment showed large variability in 79.4 per cent of assessments irrespective of staining procedure or evaluation criteria (Punjabi et al., 2016). Dutch data covering an external quality control </w:t>
      </w:r>
      <w:proofErr w:type="spellStart"/>
      <w:r>
        <w:t>programme</w:t>
      </w:r>
      <w:proofErr w:type="spellEnd"/>
      <w:r>
        <w:t xml:space="preserve"> and </w:t>
      </w:r>
      <w:proofErr w:type="spellStart"/>
      <w:r>
        <w:t>standardised</w:t>
      </w:r>
      <w:proofErr w:type="spellEnd"/>
      <w:r>
        <w:t xml:space="preserve"> training courses showed that interlaboratory variation for concentration fell from a range of 24.0 to 97.5 per cent to a range of 12.7 to 20.9 per cent over the period examined, that concentration variability was lower where improved Neubauer </w:t>
      </w:r>
      <w:proofErr w:type="spellStart"/>
      <w:r>
        <w:t>haemocytometers</w:t>
      </w:r>
      <w:proofErr w:type="spellEnd"/>
      <w:r>
        <w:t xml:space="preserve"> were used, and that morphology assessment produced coefficients of variation reaching 375.0 per cent with numerous outliers; structured training significantly reduced interobserver variability for all parameters (Lemmens et al., 2022).</w:t>
      </w:r>
    </w:p>
    <w:p w14:paraId="6B7BD980" w14:textId="77777777" w:rsidR="00257D2E" w:rsidRDefault="00495EF8" w:rsidP="00A1194E">
      <w:pPr>
        <w:spacing w:before="100" w:beforeAutospacing="1" w:after="100" w:afterAutospacing="1" w:line="240" w:lineRule="auto"/>
        <w:ind w:firstLine="567"/>
        <w:jc w:val="both"/>
      </w:pPr>
      <w:r>
        <w:t xml:space="preserve">Three conclusions follow with reasonable confidence. Sperm concentration can be measured with acceptable reproducibility provided a specified counting chamber and dilution procedure are used. Motility assessment is reproducible at the level of aggregate categories but not at the level of fine subdivision. Morphology assessment, as </w:t>
      </w:r>
      <w:proofErr w:type="spellStart"/>
      <w:r>
        <w:t>practised</w:t>
      </w:r>
      <w:proofErr w:type="spellEnd"/>
      <w:r>
        <w:t xml:space="preserve">, is not reproducible across laboratories, and the magnitude of disagreement is such that morphology-based classification of a given sample may differ entirely between </w:t>
      </w:r>
      <w:proofErr w:type="spellStart"/>
      <w:r>
        <w:t>centres</w:t>
      </w:r>
      <w:proofErr w:type="spellEnd"/>
      <w:r>
        <w:t>. A review of the development of external quality assessment and proficiency testing for semen analysis across more than three decades reaches consistent conclusions and documents the gradual extension of such schemes across several countries (Zheng et al., 2025).</w:t>
      </w:r>
    </w:p>
    <w:p w14:paraId="0953E74F" w14:textId="77777777" w:rsidR="00257D2E" w:rsidRDefault="00495EF8" w:rsidP="00A1194E">
      <w:pPr>
        <w:spacing w:before="100" w:beforeAutospacing="1" w:after="100" w:afterAutospacing="1" w:line="240" w:lineRule="auto"/>
        <w:ind w:firstLine="567"/>
        <w:jc w:val="both"/>
      </w:pPr>
      <w:r>
        <w:t xml:space="preserve">The critical observation for the present review is one of absence. No external quality assessment scheme for semen examination covering Nigerian or sub-Saharan African andrology laboratories was retrieved. Regional evidence on external quality assessment participation concerns general clinical laboratory disciplines, and even there the pooled satisfactory performance across 4,509 participating laboratories was 71.25 per cent (Cherie et al., 2025). If nearly three in ten participating laboratories fail to achieve satisfactory performance in disciplines with objective calibrators and commutable control materials, the expected performance in a discipline that is subjective, poorly </w:t>
      </w:r>
      <w:proofErr w:type="spellStart"/>
      <w:r>
        <w:t>standardised</w:t>
      </w:r>
      <w:proofErr w:type="spellEnd"/>
      <w:r>
        <w:t xml:space="preserve"> and unmonitored is unlikely to be superior. Published semen data from the region should therefore be interpreted as reflecting an unquantified combination of biological variation and measurement error.</w:t>
      </w:r>
    </w:p>
    <w:p w14:paraId="72DD7313" w14:textId="77777777" w:rsidR="00257D2E" w:rsidRDefault="00495EF8" w:rsidP="00A1194E">
      <w:pPr>
        <w:spacing w:before="100" w:beforeAutospacing="1" w:after="100" w:afterAutospacing="1" w:line="240" w:lineRule="auto"/>
        <w:ind w:firstLine="567"/>
        <w:jc w:val="both"/>
      </w:pPr>
      <w:r>
        <w:t xml:space="preserve">This has direct consequences for the interpretation of large Nigerian datasets. A retrospective study of 5,165 semen samples collected over five years examined the effect of ejaculatory abstinence on semen quality, reporting that prolonged abstinence increased sperm count and total sperm count in </w:t>
      </w:r>
      <w:proofErr w:type="spellStart"/>
      <w:r>
        <w:t>normozoospermic</w:t>
      </w:r>
      <w:proofErr w:type="spellEnd"/>
      <w:r>
        <w:t xml:space="preserve"> samples while increasing semen volume but reducing sperm count, total sperm count and progressive motility in </w:t>
      </w:r>
      <w:proofErr w:type="spellStart"/>
      <w:r>
        <w:t>oligozoospermic</w:t>
      </w:r>
      <w:proofErr w:type="spellEnd"/>
      <w:r>
        <w:t xml:space="preserve"> samples (Akhigbe et al., 2022). The sample size is substantial and the finding of divergent effects by baseline category is biologically plausible. The inference that abstinence effects differ by phenotype nonetheless depends on the reliability of the classification into </w:t>
      </w:r>
      <w:proofErr w:type="spellStart"/>
      <w:r>
        <w:t>normozoospermic</w:t>
      </w:r>
      <w:proofErr w:type="spellEnd"/>
      <w:r>
        <w:t xml:space="preserve"> and </w:t>
      </w:r>
      <w:proofErr w:type="spellStart"/>
      <w:r>
        <w:t>oligozoospermic</w:t>
      </w:r>
      <w:proofErr w:type="spellEnd"/>
      <w:r>
        <w:t xml:space="preserve"> categories, which depends in turn on concentration measurement, and no external quality assessment data are available for the laboratory concerned. The finding is best regarded as a well-powered observation requiring replication under documented analytical conditions rather than as an established physiological difference.</w:t>
      </w:r>
    </w:p>
    <w:p w14:paraId="349494A4" w14:textId="77777777" w:rsidR="00257D2E" w:rsidRDefault="00495EF8" w:rsidP="00A1194E">
      <w:pPr>
        <w:spacing w:before="100" w:beforeAutospacing="1" w:after="100" w:afterAutospacing="1" w:line="240" w:lineRule="auto"/>
        <w:ind w:firstLine="567"/>
        <w:jc w:val="both"/>
      </w:pPr>
      <w:r>
        <w:lastRenderedPageBreak/>
        <w:t>Similar caution applies to the global literature on temporal trends. Meta-regression of samples collected worldwide across the twentieth and twenty-first centuries reported declining sperm counts, including in regions previously underrepresented (Levine et al., 2023). The analysis is methodologically careful and the direction of effect has been replicated, but the underlying primary data derive from laboratories operating under heterogeneous methods across decades in which the reference manual was revised repeatedly. Confidence in the existence of a downward trend is greater than confidence in its magnitude, and the contribution of African data to such analyses remains small.</w:t>
      </w:r>
    </w:p>
    <w:p w14:paraId="4317316B" w14:textId="77777777" w:rsidR="00257D2E" w:rsidRDefault="00495EF8" w:rsidP="00A1194E">
      <w:pPr>
        <w:pStyle w:val="Heading2"/>
        <w:spacing w:before="100" w:beforeAutospacing="1" w:after="100" w:afterAutospacing="1" w:line="240" w:lineRule="auto"/>
      </w:pPr>
      <w:r>
        <w:rPr>
          <w:rFonts w:ascii="Times New Roman" w:hAnsi="Times New Roman"/>
          <w:b w:val="0"/>
        </w:rPr>
        <w:t>4.3 Extended and Advanced Andrology Testing: Evidence Against Enthusiasm</w:t>
      </w:r>
    </w:p>
    <w:p w14:paraId="6BCFA78A" w14:textId="77777777" w:rsidR="00257D2E" w:rsidRDefault="00495EF8" w:rsidP="00A1194E">
      <w:pPr>
        <w:spacing w:before="100" w:beforeAutospacing="1" w:after="100" w:afterAutospacing="1" w:line="240" w:lineRule="auto"/>
        <w:ind w:firstLine="567"/>
        <w:jc w:val="both"/>
      </w:pPr>
      <w:r>
        <w:t>Beyond basic examination lies a set of tests promoted as adjuncts to the diagnosis of male infertility: sperm DNA fragmentation, seminal oxidative stress measurement, and computer-assisted or algorithmic image analysis. Their appeal in resource-constrained settings is that they promise to explain infertility in men whose basic parameters appear normal. The evidence supporting their routine use is weaker than that appeal implies.</w:t>
      </w:r>
    </w:p>
    <w:p w14:paraId="185B58E3" w14:textId="77777777" w:rsidR="00257D2E" w:rsidRDefault="00495EF8" w:rsidP="00A1194E">
      <w:pPr>
        <w:spacing w:before="100" w:beforeAutospacing="1" w:after="100" w:afterAutospacing="1" w:line="240" w:lineRule="auto"/>
        <w:ind w:firstLine="567"/>
        <w:jc w:val="both"/>
      </w:pPr>
      <w:r>
        <w:t>Sperm DNA fragmentation testing has been the subject of detailed clinical guidance identifying specific scenarios in which the result may alter management, including recurrent pregnancy loss and varicocele assessment, while acknowledging methodological variability between assays and the absence of universally accepted thresholds (Agarwal et al., 2020). The clinical value of the test therefore depends on the availability of the interventions it would inform. Where surgical varicocele repair and assisted reproduction are unavailable or unaffordable, a fragmentation result changes nothing about management while adding cost, and the resource is better directed to ensuring that basic examination is performed correctly.</w:t>
      </w:r>
    </w:p>
    <w:p w14:paraId="036DCAC5" w14:textId="77777777" w:rsidR="00257D2E" w:rsidRDefault="00495EF8" w:rsidP="00A1194E">
      <w:pPr>
        <w:spacing w:before="100" w:beforeAutospacing="1" w:after="100" w:afterAutospacing="1" w:line="240" w:lineRule="auto"/>
        <w:ind w:firstLine="567"/>
        <w:jc w:val="both"/>
      </w:pPr>
      <w:r>
        <w:t xml:space="preserve">Seminal oxidative stress measurement presents a comparable pattern with one instructive exception. Work from Sri Lanka established the </w:t>
      </w:r>
      <w:proofErr w:type="spellStart"/>
      <w:r>
        <w:t>nitroblue</w:t>
      </w:r>
      <w:proofErr w:type="spellEnd"/>
      <w:r>
        <w:t xml:space="preserve"> tetrazolium assay as a low-cost method for estimating seminal reactive oxygen species, deriving cut-off values that distinguished fertile men from those with </w:t>
      </w:r>
      <w:proofErr w:type="spellStart"/>
      <w:r>
        <w:t>asthenozoospermia</w:t>
      </w:r>
      <w:proofErr w:type="spellEnd"/>
      <w:r>
        <w:t xml:space="preserve"> and from those with unexplained infertility, with sensitivity and specificity in the region of seventy per cent and areas under the receiver operating characteristic curve of 0.82 and 0.85 respectively (Amarasekara et al., 2014). The performance characteristics are moderate rather than strong, and the study was conducted in a single </w:t>
      </w:r>
      <w:proofErr w:type="spellStart"/>
      <w:r>
        <w:t>centre</w:t>
      </w:r>
      <w:proofErr w:type="spellEnd"/>
      <w:r>
        <w:t xml:space="preserve"> with modest numbers, so the cut-off values require external validation before transfer to other populations. The example nonetheless demonstrates that assay development oriented to low-resource conditions is feasible and that the dominant model, in which tests are developed in high-income settings and subsequently found unaffordable elsewhere, is not the only available path.</w:t>
      </w:r>
    </w:p>
    <w:p w14:paraId="260893ED" w14:textId="77777777" w:rsidR="00257D2E" w:rsidRDefault="00495EF8" w:rsidP="00A1194E">
      <w:pPr>
        <w:spacing w:before="100" w:beforeAutospacing="1" w:after="100" w:afterAutospacing="1" w:line="240" w:lineRule="auto"/>
        <w:ind w:firstLine="567"/>
        <w:jc w:val="both"/>
      </w:pPr>
      <w:r>
        <w:t xml:space="preserve">Algorithmic and machine-learning approaches to semen assessment have attracted substantial attention, with reviews documenting applications spanning concentration and motility estimation, morphological classification and sperm selection (Panner Selvam et al., 2024). The prospect that automated assessment might eliminate the interobserver variability documented above is genuinely attractive for settings without access to structured training or proficiency schemes. The evidence base consists largely of development and internal validation studies rather than prospective evaluation against clinical outcomes, training datasets derive predominantly from high-income laboratories, and the performance of such systems on </w:t>
      </w:r>
      <w:r>
        <w:lastRenderedPageBreak/>
        <w:t xml:space="preserve">specimens processed under different preparation conditions has not been established. Confidence that automation will solve the variability problem in African andrology laboratories is at present low, and premature adoption risks substituting an unvalidated algorithm for an inadequately trained observer without resolving the underlying deficit in method </w:t>
      </w:r>
      <w:proofErr w:type="spellStart"/>
      <w:r>
        <w:t>standardisation</w:t>
      </w:r>
      <w:proofErr w:type="spellEnd"/>
      <w:r>
        <w:t>.</w:t>
      </w:r>
    </w:p>
    <w:p w14:paraId="321FB2F4" w14:textId="77777777" w:rsidR="00257D2E" w:rsidRDefault="00495EF8" w:rsidP="00A1194E">
      <w:pPr>
        <w:spacing w:before="100" w:beforeAutospacing="1" w:after="100" w:afterAutospacing="1" w:line="240" w:lineRule="auto"/>
        <w:ind w:firstLine="567"/>
        <w:jc w:val="both"/>
      </w:pPr>
      <w:r>
        <w:t xml:space="preserve">Table 3 compares the principal andrology investigations across evidence status, infrastructure requirement and interpretive limitation. The comparison is intended to support </w:t>
      </w:r>
      <w:proofErr w:type="spellStart"/>
      <w:r>
        <w:t>prioritisation</w:t>
      </w:r>
      <w:proofErr w:type="spellEnd"/>
      <w:r>
        <w:t xml:space="preserve"> rather than to rank tests by sophistication. The pattern that emerges is that the investigations with the strongest evidential support and the greatest capacity to alter management are also the least technically demanding, while those requiring the most infrastructure yield results whose clinical consequences are contingent on therapeutic options that are frequently unavailable. This inversion between technical sophistication and practical value is the central strategic finding of this section.</w:t>
      </w:r>
    </w:p>
    <w:p w14:paraId="05211BE7" w14:textId="77777777" w:rsidR="00257D2E" w:rsidRDefault="00495EF8" w:rsidP="00A1194E">
      <w:pPr>
        <w:keepNext/>
        <w:spacing w:before="100" w:beforeAutospacing="1" w:after="100" w:afterAutospacing="1" w:line="240" w:lineRule="auto"/>
      </w:pPr>
      <w:r>
        <w:rPr>
          <w:b/>
          <w:sz w:val="22"/>
        </w:rPr>
        <w:t xml:space="preserve">Table 3. </w:t>
      </w:r>
      <w:r>
        <w:rPr>
          <w:sz w:val="22"/>
        </w:rPr>
        <w:t>Comparative appraisal of andrology investigations for use in resource-constrained diagnostic laboratories</w:t>
      </w:r>
    </w:p>
    <w:tbl>
      <w:tblPr>
        <w:tblStyle w:val="TableGrid"/>
        <w:tblW w:w="5000" w:type="pct"/>
        <w:jc w:val="center"/>
        <w:tblLook w:val="04A0" w:firstRow="1" w:lastRow="0" w:firstColumn="1" w:lastColumn="0" w:noHBand="0" w:noVBand="1"/>
      </w:tblPr>
      <w:tblGrid>
        <w:gridCol w:w="1833"/>
        <w:gridCol w:w="2038"/>
        <w:gridCol w:w="1936"/>
        <w:gridCol w:w="2446"/>
        <w:gridCol w:w="1323"/>
      </w:tblGrid>
      <w:tr w:rsidR="00257D2E" w14:paraId="4D9F478C" w14:textId="77777777" w:rsidTr="00A1194E">
        <w:trPr>
          <w:jc w:val="center"/>
        </w:trPr>
        <w:tc>
          <w:tcPr>
            <w:tcW w:w="957" w:type="pct"/>
            <w:shd w:val="clear" w:color="auto" w:fill="E8E8E8"/>
          </w:tcPr>
          <w:p w14:paraId="6238178D" w14:textId="77777777" w:rsidR="00257D2E" w:rsidRDefault="00495EF8" w:rsidP="00A1194E">
            <w:pPr>
              <w:spacing w:before="100" w:beforeAutospacing="1" w:after="100" w:afterAutospacing="1" w:line="240" w:lineRule="auto"/>
            </w:pPr>
            <w:r>
              <w:rPr>
                <w:b/>
                <w:sz w:val="19"/>
              </w:rPr>
              <w:t>Investigation</w:t>
            </w:r>
          </w:p>
        </w:tc>
        <w:tc>
          <w:tcPr>
            <w:tcW w:w="1064" w:type="pct"/>
            <w:shd w:val="clear" w:color="auto" w:fill="E8E8E8"/>
          </w:tcPr>
          <w:p w14:paraId="1CEC63A0" w14:textId="77777777" w:rsidR="00257D2E" w:rsidRDefault="00495EF8" w:rsidP="00A1194E">
            <w:pPr>
              <w:spacing w:before="100" w:beforeAutospacing="1" w:after="100" w:afterAutospacing="1" w:line="240" w:lineRule="auto"/>
            </w:pPr>
            <w:r>
              <w:rPr>
                <w:b/>
                <w:sz w:val="19"/>
              </w:rPr>
              <w:t>Evidence status</w:t>
            </w:r>
          </w:p>
        </w:tc>
        <w:tc>
          <w:tcPr>
            <w:tcW w:w="1011" w:type="pct"/>
            <w:shd w:val="clear" w:color="auto" w:fill="E8E8E8"/>
          </w:tcPr>
          <w:p w14:paraId="33B6BE14" w14:textId="77777777" w:rsidR="00257D2E" w:rsidRDefault="00495EF8" w:rsidP="00A1194E">
            <w:pPr>
              <w:spacing w:before="100" w:beforeAutospacing="1" w:after="100" w:afterAutospacing="1" w:line="240" w:lineRule="auto"/>
            </w:pPr>
            <w:r>
              <w:rPr>
                <w:b/>
                <w:sz w:val="19"/>
              </w:rPr>
              <w:t>Infrastructure and skill requirement</w:t>
            </w:r>
          </w:p>
        </w:tc>
        <w:tc>
          <w:tcPr>
            <w:tcW w:w="1277" w:type="pct"/>
            <w:shd w:val="clear" w:color="auto" w:fill="E8E8E8"/>
          </w:tcPr>
          <w:p w14:paraId="04A6CDA6" w14:textId="77777777" w:rsidR="00257D2E" w:rsidRDefault="00495EF8" w:rsidP="00A1194E">
            <w:pPr>
              <w:spacing w:before="100" w:beforeAutospacing="1" w:after="100" w:afterAutospacing="1" w:line="240" w:lineRule="auto"/>
            </w:pPr>
            <w:r>
              <w:rPr>
                <w:b/>
                <w:sz w:val="19"/>
              </w:rPr>
              <w:t>Principal interpretive limitation</w:t>
            </w:r>
          </w:p>
        </w:tc>
        <w:tc>
          <w:tcPr>
            <w:tcW w:w="691" w:type="pct"/>
            <w:shd w:val="clear" w:color="auto" w:fill="E8E8E8"/>
          </w:tcPr>
          <w:p w14:paraId="0E2C1E9E" w14:textId="77777777" w:rsidR="00257D2E" w:rsidRDefault="00495EF8" w:rsidP="00A1194E">
            <w:pPr>
              <w:spacing w:before="100" w:beforeAutospacing="1" w:after="100" w:afterAutospacing="1" w:line="240" w:lineRule="auto"/>
            </w:pPr>
            <w:r>
              <w:rPr>
                <w:b/>
                <w:sz w:val="19"/>
              </w:rPr>
              <w:t>Supporting references</w:t>
            </w:r>
          </w:p>
        </w:tc>
      </w:tr>
      <w:tr w:rsidR="00257D2E" w14:paraId="58622221" w14:textId="77777777" w:rsidTr="00A1194E">
        <w:trPr>
          <w:jc w:val="center"/>
        </w:trPr>
        <w:tc>
          <w:tcPr>
            <w:tcW w:w="957" w:type="pct"/>
          </w:tcPr>
          <w:p w14:paraId="7288AFE1" w14:textId="77777777" w:rsidR="00257D2E" w:rsidRDefault="00495EF8" w:rsidP="00A1194E">
            <w:pPr>
              <w:spacing w:before="100" w:beforeAutospacing="1" w:after="100" w:afterAutospacing="1" w:line="240" w:lineRule="auto"/>
            </w:pPr>
            <w:r>
              <w:rPr>
                <w:sz w:val="19"/>
              </w:rPr>
              <w:t xml:space="preserve">Sperm concentration by </w:t>
            </w:r>
            <w:proofErr w:type="spellStart"/>
            <w:r>
              <w:rPr>
                <w:sz w:val="19"/>
              </w:rPr>
              <w:t>haemocytometer</w:t>
            </w:r>
            <w:proofErr w:type="spellEnd"/>
          </w:p>
        </w:tc>
        <w:tc>
          <w:tcPr>
            <w:tcW w:w="1064" w:type="pct"/>
          </w:tcPr>
          <w:p w14:paraId="00D04BC5" w14:textId="77777777" w:rsidR="00257D2E" w:rsidRDefault="00495EF8" w:rsidP="00A1194E">
            <w:pPr>
              <w:spacing w:before="100" w:beforeAutospacing="1" w:after="100" w:afterAutospacing="1" w:line="240" w:lineRule="auto"/>
            </w:pPr>
            <w:r>
              <w:rPr>
                <w:sz w:val="19"/>
              </w:rPr>
              <w:t>Reproducible when specified chamber and dilution are used; interlaboratory coefficient of variation approximately 14 to 19 per cent</w:t>
            </w:r>
          </w:p>
        </w:tc>
        <w:tc>
          <w:tcPr>
            <w:tcW w:w="1011" w:type="pct"/>
          </w:tcPr>
          <w:p w14:paraId="51F76FF3" w14:textId="77777777" w:rsidR="00257D2E" w:rsidRDefault="00495EF8" w:rsidP="00A1194E">
            <w:pPr>
              <w:spacing w:before="100" w:beforeAutospacing="1" w:after="100" w:afterAutospacing="1" w:line="240" w:lineRule="auto"/>
            </w:pPr>
            <w:r>
              <w:rPr>
                <w:sz w:val="19"/>
              </w:rPr>
              <w:t>Microscope, improved Neubauer chamber, trained observer, documented procedure</w:t>
            </w:r>
          </w:p>
        </w:tc>
        <w:tc>
          <w:tcPr>
            <w:tcW w:w="1277" w:type="pct"/>
          </w:tcPr>
          <w:p w14:paraId="1C8E9DA4" w14:textId="77777777" w:rsidR="00257D2E" w:rsidRDefault="00495EF8" w:rsidP="00A1194E">
            <w:pPr>
              <w:spacing w:before="100" w:beforeAutospacing="1" w:after="100" w:afterAutospacing="1" w:line="240" w:lineRule="auto"/>
            </w:pPr>
            <w:r>
              <w:rPr>
                <w:sz w:val="19"/>
              </w:rPr>
              <w:t>Requires adherence to a single specified method; unmonitored laboratories may deviate without detection</w:t>
            </w:r>
          </w:p>
        </w:tc>
        <w:tc>
          <w:tcPr>
            <w:tcW w:w="691" w:type="pct"/>
          </w:tcPr>
          <w:p w14:paraId="26424BC9" w14:textId="77777777" w:rsidR="00257D2E" w:rsidRDefault="00495EF8" w:rsidP="00A1194E">
            <w:pPr>
              <w:spacing w:before="100" w:beforeAutospacing="1" w:after="100" w:afterAutospacing="1" w:line="240" w:lineRule="auto"/>
            </w:pPr>
            <w:proofErr w:type="spellStart"/>
            <w:r>
              <w:rPr>
                <w:sz w:val="19"/>
              </w:rPr>
              <w:t>Björndahl</w:t>
            </w:r>
            <w:proofErr w:type="spellEnd"/>
            <w:r>
              <w:rPr>
                <w:sz w:val="19"/>
              </w:rPr>
              <w:t xml:space="preserve"> &amp; Kirkman Brown (2022); Lemmens et al. (2022); Punjabi et al. (2016)</w:t>
            </w:r>
          </w:p>
        </w:tc>
      </w:tr>
      <w:tr w:rsidR="00257D2E" w14:paraId="02978FF1" w14:textId="77777777" w:rsidTr="00A1194E">
        <w:trPr>
          <w:jc w:val="center"/>
        </w:trPr>
        <w:tc>
          <w:tcPr>
            <w:tcW w:w="957" w:type="pct"/>
          </w:tcPr>
          <w:p w14:paraId="47C42A19" w14:textId="77777777" w:rsidR="00257D2E" w:rsidRDefault="00495EF8" w:rsidP="00A1194E">
            <w:pPr>
              <w:spacing w:before="100" w:beforeAutospacing="1" w:after="100" w:afterAutospacing="1" w:line="240" w:lineRule="auto"/>
            </w:pPr>
            <w:r>
              <w:rPr>
                <w:sz w:val="19"/>
              </w:rPr>
              <w:t>Sperm motility, four categories</w:t>
            </w:r>
          </w:p>
        </w:tc>
        <w:tc>
          <w:tcPr>
            <w:tcW w:w="1064" w:type="pct"/>
          </w:tcPr>
          <w:p w14:paraId="4B8FE051" w14:textId="77777777" w:rsidR="00257D2E" w:rsidRDefault="00495EF8" w:rsidP="00A1194E">
            <w:pPr>
              <w:spacing w:before="100" w:beforeAutospacing="1" w:after="100" w:afterAutospacing="1" w:line="240" w:lineRule="auto"/>
            </w:pPr>
            <w:r>
              <w:rPr>
                <w:sz w:val="19"/>
              </w:rPr>
              <w:t>Aggregate categories reproducible; fine subdivision markedly less so</w:t>
            </w:r>
          </w:p>
        </w:tc>
        <w:tc>
          <w:tcPr>
            <w:tcW w:w="1011" w:type="pct"/>
          </w:tcPr>
          <w:p w14:paraId="699D5818" w14:textId="77777777" w:rsidR="00257D2E" w:rsidRDefault="00495EF8" w:rsidP="00A1194E">
            <w:pPr>
              <w:spacing w:before="100" w:beforeAutospacing="1" w:after="100" w:afterAutospacing="1" w:line="240" w:lineRule="auto"/>
            </w:pPr>
            <w:r>
              <w:rPr>
                <w:sz w:val="19"/>
              </w:rPr>
              <w:t>Microscope with thermostatic stage, trained observer, timed assessment</w:t>
            </w:r>
          </w:p>
        </w:tc>
        <w:tc>
          <w:tcPr>
            <w:tcW w:w="1277" w:type="pct"/>
          </w:tcPr>
          <w:p w14:paraId="5449744C" w14:textId="77777777" w:rsidR="00257D2E" w:rsidRDefault="00495EF8" w:rsidP="00A1194E">
            <w:pPr>
              <w:spacing w:before="100" w:beforeAutospacing="1" w:after="100" w:afterAutospacing="1" w:line="240" w:lineRule="auto"/>
            </w:pPr>
            <w:r>
              <w:rPr>
                <w:sz w:val="19"/>
              </w:rPr>
              <w:t>Rapid progressive fraction shows high interlaboratory variability; workload increased relative to collapsed classification</w:t>
            </w:r>
          </w:p>
        </w:tc>
        <w:tc>
          <w:tcPr>
            <w:tcW w:w="691" w:type="pct"/>
          </w:tcPr>
          <w:p w14:paraId="20FF70D0" w14:textId="77777777" w:rsidR="00257D2E" w:rsidRDefault="00495EF8" w:rsidP="00A1194E">
            <w:pPr>
              <w:spacing w:before="100" w:beforeAutospacing="1" w:after="100" w:afterAutospacing="1" w:line="240" w:lineRule="auto"/>
            </w:pPr>
            <w:proofErr w:type="spellStart"/>
            <w:r>
              <w:rPr>
                <w:sz w:val="19"/>
              </w:rPr>
              <w:t>Björndahl</w:t>
            </w:r>
            <w:proofErr w:type="spellEnd"/>
            <w:r>
              <w:rPr>
                <w:sz w:val="19"/>
              </w:rPr>
              <w:t xml:space="preserve"> (2022); Punjabi et al. (2016)</w:t>
            </w:r>
          </w:p>
        </w:tc>
      </w:tr>
      <w:tr w:rsidR="00257D2E" w14:paraId="18C35E98" w14:textId="77777777" w:rsidTr="00A1194E">
        <w:trPr>
          <w:jc w:val="center"/>
        </w:trPr>
        <w:tc>
          <w:tcPr>
            <w:tcW w:w="957" w:type="pct"/>
          </w:tcPr>
          <w:p w14:paraId="0B79C2C2" w14:textId="77777777" w:rsidR="00257D2E" w:rsidRDefault="00495EF8" w:rsidP="00A1194E">
            <w:pPr>
              <w:spacing w:before="100" w:beforeAutospacing="1" w:after="100" w:afterAutospacing="1" w:line="240" w:lineRule="auto"/>
            </w:pPr>
            <w:r>
              <w:rPr>
                <w:sz w:val="19"/>
              </w:rPr>
              <w:t>Sperm morphology</w:t>
            </w:r>
          </w:p>
        </w:tc>
        <w:tc>
          <w:tcPr>
            <w:tcW w:w="1064" w:type="pct"/>
          </w:tcPr>
          <w:p w14:paraId="5931346A" w14:textId="77777777" w:rsidR="00257D2E" w:rsidRDefault="00495EF8" w:rsidP="00A1194E">
            <w:pPr>
              <w:spacing w:before="100" w:beforeAutospacing="1" w:after="100" w:afterAutospacing="1" w:line="240" w:lineRule="auto"/>
            </w:pPr>
            <w:r>
              <w:rPr>
                <w:sz w:val="19"/>
              </w:rPr>
              <w:t>Poor interlaboratory reproducibility; very large coefficients of variation reported</w:t>
            </w:r>
          </w:p>
        </w:tc>
        <w:tc>
          <w:tcPr>
            <w:tcW w:w="1011" w:type="pct"/>
          </w:tcPr>
          <w:p w14:paraId="4FB4B039" w14:textId="77777777" w:rsidR="00257D2E" w:rsidRDefault="00495EF8" w:rsidP="00A1194E">
            <w:pPr>
              <w:spacing w:before="100" w:beforeAutospacing="1" w:after="100" w:afterAutospacing="1" w:line="240" w:lineRule="auto"/>
            </w:pPr>
            <w:r>
              <w:rPr>
                <w:sz w:val="19"/>
              </w:rPr>
              <w:t>Staining facility, trained observer, reference images</w:t>
            </w:r>
          </w:p>
        </w:tc>
        <w:tc>
          <w:tcPr>
            <w:tcW w:w="1277" w:type="pct"/>
          </w:tcPr>
          <w:p w14:paraId="61D95093" w14:textId="77777777" w:rsidR="00257D2E" w:rsidRDefault="00495EF8" w:rsidP="00A1194E">
            <w:pPr>
              <w:spacing w:before="100" w:beforeAutospacing="1" w:after="100" w:afterAutospacing="1" w:line="240" w:lineRule="auto"/>
            </w:pPr>
            <w:r>
              <w:rPr>
                <w:sz w:val="19"/>
              </w:rPr>
              <w:t>Classification of a given sample may differ between laboratories; limited independent diagnostic value</w:t>
            </w:r>
          </w:p>
        </w:tc>
        <w:tc>
          <w:tcPr>
            <w:tcW w:w="691" w:type="pct"/>
          </w:tcPr>
          <w:p w14:paraId="68F4F762" w14:textId="77777777" w:rsidR="00257D2E" w:rsidRDefault="00495EF8" w:rsidP="00A1194E">
            <w:pPr>
              <w:spacing w:before="100" w:beforeAutospacing="1" w:after="100" w:afterAutospacing="1" w:line="240" w:lineRule="auto"/>
            </w:pPr>
            <w:r>
              <w:rPr>
                <w:sz w:val="19"/>
              </w:rPr>
              <w:t>Lemmens et al. (2022); Punjabi et al. (2016)</w:t>
            </w:r>
          </w:p>
        </w:tc>
      </w:tr>
      <w:tr w:rsidR="00257D2E" w14:paraId="247F7D30" w14:textId="77777777" w:rsidTr="00A1194E">
        <w:trPr>
          <w:jc w:val="center"/>
        </w:trPr>
        <w:tc>
          <w:tcPr>
            <w:tcW w:w="957" w:type="pct"/>
          </w:tcPr>
          <w:p w14:paraId="1A10A797" w14:textId="77777777" w:rsidR="00257D2E" w:rsidRDefault="00495EF8" w:rsidP="00A1194E">
            <w:pPr>
              <w:spacing w:before="100" w:beforeAutospacing="1" w:after="100" w:afterAutospacing="1" w:line="240" w:lineRule="auto"/>
            </w:pPr>
            <w:r>
              <w:rPr>
                <w:sz w:val="19"/>
              </w:rPr>
              <w:t>Sperm DNA fragmentation</w:t>
            </w:r>
          </w:p>
        </w:tc>
        <w:tc>
          <w:tcPr>
            <w:tcW w:w="1064" w:type="pct"/>
          </w:tcPr>
          <w:p w14:paraId="0BFA1271" w14:textId="77777777" w:rsidR="00257D2E" w:rsidRDefault="00495EF8" w:rsidP="00A1194E">
            <w:pPr>
              <w:spacing w:before="100" w:beforeAutospacing="1" w:after="100" w:afterAutospacing="1" w:line="240" w:lineRule="auto"/>
            </w:pPr>
            <w:r>
              <w:rPr>
                <w:sz w:val="19"/>
              </w:rPr>
              <w:t>Defined indications in specific clinical scenarios; assay variability and threshold uncertainty acknowledged</w:t>
            </w:r>
          </w:p>
        </w:tc>
        <w:tc>
          <w:tcPr>
            <w:tcW w:w="1011" w:type="pct"/>
          </w:tcPr>
          <w:p w14:paraId="13A23093" w14:textId="77777777" w:rsidR="00257D2E" w:rsidRDefault="00495EF8" w:rsidP="00A1194E">
            <w:pPr>
              <w:spacing w:before="100" w:beforeAutospacing="1" w:after="100" w:afterAutospacing="1" w:line="240" w:lineRule="auto"/>
            </w:pPr>
            <w:proofErr w:type="spellStart"/>
            <w:r>
              <w:rPr>
                <w:sz w:val="19"/>
              </w:rPr>
              <w:t>Specialised</w:t>
            </w:r>
            <w:proofErr w:type="spellEnd"/>
            <w:r>
              <w:rPr>
                <w:sz w:val="19"/>
              </w:rPr>
              <w:t xml:space="preserve"> reagents or flow cytometry; external referral in most settings</w:t>
            </w:r>
          </w:p>
        </w:tc>
        <w:tc>
          <w:tcPr>
            <w:tcW w:w="1277" w:type="pct"/>
          </w:tcPr>
          <w:p w14:paraId="502E41BB" w14:textId="77777777" w:rsidR="00257D2E" w:rsidRDefault="00495EF8" w:rsidP="00A1194E">
            <w:pPr>
              <w:spacing w:before="100" w:beforeAutospacing="1" w:after="100" w:afterAutospacing="1" w:line="240" w:lineRule="auto"/>
            </w:pPr>
            <w:r>
              <w:rPr>
                <w:sz w:val="19"/>
              </w:rPr>
              <w:t>Result alters management only where corresponding interventions are accessible</w:t>
            </w:r>
          </w:p>
        </w:tc>
        <w:tc>
          <w:tcPr>
            <w:tcW w:w="691" w:type="pct"/>
          </w:tcPr>
          <w:p w14:paraId="199C83F8" w14:textId="77777777" w:rsidR="00257D2E" w:rsidRDefault="00495EF8" w:rsidP="00A1194E">
            <w:pPr>
              <w:spacing w:before="100" w:beforeAutospacing="1" w:after="100" w:afterAutospacing="1" w:line="240" w:lineRule="auto"/>
            </w:pPr>
            <w:r>
              <w:rPr>
                <w:sz w:val="19"/>
              </w:rPr>
              <w:t>Agarwal et al. (2020)</w:t>
            </w:r>
          </w:p>
        </w:tc>
      </w:tr>
      <w:tr w:rsidR="00257D2E" w14:paraId="6B6EC627" w14:textId="77777777" w:rsidTr="00A1194E">
        <w:trPr>
          <w:jc w:val="center"/>
        </w:trPr>
        <w:tc>
          <w:tcPr>
            <w:tcW w:w="957" w:type="pct"/>
          </w:tcPr>
          <w:p w14:paraId="49F267D7" w14:textId="77777777" w:rsidR="00257D2E" w:rsidRDefault="00495EF8" w:rsidP="00A1194E">
            <w:pPr>
              <w:spacing w:before="100" w:beforeAutospacing="1" w:after="100" w:afterAutospacing="1" w:line="240" w:lineRule="auto"/>
            </w:pPr>
            <w:r>
              <w:rPr>
                <w:sz w:val="19"/>
              </w:rPr>
              <w:t xml:space="preserve">Seminal reactive oxygen species by </w:t>
            </w:r>
            <w:proofErr w:type="spellStart"/>
            <w:r>
              <w:rPr>
                <w:sz w:val="19"/>
              </w:rPr>
              <w:t>nitroblue</w:t>
            </w:r>
            <w:proofErr w:type="spellEnd"/>
            <w:r>
              <w:rPr>
                <w:sz w:val="19"/>
              </w:rPr>
              <w:t xml:space="preserve"> tetrazolium assay</w:t>
            </w:r>
          </w:p>
        </w:tc>
        <w:tc>
          <w:tcPr>
            <w:tcW w:w="1064" w:type="pct"/>
          </w:tcPr>
          <w:p w14:paraId="73866EEE" w14:textId="77777777" w:rsidR="00257D2E" w:rsidRDefault="00495EF8" w:rsidP="00A1194E">
            <w:pPr>
              <w:spacing w:before="100" w:beforeAutospacing="1" w:after="100" w:afterAutospacing="1" w:line="240" w:lineRule="auto"/>
            </w:pPr>
            <w:r>
              <w:rPr>
                <w:sz w:val="19"/>
              </w:rPr>
              <w:t>Single-</w:t>
            </w:r>
            <w:proofErr w:type="spellStart"/>
            <w:r>
              <w:rPr>
                <w:sz w:val="19"/>
              </w:rPr>
              <w:t>centre</w:t>
            </w:r>
            <w:proofErr w:type="spellEnd"/>
            <w:r>
              <w:rPr>
                <w:sz w:val="19"/>
              </w:rPr>
              <w:t xml:space="preserve"> derivation with moderate sensitivity and specificity; external validation absent</w:t>
            </w:r>
          </w:p>
        </w:tc>
        <w:tc>
          <w:tcPr>
            <w:tcW w:w="1011" w:type="pct"/>
          </w:tcPr>
          <w:p w14:paraId="075A99C6" w14:textId="77777777" w:rsidR="00257D2E" w:rsidRDefault="00495EF8" w:rsidP="00A1194E">
            <w:pPr>
              <w:spacing w:before="100" w:beforeAutospacing="1" w:after="100" w:afterAutospacing="1" w:line="240" w:lineRule="auto"/>
            </w:pPr>
            <w:r>
              <w:rPr>
                <w:sz w:val="19"/>
              </w:rPr>
              <w:t>Basic reagents and colorimetry; low cost</w:t>
            </w:r>
          </w:p>
        </w:tc>
        <w:tc>
          <w:tcPr>
            <w:tcW w:w="1277" w:type="pct"/>
          </w:tcPr>
          <w:p w14:paraId="39C9F767" w14:textId="77777777" w:rsidR="00257D2E" w:rsidRDefault="00495EF8" w:rsidP="00A1194E">
            <w:pPr>
              <w:spacing w:before="100" w:beforeAutospacing="1" w:after="100" w:afterAutospacing="1" w:line="240" w:lineRule="auto"/>
            </w:pPr>
            <w:r>
              <w:rPr>
                <w:sz w:val="19"/>
              </w:rPr>
              <w:t xml:space="preserve">Cut-off values not validated across populations; assay not </w:t>
            </w:r>
            <w:proofErr w:type="spellStart"/>
            <w:r>
              <w:rPr>
                <w:sz w:val="19"/>
              </w:rPr>
              <w:t>standardised</w:t>
            </w:r>
            <w:proofErr w:type="spellEnd"/>
            <w:r>
              <w:rPr>
                <w:sz w:val="19"/>
              </w:rPr>
              <w:t xml:space="preserve"> internationally</w:t>
            </w:r>
          </w:p>
        </w:tc>
        <w:tc>
          <w:tcPr>
            <w:tcW w:w="691" w:type="pct"/>
          </w:tcPr>
          <w:p w14:paraId="14250648" w14:textId="77777777" w:rsidR="00257D2E" w:rsidRDefault="00495EF8" w:rsidP="00A1194E">
            <w:pPr>
              <w:spacing w:before="100" w:beforeAutospacing="1" w:after="100" w:afterAutospacing="1" w:line="240" w:lineRule="auto"/>
            </w:pPr>
            <w:r>
              <w:rPr>
                <w:sz w:val="19"/>
              </w:rPr>
              <w:t>Amarasekara et al. (2014)</w:t>
            </w:r>
          </w:p>
        </w:tc>
      </w:tr>
      <w:tr w:rsidR="00257D2E" w14:paraId="0AF121BF" w14:textId="77777777" w:rsidTr="00A1194E">
        <w:trPr>
          <w:jc w:val="center"/>
        </w:trPr>
        <w:tc>
          <w:tcPr>
            <w:tcW w:w="957" w:type="pct"/>
          </w:tcPr>
          <w:p w14:paraId="13B4C9BF" w14:textId="77777777" w:rsidR="00257D2E" w:rsidRDefault="00495EF8" w:rsidP="00A1194E">
            <w:pPr>
              <w:spacing w:before="100" w:beforeAutospacing="1" w:after="100" w:afterAutospacing="1" w:line="240" w:lineRule="auto"/>
            </w:pPr>
            <w:r>
              <w:rPr>
                <w:sz w:val="19"/>
              </w:rPr>
              <w:t>Algorithmic and machine-learning semen assessment</w:t>
            </w:r>
          </w:p>
        </w:tc>
        <w:tc>
          <w:tcPr>
            <w:tcW w:w="1064" w:type="pct"/>
          </w:tcPr>
          <w:p w14:paraId="19AC565E" w14:textId="77777777" w:rsidR="00257D2E" w:rsidRDefault="00495EF8" w:rsidP="00A1194E">
            <w:pPr>
              <w:spacing w:before="100" w:beforeAutospacing="1" w:after="100" w:afterAutospacing="1" w:line="240" w:lineRule="auto"/>
            </w:pPr>
            <w:r>
              <w:rPr>
                <w:sz w:val="19"/>
              </w:rPr>
              <w:t>Predominantly development and internal validation studies; prospective clinical evaluation limited</w:t>
            </w:r>
          </w:p>
        </w:tc>
        <w:tc>
          <w:tcPr>
            <w:tcW w:w="1011" w:type="pct"/>
          </w:tcPr>
          <w:p w14:paraId="037A0D8C" w14:textId="77777777" w:rsidR="00257D2E" w:rsidRDefault="00495EF8" w:rsidP="00A1194E">
            <w:pPr>
              <w:spacing w:before="100" w:beforeAutospacing="1" w:after="100" w:afterAutospacing="1" w:line="240" w:lineRule="auto"/>
            </w:pPr>
            <w:r>
              <w:rPr>
                <w:sz w:val="19"/>
              </w:rPr>
              <w:t>Digital imaging, computing capacity, technical support</w:t>
            </w:r>
          </w:p>
        </w:tc>
        <w:tc>
          <w:tcPr>
            <w:tcW w:w="1277" w:type="pct"/>
          </w:tcPr>
          <w:p w14:paraId="7C666C94" w14:textId="77777777" w:rsidR="00257D2E" w:rsidRDefault="00495EF8" w:rsidP="00A1194E">
            <w:pPr>
              <w:spacing w:before="100" w:beforeAutospacing="1" w:after="100" w:afterAutospacing="1" w:line="240" w:lineRule="auto"/>
            </w:pPr>
            <w:r>
              <w:rPr>
                <w:sz w:val="19"/>
              </w:rPr>
              <w:t>Training data derived from high-income laboratories; performance under differing preparation conditions unestablished</w:t>
            </w:r>
          </w:p>
        </w:tc>
        <w:tc>
          <w:tcPr>
            <w:tcW w:w="691" w:type="pct"/>
          </w:tcPr>
          <w:p w14:paraId="006056DE" w14:textId="77777777" w:rsidR="00257D2E" w:rsidRDefault="00495EF8" w:rsidP="00A1194E">
            <w:pPr>
              <w:spacing w:before="100" w:beforeAutospacing="1" w:after="100" w:afterAutospacing="1" w:line="240" w:lineRule="auto"/>
            </w:pPr>
            <w:r>
              <w:rPr>
                <w:sz w:val="19"/>
              </w:rPr>
              <w:t>Panner Selvam et al. (2024)</w:t>
            </w:r>
          </w:p>
        </w:tc>
      </w:tr>
    </w:tbl>
    <w:p w14:paraId="5FA85E79" w14:textId="77777777" w:rsidR="00257D2E" w:rsidRDefault="00495EF8" w:rsidP="00A1194E">
      <w:pPr>
        <w:spacing w:before="100" w:beforeAutospacing="1" w:after="100" w:afterAutospacing="1" w:line="240" w:lineRule="auto"/>
      </w:pPr>
      <w:r>
        <w:rPr>
          <w:sz w:val="19"/>
        </w:rPr>
        <w:lastRenderedPageBreak/>
        <w:t>Note. Coefficients of variation are interlaboratory values reported from external quality assessment schemes in high-income countries and may understate variability where such schemes are absent.</w:t>
      </w:r>
    </w:p>
    <w:p w14:paraId="593D381D" w14:textId="77777777" w:rsidR="00257D2E" w:rsidRDefault="00495EF8" w:rsidP="00A1194E">
      <w:pPr>
        <w:pStyle w:val="Heading1"/>
        <w:spacing w:before="100" w:beforeAutospacing="1" w:after="100" w:afterAutospacing="1" w:line="240" w:lineRule="auto"/>
      </w:pPr>
      <w:r>
        <w:rPr>
          <w:rFonts w:ascii="Times New Roman" w:hAnsi="Times New Roman"/>
          <w:b w:val="0"/>
        </w:rPr>
        <w:t>5. Microbiological and Molecular Attribution of Infection-Related Infertility</w:t>
      </w:r>
    </w:p>
    <w:p w14:paraId="1C9E9E3C" w14:textId="77777777" w:rsidR="00257D2E" w:rsidRDefault="00495EF8" w:rsidP="00A1194E">
      <w:pPr>
        <w:pStyle w:val="Heading2"/>
        <w:spacing w:before="100" w:beforeAutospacing="1" w:after="100" w:afterAutospacing="1" w:line="240" w:lineRule="auto"/>
      </w:pPr>
      <w:r>
        <w:rPr>
          <w:rFonts w:ascii="Times New Roman" w:hAnsi="Times New Roman"/>
          <w:b w:val="0"/>
        </w:rPr>
        <w:t>5.1 Chlamydial Serology Against Nucleic Acid Amplification</w:t>
      </w:r>
    </w:p>
    <w:p w14:paraId="0C291447" w14:textId="77777777" w:rsidR="00257D2E" w:rsidRDefault="00495EF8" w:rsidP="00A1194E">
      <w:pPr>
        <w:spacing w:before="100" w:beforeAutospacing="1" w:after="100" w:afterAutospacing="1" w:line="240" w:lineRule="auto"/>
        <w:ind w:firstLine="567"/>
        <w:jc w:val="both"/>
      </w:pPr>
      <w:r>
        <w:t>The dominant diagnostic strategy for attributing tubal infertility to Chlamydia trachomatis in Nigeria is measurement of immunoglobulin G antibody in serum. The appeal is evident: the specimen is easily obtained, the assay format is familiar, and the result is available in laboratories without molecular capability. Two Nigerian studies illustrate both the strength of the reported association and the interpretive problem it creates. In Ogun State, 63.9 per cent of 147 women with tubal blockage demonstrated at hysterosalpingography and confirmed at laparoscopy were seropositive, against 25.2 per cent of pregnant controls, with early coitarche, multiple partners and previous sexually transmitted infection independently associated with seropositivity (</w:t>
      </w:r>
      <w:proofErr w:type="spellStart"/>
      <w:r>
        <w:t>Odelola</w:t>
      </w:r>
      <w:proofErr w:type="spellEnd"/>
      <w:r>
        <w:t xml:space="preserve"> &amp; </w:t>
      </w:r>
      <w:proofErr w:type="spellStart"/>
      <w:r>
        <w:t>Akadri</w:t>
      </w:r>
      <w:proofErr w:type="spellEnd"/>
      <w:r>
        <w:t>, 2023). In Imo State, 81.2 per cent of 96 women with confirmed tubal factor infertility were seropositive against 13.5 per cent of age-matched pregnant controls (</w:t>
      </w:r>
      <w:proofErr w:type="spellStart"/>
      <w:r>
        <w:t>Onyeabochukwu</w:t>
      </w:r>
      <w:proofErr w:type="spellEnd"/>
      <w:r>
        <w:t xml:space="preserve"> et al., 2021).</w:t>
      </w:r>
    </w:p>
    <w:p w14:paraId="1EFBAF47" w14:textId="77777777" w:rsidR="00257D2E" w:rsidRDefault="00495EF8" w:rsidP="00A1194E">
      <w:pPr>
        <w:spacing w:before="100" w:beforeAutospacing="1" w:after="100" w:afterAutospacing="1" w:line="240" w:lineRule="auto"/>
        <w:ind w:firstLine="567"/>
        <w:jc w:val="both"/>
      </w:pPr>
      <w:r>
        <w:t xml:space="preserve">Several considerations constrain the inference drawn from these findings. Chlamydial immunoglobulin G indicates prior exposure at an undetermined time and does not establish that infection caused the observed tubal damage, that infection is current, or that treatment is indicated. Assay specificity varies with the antigen preparation used, and cross-reactivity with other chlamydial species is a </w:t>
      </w:r>
      <w:proofErr w:type="spellStart"/>
      <w:r>
        <w:t>recognised</w:t>
      </w:r>
      <w:proofErr w:type="spellEnd"/>
      <w:r>
        <w:t xml:space="preserve"> limitation; neither Nigerian study reported independent verification of assay performance in the local population. The choice of pregnant women as controls introduces a structural difference between groups that extends well beyond the exposure of interest. The magnitude of the odds ratio reported in the smaller study, at 27.7 with a confidence interval from 12.7 to 60.2, is larger than is typically observed for this association and should be interpreted with the caution appropriate to small single-</w:t>
      </w:r>
      <w:proofErr w:type="spellStart"/>
      <w:r>
        <w:t>centre</w:t>
      </w:r>
      <w:proofErr w:type="spellEnd"/>
      <w:r>
        <w:t xml:space="preserve"> case-control designs.</w:t>
      </w:r>
    </w:p>
    <w:p w14:paraId="387FF536" w14:textId="77777777" w:rsidR="00257D2E" w:rsidRDefault="00495EF8" w:rsidP="00A1194E">
      <w:pPr>
        <w:spacing w:before="100" w:beforeAutospacing="1" w:after="100" w:afterAutospacing="1" w:line="240" w:lineRule="auto"/>
        <w:ind w:firstLine="567"/>
        <w:jc w:val="both"/>
      </w:pPr>
      <w:r>
        <w:t>Structured review of genital chlamydial and gonococcal infection among women in sub-Saharan Africa documents substantial prevalence of current infection across the region and highlights the predominance of asymptomatic carriage, which is precisely the pattern that syndromic management fails to detect (</w:t>
      </w:r>
      <w:proofErr w:type="spellStart"/>
      <w:r>
        <w:t>Dubbink</w:t>
      </w:r>
      <w:proofErr w:type="spellEnd"/>
      <w:r>
        <w:t xml:space="preserve"> et al., 2018). This creates the central diagnostic paradox of the field: serological testing identifies remote exposure in women whose tubal damage is already established and irreversible, while the infections that could be interrupted before damage occurs go undetected because they produce no symptoms and no test is applied.</w:t>
      </w:r>
    </w:p>
    <w:p w14:paraId="1FEED7DC" w14:textId="77777777" w:rsidR="00257D2E" w:rsidRDefault="00495EF8" w:rsidP="00A1194E">
      <w:pPr>
        <w:spacing w:before="100" w:beforeAutospacing="1" w:after="100" w:afterAutospacing="1" w:line="240" w:lineRule="auto"/>
        <w:ind w:firstLine="567"/>
        <w:jc w:val="both"/>
      </w:pPr>
      <w:r>
        <w:t xml:space="preserve">Nucleic acid amplification testing addresses the detection problem but introduces a cost problem. Evidence from Zambia demonstrates that specimen pooling, using a population-specific </w:t>
      </w:r>
      <w:proofErr w:type="spellStart"/>
      <w:r>
        <w:t>optimised</w:t>
      </w:r>
      <w:proofErr w:type="spellEnd"/>
      <w:r>
        <w:t xml:space="preserve"> algorithm on a cartridge-based platform, can substantially reduce the per-result cost of molecular screening for Chlamydia trachomatis and Neisseria gonorrhoeae in resource-limited settings (Connolly et al., 2020). The approach requires local prevalence data to determine optimal pool size and a laboratory capable of managing the pooling and deconvolution workflow, but it demonstrates that the cost barrier is partly an operational rather than an absolute constraint. Review of point-of-care testing for sexually transmitted infections in low-resource </w:t>
      </w:r>
      <w:r>
        <w:lastRenderedPageBreak/>
        <w:t>settings reaches broadly consistent conclusions, identifying assay performance and specimen handling as determinants of usefulness alongside cost (Vargas et al., 2022).</w:t>
      </w:r>
    </w:p>
    <w:p w14:paraId="28DBD217" w14:textId="77777777" w:rsidR="00257D2E" w:rsidRDefault="00495EF8" w:rsidP="00A1194E">
      <w:pPr>
        <w:pStyle w:val="Heading2"/>
        <w:spacing w:before="100" w:beforeAutospacing="1" w:after="100" w:afterAutospacing="1" w:line="240" w:lineRule="auto"/>
      </w:pPr>
      <w:r>
        <w:rPr>
          <w:rFonts w:ascii="Times New Roman" w:hAnsi="Times New Roman"/>
          <w:b w:val="0"/>
        </w:rPr>
        <w:t>5.2 Gonococcal Resistance, Genital Mycoplasmas and the Vaginal Microbiota</w:t>
      </w:r>
    </w:p>
    <w:p w14:paraId="1417748E" w14:textId="77777777" w:rsidR="00257D2E" w:rsidRDefault="00495EF8" w:rsidP="00A1194E">
      <w:pPr>
        <w:spacing w:before="100" w:beforeAutospacing="1" w:after="100" w:afterAutospacing="1" w:line="240" w:lineRule="auto"/>
        <w:ind w:firstLine="567"/>
        <w:jc w:val="both"/>
      </w:pPr>
      <w:r>
        <w:t>Where infection is detected, treatment adequacy determines whether tubal damage is averted, and treatment adequacy depends on antimicrobial susceptibility data that most of the region does not generate. Review of gonococcal susceptibility surveillance in Africa from 2001 to 2020 documented limited and geographically uneven surveillance coverage alongside evidence of resistance to agents previously relied upon (Kakooza et al., 2023). Systematic review of antimicrobial resistance in Neisseria gonorrhoeae and Mycoplasma genitalium in sub-Saharan Africa reached similar conclusions regarding both the extent of resistance and the sparseness of the data on which estimates rest (Iwuji et al., 2022). Culture and susceptibility testing for Neisseria gonorrhoeae requires transport media, controlled atmosphere incubation and quality-assured methods, and these capabilities are concentrated in reference laboratories rather than distributed across the facilities where patients present. The consequence is that syndromic management continues in the absence of the data required to keep it effective, and the reproductive sequelae of inadequately treated infection accumulate silently.</w:t>
      </w:r>
    </w:p>
    <w:p w14:paraId="62DF27E7" w14:textId="77777777" w:rsidR="00257D2E" w:rsidRDefault="00495EF8" w:rsidP="00A1194E">
      <w:pPr>
        <w:spacing w:before="100" w:beforeAutospacing="1" w:after="100" w:afterAutospacing="1" w:line="240" w:lineRule="auto"/>
        <w:ind w:firstLine="567"/>
        <w:jc w:val="both"/>
      </w:pPr>
      <w:r>
        <w:t xml:space="preserve">The role of genital mycoplasmas remains genuinely contested. Meta-analysis of the association between mycoplasma and </w:t>
      </w:r>
      <w:proofErr w:type="spellStart"/>
      <w:r>
        <w:t>ureaplasma</w:t>
      </w:r>
      <w:proofErr w:type="spellEnd"/>
      <w:r>
        <w:t xml:space="preserve"> infection and male infertility reported associations with impaired semen parameters (Huang et al., 2015), and separate meta-analysis found associations between genital mycoplasma infection and female infertility (</w:t>
      </w:r>
      <w:proofErr w:type="spellStart"/>
      <w:r>
        <w:t>Tantengco</w:t>
      </w:r>
      <w:proofErr w:type="spellEnd"/>
      <w:r>
        <w:t xml:space="preserve"> et al., 2021). Both syntheses drew on primary studies with heterogeneous detection methods, variable control selection and inconsistent handling of organisms that also </w:t>
      </w:r>
      <w:proofErr w:type="spellStart"/>
      <w:r>
        <w:t>colonise</w:t>
      </w:r>
      <w:proofErr w:type="spellEnd"/>
      <w:r>
        <w:t xml:space="preserve"> the genital tract of fertile individuals. The distinction between </w:t>
      </w:r>
      <w:proofErr w:type="spellStart"/>
      <w:r>
        <w:t>colonisation</w:t>
      </w:r>
      <w:proofErr w:type="spellEnd"/>
      <w:r>
        <w:t xml:space="preserve"> and infection is not resolvable by detection alone, and the introduction of highly sensitive molecular assays has if anything sharpened the difficulty by identifying organisms at densities of uncertain significance. Confidence that these organisms cause infertility is lower than the pooled effect estimates suggest, and routine testing for them in resource-constrained settings cannot presently be justified on the available evidence.</w:t>
      </w:r>
    </w:p>
    <w:p w14:paraId="260AAB3A" w14:textId="77777777" w:rsidR="00257D2E" w:rsidRDefault="00495EF8" w:rsidP="00A1194E">
      <w:pPr>
        <w:spacing w:before="100" w:beforeAutospacing="1" w:after="100" w:afterAutospacing="1" w:line="240" w:lineRule="auto"/>
        <w:ind w:firstLine="567"/>
        <w:jc w:val="both"/>
      </w:pPr>
      <w:r>
        <w:t>Vaginal dysbiosis presents a related interpretive problem with a stronger practical case for attention. The Nigerian finding of bacterial vaginosis in 28.1 per cent of women with tubal factor infertility against 7.9 per cent of fertile controls, with strong associations for douching and vaginal drying agents (</w:t>
      </w:r>
      <w:proofErr w:type="spellStart"/>
      <w:r>
        <w:t>Durugbo</w:t>
      </w:r>
      <w:proofErr w:type="spellEnd"/>
      <w:r>
        <w:t xml:space="preserve"> et al., 2015), identifies a condition detectable by microscopy in any laboratory with a stained smear capability. Whether dysbiosis contributes causally to tubal damage or serves as a marker of shared </w:t>
      </w:r>
      <w:proofErr w:type="spellStart"/>
      <w:r>
        <w:t>behavioural</w:t>
      </w:r>
      <w:proofErr w:type="spellEnd"/>
      <w:r>
        <w:t xml:space="preserve"> and infectious exposures cannot be determined from cross-sectional data, but the diagnostic method is inexpensive, the associated practices are modifiable, and the finding is actionable irrespective of which causal model proves correct.</w:t>
      </w:r>
    </w:p>
    <w:p w14:paraId="02578F8A" w14:textId="77777777" w:rsidR="00257D2E" w:rsidRDefault="00495EF8" w:rsidP="00A1194E">
      <w:pPr>
        <w:pStyle w:val="Heading2"/>
        <w:spacing w:before="100" w:beforeAutospacing="1" w:after="100" w:afterAutospacing="1" w:line="240" w:lineRule="auto"/>
      </w:pPr>
      <w:r>
        <w:rPr>
          <w:rFonts w:ascii="Times New Roman" w:hAnsi="Times New Roman"/>
          <w:b w:val="0"/>
        </w:rPr>
        <w:t>5.3 Genital Tuberculosis and Female Genital Schistosomiasis</w:t>
      </w:r>
    </w:p>
    <w:p w14:paraId="742A4ED6" w14:textId="77777777" w:rsidR="00257D2E" w:rsidRDefault="00495EF8" w:rsidP="00A1194E">
      <w:pPr>
        <w:spacing w:before="100" w:beforeAutospacing="1" w:after="100" w:afterAutospacing="1" w:line="240" w:lineRule="auto"/>
        <w:ind w:firstLine="567"/>
        <w:jc w:val="both"/>
      </w:pPr>
      <w:r>
        <w:t xml:space="preserve">Two infections of substantial regional importance are systematically underdiagnosed because their diagnosis requires specimens and methods outside routine practice. Female genital </w:t>
      </w:r>
      <w:r>
        <w:lastRenderedPageBreak/>
        <w:t xml:space="preserve">tuberculosis is a </w:t>
      </w:r>
      <w:proofErr w:type="spellStart"/>
      <w:r>
        <w:t>recognised</w:t>
      </w:r>
      <w:proofErr w:type="spellEnd"/>
      <w:r>
        <w:t xml:space="preserve"> cause of tubal and endometrial damage whose presentation is frequently limited to infertility itself, without systemic features (</w:t>
      </w:r>
      <w:proofErr w:type="spellStart"/>
      <w:r>
        <w:t>Tzelios</w:t>
      </w:r>
      <w:proofErr w:type="spellEnd"/>
      <w:r>
        <w:t xml:space="preserve"> et al., 2022). Diagnostic evaluation depends on endometrial sampling with mycobacterial culture, histopathology and molecular testing, and each of these modalities has limitations: culture is insensitive on paucibacillary specimens and slow, histopathology requires characteristic granulomas that may be absent, and molecular assays validated on respiratory specimens have uncertain performance on endometrial tissue (Dahiya et al., 2022). The practical result is that a treatable cause of infertility in a high-burden region is diagnosed inconsistently and often not at all.</w:t>
      </w:r>
    </w:p>
    <w:p w14:paraId="161F604F" w14:textId="77777777" w:rsidR="00257D2E" w:rsidRDefault="00495EF8" w:rsidP="00A1194E">
      <w:pPr>
        <w:spacing w:before="100" w:beforeAutospacing="1" w:after="100" w:afterAutospacing="1" w:line="240" w:lineRule="auto"/>
        <w:ind w:firstLine="567"/>
        <w:jc w:val="both"/>
      </w:pPr>
      <w:r>
        <w:t xml:space="preserve">This constitutes an unexploited opportunity. Cartridge-based molecular platforms are already distributed across tuberculosis </w:t>
      </w:r>
      <w:proofErr w:type="spellStart"/>
      <w:r>
        <w:t>programmes</w:t>
      </w:r>
      <w:proofErr w:type="spellEnd"/>
      <w:r>
        <w:t xml:space="preserve"> throughout the region, and diagnostic network analysis from Zambia demonstrated that integrating additional testing onto the same platform substantially improved access and same-day diagnosis without requiring new instrumentation (Girdwood et al., 2023). Feasibility work in rural Zimbabwe similarly established that multi-disease testing on a single platform is operationally practicable (Ndlovu et al., 2018). The evidence supporting extension of these platforms to endometrial specimens for suspected genital tuberculosis is not yet available, and the analytical validation required is non-trivial, but the infrastructure argument for pursuing it is strong.</w:t>
      </w:r>
    </w:p>
    <w:p w14:paraId="4CBE64C8" w14:textId="77777777" w:rsidR="00257D2E" w:rsidRDefault="00495EF8" w:rsidP="00A1194E">
      <w:pPr>
        <w:spacing w:before="100" w:beforeAutospacing="1" w:after="100" w:afterAutospacing="1" w:line="240" w:lineRule="auto"/>
        <w:ind w:firstLine="567"/>
        <w:jc w:val="both"/>
      </w:pPr>
      <w:r>
        <w:t xml:space="preserve">Female genital schistosomiasis presents an even sharper mismatch between burden and diagnosis. Multilevel semi-ecological analysis across Ethiopia, Kenya, Tanzania and Uganda found that women residing in locations of high Schistosoma haematobium prevalence had significantly elevated odds of infertility relative to those in locations where the parasite was absent, and that this association was not observed for Schistosoma mansoni, which is consistent with the urogenital tropism of the former species (Woodall &amp; Kramer, 2018). The design assigns exposure at the level of location rather than the individual, so the finding establishes a spatial association rather than an individual causal effect, and residual confounding by other correlates of endemicity cannot be excluded. Clinical review has nonetheless </w:t>
      </w:r>
      <w:proofErr w:type="spellStart"/>
      <w:r>
        <w:t>characterised</w:t>
      </w:r>
      <w:proofErr w:type="spellEnd"/>
      <w:r>
        <w:t xml:space="preserve"> schistosomiasis as a neglected cause of infertility in both sexes and has drawn attention to the absence of validated diagnostic approaches (Bowers et al., 2025). Urine microscopy for ova detects urinary infection but does not establish genital tract involvement, and no widely deployable assay for female genital schistosomiasis is available. Nigeria carries a substantial schistosomiasis burden, and the possibility that a proportion of tubal and cervical pathology attributed to bacterial infection is parasitic in origin has not been examined in the Nigerian literature retrieved for this review.</w:t>
      </w:r>
    </w:p>
    <w:p w14:paraId="3F2D1B55" w14:textId="77777777" w:rsidR="00257D2E" w:rsidRDefault="00495EF8" w:rsidP="00A1194E">
      <w:pPr>
        <w:spacing w:before="100" w:beforeAutospacing="1" w:after="100" w:afterAutospacing="1" w:line="240" w:lineRule="auto"/>
        <w:ind w:firstLine="567"/>
        <w:jc w:val="both"/>
      </w:pPr>
      <w:r>
        <w:t xml:space="preserve">Table 4 compares diagnostic strategies for the principal infectious causes of infertility relevant to the region, setting analytical performance against </w:t>
      </w:r>
      <w:proofErr w:type="spellStart"/>
      <w:r>
        <w:t>deployability</w:t>
      </w:r>
      <w:proofErr w:type="spellEnd"/>
      <w:r>
        <w:t>. The comparison shows that the strategies currently in widest use in Nigeria are those with the weakest capacity to support causal attribution, while the strategies with the strongest attributional capacity are either unavailable or, in the case of platform-based molecular testing, available but not applied to reproductive indications. The table also records where no adequate diagnostic option currently exists, since the honest identification of diagnostic voids is more useful than the presentation of inadequate methods as adequate ones.</w:t>
      </w:r>
    </w:p>
    <w:p w14:paraId="407E5B14" w14:textId="77777777" w:rsidR="00257D2E" w:rsidRDefault="00495EF8" w:rsidP="00A1194E">
      <w:pPr>
        <w:keepNext/>
        <w:spacing w:before="100" w:beforeAutospacing="1" w:after="100" w:afterAutospacing="1" w:line="240" w:lineRule="auto"/>
      </w:pPr>
      <w:r>
        <w:rPr>
          <w:b/>
          <w:sz w:val="22"/>
        </w:rPr>
        <w:lastRenderedPageBreak/>
        <w:t xml:space="preserve">Table 4. </w:t>
      </w:r>
      <w:r>
        <w:rPr>
          <w:sz w:val="22"/>
        </w:rPr>
        <w:t>Diagnostic strategies for infection-related infertility in resource-constrained settings</w:t>
      </w:r>
    </w:p>
    <w:tbl>
      <w:tblPr>
        <w:tblStyle w:val="TableGrid"/>
        <w:tblW w:w="5000" w:type="pct"/>
        <w:jc w:val="center"/>
        <w:tblLook w:val="04A0" w:firstRow="1" w:lastRow="0" w:firstColumn="1" w:lastColumn="0" w:noHBand="0" w:noVBand="1"/>
      </w:tblPr>
      <w:tblGrid>
        <w:gridCol w:w="1686"/>
        <w:gridCol w:w="2094"/>
        <w:gridCol w:w="2095"/>
        <w:gridCol w:w="2197"/>
        <w:gridCol w:w="1504"/>
      </w:tblGrid>
      <w:tr w:rsidR="00257D2E" w14:paraId="5DE8C127" w14:textId="77777777" w:rsidTr="00A1194E">
        <w:trPr>
          <w:jc w:val="center"/>
        </w:trPr>
        <w:tc>
          <w:tcPr>
            <w:tcW w:w="904" w:type="pct"/>
            <w:shd w:val="clear" w:color="auto" w:fill="E8E8E8"/>
          </w:tcPr>
          <w:p w14:paraId="4A78E7E1" w14:textId="77777777" w:rsidR="00257D2E" w:rsidRDefault="00495EF8" w:rsidP="00A1194E">
            <w:pPr>
              <w:spacing w:before="100" w:beforeAutospacing="1" w:after="100" w:afterAutospacing="1" w:line="240" w:lineRule="auto"/>
            </w:pPr>
            <w:r>
              <w:rPr>
                <w:b/>
                <w:sz w:val="19"/>
              </w:rPr>
              <w:t>Target condition</w:t>
            </w:r>
          </w:p>
        </w:tc>
        <w:tc>
          <w:tcPr>
            <w:tcW w:w="1117" w:type="pct"/>
            <w:shd w:val="clear" w:color="auto" w:fill="E8E8E8"/>
          </w:tcPr>
          <w:p w14:paraId="1B6485DF" w14:textId="77777777" w:rsidR="00257D2E" w:rsidRDefault="00495EF8" w:rsidP="00A1194E">
            <w:pPr>
              <w:spacing w:before="100" w:beforeAutospacing="1" w:after="100" w:afterAutospacing="1" w:line="240" w:lineRule="auto"/>
            </w:pPr>
            <w:r>
              <w:rPr>
                <w:b/>
                <w:sz w:val="19"/>
              </w:rPr>
              <w:t>Method in common regional use</w:t>
            </w:r>
          </w:p>
        </w:tc>
        <w:tc>
          <w:tcPr>
            <w:tcW w:w="1117" w:type="pct"/>
            <w:shd w:val="clear" w:color="auto" w:fill="E8E8E8"/>
          </w:tcPr>
          <w:p w14:paraId="7A707B66" w14:textId="77777777" w:rsidR="00257D2E" w:rsidRDefault="00495EF8" w:rsidP="00A1194E">
            <w:pPr>
              <w:spacing w:before="100" w:beforeAutospacing="1" w:after="100" w:afterAutospacing="1" w:line="240" w:lineRule="auto"/>
            </w:pPr>
            <w:r>
              <w:rPr>
                <w:b/>
                <w:sz w:val="19"/>
              </w:rPr>
              <w:t>Analytical and interpretive characteristics</w:t>
            </w:r>
          </w:p>
        </w:tc>
        <w:tc>
          <w:tcPr>
            <w:tcW w:w="1170" w:type="pct"/>
            <w:shd w:val="clear" w:color="auto" w:fill="E8E8E8"/>
          </w:tcPr>
          <w:p w14:paraId="483AEB85" w14:textId="77777777" w:rsidR="00257D2E" w:rsidRDefault="00495EF8" w:rsidP="00A1194E">
            <w:pPr>
              <w:spacing w:before="100" w:beforeAutospacing="1" w:after="100" w:afterAutospacing="1" w:line="240" w:lineRule="auto"/>
            </w:pPr>
            <w:r>
              <w:rPr>
                <w:b/>
                <w:sz w:val="19"/>
              </w:rPr>
              <w:t>Alternative or additional strategy and its constraints</w:t>
            </w:r>
          </w:p>
        </w:tc>
        <w:tc>
          <w:tcPr>
            <w:tcW w:w="691" w:type="pct"/>
            <w:shd w:val="clear" w:color="auto" w:fill="E8E8E8"/>
          </w:tcPr>
          <w:p w14:paraId="176A23B6" w14:textId="77777777" w:rsidR="00257D2E" w:rsidRDefault="00495EF8" w:rsidP="00A1194E">
            <w:pPr>
              <w:spacing w:before="100" w:beforeAutospacing="1" w:after="100" w:afterAutospacing="1" w:line="240" w:lineRule="auto"/>
            </w:pPr>
            <w:r>
              <w:rPr>
                <w:b/>
                <w:sz w:val="19"/>
              </w:rPr>
              <w:t>Supporting references</w:t>
            </w:r>
          </w:p>
        </w:tc>
      </w:tr>
      <w:tr w:rsidR="00257D2E" w14:paraId="06E9A93A" w14:textId="77777777" w:rsidTr="00A1194E">
        <w:trPr>
          <w:jc w:val="center"/>
        </w:trPr>
        <w:tc>
          <w:tcPr>
            <w:tcW w:w="904" w:type="pct"/>
          </w:tcPr>
          <w:p w14:paraId="4546CC4F" w14:textId="77777777" w:rsidR="00257D2E" w:rsidRDefault="00495EF8" w:rsidP="00A1194E">
            <w:pPr>
              <w:spacing w:before="100" w:beforeAutospacing="1" w:after="100" w:afterAutospacing="1" w:line="240" w:lineRule="auto"/>
            </w:pPr>
            <w:r>
              <w:rPr>
                <w:sz w:val="19"/>
              </w:rPr>
              <w:t>Chlamydial tubal disease</w:t>
            </w:r>
          </w:p>
        </w:tc>
        <w:tc>
          <w:tcPr>
            <w:tcW w:w="1117" w:type="pct"/>
          </w:tcPr>
          <w:p w14:paraId="4818D60E" w14:textId="77777777" w:rsidR="00257D2E" w:rsidRDefault="00495EF8" w:rsidP="00A1194E">
            <w:pPr>
              <w:spacing w:before="100" w:beforeAutospacing="1" w:after="100" w:afterAutospacing="1" w:line="240" w:lineRule="auto"/>
            </w:pPr>
            <w:r>
              <w:rPr>
                <w:sz w:val="19"/>
              </w:rPr>
              <w:t>Serum immunoglobulin G antibody assay</w:t>
            </w:r>
          </w:p>
        </w:tc>
        <w:tc>
          <w:tcPr>
            <w:tcW w:w="1117" w:type="pct"/>
          </w:tcPr>
          <w:p w14:paraId="7BD8AB60" w14:textId="77777777" w:rsidR="00257D2E" w:rsidRDefault="00495EF8" w:rsidP="00A1194E">
            <w:pPr>
              <w:spacing w:before="100" w:beforeAutospacing="1" w:after="100" w:afterAutospacing="1" w:line="240" w:lineRule="auto"/>
            </w:pPr>
            <w:r>
              <w:rPr>
                <w:sz w:val="19"/>
              </w:rPr>
              <w:t>Indicates remote exposure only; specificity varies with antigen preparation; cannot guide treatment</w:t>
            </w:r>
          </w:p>
        </w:tc>
        <w:tc>
          <w:tcPr>
            <w:tcW w:w="1170" w:type="pct"/>
          </w:tcPr>
          <w:p w14:paraId="42338F57" w14:textId="77777777" w:rsidR="00257D2E" w:rsidRDefault="00495EF8" w:rsidP="00A1194E">
            <w:pPr>
              <w:spacing w:before="100" w:beforeAutospacing="1" w:after="100" w:afterAutospacing="1" w:line="240" w:lineRule="auto"/>
            </w:pPr>
            <w:r>
              <w:rPr>
                <w:sz w:val="19"/>
              </w:rPr>
              <w:t>Nucleic acid amplification on genital or urine specimens; cost reducible by validated pooling algorithms requiring local prevalence data</w:t>
            </w:r>
          </w:p>
        </w:tc>
        <w:tc>
          <w:tcPr>
            <w:tcW w:w="691" w:type="pct"/>
          </w:tcPr>
          <w:p w14:paraId="4F0ED40C" w14:textId="77777777" w:rsidR="00257D2E" w:rsidRDefault="00495EF8" w:rsidP="00A1194E">
            <w:pPr>
              <w:spacing w:before="100" w:beforeAutospacing="1" w:after="100" w:afterAutospacing="1" w:line="240" w:lineRule="auto"/>
            </w:pPr>
            <w:r>
              <w:rPr>
                <w:sz w:val="19"/>
              </w:rPr>
              <w:t xml:space="preserve">Connolly et al. (2020); </w:t>
            </w:r>
            <w:proofErr w:type="spellStart"/>
            <w:r>
              <w:rPr>
                <w:sz w:val="19"/>
              </w:rPr>
              <w:t>Odelola</w:t>
            </w:r>
            <w:proofErr w:type="spellEnd"/>
            <w:r>
              <w:rPr>
                <w:sz w:val="19"/>
              </w:rPr>
              <w:t xml:space="preserve"> &amp; </w:t>
            </w:r>
            <w:proofErr w:type="spellStart"/>
            <w:r>
              <w:rPr>
                <w:sz w:val="19"/>
              </w:rPr>
              <w:t>Akadri</w:t>
            </w:r>
            <w:proofErr w:type="spellEnd"/>
            <w:r>
              <w:rPr>
                <w:sz w:val="19"/>
              </w:rPr>
              <w:t xml:space="preserve"> (2023); </w:t>
            </w:r>
            <w:proofErr w:type="spellStart"/>
            <w:r>
              <w:rPr>
                <w:sz w:val="19"/>
              </w:rPr>
              <w:t>Onyeabochukwu</w:t>
            </w:r>
            <w:proofErr w:type="spellEnd"/>
            <w:r>
              <w:rPr>
                <w:sz w:val="19"/>
              </w:rPr>
              <w:t xml:space="preserve"> et al. (2021)</w:t>
            </w:r>
          </w:p>
        </w:tc>
      </w:tr>
      <w:tr w:rsidR="00257D2E" w14:paraId="035F5539" w14:textId="77777777" w:rsidTr="00A1194E">
        <w:trPr>
          <w:jc w:val="center"/>
        </w:trPr>
        <w:tc>
          <w:tcPr>
            <w:tcW w:w="904" w:type="pct"/>
          </w:tcPr>
          <w:p w14:paraId="4D0DD9E1" w14:textId="77777777" w:rsidR="00257D2E" w:rsidRDefault="00495EF8" w:rsidP="00A1194E">
            <w:pPr>
              <w:spacing w:before="100" w:beforeAutospacing="1" w:after="100" w:afterAutospacing="1" w:line="240" w:lineRule="auto"/>
            </w:pPr>
            <w:r>
              <w:rPr>
                <w:sz w:val="19"/>
              </w:rPr>
              <w:t>Current chlamydial and gonococcal infection</w:t>
            </w:r>
          </w:p>
        </w:tc>
        <w:tc>
          <w:tcPr>
            <w:tcW w:w="1117" w:type="pct"/>
          </w:tcPr>
          <w:p w14:paraId="276C7557" w14:textId="77777777" w:rsidR="00257D2E" w:rsidRDefault="00495EF8" w:rsidP="00A1194E">
            <w:pPr>
              <w:spacing w:before="100" w:beforeAutospacing="1" w:after="100" w:afterAutospacing="1" w:line="240" w:lineRule="auto"/>
            </w:pPr>
            <w:r>
              <w:rPr>
                <w:sz w:val="19"/>
              </w:rPr>
              <w:t>Syndromic management without testing</w:t>
            </w:r>
          </w:p>
        </w:tc>
        <w:tc>
          <w:tcPr>
            <w:tcW w:w="1117" w:type="pct"/>
          </w:tcPr>
          <w:p w14:paraId="06DE53F7" w14:textId="77777777" w:rsidR="00257D2E" w:rsidRDefault="00495EF8" w:rsidP="00A1194E">
            <w:pPr>
              <w:spacing w:before="100" w:beforeAutospacing="1" w:after="100" w:afterAutospacing="1" w:line="240" w:lineRule="auto"/>
            </w:pPr>
            <w:r>
              <w:rPr>
                <w:sz w:val="19"/>
              </w:rPr>
              <w:t>Fails to detect asymptomatic infection, which predominates in the region</w:t>
            </w:r>
          </w:p>
        </w:tc>
        <w:tc>
          <w:tcPr>
            <w:tcW w:w="1170" w:type="pct"/>
          </w:tcPr>
          <w:p w14:paraId="1A47D78A" w14:textId="77777777" w:rsidR="00257D2E" w:rsidRDefault="00495EF8" w:rsidP="00A1194E">
            <w:pPr>
              <w:spacing w:before="100" w:beforeAutospacing="1" w:after="100" w:afterAutospacing="1" w:line="240" w:lineRule="auto"/>
            </w:pPr>
            <w:r>
              <w:rPr>
                <w:sz w:val="19"/>
              </w:rPr>
              <w:t>Point-of-care molecular or antigen testing; performance and specimen handling determine usefulness</w:t>
            </w:r>
          </w:p>
        </w:tc>
        <w:tc>
          <w:tcPr>
            <w:tcW w:w="691" w:type="pct"/>
          </w:tcPr>
          <w:p w14:paraId="5124946F" w14:textId="77777777" w:rsidR="00257D2E" w:rsidRDefault="00495EF8" w:rsidP="00A1194E">
            <w:pPr>
              <w:spacing w:before="100" w:beforeAutospacing="1" w:after="100" w:afterAutospacing="1" w:line="240" w:lineRule="auto"/>
            </w:pPr>
            <w:proofErr w:type="spellStart"/>
            <w:r>
              <w:rPr>
                <w:sz w:val="19"/>
              </w:rPr>
              <w:t>Dubbink</w:t>
            </w:r>
            <w:proofErr w:type="spellEnd"/>
            <w:r>
              <w:rPr>
                <w:sz w:val="19"/>
              </w:rPr>
              <w:t xml:space="preserve"> et al. (2018); Vargas et al. (2022)</w:t>
            </w:r>
          </w:p>
        </w:tc>
      </w:tr>
      <w:tr w:rsidR="00257D2E" w14:paraId="5273F828" w14:textId="77777777" w:rsidTr="00A1194E">
        <w:trPr>
          <w:jc w:val="center"/>
        </w:trPr>
        <w:tc>
          <w:tcPr>
            <w:tcW w:w="904" w:type="pct"/>
          </w:tcPr>
          <w:p w14:paraId="7B551896" w14:textId="77777777" w:rsidR="00257D2E" w:rsidRDefault="00495EF8" w:rsidP="00A1194E">
            <w:pPr>
              <w:spacing w:before="100" w:beforeAutospacing="1" w:after="100" w:afterAutospacing="1" w:line="240" w:lineRule="auto"/>
            </w:pPr>
            <w:r>
              <w:rPr>
                <w:sz w:val="19"/>
              </w:rPr>
              <w:t>Gonococcal treatment failure and resistance</w:t>
            </w:r>
          </w:p>
        </w:tc>
        <w:tc>
          <w:tcPr>
            <w:tcW w:w="1117" w:type="pct"/>
          </w:tcPr>
          <w:p w14:paraId="0A9D2B21" w14:textId="77777777" w:rsidR="00257D2E" w:rsidRDefault="00495EF8" w:rsidP="00A1194E">
            <w:pPr>
              <w:spacing w:before="100" w:beforeAutospacing="1" w:after="100" w:afterAutospacing="1" w:line="240" w:lineRule="auto"/>
            </w:pPr>
            <w:r>
              <w:rPr>
                <w:sz w:val="19"/>
              </w:rPr>
              <w:t>Empirical therapy without susceptibility testing</w:t>
            </w:r>
          </w:p>
        </w:tc>
        <w:tc>
          <w:tcPr>
            <w:tcW w:w="1117" w:type="pct"/>
          </w:tcPr>
          <w:p w14:paraId="4A8C558C" w14:textId="77777777" w:rsidR="00257D2E" w:rsidRDefault="00495EF8" w:rsidP="00A1194E">
            <w:pPr>
              <w:spacing w:before="100" w:beforeAutospacing="1" w:after="100" w:afterAutospacing="1" w:line="240" w:lineRule="auto"/>
            </w:pPr>
            <w:r>
              <w:rPr>
                <w:sz w:val="19"/>
              </w:rPr>
              <w:t>Provides no data on evolving resistance; treatment adequacy unverifiable</w:t>
            </w:r>
          </w:p>
        </w:tc>
        <w:tc>
          <w:tcPr>
            <w:tcW w:w="1170" w:type="pct"/>
          </w:tcPr>
          <w:p w14:paraId="04BABD6C" w14:textId="77777777" w:rsidR="00257D2E" w:rsidRDefault="00495EF8" w:rsidP="00A1194E">
            <w:pPr>
              <w:spacing w:before="100" w:beforeAutospacing="1" w:after="100" w:afterAutospacing="1" w:line="240" w:lineRule="auto"/>
            </w:pPr>
            <w:r>
              <w:rPr>
                <w:sz w:val="19"/>
              </w:rPr>
              <w:t>Culture with susceptibility testing at reference level; requires transport media and controlled atmosphere incubation</w:t>
            </w:r>
          </w:p>
        </w:tc>
        <w:tc>
          <w:tcPr>
            <w:tcW w:w="691" w:type="pct"/>
          </w:tcPr>
          <w:p w14:paraId="0B017862" w14:textId="77777777" w:rsidR="00257D2E" w:rsidRDefault="00495EF8" w:rsidP="00A1194E">
            <w:pPr>
              <w:spacing w:before="100" w:beforeAutospacing="1" w:after="100" w:afterAutospacing="1" w:line="240" w:lineRule="auto"/>
            </w:pPr>
            <w:r>
              <w:rPr>
                <w:sz w:val="19"/>
              </w:rPr>
              <w:t>Iwuji et al. (2022); Kakooza et al. (2023)</w:t>
            </w:r>
          </w:p>
        </w:tc>
      </w:tr>
      <w:tr w:rsidR="00257D2E" w14:paraId="1661872D" w14:textId="77777777" w:rsidTr="00A1194E">
        <w:trPr>
          <w:jc w:val="center"/>
        </w:trPr>
        <w:tc>
          <w:tcPr>
            <w:tcW w:w="904" w:type="pct"/>
          </w:tcPr>
          <w:p w14:paraId="4603E4FB" w14:textId="77777777" w:rsidR="00257D2E" w:rsidRDefault="00495EF8" w:rsidP="00A1194E">
            <w:pPr>
              <w:spacing w:before="100" w:beforeAutospacing="1" w:after="100" w:afterAutospacing="1" w:line="240" w:lineRule="auto"/>
            </w:pPr>
            <w:r>
              <w:rPr>
                <w:sz w:val="19"/>
              </w:rPr>
              <w:t>Genital mycoplasmas</w:t>
            </w:r>
          </w:p>
        </w:tc>
        <w:tc>
          <w:tcPr>
            <w:tcW w:w="1117" w:type="pct"/>
          </w:tcPr>
          <w:p w14:paraId="1E7451D8" w14:textId="77777777" w:rsidR="00257D2E" w:rsidRDefault="00495EF8" w:rsidP="00A1194E">
            <w:pPr>
              <w:spacing w:before="100" w:beforeAutospacing="1" w:after="100" w:afterAutospacing="1" w:line="240" w:lineRule="auto"/>
            </w:pPr>
            <w:r>
              <w:rPr>
                <w:sz w:val="19"/>
              </w:rPr>
              <w:t>Variable; testing not routine</w:t>
            </w:r>
          </w:p>
        </w:tc>
        <w:tc>
          <w:tcPr>
            <w:tcW w:w="1117" w:type="pct"/>
          </w:tcPr>
          <w:p w14:paraId="6F748B15" w14:textId="77777777" w:rsidR="00257D2E" w:rsidRDefault="00495EF8" w:rsidP="00A1194E">
            <w:pPr>
              <w:spacing w:before="100" w:beforeAutospacing="1" w:after="100" w:afterAutospacing="1" w:line="240" w:lineRule="auto"/>
            </w:pPr>
            <w:r>
              <w:rPr>
                <w:sz w:val="19"/>
              </w:rPr>
              <w:t xml:space="preserve">Distinction between </w:t>
            </w:r>
            <w:proofErr w:type="spellStart"/>
            <w:r>
              <w:rPr>
                <w:sz w:val="19"/>
              </w:rPr>
              <w:t>colonisation</w:t>
            </w:r>
            <w:proofErr w:type="spellEnd"/>
            <w:r>
              <w:rPr>
                <w:sz w:val="19"/>
              </w:rPr>
              <w:t xml:space="preserve"> and infection unresolved; pooled associations of uncertain validity</w:t>
            </w:r>
          </w:p>
        </w:tc>
        <w:tc>
          <w:tcPr>
            <w:tcW w:w="1170" w:type="pct"/>
          </w:tcPr>
          <w:p w14:paraId="650886A2" w14:textId="77777777" w:rsidR="00257D2E" w:rsidRDefault="00495EF8" w:rsidP="00A1194E">
            <w:pPr>
              <w:spacing w:before="100" w:beforeAutospacing="1" w:after="100" w:afterAutospacing="1" w:line="240" w:lineRule="auto"/>
            </w:pPr>
            <w:r>
              <w:rPr>
                <w:sz w:val="19"/>
              </w:rPr>
              <w:t>No change in practice presently justified by evidence</w:t>
            </w:r>
          </w:p>
        </w:tc>
        <w:tc>
          <w:tcPr>
            <w:tcW w:w="691" w:type="pct"/>
          </w:tcPr>
          <w:p w14:paraId="1321E52C" w14:textId="77777777" w:rsidR="00257D2E" w:rsidRDefault="00495EF8" w:rsidP="00A1194E">
            <w:pPr>
              <w:spacing w:before="100" w:beforeAutospacing="1" w:after="100" w:afterAutospacing="1" w:line="240" w:lineRule="auto"/>
            </w:pPr>
            <w:r>
              <w:rPr>
                <w:sz w:val="19"/>
              </w:rPr>
              <w:t xml:space="preserve">Huang et al. (2015); </w:t>
            </w:r>
            <w:proofErr w:type="spellStart"/>
            <w:r>
              <w:rPr>
                <w:sz w:val="19"/>
              </w:rPr>
              <w:t>Tantengco</w:t>
            </w:r>
            <w:proofErr w:type="spellEnd"/>
            <w:r>
              <w:rPr>
                <w:sz w:val="19"/>
              </w:rPr>
              <w:t xml:space="preserve"> et al. (2021)</w:t>
            </w:r>
          </w:p>
        </w:tc>
      </w:tr>
      <w:tr w:rsidR="00257D2E" w14:paraId="025D65DC" w14:textId="77777777" w:rsidTr="00A1194E">
        <w:trPr>
          <w:jc w:val="center"/>
        </w:trPr>
        <w:tc>
          <w:tcPr>
            <w:tcW w:w="904" w:type="pct"/>
          </w:tcPr>
          <w:p w14:paraId="368B9A0C" w14:textId="77777777" w:rsidR="00257D2E" w:rsidRDefault="00495EF8" w:rsidP="00A1194E">
            <w:pPr>
              <w:spacing w:before="100" w:beforeAutospacing="1" w:after="100" w:afterAutospacing="1" w:line="240" w:lineRule="auto"/>
            </w:pPr>
            <w:r>
              <w:rPr>
                <w:sz w:val="19"/>
              </w:rPr>
              <w:t>Vaginal dysbiosis</w:t>
            </w:r>
          </w:p>
        </w:tc>
        <w:tc>
          <w:tcPr>
            <w:tcW w:w="1117" w:type="pct"/>
          </w:tcPr>
          <w:p w14:paraId="24A189E4" w14:textId="77777777" w:rsidR="00257D2E" w:rsidRDefault="00495EF8" w:rsidP="00A1194E">
            <w:pPr>
              <w:spacing w:before="100" w:beforeAutospacing="1" w:after="100" w:afterAutospacing="1" w:line="240" w:lineRule="auto"/>
            </w:pPr>
            <w:r>
              <w:rPr>
                <w:sz w:val="19"/>
              </w:rPr>
              <w:t>Amsel criteria or stained smear</w:t>
            </w:r>
          </w:p>
        </w:tc>
        <w:tc>
          <w:tcPr>
            <w:tcW w:w="1117" w:type="pct"/>
          </w:tcPr>
          <w:p w14:paraId="6433A6E6" w14:textId="77777777" w:rsidR="00257D2E" w:rsidRDefault="00495EF8" w:rsidP="00A1194E">
            <w:pPr>
              <w:spacing w:before="100" w:beforeAutospacing="1" w:after="100" w:afterAutospacing="1" w:line="240" w:lineRule="auto"/>
            </w:pPr>
            <w:r>
              <w:rPr>
                <w:sz w:val="19"/>
              </w:rPr>
              <w:t>Observer-dependent but inexpensive and widely feasible; causal role uncertain</w:t>
            </w:r>
          </w:p>
        </w:tc>
        <w:tc>
          <w:tcPr>
            <w:tcW w:w="1170" w:type="pct"/>
          </w:tcPr>
          <w:p w14:paraId="2C96B2CD" w14:textId="77777777" w:rsidR="00257D2E" w:rsidRDefault="00495EF8" w:rsidP="00A1194E">
            <w:pPr>
              <w:spacing w:before="100" w:beforeAutospacing="1" w:after="100" w:afterAutospacing="1" w:line="240" w:lineRule="auto"/>
            </w:pPr>
            <w:proofErr w:type="spellStart"/>
            <w:r>
              <w:rPr>
                <w:sz w:val="19"/>
              </w:rPr>
              <w:t>Standardised</w:t>
            </w:r>
            <w:proofErr w:type="spellEnd"/>
            <w:r>
              <w:rPr>
                <w:sz w:val="19"/>
              </w:rPr>
              <w:t xml:space="preserve"> smear scoring with documented training; </w:t>
            </w:r>
            <w:proofErr w:type="spellStart"/>
            <w:r>
              <w:rPr>
                <w:sz w:val="19"/>
              </w:rPr>
              <w:t>behavioural</w:t>
            </w:r>
            <w:proofErr w:type="spellEnd"/>
            <w:r>
              <w:rPr>
                <w:sz w:val="19"/>
              </w:rPr>
              <w:t xml:space="preserve"> exposures identifiable alongside</w:t>
            </w:r>
          </w:p>
        </w:tc>
        <w:tc>
          <w:tcPr>
            <w:tcW w:w="691" w:type="pct"/>
          </w:tcPr>
          <w:p w14:paraId="2C5635DF" w14:textId="77777777" w:rsidR="00257D2E" w:rsidRDefault="00495EF8" w:rsidP="00A1194E">
            <w:pPr>
              <w:spacing w:before="100" w:beforeAutospacing="1" w:after="100" w:afterAutospacing="1" w:line="240" w:lineRule="auto"/>
            </w:pPr>
            <w:proofErr w:type="spellStart"/>
            <w:r>
              <w:rPr>
                <w:sz w:val="19"/>
              </w:rPr>
              <w:t>Durugbo</w:t>
            </w:r>
            <w:proofErr w:type="spellEnd"/>
            <w:r>
              <w:rPr>
                <w:sz w:val="19"/>
              </w:rPr>
              <w:t xml:space="preserve"> et al. (2015)</w:t>
            </w:r>
          </w:p>
        </w:tc>
      </w:tr>
      <w:tr w:rsidR="00257D2E" w14:paraId="4EE2C6B3" w14:textId="77777777" w:rsidTr="00A1194E">
        <w:trPr>
          <w:jc w:val="center"/>
        </w:trPr>
        <w:tc>
          <w:tcPr>
            <w:tcW w:w="904" w:type="pct"/>
          </w:tcPr>
          <w:p w14:paraId="54196517" w14:textId="77777777" w:rsidR="00257D2E" w:rsidRDefault="00495EF8" w:rsidP="00A1194E">
            <w:pPr>
              <w:spacing w:before="100" w:beforeAutospacing="1" w:after="100" w:afterAutospacing="1" w:line="240" w:lineRule="auto"/>
            </w:pPr>
            <w:r>
              <w:rPr>
                <w:sz w:val="19"/>
              </w:rPr>
              <w:t>Female genital tuberculosis</w:t>
            </w:r>
          </w:p>
        </w:tc>
        <w:tc>
          <w:tcPr>
            <w:tcW w:w="1117" w:type="pct"/>
          </w:tcPr>
          <w:p w14:paraId="6D47F7BA" w14:textId="77777777" w:rsidR="00257D2E" w:rsidRDefault="00495EF8" w:rsidP="00A1194E">
            <w:pPr>
              <w:spacing w:before="100" w:beforeAutospacing="1" w:after="100" w:afterAutospacing="1" w:line="240" w:lineRule="auto"/>
            </w:pPr>
            <w:r>
              <w:rPr>
                <w:sz w:val="19"/>
              </w:rPr>
              <w:t>Rarely investigated</w:t>
            </w:r>
          </w:p>
        </w:tc>
        <w:tc>
          <w:tcPr>
            <w:tcW w:w="1117" w:type="pct"/>
          </w:tcPr>
          <w:p w14:paraId="7CF77947" w14:textId="77777777" w:rsidR="00257D2E" w:rsidRDefault="00495EF8" w:rsidP="00A1194E">
            <w:pPr>
              <w:spacing w:before="100" w:beforeAutospacing="1" w:after="100" w:afterAutospacing="1" w:line="240" w:lineRule="auto"/>
            </w:pPr>
            <w:r>
              <w:rPr>
                <w:sz w:val="19"/>
              </w:rPr>
              <w:t>Culture insensitive on paucibacillary specimens; histopathology requires granulomas that may be absent</w:t>
            </w:r>
          </w:p>
        </w:tc>
        <w:tc>
          <w:tcPr>
            <w:tcW w:w="1170" w:type="pct"/>
          </w:tcPr>
          <w:p w14:paraId="3CF48969" w14:textId="77777777" w:rsidR="00257D2E" w:rsidRDefault="00495EF8" w:rsidP="00A1194E">
            <w:pPr>
              <w:spacing w:before="100" w:beforeAutospacing="1" w:after="100" w:afterAutospacing="1" w:line="240" w:lineRule="auto"/>
            </w:pPr>
            <w:r>
              <w:rPr>
                <w:sz w:val="19"/>
              </w:rPr>
              <w:t>Molecular testing on endometrial specimens using existing cartridge platforms; analytical validation for this specimen type not established</w:t>
            </w:r>
          </w:p>
        </w:tc>
        <w:tc>
          <w:tcPr>
            <w:tcW w:w="691" w:type="pct"/>
          </w:tcPr>
          <w:p w14:paraId="0C485B49" w14:textId="77777777" w:rsidR="00257D2E" w:rsidRDefault="00495EF8" w:rsidP="00A1194E">
            <w:pPr>
              <w:spacing w:before="100" w:beforeAutospacing="1" w:after="100" w:afterAutospacing="1" w:line="240" w:lineRule="auto"/>
            </w:pPr>
            <w:r>
              <w:rPr>
                <w:sz w:val="19"/>
              </w:rPr>
              <w:t xml:space="preserve">Dahiya et al. (2022); Girdwood et al. (2023); </w:t>
            </w:r>
            <w:proofErr w:type="spellStart"/>
            <w:r>
              <w:rPr>
                <w:sz w:val="19"/>
              </w:rPr>
              <w:t>Tzelios</w:t>
            </w:r>
            <w:proofErr w:type="spellEnd"/>
            <w:r>
              <w:rPr>
                <w:sz w:val="19"/>
              </w:rPr>
              <w:t xml:space="preserve"> et al. (2022)</w:t>
            </w:r>
          </w:p>
        </w:tc>
      </w:tr>
      <w:tr w:rsidR="00257D2E" w14:paraId="247885AA" w14:textId="77777777" w:rsidTr="00A1194E">
        <w:trPr>
          <w:jc w:val="center"/>
        </w:trPr>
        <w:tc>
          <w:tcPr>
            <w:tcW w:w="904" w:type="pct"/>
          </w:tcPr>
          <w:p w14:paraId="6CEDB04B" w14:textId="77777777" w:rsidR="00257D2E" w:rsidRDefault="00495EF8" w:rsidP="00A1194E">
            <w:pPr>
              <w:spacing w:before="100" w:beforeAutospacing="1" w:after="100" w:afterAutospacing="1" w:line="240" w:lineRule="auto"/>
            </w:pPr>
            <w:r>
              <w:rPr>
                <w:sz w:val="19"/>
              </w:rPr>
              <w:t>Female genital schistosomiasis</w:t>
            </w:r>
          </w:p>
        </w:tc>
        <w:tc>
          <w:tcPr>
            <w:tcW w:w="1117" w:type="pct"/>
          </w:tcPr>
          <w:p w14:paraId="75912355" w14:textId="77777777" w:rsidR="00257D2E" w:rsidRDefault="00495EF8" w:rsidP="00A1194E">
            <w:pPr>
              <w:spacing w:before="100" w:beforeAutospacing="1" w:after="100" w:afterAutospacing="1" w:line="240" w:lineRule="auto"/>
            </w:pPr>
            <w:r>
              <w:rPr>
                <w:sz w:val="19"/>
              </w:rPr>
              <w:t>Not investigated</w:t>
            </w:r>
          </w:p>
        </w:tc>
        <w:tc>
          <w:tcPr>
            <w:tcW w:w="1117" w:type="pct"/>
          </w:tcPr>
          <w:p w14:paraId="5C0557E8" w14:textId="77777777" w:rsidR="00257D2E" w:rsidRDefault="00495EF8" w:rsidP="00A1194E">
            <w:pPr>
              <w:spacing w:before="100" w:beforeAutospacing="1" w:after="100" w:afterAutospacing="1" w:line="240" w:lineRule="auto"/>
            </w:pPr>
            <w:r>
              <w:rPr>
                <w:sz w:val="19"/>
              </w:rPr>
              <w:t>Urine microscopy detects urinary but not genital involvement</w:t>
            </w:r>
          </w:p>
        </w:tc>
        <w:tc>
          <w:tcPr>
            <w:tcW w:w="1170" w:type="pct"/>
          </w:tcPr>
          <w:p w14:paraId="540A4C00" w14:textId="77777777" w:rsidR="00257D2E" w:rsidRDefault="00495EF8" w:rsidP="00A1194E">
            <w:pPr>
              <w:spacing w:before="100" w:beforeAutospacing="1" w:after="100" w:afterAutospacing="1" w:line="240" w:lineRule="auto"/>
            </w:pPr>
            <w:r>
              <w:rPr>
                <w:sz w:val="19"/>
              </w:rPr>
              <w:t>No validated deployable assay currently available; diagnostic void</w:t>
            </w:r>
          </w:p>
        </w:tc>
        <w:tc>
          <w:tcPr>
            <w:tcW w:w="691" w:type="pct"/>
          </w:tcPr>
          <w:p w14:paraId="2A128B58" w14:textId="77777777" w:rsidR="00257D2E" w:rsidRDefault="00495EF8" w:rsidP="00A1194E">
            <w:pPr>
              <w:spacing w:before="100" w:beforeAutospacing="1" w:after="100" w:afterAutospacing="1" w:line="240" w:lineRule="auto"/>
            </w:pPr>
            <w:r>
              <w:rPr>
                <w:sz w:val="19"/>
              </w:rPr>
              <w:t>Bowers et al. (2025); Woodall &amp; Kramer (2018)</w:t>
            </w:r>
          </w:p>
        </w:tc>
      </w:tr>
    </w:tbl>
    <w:p w14:paraId="3EAC844E" w14:textId="77777777" w:rsidR="00257D2E" w:rsidRDefault="00495EF8" w:rsidP="00A1194E">
      <w:pPr>
        <w:spacing w:before="100" w:beforeAutospacing="1" w:after="100" w:afterAutospacing="1" w:line="240" w:lineRule="auto"/>
      </w:pPr>
      <w:r>
        <w:rPr>
          <w:sz w:val="19"/>
        </w:rPr>
        <w:t xml:space="preserve">Note. </w:t>
      </w:r>
      <w:proofErr w:type="spellStart"/>
      <w:r>
        <w:rPr>
          <w:sz w:val="19"/>
        </w:rPr>
        <w:t>Deployability</w:t>
      </w:r>
      <w:proofErr w:type="spellEnd"/>
      <w:r>
        <w:rPr>
          <w:sz w:val="19"/>
        </w:rPr>
        <w:t xml:space="preserve"> refers to feasibility at district and secondary facility level rather than at national reference laboratories.</w:t>
      </w:r>
    </w:p>
    <w:p w14:paraId="7B5C6AFD" w14:textId="77777777" w:rsidR="00257D2E" w:rsidRDefault="00495EF8" w:rsidP="00A1194E">
      <w:pPr>
        <w:pStyle w:val="Heading1"/>
        <w:spacing w:before="100" w:beforeAutospacing="1" w:after="100" w:afterAutospacing="1" w:line="240" w:lineRule="auto"/>
      </w:pPr>
      <w:r>
        <w:rPr>
          <w:rFonts w:ascii="Times New Roman" w:hAnsi="Times New Roman"/>
          <w:b w:val="0"/>
        </w:rPr>
        <w:t>6. Endocrine and Genetic Testing: Analytical Quality and Interpretive Limits</w:t>
      </w:r>
    </w:p>
    <w:p w14:paraId="23817721" w14:textId="77777777" w:rsidR="00257D2E" w:rsidRDefault="00495EF8" w:rsidP="00A1194E">
      <w:pPr>
        <w:pStyle w:val="Heading2"/>
        <w:spacing w:before="100" w:beforeAutospacing="1" w:after="100" w:afterAutospacing="1" w:line="240" w:lineRule="auto"/>
      </w:pPr>
      <w:r>
        <w:rPr>
          <w:rFonts w:ascii="Times New Roman" w:hAnsi="Times New Roman"/>
          <w:b w:val="0"/>
        </w:rPr>
        <w:t>6.1 Reproductive Hormone Measurement and the Problem of Comparability</w:t>
      </w:r>
    </w:p>
    <w:p w14:paraId="38C3F359" w14:textId="77777777" w:rsidR="00257D2E" w:rsidRDefault="00495EF8" w:rsidP="00A1194E">
      <w:pPr>
        <w:spacing w:before="100" w:beforeAutospacing="1" w:after="100" w:afterAutospacing="1" w:line="240" w:lineRule="auto"/>
        <w:ind w:firstLine="567"/>
        <w:jc w:val="both"/>
      </w:pPr>
      <w:r>
        <w:t xml:space="preserve">Reproductive hormone measurement occupies an ambiguous position in the diagnostic pathway. Assays for follicle-stimulating hormone, </w:t>
      </w:r>
      <w:proofErr w:type="spellStart"/>
      <w:r>
        <w:t>luteinising</w:t>
      </w:r>
      <w:proofErr w:type="spellEnd"/>
      <w:r>
        <w:t xml:space="preserve"> hormone, prolactin, thyroid-stimulating hormone and testosterone are widely available in Nigerian tertiary and private laboratories, are relatively inexpensive, and produce numerical results that carry an appearance </w:t>
      </w:r>
      <w:r>
        <w:lastRenderedPageBreak/>
        <w:t>of objectivity absent from morphology assessment. That appearance is partly misleading, because immunoassay results are method-dependent and comparability across platforms cannot be assumed.</w:t>
      </w:r>
    </w:p>
    <w:p w14:paraId="505B6650" w14:textId="77777777" w:rsidR="00257D2E" w:rsidRDefault="00495EF8" w:rsidP="00A1194E">
      <w:pPr>
        <w:spacing w:before="100" w:beforeAutospacing="1" w:after="100" w:afterAutospacing="1" w:line="240" w:lineRule="auto"/>
        <w:ind w:firstLine="567"/>
        <w:jc w:val="both"/>
      </w:pPr>
      <w:r>
        <w:t xml:space="preserve">The difficulty is most clearly documented for testosterone. A joint position statement from professional endocrinology and laboratory medicine bodies addressed the biochemical confirmation of adult male hypogonadism and set out requirements concerning specimen timing, repeat measurement and the analytical characteristics of the method used, precisely because inconsistent practice had produced unreliable diagnosis (Jayasena et al., 2023). The recommendations presuppose an infrastructure of method verification and access to reference measurement procedures that most laboratories in low- and middle-income settings do not possess. Where an assay has not been verified against a </w:t>
      </w:r>
      <w:proofErr w:type="spellStart"/>
      <w:r>
        <w:t>recognised</w:t>
      </w:r>
      <w:proofErr w:type="spellEnd"/>
      <w:r>
        <w:t xml:space="preserve"> procedure, a testosterone concentration reported near a decision threshold cannot reliably distinguish hypogonadism from </w:t>
      </w:r>
      <w:proofErr w:type="spellStart"/>
      <w:r>
        <w:t>euandrogenism</w:t>
      </w:r>
      <w:proofErr w:type="spellEnd"/>
      <w:r>
        <w:t>, and the clinical decision that follows inherits that uncertainty.</w:t>
      </w:r>
    </w:p>
    <w:p w14:paraId="5D70E1C1" w14:textId="77777777" w:rsidR="00257D2E" w:rsidRDefault="00495EF8" w:rsidP="00A1194E">
      <w:pPr>
        <w:spacing w:before="100" w:beforeAutospacing="1" w:after="100" w:afterAutospacing="1" w:line="240" w:lineRule="auto"/>
        <w:ind w:firstLine="567"/>
        <w:jc w:val="both"/>
      </w:pPr>
      <w:r>
        <w:t xml:space="preserve">Thyroid dysfunction represents a case where the diagnostic and therapeutic logic is more </w:t>
      </w:r>
      <w:proofErr w:type="spellStart"/>
      <w:r>
        <w:t>favourable</w:t>
      </w:r>
      <w:proofErr w:type="spellEnd"/>
      <w:r>
        <w:t xml:space="preserve">. The relationship between thyroid disorder and female infertility has been reviewed comprehensively, with </w:t>
      </w:r>
      <w:proofErr w:type="spellStart"/>
      <w:r>
        <w:t>recognised</w:t>
      </w:r>
      <w:proofErr w:type="spellEnd"/>
      <w:r>
        <w:t xml:space="preserve"> effects on ovulatory function and pregnancy outcome (Concepción-Zavaleta et al., 2023). Professional guidance on subclinical hypothyroidism in infertile women addresses the interpretation of thyroid-stimulating hormone concentrations and the threshold at which intervention should be considered, and notes the limitations of the evidence supporting treatment at marginal elevations (Practice Committee of the American Society for Reproductive Medicine, 2024). Two features make this a strong candidate for </w:t>
      </w:r>
      <w:proofErr w:type="spellStart"/>
      <w:r>
        <w:t>prioritisation</w:t>
      </w:r>
      <w:proofErr w:type="spellEnd"/>
      <w:r>
        <w:t xml:space="preserve"> in constrained settings: the assay is inexpensive and widely available, and the treatment is inexpensive, safe and effective. Where diagnostic resources must be rationed, tests that identify treatable conditions with accessible therapy should take precedence over tests that identify untreatable ones with precision.</w:t>
      </w:r>
    </w:p>
    <w:p w14:paraId="4E918905" w14:textId="77777777" w:rsidR="00257D2E" w:rsidRDefault="00495EF8" w:rsidP="00A1194E">
      <w:pPr>
        <w:spacing w:before="100" w:beforeAutospacing="1" w:after="100" w:afterAutospacing="1" w:line="240" w:lineRule="auto"/>
        <w:ind w:firstLine="567"/>
        <w:jc w:val="both"/>
      </w:pPr>
      <w:r>
        <w:t>A consideration specific to the region concerns reference intervals. Decision thresholds for reproductive hormones derive predominantly from populations in high-income countries, and the extent to which they apply to African populations has not been established for most analytes. Laboratories in the region generally adopt manufacturer-supplied intervals without local verification, a practice that is defensible only where the reference population is demonstrably similar. The absence of published verification studies for reproductive hormone assays in Nigerian populations is a specific and remediable gap.</w:t>
      </w:r>
    </w:p>
    <w:p w14:paraId="404271D6" w14:textId="77777777" w:rsidR="00257D2E" w:rsidRDefault="00495EF8" w:rsidP="00A1194E">
      <w:pPr>
        <w:pStyle w:val="Heading2"/>
        <w:spacing w:before="100" w:beforeAutospacing="1" w:after="100" w:afterAutospacing="1" w:line="240" w:lineRule="auto"/>
      </w:pPr>
      <w:r>
        <w:rPr>
          <w:rFonts w:ascii="Times New Roman" w:hAnsi="Times New Roman"/>
          <w:b w:val="0"/>
        </w:rPr>
        <w:t>6.2 Ovarian Reserve Testing and the Limits of a Biomarker</w:t>
      </w:r>
    </w:p>
    <w:p w14:paraId="50160398" w14:textId="77777777" w:rsidR="00257D2E" w:rsidRDefault="00495EF8" w:rsidP="00A1194E">
      <w:pPr>
        <w:spacing w:before="100" w:beforeAutospacing="1" w:after="100" w:afterAutospacing="1" w:line="240" w:lineRule="auto"/>
        <w:ind w:firstLine="567"/>
        <w:jc w:val="both"/>
      </w:pPr>
      <w:r>
        <w:t xml:space="preserve">Anti-Müllerian hormone has become the principal biochemical marker of ovarian reserve, and its properties are well </w:t>
      </w:r>
      <w:proofErr w:type="spellStart"/>
      <w:r>
        <w:t>characterised</w:t>
      </w:r>
      <w:proofErr w:type="spellEnd"/>
      <w:r>
        <w:t>: concentrations correlate with the antral follicle pool, show limited variation across the menstrual cycle, and predict ovarian response to stimulation (</w:t>
      </w:r>
      <w:proofErr w:type="spellStart"/>
      <w:r>
        <w:t>Moolhuijsen</w:t>
      </w:r>
      <w:proofErr w:type="spellEnd"/>
      <w:r>
        <w:t xml:space="preserve"> &amp; Visser, 2020). The same review documents that assay </w:t>
      </w:r>
      <w:proofErr w:type="spellStart"/>
      <w:r>
        <w:t>standardisation</w:t>
      </w:r>
      <w:proofErr w:type="spellEnd"/>
      <w:r>
        <w:t xml:space="preserve"> has been a persistent difficulty, that different platforms have yielded non-interchangeable results, and that the marker predicts quantitative response more reliably than it predicts oocyte quality or spontaneous conception.</w:t>
      </w:r>
    </w:p>
    <w:p w14:paraId="7794CAC9" w14:textId="77777777" w:rsidR="00257D2E" w:rsidRDefault="00495EF8" w:rsidP="00A1194E">
      <w:pPr>
        <w:spacing w:before="100" w:beforeAutospacing="1" w:after="100" w:afterAutospacing="1" w:line="240" w:lineRule="auto"/>
        <w:ind w:firstLine="567"/>
        <w:jc w:val="both"/>
      </w:pPr>
      <w:r>
        <w:lastRenderedPageBreak/>
        <w:t xml:space="preserve">This distinction is consequential for the settings under review. In an assisted reproduction </w:t>
      </w:r>
      <w:proofErr w:type="spellStart"/>
      <w:r>
        <w:t>programme</w:t>
      </w:r>
      <w:proofErr w:type="spellEnd"/>
      <w:r>
        <w:t xml:space="preserve">, an anti-Müllerian hormone result informs the selection of stimulation protocol and dose, and the measurement therefore has a defined use. In a general </w:t>
      </w:r>
      <w:proofErr w:type="spellStart"/>
      <w:r>
        <w:t>gynaecology</w:t>
      </w:r>
      <w:proofErr w:type="spellEnd"/>
      <w:r>
        <w:t xml:space="preserve"> clinic without access to assisted reproduction, the same result informs prognosis but changes no available intervention, while potentially prompting inappropriate reassurance or distress. The marker is frequently offered in the private sector in Nigeria as part of fertility assessment panels, and the evidence does not support its use as a general screening test for fertility potential. Confidence in anti-Müllerian hormone as a predictor of ovarian response is reasonably high; confidence in it as a predictor of natural fecundability is considerably lower.</w:t>
      </w:r>
    </w:p>
    <w:p w14:paraId="223488CB" w14:textId="77777777" w:rsidR="00257D2E" w:rsidRDefault="00495EF8" w:rsidP="00A1194E">
      <w:pPr>
        <w:spacing w:before="100" w:beforeAutospacing="1" w:after="100" w:afterAutospacing="1" w:line="240" w:lineRule="auto"/>
        <w:ind w:firstLine="567"/>
        <w:jc w:val="both"/>
      </w:pPr>
      <w:r>
        <w:t>Comparable considerations apply to biomarker-based diagnosis of endometriosis. Systematic review of blood biomarkers concluded that no marker or combination could replace laparoscopy for diagnosis, and that the studies examined were of variable quality with insufficient evidence to recommend any candidate for clinical use (</w:t>
      </w:r>
      <w:proofErr w:type="spellStart"/>
      <w:r>
        <w:t>Nisenblat</w:t>
      </w:r>
      <w:proofErr w:type="spellEnd"/>
      <w:r>
        <w:t xml:space="preserve"> et al., 2016). Endometriosis is likely underdiagnosed in Nigeria, where laparoscopic capacity is limited and infertility is frequently attributed to infection without direct </w:t>
      </w:r>
      <w:proofErr w:type="spellStart"/>
      <w:r>
        <w:t>visualisation</w:t>
      </w:r>
      <w:proofErr w:type="spellEnd"/>
      <w:r>
        <w:t xml:space="preserve">. The temptation to substitute a serum marker for a procedure that is unavailable is understandable, and the evidence does not support it. </w:t>
      </w:r>
      <w:proofErr w:type="spellStart"/>
      <w:r>
        <w:t>Recognising</w:t>
      </w:r>
      <w:proofErr w:type="spellEnd"/>
      <w:r>
        <w:t xml:space="preserve"> a diagnostic void as a void is preferable to filling it with a test that does not perform.</w:t>
      </w:r>
    </w:p>
    <w:p w14:paraId="54708C51" w14:textId="77777777" w:rsidR="00257D2E" w:rsidRDefault="00495EF8" w:rsidP="00A1194E">
      <w:pPr>
        <w:pStyle w:val="Heading2"/>
        <w:spacing w:before="100" w:beforeAutospacing="1" w:after="100" w:afterAutospacing="1" w:line="240" w:lineRule="auto"/>
      </w:pPr>
      <w:r>
        <w:rPr>
          <w:rFonts w:ascii="Times New Roman" w:hAnsi="Times New Roman"/>
          <w:b w:val="0"/>
        </w:rPr>
        <w:t>6.3 Cytogenetic and Molecular Andrology</w:t>
      </w:r>
    </w:p>
    <w:p w14:paraId="7CC3DE95" w14:textId="77777777" w:rsidR="00257D2E" w:rsidRDefault="00495EF8" w:rsidP="00A1194E">
      <w:pPr>
        <w:spacing w:before="100" w:beforeAutospacing="1" w:after="100" w:afterAutospacing="1" w:line="240" w:lineRule="auto"/>
        <w:ind w:firstLine="567"/>
        <w:jc w:val="both"/>
      </w:pPr>
      <w:r>
        <w:t>Genetic causes account for a defined minority of male infertility, and their diagnosis has direct consequences for counselling and for the appropriateness of surgical sperm retrieval. Best practice guidelines for the molecular diagnosis of Y-chromosomal microdeletions specify the primer sets to be used, the interpretation of deletion patterns across the azoospermia factor regions, and the quality requirements for laboratories performing the assay (Krausz et al., 2024). Adherence to a specified marker set is essential, because deletion frequencies reported using non-standard markers are not comparable with those reported using the recommended panel.</w:t>
      </w:r>
    </w:p>
    <w:p w14:paraId="013EEE32" w14:textId="77777777" w:rsidR="00257D2E" w:rsidRDefault="00495EF8" w:rsidP="00A1194E">
      <w:pPr>
        <w:spacing w:before="100" w:beforeAutospacing="1" w:after="100" w:afterAutospacing="1" w:line="240" w:lineRule="auto"/>
        <w:ind w:firstLine="567"/>
        <w:jc w:val="both"/>
      </w:pPr>
      <w:r>
        <w:t xml:space="preserve">This point bears directly on the interpretation of regional data. A Sudanese study of 51 infertile men reported azoospermia factor microdeletions in 16 of 25 men with azoospermia and 14 of 26 with </w:t>
      </w:r>
      <w:proofErr w:type="spellStart"/>
      <w:r>
        <w:t>oligozoospermia</w:t>
      </w:r>
      <w:proofErr w:type="spellEnd"/>
      <w:r>
        <w:t xml:space="preserve">, using a twelve-marker multiplex assay, with deletions in the azoospermia factor a region most frequent overall and significantly associated with the </w:t>
      </w:r>
      <w:proofErr w:type="spellStart"/>
      <w:r>
        <w:t>oligozoospermic</w:t>
      </w:r>
      <w:proofErr w:type="spellEnd"/>
      <w:r>
        <w:t xml:space="preserve"> phenotype (Elsaid et al., 2021). The reported deletion frequency substantially exceeds that documented in most published series, and the predominance of azoospermia factor a deletions is unusual, since deletions of the azoospermia factor c region are typically the most common. The most plausible explanations are differences in marker selection and interpretation rather than a distinctive regional genetic architecture, although a genuine population difference cannot be excluded on present evidence. The finding illustrates why adherence to specified guidelines matters: without it, the regional prevalence of a clinically actionable genetic diagnosis cannot be established.</w:t>
      </w:r>
    </w:p>
    <w:p w14:paraId="6644B593" w14:textId="77777777" w:rsidR="00257D2E" w:rsidRDefault="00495EF8" w:rsidP="00A1194E">
      <w:pPr>
        <w:spacing w:before="100" w:beforeAutospacing="1" w:after="100" w:afterAutospacing="1" w:line="240" w:lineRule="auto"/>
        <w:ind w:firstLine="567"/>
        <w:jc w:val="both"/>
      </w:pPr>
      <w:r>
        <w:t xml:space="preserve">Karyotyping retains a defined role in the evaluation of non-obstructive azoospermia and of recurrent pregnancy loss, and cytogenetic services exist in a small number of Nigerian </w:t>
      </w:r>
      <w:proofErr w:type="spellStart"/>
      <w:r>
        <w:t>centres</w:t>
      </w:r>
      <w:proofErr w:type="spellEnd"/>
      <w:r>
        <w:t xml:space="preserve">. The wider question is whether genetic evaluation should be </w:t>
      </w:r>
      <w:proofErr w:type="spellStart"/>
      <w:r>
        <w:t>prioritised</w:t>
      </w:r>
      <w:proofErr w:type="spellEnd"/>
      <w:r>
        <w:t xml:space="preserve"> where the interventions it </w:t>
      </w:r>
      <w:r>
        <w:lastRenderedPageBreak/>
        <w:t>informs, principally surgical sperm retrieval with intracytoplasmic sperm injection, are accessible to a very small proportion of the population. The counselling value of a genetic diagnosis is real and independent of treatment availability, since it terminates diagnostic uncertainty and informs reproductive decision-making. That value nonetheless has to be weighed against the opportunity cost of the resources involved in a system where basic semen examination is not quality-assured. Investment in genetic andrology before investment in the analytical reliability of the test that identifies candidates for genetic evaluation inverts the logical order of the diagnostic pathway.</w:t>
      </w:r>
    </w:p>
    <w:p w14:paraId="74F6B832" w14:textId="77777777" w:rsidR="00257D2E" w:rsidRDefault="00495EF8" w:rsidP="00A1194E">
      <w:pPr>
        <w:spacing w:before="100" w:beforeAutospacing="1" w:after="100" w:afterAutospacing="1" w:line="240" w:lineRule="auto"/>
        <w:ind w:firstLine="567"/>
        <w:jc w:val="both"/>
      </w:pPr>
      <w:r>
        <w:t>Regional capacity for high-quality specimen handling, which underpins any molecular diagnostic service, has been demonstrated to be achievable. Work conducted through a continental genomics consortium established that Nigerian and other African clinical research sites could be equipped and supported to generate biological specimens meeting international quality standards, through structured training, documented procedures and monitoring (</w:t>
      </w:r>
      <w:proofErr w:type="spellStart"/>
      <w:r>
        <w:t>Croxton</w:t>
      </w:r>
      <w:proofErr w:type="spellEnd"/>
      <w:r>
        <w:t xml:space="preserve"> et al., 2020). This experience derived from research infrastructure rather than routine diagnostic services, and its transferability to routine care is untested, but it establishes that the constraint is </w:t>
      </w:r>
      <w:proofErr w:type="spellStart"/>
      <w:r>
        <w:t>organisational</w:t>
      </w:r>
      <w:proofErr w:type="spellEnd"/>
      <w:r>
        <w:t xml:space="preserve"> rather than intrinsic.</w:t>
      </w:r>
    </w:p>
    <w:p w14:paraId="38053BC5" w14:textId="77777777" w:rsidR="00257D2E" w:rsidRDefault="00495EF8" w:rsidP="00A1194E">
      <w:pPr>
        <w:pStyle w:val="Heading1"/>
        <w:spacing w:before="100" w:beforeAutospacing="1" w:after="100" w:afterAutospacing="1" w:line="240" w:lineRule="auto"/>
      </w:pPr>
      <w:r>
        <w:rPr>
          <w:rFonts w:ascii="Times New Roman" w:hAnsi="Times New Roman"/>
          <w:b w:val="0"/>
        </w:rPr>
        <w:t>7. Laboratory Systems, Quality Infrastructure and Workforce</w:t>
      </w:r>
    </w:p>
    <w:p w14:paraId="3BD2B3BB" w14:textId="77777777" w:rsidR="00257D2E" w:rsidRDefault="00495EF8" w:rsidP="00A1194E">
      <w:pPr>
        <w:pStyle w:val="Heading2"/>
        <w:spacing w:before="100" w:beforeAutospacing="1" w:after="100" w:afterAutospacing="1" w:line="240" w:lineRule="auto"/>
      </w:pPr>
      <w:r>
        <w:rPr>
          <w:rFonts w:ascii="Times New Roman" w:hAnsi="Times New Roman"/>
          <w:b w:val="0"/>
        </w:rPr>
        <w:t>7.1 Accreditation Progress and Its Uneven Distribution</w:t>
      </w:r>
    </w:p>
    <w:p w14:paraId="1D45EB7F" w14:textId="77777777" w:rsidR="00257D2E" w:rsidRDefault="00495EF8" w:rsidP="00A1194E">
      <w:pPr>
        <w:spacing w:before="100" w:beforeAutospacing="1" w:after="100" w:afterAutospacing="1" w:line="240" w:lineRule="auto"/>
        <w:ind w:firstLine="567"/>
        <w:jc w:val="both"/>
      </w:pPr>
      <w:r>
        <w:t xml:space="preserve">Evidence on laboratory quality systems in the region shows genuine progress alongside persistent concentration. By 2020, 668 medical laboratories in the World Health Organization African Region had achieved ISO 15189 accreditation, representing an increase of approximately 75 per cent over the number accredited in 2013; 55 per cent of accredited laboratories were in South Africa and 16 per cent in Kenya, both countries possessing national accreditation bodies. Of the laboratories engaged in the stepwise improvement </w:t>
      </w:r>
      <w:proofErr w:type="spellStart"/>
      <w:r>
        <w:t>programme</w:t>
      </w:r>
      <w:proofErr w:type="spellEnd"/>
      <w:r>
        <w:t xml:space="preserve">, 154 of 475 attained four or more stars, indicating readiness to apply for accreditation. Countries with higher universal health coverage indices for human immunodeficiency virus care, higher external evaluation scores for laboratory networks, greater use of the online quality implementation tool, national laboratory policies or strategic plans, and status as priority countries for a major external funding </w:t>
      </w:r>
      <w:proofErr w:type="spellStart"/>
      <w:r>
        <w:t>programme</w:t>
      </w:r>
      <w:proofErr w:type="spellEnd"/>
      <w:r>
        <w:t xml:space="preserve"> were more likely to have an accredited laboratory (Odhiambo et al., 2023).</w:t>
      </w:r>
    </w:p>
    <w:p w14:paraId="1E682375" w14:textId="77777777" w:rsidR="00257D2E" w:rsidRDefault="00495EF8" w:rsidP="00A1194E">
      <w:pPr>
        <w:spacing w:before="100" w:beforeAutospacing="1" w:after="100" w:afterAutospacing="1" w:line="240" w:lineRule="auto"/>
        <w:ind w:firstLine="567"/>
        <w:jc w:val="both"/>
      </w:pPr>
      <w:r>
        <w:t xml:space="preserve">The final observation is the analytically important one. Accreditation in the region has been driven substantially by vertical disease </w:t>
      </w:r>
      <w:proofErr w:type="spellStart"/>
      <w:r>
        <w:t>programme</w:t>
      </w:r>
      <w:proofErr w:type="spellEnd"/>
      <w:r>
        <w:t xml:space="preserve"> funding, and its distribution follows the geography of that funding rather than the geography of clinical need. Historical accounts of laboratory strengthening in sub-Saharan Africa document this pattern from its origins, describing a decade of progress achieved largely through investment tied to specific disease </w:t>
      </w:r>
      <w:proofErr w:type="spellStart"/>
      <w:r>
        <w:t>programmes</w:t>
      </w:r>
      <w:proofErr w:type="spellEnd"/>
      <w:r>
        <w:t xml:space="preserve"> (</w:t>
      </w:r>
      <w:proofErr w:type="spellStart"/>
      <w:r>
        <w:t>Alemnji</w:t>
      </w:r>
      <w:proofErr w:type="spellEnd"/>
      <w:r>
        <w:t xml:space="preserve"> et al., 2014; Yao et al., 2014). National tuberculosis reference laboratories across the region have implemented quality management systems and progressed toward accreditation under the same model (Albert et al., 2017). Country-level experience over thirteen years in Tanzania demonstrates that sustained national commitment can produce substantial improvement in laboratory quality management (</w:t>
      </w:r>
      <w:proofErr w:type="spellStart"/>
      <w:r>
        <w:t>Torokaa</w:t>
      </w:r>
      <w:proofErr w:type="spellEnd"/>
      <w:r>
        <w:t xml:space="preserve"> et al., 2026), which indicates that the concentration of accreditation is not an inevitable consequence of resource level.</w:t>
      </w:r>
    </w:p>
    <w:p w14:paraId="1C24FB73" w14:textId="77777777" w:rsidR="00257D2E" w:rsidRDefault="00495EF8" w:rsidP="00A1194E">
      <w:pPr>
        <w:spacing w:before="100" w:beforeAutospacing="1" w:after="100" w:afterAutospacing="1" w:line="240" w:lineRule="auto"/>
        <w:ind w:firstLine="567"/>
        <w:jc w:val="both"/>
      </w:pPr>
      <w:r>
        <w:lastRenderedPageBreak/>
        <w:t xml:space="preserve">Reproductive diagnostics have been excluded from this process entirely. No accredited andrology laboratory in Nigeria was identified in the sources retrieved, and no external quality assessment scheme covering semen examination in the region was located. The structural explanation is straightforward: infertility is not a notifiable condition, attracts no vertical </w:t>
      </w:r>
      <w:proofErr w:type="spellStart"/>
      <w:r>
        <w:t>programme</w:t>
      </w:r>
      <w:proofErr w:type="spellEnd"/>
      <w:r>
        <w:t xml:space="preserve"> funding, and generates no epidemiological reporting requirement. The quality infrastructure that exists was built for surveillance and treatment monitoring of communicable disease, and reproductive laboratory services fall outside its scope. Analysis of the wider diagnostic gap identifies precisely this pattern, in which diagnostic capacity develops around specific </w:t>
      </w:r>
      <w:proofErr w:type="spellStart"/>
      <w:r>
        <w:t>programmes</w:t>
      </w:r>
      <w:proofErr w:type="spellEnd"/>
      <w:r>
        <w:t xml:space="preserve"> rather than as a general health system function (Fleming et al., 2021).</w:t>
      </w:r>
    </w:p>
    <w:p w14:paraId="51CF2A3E" w14:textId="77777777" w:rsidR="00257D2E" w:rsidRDefault="00495EF8" w:rsidP="00A1194E">
      <w:pPr>
        <w:spacing w:before="100" w:beforeAutospacing="1" w:after="100" w:afterAutospacing="1" w:line="240" w:lineRule="auto"/>
        <w:ind w:firstLine="567"/>
        <w:jc w:val="both"/>
      </w:pPr>
      <w:r>
        <w:t>Performance data reinforce the concern. Meta-analysis of external quality assessment across African clinical laboratories, encompassing seventeen studies and 4,509 participating laboratories, found pooled satisfactory performance of 71.25 per cent with a confidence interval from 63.12 to 79.38 per cent (Cherie et al., 2025). This figure describes laboratories that participate in external quality assessment, which are likely to be better resourced and more quality-oriented than those that do not, so the population-level figure is probably lower. Applying this to reproductive diagnostics involves an inferential step, since the analytes assessed differ, but the direction of the inference is not in doubt.</w:t>
      </w:r>
    </w:p>
    <w:p w14:paraId="13946099" w14:textId="77777777" w:rsidR="00257D2E" w:rsidRDefault="00495EF8" w:rsidP="00A1194E">
      <w:pPr>
        <w:pStyle w:val="Heading2"/>
        <w:spacing w:before="100" w:beforeAutospacing="1" w:after="100" w:afterAutospacing="1" w:line="240" w:lineRule="auto"/>
      </w:pPr>
      <w:r>
        <w:rPr>
          <w:rFonts w:ascii="Times New Roman" w:hAnsi="Times New Roman"/>
          <w:b w:val="0"/>
        </w:rPr>
        <w:t>7.2 Integration with Existing Diagnostic Networks</w:t>
      </w:r>
    </w:p>
    <w:p w14:paraId="3E4A796A" w14:textId="77777777" w:rsidR="00257D2E" w:rsidRDefault="00495EF8" w:rsidP="00A1194E">
      <w:pPr>
        <w:spacing w:before="100" w:beforeAutospacing="1" w:after="100" w:afterAutospacing="1" w:line="240" w:lineRule="auto"/>
        <w:ind w:firstLine="567"/>
        <w:jc w:val="both"/>
      </w:pPr>
      <w:r>
        <w:t xml:space="preserve">The most realistic route to improved reproductive diagnostics in Nigeria does not run through the creation of parallel infrastructure. Molecular platforms deployed for tuberculosis and human immunodeficiency virus testing are distributed nationally, staffed by trained personnel and supported by procurement and maintenance systems. Diagnostic network </w:t>
      </w:r>
      <w:proofErr w:type="spellStart"/>
      <w:r>
        <w:t>optimisation</w:t>
      </w:r>
      <w:proofErr w:type="spellEnd"/>
      <w:r>
        <w:t xml:space="preserve"> analysis from Zambia demonstrated that integrating additional testing onto existing platforms substantially improved access and same-day diagnosis while benefiting the originating </w:t>
      </w:r>
      <w:proofErr w:type="spellStart"/>
      <w:r>
        <w:t>programme</w:t>
      </w:r>
      <w:proofErr w:type="spellEnd"/>
      <w:r>
        <w:t xml:space="preserve"> (Girdwood et al., 2023). Feasibility assessment in rural Zimbabwe established the operational practicability of multi-disease testing on a single instrument (Ndlovu et al., 2018). The technical case for extending these platforms to chlamydial and gonococcal detection in infertility evaluation is strong, since validated assays for these organisms exist on such platforms.</w:t>
      </w:r>
    </w:p>
    <w:p w14:paraId="4A20BB50" w14:textId="77777777" w:rsidR="00257D2E" w:rsidRDefault="00495EF8" w:rsidP="00A1194E">
      <w:pPr>
        <w:spacing w:before="100" w:beforeAutospacing="1" w:after="100" w:afterAutospacing="1" w:line="240" w:lineRule="auto"/>
        <w:ind w:firstLine="567"/>
        <w:jc w:val="both"/>
      </w:pPr>
      <w:r>
        <w:t>Three constraints require acknowledgement. Instrument capacity is finite, and adding reproductive indications to platforms already operating near capacity would displace tuberculosis testing unless module capacity is expanded. Cartridge cost remains the dominant recurrent expense, and the pooling approach validated in Zambia requires local prevalence estimates that Nigeria does not currently generate for the relevant populations (Connolly et al., 2020). Funding for these platforms derives from disease-specific sources whose mandates do not extend to infertility, so integration requires a financing decision rather than merely a technical one.</w:t>
      </w:r>
    </w:p>
    <w:p w14:paraId="64BEC3CD" w14:textId="77777777" w:rsidR="00257D2E" w:rsidRDefault="00495EF8" w:rsidP="00A1194E">
      <w:pPr>
        <w:spacing w:before="100" w:beforeAutospacing="1" w:after="100" w:afterAutospacing="1" w:line="240" w:lineRule="auto"/>
        <w:ind w:firstLine="567"/>
        <w:jc w:val="both"/>
      </w:pPr>
      <w:r>
        <w:t xml:space="preserve">Point-of-care approaches offer a complementary route with different limitations. Narrative review of point-of-care diagnostics for infection and antimicrobial resistance in sub-Saharan Africa identified persistent difficulties concerning assay performance, quality assurance of testing performed outside laboratories, connectivity and result management (Hermans et al., 2024). Review of point-of-care testing for sexually transmitted infections in low-resource </w:t>
      </w:r>
      <w:r>
        <w:lastRenderedPageBreak/>
        <w:t>settings reached comparable conclusions regarding the trade-off between accessibility and analytical performance (Vargas et al., 2022). Devolving testing away from laboratories without corresponding devolution of quality oversight reproduces the reliability problem in a more dispersed and less monitorable form.</w:t>
      </w:r>
    </w:p>
    <w:p w14:paraId="056A8437" w14:textId="77777777" w:rsidR="00257D2E" w:rsidRDefault="00495EF8" w:rsidP="00A1194E">
      <w:pPr>
        <w:pStyle w:val="Heading2"/>
        <w:spacing w:before="100" w:beforeAutospacing="1" w:after="100" w:afterAutospacing="1" w:line="240" w:lineRule="auto"/>
      </w:pPr>
      <w:r>
        <w:rPr>
          <w:rFonts w:ascii="Times New Roman" w:hAnsi="Times New Roman"/>
          <w:b w:val="0"/>
        </w:rPr>
        <w:t>7.3 Workforce, Financing and Equity</w:t>
      </w:r>
    </w:p>
    <w:p w14:paraId="625EE54E" w14:textId="77777777" w:rsidR="00257D2E" w:rsidRDefault="00495EF8" w:rsidP="00A1194E">
      <w:pPr>
        <w:spacing w:before="100" w:beforeAutospacing="1" w:after="100" w:afterAutospacing="1" w:line="240" w:lineRule="auto"/>
        <w:ind w:firstLine="567"/>
        <w:jc w:val="both"/>
      </w:pPr>
      <w:r>
        <w:t>Medical laboratory science in Nigeria is a regulated profession with established training pathways and a substantial workforce, and review of laboratory services in the country identifies both the contribution of the profession to healthcare quality and the constraints under which it operates, including infrastructure limitations, reagent supply and retention of qualified staff (Opeyemi et al., 2024). Andrology occupies a marginal position within this structure. Structured training in semen examination, of the kind shown to reduce interobserver variability substantially in European settings (Lemmens et al., 2022), is not established as a routine component of laboratory training or continuing professional development in the region.</w:t>
      </w:r>
    </w:p>
    <w:p w14:paraId="6D8FCB6F" w14:textId="77777777" w:rsidR="00257D2E" w:rsidRDefault="00495EF8" w:rsidP="00A1194E">
      <w:pPr>
        <w:spacing w:before="100" w:beforeAutospacing="1" w:after="100" w:afterAutospacing="1" w:line="240" w:lineRule="auto"/>
        <w:ind w:firstLine="567"/>
        <w:jc w:val="both"/>
      </w:pPr>
      <w:r>
        <w:t>Financing shapes both access and quality. Analysis of household expenditure in Nigeria found that out-of-pocket payments impoverished a substantial proportion of households and generated catastrophic health expenditure (</w:t>
      </w:r>
      <w:proofErr w:type="spellStart"/>
      <w:r>
        <w:t>Aregbeshola</w:t>
      </w:r>
      <w:proofErr w:type="spellEnd"/>
      <w:r>
        <w:t xml:space="preserve"> &amp; Khan, 2018), and review of catastrophic expenditure in the country identified its incidence and determinants and drew out the implications for universal health coverage (</w:t>
      </w:r>
      <w:proofErr w:type="spellStart"/>
      <w:r>
        <w:t>Okedo</w:t>
      </w:r>
      <w:proofErr w:type="spellEnd"/>
      <w:r>
        <w:t>-Alex et al., 2019). Infertility diagnosis and treatment are financed almost entirely from private resources. Systematic review of assisted reproductive technology costs in low- and middle-income countries found that direct medical costs paid by patients substantially exceed average annual income and gross domestic product per capita, indicating unaffordability and risk of catastrophic expenditure (Njagi et al., 2023).</w:t>
      </w:r>
    </w:p>
    <w:p w14:paraId="407C42F5" w14:textId="77777777" w:rsidR="00257D2E" w:rsidRDefault="00495EF8" w:rsidP="00A1194E">
      <w:pPr>
        <w:spacing w:before="100" w:beforeAutospacing="1" w:after="100" w:afterAutospacing="1" w:line="240" w:lineRule="auto"/>
        <w:ind w:firstLine="567"/>
        <w:jc w:val="both"/>
      </w:pPr>
      <w:r>
        <w:t xml:space="preserve">The interaction between private financing and diagnostic quality has received little empirical attention and merits it. Where patients pay directly for each test, laboratories face a commercial incentive to expand test menus rather than to improve the reliability of core investigations, since additional tests generate additional revenue while quality improvement generates cost. Qualitative accounts from Nigerian women undergoing assisted reproduction describe repeated and </w:t>
      </w:r>
      <w:proofErr w:type="spellStart"/>
      <w:r>
        <w:t>unstandardised</w:t>
      </w:r>
      <w:proofErr w:type="spellEnd"/>
      <w:r>
        <w:t xml:space="preserve"> testing across multiple providers (</w:t>
      </w:r>
      <w:proofErr w:type="spellStart"/>
      <w:r>
        <w:t>Ezeome</w:t>
      </w:r>
      <w:proofErr w:type="spellEnd"/>
      <w:r>
        <w:t xml:space="preserve"> et al., 2023). Qualitative research with fertility professionals across sub-Saharan Africa similarly identifies cost, regulatory variability and workforce limitations as determinants of the care that can be provided (Whittaker et al., 2024). The proposition that fee-for-service financing distorts diagnostic practice is plausible and consistent with these accounts, but it has not been tested directly, and it is offered here as a hypothesis requiring investigation rather than as an established finding.</w:t>
      </w:r>
    </w:p>
    <w:p w14:paraId="7A217E8D" w14:textId="77777777" w:rsidR="00257D2E" w:rsidRDefault="00495EF8" w:rsidP="00A1194E">
      <w:pPr>
        <w:spacing w:before="100" w:beforeAutospacing="1" w:after="100" w:afterAutospacing="1" w:line="240" w:lineRule="auto"/>
        <w:ind w:firstLine="567"/>
        <w:jc w:val="both"/>
      </w:pPr>
      <w:r>
        <w:t>Policy analysis provides the wider frame. Qualitative evidence synthesis on the inclusion of fertility care in African reproductive health policies identified persistent barriers relating to competing priorities, resource constraints and the framing of infertility relative to population policy (</w:t>
      </w:r>
      <w:proofErr w:type="spellStart"/>
      <w:r>
        <w:t>Afferri</w:t>
      </w:r>
      <w:proofErr w:type="spellEnd"/>
      <w:r>
        <w:t xml:space="preserve"> et al., 2022). Where fertility care is absent from national policy, laboratory services supporting it are absent from laboratory strategic plans, and the exclusion becomes self-reinforcing.</w:t>
      </w:r>
    </w:p>
    <w:p w14:paraId="7200E759" w14:textId="77777777" w:rsidR="00257D2E" w:rsidRDefault="00495EF8" w:rsidP="00A1194E">
      <w:pPr>
        <w:pStyle w:val="Heading1"/>
        <w:spacing w:before="100" w:beforeAutospacing="1" w:after="100" w:afterAutospacing="1" w:line="240" w:lineRule="auto"/>
      </w:pPr>
      <w:r>
        <w:rPr>
          <w:rFonts w:ascii="Times New Roman" w:hAnsi="Times New Roman"/>
          <w:b w:val="0"/>
        </w:rPr>
        <w:lastRenderedPageBreak/>
        <w:t>8. From Laboratory Result to Fertility Care: The Translational Gap</w:t>
      </w:r>
    </w:p>
    <w:p w14:paraId="27B8328D" w14:textId="77777777" w:rsidR="00257D2E" w:rsidRDefault="00495EF8" w:rsidP="00A1194E">
      <w:pPr>
        <w:spacing w:before="100" w:beforeAutospacing="1" w:after="100" w:afterAutospacing="1" w:line="240" w:lineRule="auto"/>
        <w:ind w:firstLine="567"/>
        <w:jc w:val="both"/>
      </w:pPr>
      <w:r>
        <w:t>A diagnostic result acquires value only where it changes what happens to the patient. In Nigeria and comparable settings, the pathway from result to intervention is interrupted at several points, and this conditions which laboratory investments are justifiable.</w:t>
      </w:r>
    </w:p>
    <w:p w14:paraId="60781061" w14:textId="77777777" w:rsidR="00257D2E" w:rsidRDefault="00495EF8" w:rsidP="00A1194E">
      <w:pPr>
        <w:spacing w:before="100" w:beforeAutospacing="1" w:after="100" w:afterAutospacing="1" w:line="240" w:lineRule="auto"/>
        <w:ind w:firstLine="567"/>
        <w:jc w:val="both"/>
      </w:pPr>
      <w:r>
        <w:t>Assisted reproduction is available in Nigeria through a private sector of appreciable size, but access is determined by ability to pay. Systematic review of costs across low- and middle-income countries established that direct medical costs for a single cycle exceed average annual income by a considerable margin (Njagi et al., 2023). Landscape analysis of assisted reproduction in these settings documented both the limited availability of services and the development of simplified approaches intended to reduce cost (Chiware et al., 2021). Evaluation of a simplified low-cost culture system designed for resource-poor countries reported encouraging perinatal outcomes (</w:t>
      </w:r>
      <w:proofErr w:type="spellStart"/>
      <w:r>
        <w:t>Ombelet</w:t>
      </w:r>
      <w:proofErr w:type="spellEnd"/>
      <w:r>
        <w:t xml:space="preserve"> et al., 2023), and case study analysis of public sector access in South Africa illustrates what provision through public services requires and where it falls short (Boshoff et al., 2025). The evidence indicates that cost reduction is technically feasible; it does not indicate that access has followed.</w:t>
      </w:r>
    </w:p>
    <w:p w14:paraId="79194C2D" w14:textId="77777777" w:rsidR="00257D2E" w:rsidRDefault="00495EF8" w:rsidP="00A1194E">
      <w:pPr>
        <w:spacing w:before="100" w:beforeAutospacing="1" w:after="100" w:afterAutospacing="1" w:line="240" w:lineRule="auto"/>
        <w:ind w:firstLine="567"/>
        <w:jc w:val="both"/>
      </w:pPr>
      <w:r>
        <w:t xml:space="preserve">Laboratory quality within assisted reproduction services in the region has received limited scrutiny. Qualitative research with embryologists working in sub-Saharan African clinics documented the conditions under which they </w:t>
      </w:r>
      <w:proofErr w:type="spellStart"/>
      <w:r>
        <w:t>practise</w:t>
      </w:r>
      <w:proofErr w:type="spellEnd"/>
      <w:r>
        <w:t xml:space="preserve">, including constraints on training, equipment and consumable supply, and the improvisation these constraints require (Gerrits et al., 2025). Embryology laboratories in the region operate largely outside the accreditation frameworks that cover diagnostic laboratories, and outcome reporting is not </w:t>
      </w:r>
      <w:proofErr w:type="spellStart"/>
      <w:r>
        <w:t>standardised</w:t>
      </w:r>
      <w:proofErr w:type="spellEnd"/>
      <w:r>
        <w:t>, so comparative performance cannot be assessed. Documentation of reproductive travel to, from and within sub-Saharan Africa indicates that patients move considerable distances in pursuit of care, which implies perceived differences in quality that are not verifiable from published data (Moll et al., 2022).</w:t>
      </w:r>
    </w:p>
    <w:p w14:paraId="5A8C4C9D" w14:textId="77777777" w:rsidR="00257D2E" w:rsidRDefault="00495EF8" w:rsidP="00A1194E">
      <w:pPr>
        <w:spacing w:before="100" w:beforeAutospacing="1" w:after="100" w:afterAutospacing="1" w:line="240" w:lineRule="auto"/>
        <w:ind w:firstLine="567"/>
        <w:jc w:val="both"/>
      </w:pPr>
      <w:r>
        <w:t xml:space="preserve">The social consequences of infertility shape the value of diagnosis in ways that are frequently underweighted in health economic reasoning. Population-based work in Malawi demonstrated that infertility-related stigma operates at both individual and community levels and is associated with measurable harm independent of the reproductive outcome itself (Bornstein et al., 2020). Historical and comparative analysis of infertility across settings has </w:t>
      </w:r>
      <w:proofErr w:type="spellStart"/>
      <w:r>
        <w:t>emphasised</w:t>
      </w:r>
      <w:proofErr w:type="spellEnd"/>
      <w:r>
        <w:t xml:space="preserve"> that in societies where social identity is closely bound to parenthood, the consequences of childlessness extend to economic security and personal safety (</w:t>
      </w:r>
      <w:proofErr w:type="spellStart"/>
      <w:r>
        <w:t>Inhorn</w:t>
      </w:r>
      <w:proofErr w:type="spellEnd"/>
      <w:r>
        <w:t xml:space="preserve"> &amp; Patrizio, 2015). A diagnostic result that identifies male factor infertility may therefore alter the distribution of blame within a household even where no treatment follows. This is a real benefit that conventional cost-effectiveness frameworks, which value diagnosis through its effect on treatment, do not capture. It is also a benefit contingent on the result being correct, which returns the argument to analytical reliability: a false attribution of male factor infertility in a setting where such attribution carries social consequence is not a neutral error.</w:t>
      </w:r>
    </w:p>
    <w:p w14:paraId="5363FD06" w14:textId="77777777" w:rsidR="00257D2E" w:rsidRDefault="00495EF8" w:rsidP="00A1194E">
      <w:pPr>
        <w:spacing w:before="100" w:beforeAutospacing="1" w:after="100" w:afterAutospacing="1" w:line="240" w:lineRule="auto"/>
        <w:ind w:firstLine="567"/>
        <w:jc w:val="both"/>
      </w:pPr>
      <w:r>
        <w:t xml:space="preserve">Evidence from elsewhere in the region indicates that barriers to treatment persist even where diagnosis occurs. Survey and records analysis in Tanzania documented substantial obstacles between presentation and treatment (Groene et al., 2023), and comparative professional </w:t>
      </w:r>
      <w:r>
        <w:lastRenderedPageBreak/>
        <w:t>accounts across sub-Saharan Africa identify similar patterns (Whittaker et al., 2024). Expanding diagnostic capacity without corresponding attention to what follows diagnosis produces information without remedy, which is a defensible outcome only where the information itself carries value.</w:t>
      </w:r>
    </w:p>
    <w:p w14:paraId="3DEEAECA" w14:textId="77777777" w:rsidR="00257D2E" w:rsidRDefault="00495EF8" w:rsidP="00A1194E">
      <w:pPr>
        <w:pStyle w:val="Heading1"/>
        <w:spacing w:before="100" w:beforeAutospacing="1" w:after="100" w:afterAutospacing="1" w:line="240" w:lineRule="auto"/>
      </w:pPr>
      <w:r>
        <w:rPr>
          <w:rFonts w:ascii="Times New Roman" w:hAnsi="Times New Roman"/>
          <w:b w:val="0"/>
        </w:rPr>
        <w:t>9. Future Directions</w:t>
      </w:r>
    </w:p>
    <w:p w14:paraId="08B44C89" w14:textId="77777777" w:rsidR="00257D2E" w:rsidRDefault="00495EF8" w:rsidP="00A1194E">
      <w:pPr>
        <w:spacing w:before="100" w:beforeAutospacing="1" w:after="100" w:afterAutospacing="1" w:line="240" w:lineRule="auto"/>
        <w:ind w:firstLine="567"/>
        <w:jc w:val="both"/>
      </w:pPr>
      <w:r>
        <w:t>The priorities set out below are ordered by the strength of the case for immediate action rather than by scientific novelty. Each identifies an unresolved problem, the specific inadequacy of current evidence, and the design that would resolve it.</w:t>
      </w:r>
    </w:p>
    <w:p w14:paraId="07E8CC62" w14:textId="77777777" w:rsidR="00257D2E" w:rsidRDefault="00495EF8" w:rsidP="00A1194E">
      <w:pPr>
        <w:spacing w:before="100" w:beforeAutospacing="1" w:after="100" w:afterAutospacing="1" w:line="240" w:lineRule="auto"/>
        <w:ind w:firstLine="567"/>
        <w:jc w:val="both"/>
      </w:pPr>
      <w:r>
        <w:t xml:space="preserve">The most immediate requirement is an external quality assessment scheme for semen examination covering Nigerian and regional andrology laboratories. The unresolved problem is that the analytical reliability of semen examination in these settings is entirely unmeasured, and no published data permit any estimate of it. Current evidence is inadequate because all available quantification of interlaboratory variability derives from high-income countries operating under conditions of structured training and method </w:t>
      </w:r>
      <w:proofErr w:type="spellStart"/>
      <w:r>
        <w:t>standardisation</w:t>
      </w:r>
      <w:proofErr w:type="spellEnd"/>
      <w:r>
        <w:t xml:space="preserve"> that do not obtain regionally (Lemmens et al., 2022; Punjabi et al., 2016; Zheng et al., 2025). The appropriate design is a </w:t>
      </w:r>
      <w:proofErr w:type="spellStart"/>
      <w:r>
        <w:t>multicentre</w:t>
      </w:r>
      <w:proofErr w:type="spellEnd"/>
      <w:r>
        <w:t xml:space="preserve"> proficiency testing scheme distributing </w:t>
      </w:r>
      <w:proofErr w:type="spellStart"/>
      <w:r>
        <w:t>stabilised</w:t>
      </w:r>
      <w:proofErr w:type="spellEnd"/>
      <w:r>
        <w:t xml:space="preserve"> or video-recorded specimens to participating laboratories, reporting interlaboratory coefficients of variation for concentration, motility category and morphology, with participation extended across public tertiary, private and fertility clinic laboratories in at least three Nigerian geopolitical zones. Outcome measures should include coefficient of variation by analyte and by counting method, and the proportion of laboratories using a specified counting chamber. Such a scheme would establish a baseline against which any subsequent intervention could be evaluated and would identify whether the dominant error source is method selection, observer training or equipment. Implementation could plausibly be attached to an existing national laboratory quality body, which would reduce establishment cost substantially.</w:t>
      </w:r>
    </w:p>
    <w:p w14:paraId="08F59051" w14:textId="77777777" w:rsidR="00257D2E" w:rsidRDefault="00495EF8" w:rsidP="00A1194E">
      <w:pPr>
        <w:spacing w:before="100" w:beforeAutospacing="1" w:after="100" w:afterAutospacing="1" w:line="240" w:lineRule="auto"/>
        <w:ind w:firstLine="567"/>
        <w:jc w:val="both"/>
      </w:pPr>
      <w:r>
        <w:t>The second priority is a prospective evaluation of nucleic acid amplification testing against serology for the attribution of tubal infertility. The unresolved problem is that causal attribution of tubal disease to Chlamydia trachomatis in Nigeria rests on antibody assays that indicate remote exposure and whose specificity in local populations has not been established (</w:t>
      </w:r>
      <w:proofErr w:type="spellStart"/>
      <w:r>
        <w:t>Odelola</w:t>
      </w:r>
      <w:proofErr w:type="spellEnd"/>
      <w:r>
        <w:t xml:space="preserve"> &amp; </w:t>
      </w:r>
      <w:proofErr w:type="spellStart"/>
      <w:r>
        <w:t>Akadri</w:t>
      </w:r>
      <w:proofErr w:type="spellEnd"/>
      <w:r>
        <w:t xml:space="preserve">, 2023; </w:t>
      </w:r>
      <w:proofErr w:type="spellStart"/>
      <w:r>
        <w:t>Onyeabochukwu</w:t>
      </w:r>
      <w:proofErr w:type="spellEnd"/>
      <w:r>
        <w:t xml:space="preserve"> et al., 2021). Current evidence is inadequate because no retrieved Nigerian study has applied molecular detection of current infection alongside serology in an infertile population with an appropriate comparison group. The appropriate design is a </w:t>
      </w:r>
      <w:proofErr w:type="spellStart"/>
      <w:r>
        <w:t>multicentre</w:t>
      </w:r>
      <w:proofErr w:type="spellEnd"/>
      <w:r>
        <w:t xml:space="preserve"> cross-sectional study recruiting women undergoing tubal assessment together with fertile controls matched on age and parity but drawn from a non-pregnant population, applying both antibody testing and nucleic acid amplification, with tubal status determined by laparoscopy where available. Reporting should include the proportion of seropositive women with current infection, the discordance between methods, and the association of each with tubal pathology. The policy consequence would be direct: if a substantial proportion of seropositive women </w:t>
      </w:r>
      <w:proofErr w:type="spellStart"/>
      <w:r>
        <w:t>harbour</w:t>
      </w:r>
      <w:proofErr w:type="spellEnd"/>
      <w:r>
        <w:t xml:space="preserve"> treatable current infection, the case for molecular testing in infertility evaluation becomes a case for interrupting ongoing damage rather than for documenting past damage.</w:t>
      </w:r>
    </w:p>
    <w:p w14:paraId="4FAE1631" w14:textId="77777777" w:rsidR="00257D2E" w:rsidRDefault="00495EF8" w:rsidP="00A1194E">
      <w:pPr>
        <w:spacing w:before="100" w:beforeAutospacing="1" w:after="100" w:afterAutospacing="1" w:line="240" w:lineRule="auto"/>
        <w:ind w:firstLine="567"/>
        <w:jc w:val="both"/>
      </w:pPr>
      <w:r>
        <w:lastRenderedPageBreak/>
        <w:t xml:space="preserve">The third priority concerns analytical verification of reproductive hormone assays in African populations. The unresolved problem is that decision thresholds for follicle-stimulating hormone, testosterone, thyroid-stimulating hormone and anti-Müllerian hormone derive from populations that may differ from those in which they are applied, and that method comparability across the platforms in regional use has not been documented (Jayasena et al., 2023; </w:t>
      </w:r>
      <w:proofErr w:type="spellStart"/>
      <w:r>
        <w:t>Moolhuijsen</w:t>
      </w:r>
      <w:proofErr w:type="spellEnd"/>
      <w:r>
        <w:t xml:space="preserve"> &amp; Visser, 2020). The appropriate design is a </w:t>
      </w:r>
      <w:proofErr w:type="spellStart"/>
      <w:r>
        <w:t>multicentre</w:t>
      </w:r>
      <w:proofErr w:type="spellEnd"/>
      <w:r>
        <w:t xml:space="preserve"> method comparison study measuring split specimens across the analytical platforms in common use, reporting bias and imprecision relative to a </w:t>
      </w:r>
      <w:proofErr w:type="spellStart"/>
      <w:r>
        <w:t>recognised</w:t>
      </w:r>
      <w:proofErr w:type="spellEnd"/>
      <w:r>
        <w:t xml:space="preserve"> reference procedure where accessible, combined with reference interval verification in appropriately </w:t>
      </w:r>
      <w:proofErr w:type="spellStart"/>
      <w:r>
        <w:t>characterised</w:t>
      </w:r>
      <w:proofErr w:type="spellEnd"/>
      <w:r>
        <w:t xml:space="preserve"> healthy local populations. This work is technically straightforward, requires no new technology, and would immediately improve the interpretability of results already being generated in large volume.</w:t>
      </w:r>
    </w:p>
    <w:p w14:paraId="64963A6D" w14:textId="77777777" w:rsidR="00257D2E" w:rsidRDefault="00495EF8" w:rsidP="00A1194E">
      <w:pPr>
        <w:spacing w:before="100" w:beforeAutospacing="1" w:after="100" w:afterAutospacing="1" w:line="240" w:lineRule="auto"/>
        <w:ind w:firstLine="567"/>
        <w:jc w:val="both"/>
      </w:pPr>
      <w:r>
        <w:t xml:space="preserve">A fourth priority is the analytical validation of existing cartridge-based molecular platforms for endometrial specimens in suspected female genital tuberculosis. The unresolved problem is that a treatable cause of tubal and endometrial infertility in a high-burden region is diagnosed inconsistently because culture is insensitive and slow and histopathological criteria are frequently absent (Dahiya et al., 2022; </w:t>
      </w:r>
      <w:proofErr w:type="spellStart"/>
      <w:r>
        <w:t>Tzelios</w:t>
      </w:r>
      <w:proofErr w:type="spellEnd"/>
      <w:r>
        <w:t xml:space="preserve"> et al., 2022). Current evidence is inadequate because assays validated on respiratory specimens have uncertain performance on endometrial tissue. The appropriate design is a diagnostic accuracy study in women undergoing endometrial sampling during infertility evaluation, comparing molecular testing against a composite reference standard of culture, histopathology and clinical response to therapy, powered for the low expected prevalence and conducted where tuberculosis platform capacity already exists (Girdwood et al., 2023; Ndlovu et al., 2018).</w:t>
      </w:r>
    </w:p>
    <w:p w14:paraId="724C65A0" w14:textId="77777777" w:rsidR="00257D2E" w:rsidRDefault="00495EF8" w:rsidP="00A1194E">
      <w:pPr>
        <w:spacing w:before="100" w:beforeAutospacing="1" w:after="100" w:afterAutospacing="1" w:line="240" w:lineRule="auto"/>
        <w:ind w:firstLine="567"/>
        <w:jc w:val="both"/>
      </w:pPr>
      <w:r>
        <w:t>A fifth priority, appropriate to a longer horizon, is the development and evaluation of a deployable diagnostic approach for female genital schistosomiasis. The unresolved problem is a diagnostic void: spatial evidence associates Schistosoma haematobium endemicity with infertility, but no individual-level diagnostic method suitable for district-level use exists, and urine microscopy does not establish genital involvement (Bowers et al., 2025; Woodall &amp; Kramer, 2018). Progress requires antigen or nucleic acid target identification in genital specimens, followed by assay development and field evaluation in endemic populations including Nigerian settings, with individual-level infection status linked prospectively to reproductive outcomes. The timescale is measured in years rather than months, and interim progress would come from individual-level rather than ecological epidemiological studies establishing whether the spatial association reflects individual causation.</w:t>
      </w:r>
    </w:p>
    <w:p w14:paraId="77E398E4" w14:textId="77777777" w:rsidR="00257D2E" w:rsidRDefault="00495EF8" w:rsidP="00A1194E">
      <w:pPr>
        <w:spacing w:before="100" w:beforeAutospacing="1" w:after="100" w:afterAutospacing="1" w:line="240" w:lineRule="auto"/>
        <w:ind w:firstLine="567"/>
        <w:jc w:val="both"/>
      </w:pPr>
      <w:r>
        <w:t>Two cross-cutting priorities warrant attention alongside these. Health services research is required on the effect of fee-for-service financing on diagnostic test selection and quality in private reproductive laboratories, a relationship that is plausible on the available qualitative evidence but untested (</w:t>
      </w:r>
      <w:proofErr w:type="spellStart"/>
      <w:r>
        <w:t>Ezeome</w:t>
      </w:r>
      <w:proofErr w:type="spellEnd"/>
      <w:r>
        <w:t xml:space="preserve"> et al., 2023; Whittaker et al., 2024). Implementation research is required on the integration of reproductive diagnostics into existing laboratory quality and accreditation frameworks, examining whether the stepwise improvement model that produced accreditation gains in communicable disease laboratories can be extended to andrology without dedicated vertical funding (Odhiambo et al., 2023; </w:t>
      </w:r>
      <w:proofErr w:type="spellStart"/>
      <w:r>
        <w:t>Torokaa</w:t>
      </w:r>
      <w:proofErr w:type="spellEnd"/>
      <w:r>
        <w:t xml:space="preserve"> et al., 2026). The evidence that national commitment can produce sustained improvement in laboratory quality management provides a reasonable basis for expecting that such extension is achievable.</w:t>
      </w:r>
    </w:p>
    <w:p w14:paraId="716D6713" w14:textId="77777777" w:rsidR="00257D2E" w:rsidRDefault="00495EF8" w:rsidP="00A1194E">
      <w:pPr>
        <w:spacing w:before="100" w:beforeAutospacing="1" w:after="100" w:afterAutospacing="1" w:line="240" w:lineRule="auto"/>
        <w:ind w:firstLine="567"/>
        <w:jc w:val="both"/>
      </w:pPr>
      <w:r>
        <w:lastRenderedPageBreak/>
        <w:t xml:space="preserve">Table 5 sets out these priorities against the specific evidential deficit each addresses and the design proposed. The table distinguishes immediate priorities, defined as those implementable with existing technology and infrastructure within a short horizon, from longer-term requirements involving assay development. The distribution is itself informative: four of the seven priorities require no new technology, which indicates that the principal constraint on reproductive diagnostic quality in the region is </w:t>
      </w:r>
      <w:proofErr w:type="spellStart"/>
      <w:r>
        <w:t>organisational</w:t>
      </w:r>
      <w:proofErr w:type="spellEnd"/>
      <w:r>
        <w:t xml:space="preserve"> and evidential rather than technological.</w:t>
      </w:r>
    </w:p>
    <w:p w14:paraId="0D1834AC" w14:textId="77777777" w:rsidR="00257D2E" w:rsidRDefault="00495EF8" w:rsidP="00A1194E">
      <w:pPr>
        <w:keepNext/>
        <w:spacing w:before="100" w:beforeAutospacing="1" w:after="100" w:afterAutospacing="1" w:line="240" w:lineRule="auto"/>
      </w:pPr>
      <w:r>
        <w:rPr>
          <w:b/>
          <w:sz w:val="22"/>
        </w:rPr>
        <w:t xml:space="preserve">Table 5. </w:t>
      </w:r>
      <w:r>
        <w:rPr>
          <w:sz w:val="22"/>
        </w:rPr>
        <w:t>Research priorities for laboratory science in infertility diagnosis in low- and middle-income settings</w:t>
      </w:r>
    </w:p>
    <w:tbl>
      <w:tblPr>
        <w:tblStyle w:val="TableGrid"/>
        <w:tblW w:w="5000" w:type="pct"/>
        <w:jc w:val="center"/>
        <w:tblLook w:val="04A0" w:firstRow="1" w:lastRow="0" w:firstColumn="1" w:lastColumn="0" w:noHBand="0" w:noVBand="1"/>
      </w:tblPr>
      <w:tblGrid>
        <w:gridCol w:w="1806"/>
        <w:gridCol w:w="2336"/>
        <w:gridCol w:w="2551"/>
        <w:gridCol w:w="1379"/>
        <w:gridCol w:w="1504"/>
      </w:tblGrid>
      <w:tr w:rsidR="00257D2E" w14:paraId="4E4241F8" w14:textId="77777777" w:rsidTr="00A1194E">
        <w:trPr>
          <w:jc w:val="center"/>
        </w:trPr>
        <w:tc>
          <w:tcPr>
            <w:tcW w:w="945" w:type="pct"/>
            <w:shd w:val="clear" w:color="auto" w:fill="E8E8E8"/>
          </w:tcPr>
          <w:p w14:paraId="74A96C32" w14:textId="77777777" w:rsidR="00257D2E" w:rsidRDefault="00495EF8" w:rsidP="00A1194E">
            <w:pPr>
              <w:spacing w:before="100" w:beforeAutospacing="1" w:after="100" w:afterAutospacing="1" w:line="240" w:lineRule="auto"/>
            </w:pPr>
            <w:r>
              <w:rPr>
                <w:b/>
                <w:sz w:val="19"/>
              </w:rPr>
              <w:t>Priority</w:t>
            </w:r>
          </w:p>
        </w:tc>
        <w:tc>
          <w:tcPr>
            <w:tcW w:w="1222" w:type="pct"/>
            <w:shd w:val="clear" w:color="auto" w:fill="E8E8E8"/>
          </w:tcPr>
          <w:p w14:paraId="22A89F78" w14:textId="77777777" w:rsidR="00257D2E" w:rsidRDefault="00495EF8" w:rsidP="00A1194E">
            <w:pPr>
              <w:spacing w:before="100" w:beforeAutospacing="1" w:after="100" w:afterAutospacing="1" w:line="240" w:lineRule="auto"/>
            </w:pPr>
            <w:r>
              <w:rPr>
                <w:b/>
                <w:sz w:val="19"/>
              </w:rPr>
              <w:t>Evidential deficit</w:t>
            </w:r>
          </w:p>
        </w:tc>
        <w:tc>
          <w:tcPr>
            <w:tcW w:w="1334" w:type="pct"/>
            <w:shd w:val="clear" w:color="auto" w:fill="E8E8E8"/>
          </w:tcPr>
          <w:p w14:paraId="39FA8840" w14:textId="77777777" w:rsidR="00257D2E" w:rsidRDefault="00495EF8" w:rsidP="00A1194E">
            <w:pPr>
              <w:spacing w:before="100" w:beforeAutospacing="1" w:after="100" w:afterAutospacing="1" w:line="240" w:lineRule="auto"/>
            </w:pPr>
            <w:r>
              <w:rPr>
                <w:b/>
                <w:sz w:val="19"/>
              </w:rPr>
              <w:t>Proposed design and principal outcome measures</w:t>
            </w:r>
          </w:p>
        </w:tc>
        <w:tc>
          <w:tcPr>
            <w:tcW w:w="722" w:type="pct"/>
            <w:shd w:val="clear" w:color="auto" w:fill="E8E8E8"/>
          </w:tcPr>
          <w:p w14:paraId="5B49C7EE" w14:textId="77777777" w:rsidR="00257D2E" w:rsidRDefault="00495EF8" w:rsidP="00A1194E">
            <w:pPr>
              <w:spacing w:before="100" w:beforeAutospacing="1" w:after="100" w:afterAutospacing="1" w:line="240" w:lineRule="auto"/>
            </w:pPr>
            <w:r>
              <w:rPr>
                <w:b/>
                <w:sz w:val="19"/>
              </w:rPr>
              <w:t>Horizon</w:t>
            </w:r>
          </w:p>
        </w:tc>
        <w:tc>
          <w:tcPr>
            <w:tcW w:w="778" w:type="pct"/>
            <w:shd w:val="clear" w:color="auto" w:fill="E8E8E8"/>
          </w:tcPr>
          <w:p w14:paraId="3887D6A5" w14:textId="77777777" w:rsidR="00257D2E" w:rsidRDefault="00495EF8" w:rsidP="00A1194E">
            <w:pPr>
              <w:spacing w:before="100" w:beforeAutospacing="1" w:after="100" w:afterAutospacing="1" w:line="240" w:lineRule="auto"/>
            </w:pPr>
            <w:r>
              <w:rPr>
                <w:b/>
                <w:sz w:val="19"/>
              </w:rPr>
              <w:t>Supporting references</w:t>
            </w:r>
          </w:p>
        </w:tc>
      </w:tr>
      <w:tr w:rsidR="00257D2E" w14:paraId="1D8D2430" w14:textId="77777777" w:rsidTr="00A1194E">
        <w:trPr>
          <w:jc w:val="center"/>
        </w:trPr>
        <w:tc>
          <w:tcPr>
            <w:tcW w:w="945" w:type="pct"/>
          </w:tcPr>
          <w:p w14:paraId="5EE9B29D" w14:textId="77777777" w:rsidR="00257D2E" w:rsidRDefault="00495EF8" w:rsidP="00A1194E">
            <w:pPr>
              <w:spacing w:before="100" w:beforeAutospacing="1" w:after="100" w:afterAutospacing="1" w:line="240" w:lineRule="auto"/>
            </w:pPr>
            <w:r>
              <w:rPr>
                <w:sz w:val="19"/>
              </w:rPr>
              <w:t>External quality assessment for semen examination</w:t>
            </w:r>
          </w:p>
        </w:tc>
        <w:tc>
          <w:tcPr>
            <w:tcW w:w="1222" w:type="pct"/>
          </w:tcPr>
          <w:p w14:paraId="467623FA" w14:textId="77777777" w:rsidR="00257D2E" w:rsidRDefault="00495EF8" w:rsidP="00A1194E">
            <w:pPr>
              <w:spacing w:before="100" w:beforeAutospacing="1" w:after="100" w:afterAutospacing="1" w:line="240" w:lineRule="auto"/>
            </w:pPr>
            <w:r>
              <w:rPr>
                <w:sz w:val="19"/>
              </w:rPr>
              <w:t>Analytical reliability of semen examination in the region is entirely unmeasured</w:t>
            </w:r>
          </w:p>
        </w:tc>
        <w:tc>
          <w:tcPr>
            <w:tcW w:w="1334" w:type="pct"/>
          </w:tcPr>
          <w:p w14:paraId="3D4EF9B9" w14:textId="77777777" w:rsidR="00257D2E" w:rsidRDefault="00495EF8" w:rsidP="00A1194E">
            <w:pPr>
              <w:spacing w:before="100" w:beforeAutospacing="1" w:after="100" w:afterAutospacing="1" w:line="240" w:lineRule="auto"/>
            </w:pPr>
            <w:proofErr w:type="spellStart"/>
            <w:r>
              <w:rPr>
                <w:sz w:val="19"/>
              </w:rPr>
              <w:t>Multicentre</w:t>
            </w:r>
            <w:proofErr w:type="spellEnd"/>
            <w:r>
              <w:rPr>
                <w:sz w:val="19"/>
              </w:rPr>
              <w:t xml:space="preserve"> proficiency testing across public, private and fertility clinic laboratories; coefficient of variation by analyte and counting method</w:t>
            </w:r>
          </w:p>
        </w:tc>
        <w:tc>
          <w:tcPr>
            <w:tcW w:w="722" w:type="pct"/>
          </w:tcPr>
          <w:p w14:paraId="19CF0820" w14:textId="77777777" w:rsidR="00257D2E" w:rsidRDefault="00495EF8" w:rsidP="00A1194E">
            <w:pPr>
              <w:spacing w:before="100" w:beforeAutospacing="1" w:after="100" w:afterAutospacing="1" w:line="240" w:lineRule="auto"/>
            </w:pPr>
            <w:r>
              <w:rPr>
                <w:sz w:val="19"/>
              </w:rPr>
              <w:t>Immediate</w:t>
            </w:r>
          </w:p>
        </w:tc>
        <w:tc>
          <w:tcPr>
            <w:tcW w:w="778" w:type="pct"/>
          </w:tcPr>
          <w:p w14:paraId="367765E7" w14:textId="77777777" w:rsidR="00257D2E" w:rsidRDefault="00495EF8" w:rsidP="00A1194E">
            <w:pPr>
              <w:spacing w:before="100" w:beforeAutospacing="1" w:after="100" w:afterAutospacing="1" w:line="240" w:lineRule="auto"/>
            </w:pPr>
            <w:r>
              <w:rPr>
                <w:sz w:val="19"/>
              </w:rPr>
              <w:t>Lemmens et al. (2022); Punjabi et al. (2016); Zheng et al. (2025)</w:t>
            </w:r>
          </w:p>
        </w:tc>
      </w:tr>
      <w:tr w:rsidR="00257D2E" w14:paraId="3091D9C5" w14:textId="77777777" w:rsidTr="00A1194E">
        <w:trPr>
          <w:jc w:val="center"/>
        </w:trPr>
        <w:tc>
          <w:tcPr>
            <w:tcW w:w="945" w:type="pct"/>
          </w:tcPr>
          <w:p w14:paraId="4AB21409" w14:textId="77777777" w:rsidR="00257D2E" w:rsidRDefault="00495EF8" w:rsidP="00A1194E">
            <w:pPr>
              <w:spacing w:before="100" w:beforeAutospacing="1" w:after="100" w:afterAutospacing="1" w:line="240" w:lineRule="auto"/>
            </w:pPr>
            <w:r>
              <w:rPr>
                <w:sz w:val="19"/>
              </w:rPr>
              <w:t>Molecular against serological attribution of tubal disease</w:t>
            </w:r>
          </w:p>
        </w:tc>
        <w:tc>
          <w:tcPr>
            <w:tcW w:w="1222" w:type="pct"/>
          </w:tcPr>
          <w:p w14:paraId="2CB78BDD" w14:textId="77777777" w:rsidR="00257D2E" w:rsidRDefault="00495EF8" w:rsidP="00A1194E">
            <w:pPr>
              <w:spacing w:before="100" w:beforeAutospacing="1" w:after="100" w:afterAutospacing="1" w:line="240" w:lineRule="auto"/>
            </w:pPr>
            <w:r>
              <w:rPr>
                <w:sz w:val="19"/>
              </w:rPr>
              <w:t>No regional study applies nucleic acid amplification alongside serology with an appropriate comparison group</w:t>
            </w:r>
          </w:p>
        </w:tc>
        <w:tc>
          <w:tcPr>
            <w:tcW w:w="1334" w:type="pct"/>
          </w:tcPr>
          <w:p w14:paraId="187D7B06" w14:textId="77777777" w:rsidR="00257D2E" w:rsidRDefault="00495EF8" w:rsidP="00A1194E">
            <w:pPr>
              <w:spacing w:before="100" w:beforeAutospacing="1" w:after="100" w:afterAutospacing="1" w:line="240" w:lineRule="auto"/>
            </w:pPr>
            <w:proofErr w:type="spellStart"/>
            <w:r>
              <w:rPr>
                <w:sz w:val="19"/>
              </w:rPr>
              <w:t>Multicentre</w:t>
            </w:r>
            <w:proofErr w:type="spellEnd"/>
            <w:r>
              <w:rPr>
                <w:sz w:val="19"/>
              </w:rPr>
              <w:t xml:space="preserve"> cross-sectional study with non-pregnant fertile controls; discordance between methods and association with tubal pathology</w:t>
            </w:r>
          </w:p>
        </w:tc>
        <w:tc>
          <w:tcPr>
            <w:tcW w:w="722" w:type="pct"/>
          </w:tcPr>
          <w:p w14:paraId="20E55193" w14:textId="77777777" w:rsidR="00257D2E" w:rsidRDefault="00495EF8" w:rsidP="00A1194E">
            <w:pPr>
              <w:spacing w:before="100" w:beforeAutospacing="1" w:after="100" w:afterAutospacing="1" w:line="240" w:lineRule="auto"/>
            </w:pPr>
            <w:r>
              <w:rPr>
                <w:sz w:val="19"/>
              </w:rPr>
              <w:t>Immediate</w:t>
            </w:r>
          </w:p>
        </w:tc>
        <w:tc>
          <w:tcPr>
            <w:tcW w:w="778" w:type="pct"/>
          </w:tcPr>
          <w:p w14:paraId="18773751" w14:textId="77777777" w:rsidR="00257D2E" w:rsidRDefault="00495EF8" w:rsidP="00A1194E">
            <w:pPr>
              <w:spacing w:before="100" w:beforeAutospacing="1" w:after="100" w:afterAutospacing="1" w:line="240" w:lineRule="auto"/>
            </w:pPr>
            <w:r>
              <w:rPr>
                <w:sz w:val="19"/>
              </w:rPr>
              <w:t xml:space="preserve">Connolly et al. (2020); </w:t>
            </w:r>
            <w:proofErr w:type="spellStart"/>
            <w:r>
              <w:rPr>
                <w:sz w:val="19"/>
              </w:rPr>
              <w:t>Odelola</w:t>
            </w:r>
            <w:proofErr w:type="spellEnd"/>
            <w:r>
              <w:rPr>
                <w:sz w:val="19"/>
              </w:rPr>
              <w:t xml:space="preserve"> &amp; </w:t>
            </w:r>
            <w:proofErr w:type="spellStart"/>
            <w:r>
              <w:rPr>
                <w:sz w:val="19"/>
              </w:rPr>
              <w:t>Akadri</w:t>
            </w:r>
            <w:proofErr w:type="spellEnd"/>
            <w:r>
              <w:rPr>
                <w:sz w:val="19"/>
              </w:rPr>
              <w:t xml:space="preserve"> (2023); </w:t>
            </w:r>
            <w:proofErr w:type="spellStart"/>
            <w:r>
              <w:rPr>
                <w:sz w:val="19"/>
              </w:rPr>
              <w:t>Onyeabochukwu</w:t>
            </w:r>
            <w:proofErr w:type="spellEnd"/>
            <w:r>
              <w:rPr>
                <w:sz w:val="19"/>
              </w:rPr>
              <w:t xml:space="preserve"> et al. (2021)</w:t>
            </w:r>
          </w:p>
        </w:tc>
      </w:tr>
      <w:tr w:rsidR="00257D2E" w14:paraId="6F6871EA" w14:textId="77777777" w:rsidTr="00A1194E">
        <w:trPr>
          <w:jc w:val="center"/>
        </w:trPr>
        <w:tc>
          <w:tcPr>
            <w:tcW w:w="945" w:type="pct"/>
          </w:tcPr>
          <w:p w14:paraId="665C2F02" w14:textId="77777777" w:rsidR="00257D2E" w:rsidRDefault="00495EF8" w:rsidP="00A1194E">
            <w:pPr>
              <w:spacing w:before="100" w:beforeAutospacing="1" w:after="100" w:afterAutospacing="1" w:line="240" w:lineRule="auto"/>
            </w:pPr>
            <w:r>
              <w:rPr>
                <w:sz w:val="19"/>
              </w:rPr>
              <w:t>Verification of reproductive hormone assays</w:t>
            </w:r>
          </w:p>
        </w:tc>
        <w:tc>
          <w:tcPr>
            <w:tcW w:w="1222" w:type="pct"/>
          </w:tcPr>
          <w:p w14:paraId="798454C3" w14:textId="77777777" w:rsidR="00257D2E" w:rsidRDefault="00495EF8" w:rsidP="00A1194E">
            <w:pPr>
              <w:spacing w:before="100" w:beforeAutospacing="1" w:after="100" w:afterAutospacing="1" w:line="240" w:lineRule="auto"/>
            </w:pPr>
            <w:r>
              <w:rPr>
                <w:sz w:val="19"/>
              </w:rPr>
              <w:t xml:space="preserve">Thresholds derive from non-African populations; </w:t>
            </w:r>
            <w:proofErr w:type="spellStart"/>
            <w:r>
              <w:rPr>
                <w:sz w:val="19"/>
              </w:rPr>
              <w:t>interplatform</w:t>
            </w:r>
            <w:proofErr w:type="spellEnd"/>
            <w:r>
              <w:rPr>
                <w:sz w:val="19"/>
              </w:rPr>
              <w:t xml:space="preserve"> comparability undocumented</w:t>
            </w:r>
          </w:p>
        </w:tc>
        <w:tc>
          <w:tcPr>
            <w:tcW w:w="1334" w:type="pct"/>
          </w:tcPr>
          <w:p w14:paraId="64B4B267" w14:textId="77777777" w:rsidR="00257D2E" w:rsidRDefault="00495EF8" w:rsidP="00A1194E">
            <w:pPr>
              <w:spacing w:before="100" w:beforeAutospacing="1" w:after="100" w:afterAutospacing="1" w:line="240" w:lineRule="auto"/>
            </w:pPr>
            <w:r>
              <w:rPr>
                <w:sz w:val="19"/>
              </w:rPr>
              <w:t xml:space="preserve">Split-specimen method comparison with reference interval verification in </w:t>
            </w:r>
            <w:proofErr w:type="spellStart"/>
            <w:r>
              <w:rPr>
                <w:sz w:val="19"/>
              </w:rPr>
              <w:t>characterised</w:t>
            </w:r>
            <w:proofErr w:type="spellEnd"/>
            <w:r>
              <w:rPr>
                <w:sz w:val="19"/>
              </w:rPr>
              <w:t xml:space="preserve"> local populations</w:t>
            </w:r>
          </w:p>
        </w:tc>
        <w:tc>
          <w:tcPr>
            <w:tcW w:w="722" w:type="pct"/>
          </w:tcPr>
          <w:p w14:paraId="032CF31C" w14:textId="77777777" w:rsidR="00257D2E" w:rsidRDefault="00495EF8" w:rsidP="00A1194E">
            <w:pPr>
              <w:spacing w:before="100" w:beforeAutospacing="1" w:after="100" w:afterAutospacing="1" w:line="240" w:lineRule="auto"/>
            </w:pPr>
            <w:r>
              <w:rPr>
                <w:sz w:val="19"/>
              </w:rPr>
              <w:t>Immediate</w:t>
            </w:r>
          </w:p>
        </w:tc>
        <w:tc>
          <w:tcPr>
            <w:tcW w:w="778" w:type="pct"/>
          </w:tcPr>
          <w:p w14:paraId="6E773CE8" w14:textId="77777777" w:rsidR="00257D2E" w:rsidRDefault="00495EF8" w:rsidP="00A1194E">
            <w:pPr>
              <w:spacing w:before="100" w:beforeAutospacing="1" w:after="100" w:afterAutospacing="1" w:line="240" w:lineRule="auto"/>
            </w:pPr>
            <w:r>
              <w:rPr>
                <w:sz w:val="19"/>
              </w:rPr>
              <w:t xml:space="preserve">Jayasena et al. (2023); </w:t>
            </w:r>
            <w:proofErr w:type="spellStart"/>
            <w:r>
              <w:rPr>
                <w:sz w:val="19"/>
              </w:rPr>
              <w:t>Moolhuijsen</w:t>
            </w:r>
            <w:proofErr w:type="spellEnd"/>
            <w:r>
              <w:rPr>
                <w:sz w:val="19"/>
              </w:rPr>
              <w:t xml:space="preserve"> &amp; Visser (2020)</w:t>
            </w:r>
          </w:p>
        </w:tc>
      </w:tr>
      <w:tr w:rsidR="00257D2E" w14:paraId="130AB8FC" w14:textId="77777777" w:rsidTr="00A1194E">
        <w:trPr>
          <w:jc w:val="center"/>
        </w:trPr>
        <w:tc>
          <w:tcPr>
            <w:tcW w:w="945" w:type="pct"/>
          </w:tcPr>
          <w:p w14:paraId="14E7027D" w14:textId="77777777" w:rsidR="00257D2E" w:rsidRDefault="00495EF8" w:rsidP="00A1194E">
            <w:pPr>
              <w:spacing w:before="100" w:beforeAutospacing="1" w:after="100" w:afterAutospacing="1" w:line="240" w:lineRule="auto"/>
            </w:pPr>
            <w:r>
              <w:rPr>
                <w:sz w:val="19"/>
              </w:rPr>
              <w:t>Molecular testing for female genital tuberculosis</w:t>
            </w:r>
          </w:p>
        </w:tc>
        <w:tc>
          <w:tcPr>
            <w:tcW w:w="1222" w:type="pct"/>
          </w:tcPr>
          <w:p w14:paraId="7D573F36" w14:textId="77777777" w:rsidR="00257D2E" w:rsidRDefault="00495EF8" w:rsidP="00A1194E">
            <w:pPr>
              <w:spacing w:before="100" w:beforeAutospacing="1" w:after="100" w:afterAutospacing="1" w:line="240" w:lineRule="auto"/>
            </w:pPr>
            <w:r>
              <w:rPr>
                <w:sz w:val="19"/>
              </w:rPr>
              <w:t>Assays validated on respiratory specimens have uncertain performance on endometrial tissue</w:t>
            </w:r>
          </w:p>
        </w:tc>
        <w:tc>
          <w:tcPr>
            <w:tcW w:w="1334" w:type="pct"/>
          </w:tcPr>
          <w:p w14:paraId="1720F79A" w14:textId="77777777" w:rsidR="00257D2E" w:rsidRDefault="00495EF8" w:rsidP="00A1194E">
            <w:pPr>
              <w:spacing w:before="100" w:beforeAutospacing="1" w:after="100" w:afterAutospacing="1" w:line="240" w:lineRule="auto"/>
            </w:pPr>
            <w:r>
              <w:rPr>
                <w:sz w:val="19"/>
              </w:rPr>
              <w:t xml:space="preserve">Diagnostic accuracy study against a composite reference standard in </w:t>
            </w:r>
            <w:proofErr w:type="spellStart"/>
            <w:r>
              <w:rPr>
                <w:sz w:val="19"/>
              </w:rPr>
              <w:t>centres</w:t>
            </w:r>
            <w:proofErr w:type="spellEnd"/>
            <w:r>
              <w:rPr>
                <w:sz w:val="19"/>
              </w:rPr>
              <w:t xml:space="preserve"> with existing platform capacity</w:t>
            </w:r>
          </w:p>
        </w:tc>
        <w:tc>
          <w:tcPr>
            <w:tcW w:w="722" w:type="pct"/>
          </w:tcPr>
          <w:p w14:paraId="66C78185" w14:textId="77777777" w:rsidR="00257D2E" w:rsidRDefault="00495EF8" w:rsidP="00A1194E">
            <w:pPr>
              <w:spacing w:before="100" w:beforeAutospacing="1" w:after="100" w:afterAutospacing="1" w:line="240" w:lineRule="auto"/>
            </w:pPr>
            <w:r>
              <w:rPr>
                <w:sz w:val="19"/>
              </w:rPr>
              <w:t>Immediate</w:t>
            </w:r>
          </w:p>
        </w:tc>
        <w:tc>
          <w:tcPr>
            <w:tcW w:w="778" w:type="pct"/>
          </w:tcPr>
          <w:p w14:paraId="0EC0BC76" w14:textId="77777777" w:rsidR="00257D2E" w:rsidRDefault="00495EF8" w:rsidP="00A1194E">
            <w:pPr>
              <w:spacing w:before="100" w:beforeAutospacing="1" w:after="100" w:afterAutospacing="1" w:line="240" w:lineRule="auto"/>
            </w:pPr>
            <w:r>
              <w:rPr>
                <w:sz w:val="19"/>
              </w:rPr>
              <w:t xml:space="preserve">Dahiya et al. (2022); Girdwood et al. (2023); </w:t>
            </w:r>
            <w:proofErr w:type="spellStart"/>
            <w:r>
              <w:rPr>
                <w:sz w:val="19"/>
              </w:rPr>
              <w:t>Tzelios</w:t>
            </w:r>
            <w:proofErr w:type="spellEnd"/>
            <w:r>
              <w:rPr>
                <w:sz w:val="19"/>
              </w:rPr>
              <w:t xml:space="preserve"> et al. (2022)</w:t>
            </w:r>
          </w:p>
        </w:tc>
      </w:tr>
      <w:tr w:rsidR="00257D2E" w14:paraId="2EC024C6" w14:textId="77777777" w:rsidTr="00A1194E">
        <w:trPr>
          <w:jc w:val="center"/>
        </w:trPr>
        <w:tc>
          <w:tcPr>
            <w:tcW w:w="945" w:type="pct"/>
          </w:tcPr>
          <w:p w14:paraId="1D676547" w14:textId="77777777" w:rsidR="00257D2E" w:rsidRDefault="00495EF8" w:rsidP="00A1194E">
            <w:pPr>
              <w:spacing w:before="100" w:beforeAutospacing="1" w:after="100" w:afterAutospacing="1" w:line="240" w:lineRule="auto"/>
            </w:pPr>
            <w:r>
              <w:rPr>
                <w:sz w:val="19"/>
              </w:rPr>
              <w:t>Diagnostic approach for female genital schistosomiasis</w:t>
            </w:r>
          </w:p>
        </w:tc>
        <w:tc>
          <w:tcPr>
            <w:tcW w:w="1222" w:type="pct"/>
          </w:tcPr>
          <w:p w14:paraId="22A52472" w14:textId="77777777" w:rsidR="00257D2E" w:rsidRDefault="00495EF8" w:rsidP="00A1194E">
            <w:pPr>
              <w:spacing w:before="100" w:beforeAutospacing="1" w:after="100" w:afterAutospacing="1" w:line="240" w:lineRule="auto"/>
            </w:pPr>
            <w:r>
              <w:rPr>
                <w:sz w:val="19"/>
              </w:rPr>
              <w:t>No individual-level deployable assay exists; evidence is ecological</w:t>
            </w:r>
          </w:p>
        </w:tc>
        <w:tc>
          <w:tcPr>
            <w:tcW w:w="1334" w:type="pct"/>
          </w:tcPr>
          <w:p w14:paraId="3473E01D" w14:textId="77777777" w:rsidR="00257D2E" w:rsidRDefault="00495EF8" w:rsidP="00A1194E">
            <w:pPr>
              <w:spacing w:before="100" w:beforeAutospacing="1" w:after="100" w:afterAutospacing="1" w:line="240" w:lineRule="auto"/>
            </w:pPr>
            <w:r>
              <w:rPr>
                <w:sz w:val="19"/>
              </w:rPr>
              <w:t>Target identification and assay development followed by field evaluation with prospective reproductive outcomes</w:t>
            </w:r>
          </w:p>
        </w:tc>
        <w:tc>
          <w:tcPr>
            <w:tcW w:w="722" w:type="pct"/>
          </w:tcPr>
          <w:p w14:paraId="5C6982F0" w14:textId="77777777" w:rsidR="00257D2E" w:rsidRDefault="00495EF8" w:rsidP="00A1194E">
            <w:pPr>
              <w:spacing w:before="100" w:beforeAutospacing="1" w:after="100" w:afterAutospacing="1" w:line="240" w:lineRule="auto"/>
            </w:pPr>
            <w:r>
              <w:rPr>
                <w:sz w:val="19"/>
              </w:rPr>
              <w:t>Longer term</w:t>
            </w:r>
          </w:p>
        </w:tc>
        <w:tc>
          <w:tcPr>
            <w:tcW w:w="778" w:type="pct"/>
          </w:tcPr>
          <w:p w14:paraId="56D11930" w14:textId="77777777" w:rsidR="00257D2E" w:rsidRDefault="00495EF8" w:rsidP="00A1194E">
            <w:pPr>
              <w:spacing w:before="100" w:beforeAutospacing="1" w:after="100" w:afterAutospacing="1" w:line="240" w:lineRule="auto"/>
            </w:pPr>
            <w:r>
              <w:rPr>
                <w:sz w:val="19"/>
              </w:rPr>
              <w:t>Bowers et al. (2025); Woodall &amp; Kramer (2018)</w:t>
            </w:r>
          </w:p>
        </w:tc>
      </w:tr>
      <w:tr w:rsidR="00257D2E" w14:paraId="088FE89A" w14:textId="77777777" w:rsidTr="00A1194E">
        <w:trPr>
          <w:jc w:val="center"/>
        </w:trPr>
        <w:tc>
          <w:tcPr>
            <w:tcW w:w="945" w:type="pct"/>
          </w:tcPr>
          <w:p w14:paraId="1C4F8DB5" w14:textId="77777777" w:rsidR="00257D2E" w:rsidRDefault="00495EF8" w:rsidP="00A1194E">
            <w:pPr>
              <w:spacing w:before="100" w:beforeAutospacing="1" w:after="100" w:afterAutospacing="1" w:line="240" w:lineRule="auto"/>
            </w:pPr>
            <w:r>
              <w:rPr>
                <w:sz w:val="19"/>
              </w:rPr>
              <w:t>Financing and diagnostic practice</w:t>
            </w:r>
          </w:p>
        </w:tc>
        <w:tc>
          <w:tcPr>
            <w:tcW w:w="1222" w:type="pct"/>
          </w:tcPr>
          <w:p w14:paraId="32FC2110" w14:textId="77777777" w:rsidR="00257D2E" w:rsidRDefault="00495EF8" w:rsidP="00A1194E">
            <w:pPr>
              <w:spacing w:before="100" w:beforeAutospacing="1" w:after="100" w:afterAutospacing="1" w:line="240" w:lineRule="auto"/>
            </w:pPr>
            <w:r>
              <w:rPr>
                <w:sz w:val="19"/>
              </w:rPr>
              <w:t>Effect of fee-for-service payment on test selection and quality is untested</w:t>
            </w:r>
          </w:p>
        </w:tc>
        <w:tc>
          <w:tcPr>
            <w:tcW w:w="1334" w:type="pct"/>
          </w:tcPr>
          <w:p w14:paraId="0D8D2128" w14:textId="77777777" w:rsidR="00257D2E" w:rsidRDefault="00495EF8" w:rsidP="00A1194E">
            <w:pPr>
              <w:spacing w:before="100" w:beforeAutospacing="1" w:after="100" w:afterAutospacing="1" w:line="240" w:lineRule="auto"/>
            </w:pPr>
            <w:r>
              <w:rPr>
                <w:sz w:val="19"/>
              </w:rPr>
              <w:t>Mixed-methods health services research across private and public reproductive laboratories</w:t>
            </w:r>
          </w:p>
        </w:tc>
        <w:tc>
          <w:tcPr>
            <w:tcW w:w="722" w:type="pct"/>
          </w:tcPr>
          <w:p w14:paraId="7A3DB3CD" w14:textId="77777777" w:rsidR="00257D2E" w:rsidRDefault="00495EF8" w:rsidP="00A1194E">
            <w:pPr>
              <w:spacing w:before="100" w:beforeAutospacing="1" w:after="100" w:afterAutospacing="1" w:line="240" w:lineRule="auto"/>
            </w:pPr>
            <w:r>
              <w:rPr>
                <w:sz w:val="19"/>
              </w:rPr>
              <w:t>Immediate</w:t>
            </w:r>
          </w:p>
        </w:tc>
        <w:tc>
          <w:tcPr>
            <w:tcW w:w="778" w:type="pct"/>
          </w:tcPr>
          <w:p w14:paraId="2C27A920" w14:textId="77777777" w:rsidR="00257D2E" w:rsidRDefault="00495EF8" w:rsidP="00A1194E">
            <w:pPr>
              <w:spacing w:before="100" w:beforeAutospacing="1" w:after="100" w:afterAutospacing="1" w:line="240" w:lineRule="auto"/>
            </w:pPr>
            <w:proofErr w:type="spellStart"/>
            <w:r>
              <w:rPr>
                <w:sz w:val="19"/>
              </w:rPr>
              <w:t>Ezeome</w:t>
            </w:r>
            <w:proofErr w:type="spellEnd"/>
            <w:r>
              <w:rPr>
                <w:sz w:val="19"/>
              </w:rPr>
              <w:t xml:space="preserve"> et al. (2023); Whittaker et al. (2024)</w:t>
            </w:r>
          </w:p>
        </w:tc>
      </w:tr>
      <w:tr w:rsidR="00257D2E" w14:paraId="7D94780C" w14:textId="77777777" w:rsidTr="00A1194E">
        <w:trPr>
          <w:jc w:val="center"/>
        </w:trPr>
        <w:tc>
          <w:tcPr>
            <w:tcW w:w="945" w:type="pct"/>
          </w:tcPr>
          <w:p w14:paraId="13DB035C" w14:textId="77777777" w:rsidR="00257D2E" w:rsidRDefault="00495EF8" w:rsidP="00A1194E">
            <w:pPr>
              <w:spacing w:before="100" w:beforeAutospacing="1" w:after="100" w:afterAutospacing="1" w:line="240" w:lineRule="auto"/>
            </w:pPr>
            <w:r>
              <w:rPr>
                <w:sz w:val="19"/>
              </w:rPr>
              <w:t>Integration into accreditation frameworks</w:t>
            </w:r>
          </w:p>
        </w:tc>
        <w:tc>
          <w:tcPr>
            <w:tcW w:w="1222" w:type="pct"/>
          </w:tcPr>
          <w:p w14:paraId="541CA8BA" w14:textId="77777777" w:rsidR="00257D2E" w:rsidRDefault="00495EF8" w:rsidP="00A1194E">
            <w:pPr>
              <w:spacing w:before="100" w:beforeAutospacing="1" w:after="100" w:afterAutospacing="1" w:line="240" w:lineRule="auto"/>
            </w:pPr>
            <w:r>
              <w:rPr>
                <w:sz w:val="19"/>
              </w:rPr>
              <w:t>Whether stepwise quality models extend to andrology without vertical funding is unknown</w:t>
            </w:r>
          </w:p>
        </w:tc>
        <w:tc>
          <w:tcPr>
            <w:tcW w:w="1334" w:type="pct"/>
          </w:tcPr>
          <w:p w14:paraId="6A81CC46" w14:textId="77777777" w:rsidR="00257D2E" w:rsidRDefault="00495EF8" w:rsidP="00A1194E">
            <w:pPr>
              <w:spacing w:before="100" w:beforeAutospacing="1" w:after="100" w:afterAutospacing="1" w:line="240" w:lineRule="auto"/>
            </w:pPr>
            <w:r>
              <w:rPr>
                <w:sz w:val="19"/>
              </w:rPr>
              <w:t>Implementation research with stepwise assessment applied to andrology laboratories</w:t>
            </w:r>
          </w:p>
        </w:tc>
        <w:tc>
          <w:tcPr>
            <w:tcW w:w="722" w:type="pct"/>
          </w:tcPr>
          <w:p w14:paraId="10867811" w14:textId="77777777" w:rsidR="00257D2E" w:rsidRDefault="00495EF8" w:rsidP="00A1194E">
            <w:pPr>
              <w:spacing w:before="100" w:beforeAutospacing="1" w:after="100" w:afterAutospacing="1" w:line="240" w:lineRule="auto"/>
            </w:pPr>
            <w:r>
              <w:rPr>
                <w:sz w:val="19"/>
              </w:rPr>
              <w:t>Longer term</w:t>
            </w:r>
          </w:p>
        </w:tc>
        <w:tc>
          <w:tcPr>
            <w:tcW w:w="778" w:type="pct"/>
          </w:tcPr>
          <w:p w14:paraId="11B8E777" w14:textId="77777777" w:rsidR="00257D2E" w:rsidRDefault="00495EF8" w:rsidP="00A1194E">
            <w:pPr>
              <w:spacing w:before="100" w:beforeAutospacing="1" w:after="100" w:afterAutospacing="1" w:line="240" w:lineRule="auto"/>
            </w:pPr>
            <w:r>
              <w:rPr>
                <w:sz w:val="19"/>
              </w:rPr>
              <w:t xml:space="preserve">Odhiambo et al. (2023); </w:t>
            </w:r>
            <w:proofErr w:type="spellStart"/>
            <w:r>
              <w:rPr>
                <w:sz w:val="19"/>
              </w:rPr>
              <w:t>Torokaa</w:t>
            </w:r>
            <w:proofErr w:type="spellEnd"/>
            <w:r>
              <w:rPr>
                <w:sz w:val="19"/>
              </w:rPr>
              <w:t xml:space="preserve"> et al. (2026)</w:t>
            </w:r>
          </w:p>
        </w:tc>
      </w:tr>
    </w:tbl>
    <w:p w14:paraId="43CE70ED" w14:textId="77777777" w:rsidR="00257D2E" w:rsidRDefault="00495EF8" w:rsidP="00A1194E">
      <w:pPr>
        <w:spacing w:before="100" w:beforeAutospacing="1" w:after="100" w:afterAutospacing="1" w:line="240" w:lineRule="auto"/>
      </w:pPr>
      <w:r>
        <w:rPr>
          <w:sz w:val="19"/>
        </w:rPr>
        <w:t>Note. Immediate priorities are those implementable with existing technology and infrastructure. Horizon refers to feasibility of commencement rather than to expected duration.</w:t>
      </w:r>
    </w:p>
    <w:p w14:paraId="61CF04A5" w14:textId="77777777" w:rsidR="00257D2E" w:rsidRDefault="00495EF8" w:rsidP="00A1194E">
      <w:pPr>
        <w:pStyle w:val="Heading1"/>
        <w:spacing w:before="100" w:beforeAutospacing="1" w:after="100" w:afterAutospacing="1" w:line="240" w:lineRule="auto"/>
      </w:pPr>
      <w:r>
        <w:rPr>
          <w:rFonts w:ascii="Times New Roman" w:hAnsi="Times New Roman"/>
          <w:b w:val="0"/>
        </w:rPr>
        <w:lastRenderedPageBreak/>
        <w:t>10. Conclusions</w:t>
      </w:r>
    </w:p>
    <w:p w14:paraId="5DF211E5" w14:textId="77777777" w:rsidR="00257D2E" w:rsidRDefault="00495EF8" w:rsidP="00A1194E">
      <w:pPr>
        <w:spacing w:before="100" w:beforeAutospacing="1" w:after="100" w:afterAutospacing="1" w:line="240" w:lineRule="auto"/>
        <w:ind w:firstLine="567"/>
        <w:jc w:val="both"/>
      </w:pPr>
      <w:r>
        <w:t>This review set out to evaluate the contribution of medical laboratory science to the diagnosis of infertility in low- and middle-income countries, with particular attention to Nigeria, and to assess whether the evidence underpinning regional diagnostic practice supports the claims made from it. The evidence sustains several conclusions with reasonable confidence, and requires that others be stated as provisional.</w:t>
      </w:r>
    </w:p>
    <w:p w14:paraId="2AA563DF" w14:textId="77777777" w:rsidR="00257D2E" w:rsidRDefault="00495EF8" w:rsidP="00A1194E">
      <w:pPr>
        <w:spacing w:before="100" w:beforeAutospacing="1" w:after="100" w:afterAutospacing="1" w:line="240" w:lineRule="auto"/>
        <w:ind w:firstLine="567"/>
        <w:jc w:val="both"/>
      </w:pPr>
      <w:r>
        <w:t xml:space="preserve">Infertility affects a substantial proportion of couples in sub-Saharan Africa, and the burden is comparable to that in higher-income settings while diagnostic capacity is not. This conclusion is well supported by independent syntheses using different methods. The precise magnitude of the burden is not established, because prevalence estimates in this field are highly sensitive to case definition, sampling frame and analytical assumption, and the reported ranges are wide enough that they cannot serve as a basis for service planning. </w:t>
      </w:r>
      <w:proofErr w:type="spellStart"/>
      <w:r>
        <w:t>Aetiological</w:t>
      </w:r>
      <w:proofErr w:type="spellEnd"/>
      <w:r>
        <w:t xml:space="preserve"> profiles derived from clinic-based studies are conditioned on the investigations those clinics perform, and the apparent predominance of tubal factor causes in the Nigerian literature partly reflects the referral pathways through which study populations were assembled rather than the underlying distribution of causes.</w:t>
      </w:r>
    </w:p>
    <w:p w14:paraId="25F52826" w14:textId="77777777" w:rsidR="00257D2E" w:rsidRDefault="00495EF8" w:rsidP="00A1194E">
      <w:pPr>
        <w:spacing w:before="100" w:beforeAutospacing="1" w:after="100" w:afterAutospacing="1" w:line="240" w:lineRule="auto"/>
        <w:ind w:firstLine="567"/>
        <w:jc w:val="both"/>
      </w:pPr>
      <w:r>
        <w:t xml:space="preserve">Basic semen examination is the single most consequential laboratory investigation available for infertility diagnosis in resource-constrained settings, and its methodological foundations are now well specified through the sixth edition of the reference manual and an accompanying formal standard. The reliability of the investigation as </w:t>
      </w:r>
      <w:proofErr w:type="spellStart"/>
      <w:r>
        <w:t>practised</w:t>
      </w:r>
      <w:proofErr w:type="spellEnd"/>
      <w:r>
        <w:t xml:space="preserve"> is a different matter. External quality assessment data from high-income countries establish that sperm concentration can be measured reproducibly under specified conditions, that motility is reproducible only at the level of aggregate categories, and that morphology assessment as generally </w:t>
      </w:r>
      <w:proofErr w:type="spellStart"/>
      <w:r>
        <w:t>practised</w:t>
      </w:r>
      <w:proofErr w:type="spellEnd"/>
      <w:r>
        <w:t xml:space="preserve"> is not reproducible across laboratories. No comparable data exist for Nigeria or the wider region, and no external quality assessment scheme for semen examination covering regional laboratories was identified. Published semen data from the region should therefore be interpreted as reflecting an unquantified combination of biological variation and measurement error, and this conclusion is stated with confidence because it follows from documented absence rather than from inference.</w:t>
      </w:r>
    </w:p>
    <w:p w14:paraId="4911EDE1" w14:textId="77777777" w:rsidR="00257D2E" w:rsidRDefault="00495EF8" w:rsidP="00A1194E">
      <w:pPr>
        <w:spacing w:before="100" w:beforeAutospacing="1" w:after="100" w:afterAutospacing="1" w:line="240" w:lineRule="auto"/>
        <w:ind w:firstLine="567"/>
        <w:jc w:val="both"/>
      </w:pPr>
      <w:r>
        <w:t>The attribution of tubal infertility to chlamydial infection, which dominates the Nigerian literature, rests on serological methods that indicate remote exposure rather than current infection and whose specificity in local populations has not been independently established. The associations reported are strong, but the strongest estimates derive from the smallest studies using pregnant comparison groups, a configuration in which bias is most likely to inflate effect size. The conclusion that chlamydial infection contributes materially to tubal infertility in Nigeria is plausible and consistent with regional evidence on infection prevalence; the conclusion that the reported effect magnitudes are accurate is not supported.</w:t>
      </w:r>
    </w:p>
    <w:p w14:paraId="4FDFB3CB" w14:textId="77777777" w:rsidR="00257D2E" w:rsidRDefault="00495EF8" w:rsidP="00A1194E">
      <w:pPr>
        <w:spacing w:before="100" w:beforeAutospacing="1" w:after="100" w:afterAutospacing="1" w:line="240" w:lineRule="auto"/>
        <w:ind w:firstLine="567"/>
        <w:jc w:val="both"/>
      </w:pPr>
      <w:r>
        <w:t xml:space="preserve">Laboratory quality infrastructure in the region has expanded substantially, but it has done so along the lines of vertical disease </w:t>
      </w:r>
      <w:proofErr w:type="spellStart"/>
      <w:r>
        <w:t>programme</w:t>
      </w:r>
      <w:proofErr w:type="spellEnd"/>
      <w:r>
        <w:t xml:space="preserve"> funding and remains geographically concentrated in a small number of countries. Reproductive diagnostics have been excluded from this expansion because infertility attracts no </w:t>
      </w:r>
      <w:proofErr w:type="spellStart"/>
      <w:r>
        <w:t>programme</w:t>
      </w:r>
      <w:proofErr w:type="spellEnd"/>
      <w:r>
        <w:t xml:space="preserve"> funding and generates no surveillance </w:t>
      </w:r>
      <w:r>
        <w:lastRenderedPageBreak/>
        <w:t>requirement. This exclusion, rather than any technical obstacle, is the principal determinant of the current position, and it is remediable through policy rather than through innovation.</w:t>
      </w:r>
    </w:p>
    <w:p w14:paraId="54015188" w14:textId="77777777" w:rsidR="00257D2E" w:rsidRDefault="00495EF8" w:rsidP="00A1194E">
      <w:pPr>
        <w:spacing w:before="100" w:beforeAutospacing="1" w:after="100" w:afterAutospacing="1" w:line="240" w:lineRule="auto"/>
        <w:ind w:firstLine="567"/>
        <w:jc w:val="both"/>
      </w:pPr>
      <w:r>
        <w:t>The broader significance of this synthesis lies in an inversion it identifies. The laboratory investigations with the strongest evidential support and the greatest capacity to alter clinical management in these settings are also the least technically demanding, while those requiring the greatest infrastructure produce results whose consequences depend on therapeutic options that are largely inaccessible. Diagnostic strategy in this field has been shaped by the availability of technology rather than by the analysis of what information would change outcomes. Reversing that order, by establishing the analytical reliability of basic investigations before extending test menus, offers a more defensible route to improvement than the acquisition of advanced platforms. The evidence assembled here does not permit a claim that such reversal would produce quantifiable gains in fertility outcomes, and no such claim is made.</w:t>
      </w:r>
    </w:p>
    <w:p w14:paraId="51A19FA1" w14:textId="77777777" w:rsidR="00257D2E" w:rsidRDefault="00495EF8" w:rsidP="00A1194E">
      <w:pPr>
        <w:pStyle w:val="Heading1"/>
        <w:spacing w:before="100" w:beforeAutospacing="1" w:after="100" w:afterAutospacing="1" w:line="240" w:lineRule="auto"/>
      </w:pPr>
      <w:r>
        <w:rPr>
          <w:rFonts w:ascii="Times New Roman" w:hAnsi="Times New Roman"/>
          <w:b w:val="0"/>
        </w:rPr>
        <w:t>11. Limitations</w:t>
      </w:r>
    </w:p>
    <w:p w14:paraId="4075B96E" w14:textId="77777777" w:rsidR="00257D2E" w:rsidRDefault="00495EF8" w:rsidP="00A1194E">
      <w:pPr>
        <w:spacing w:before="100" w:beforeAutospacing="1" w:after="100" w:afterAutospacing="1" w:line="240" w:lineRule="auto"/>
        <w:ind w:firstLine="567"/>
        <w:jc w:val="both"/>
      </w:pPr>
      <w:r>
        <w:t>This review is a narrative synthesis and carries the limitations intrinsic to that design. Study selection was purposive rather than exhaustive, and both the identification of themes and the weighting of evidence within them reflect the judgement of the author. Selection and interpretive bias cannot be excluded despite the transparent description of sources, eligibility criteria and appraisal approach. A different author applying the same criteria to the same literature might reasonably construct a different synthesis, and no formal procedure was available to detect where such divergence would arise.</w:t>
      </w:r>
    </w:p>
    <w:p w14:paraId="7F5797E9" w14:textId="77777777" w:rsidR="00257D2E" w:rsidRDefault="00495EF8" w:rsidP="00A1194E">
      <w:pPr>
        <w:spacing w:before="100" w:beforeAutospacing="1" w:after="100" w:afterAutospacing="1" w:line="240" w:lineRule="auto"/>
        <w:ind w:firstLine="567"/>
        <w:jc w:val="both"/>
      </w:pPr>
      <w:r>
        <w:t>Access to bibliographic resources was incomplete. Only two indexes were searched directly, and subscription-only databases were not accessible during preparation. Regional and national literature indexed exclusively in resources that were not searched, including material published in Nigerian journals with limited international indexing, is likely to be underrepresented. The consequence is that the review may overstate the sparseness of the regional evidence base in some areas, particularly concerning routine laboratory practice, which is more often reported in local than in internationally indexed publications.</w:t>
      </w:r>
    </w:p>
    <w:p w14:paraId="5E6BB583" w14:textId="77777777" w:rsidR="00257D2E" w:rsidRDefault="00495EF8" w:rsidP="00A1194E">
      <w:pPr>
        <w:spacing w:before="100" w:beforeAutospacing="1" w:after="100" w:afterAutospacing="1" w:line="240" w:lineRule="auto"/>
        <w:ind w:firstLine="567"/>
        <w:jc w:val="both"/>
      </w:pPr>
      <w:r>
        <w:t>Language restriction to English excluded francophone and lusophone African literature, which is material given that a considerable part of West and Central Africa publishes in French. Evidence concerning laboratory practice in those settings may differ from the pattern described.</w:t>
      </w:r>
    </w:p>
    <w:p w14:paraId="651F43C5" w14:textId="77777777" w:rsidR="00257D2E" w:rsidRDefault="00495EF8" w:rsidP="00A1194E">
      <w:pPr>
        <w:spacing w:before="100" w:beforeAutospacing="1" w:after="100" w:afterAutospacing="1" w:line="240" w:lineRule="auto"/>
        <w:ind w:firstLine="567"/>
        <w:jc w:val="both"/>
      </w:pPr>
      <w:r>
        <w:t>Heterogeneity across the included evidence prevented quantitative synthesis. The retrieved studies employed incommensurable designs and outcome measures, including analytical coefficients of variation, seroprevalence odds ratios, accreditation counts, cost estimates and qualitative accounts, and no meaningful pooling was possible. Comparisons drawn between studies are therefore narrative and should not be read as implying statistical equivalence.</w:t>
      </w:r>
    </w:p>
    <w:p w14:paraId="7B77CCF5" w14:textId="77777777" w:rsidR="00257D2E" w:rsidRDefault="00495EF8" w:rsidP="00A1194E">
      <w:pPr>
        <w:spacing w:before="100" w:beforeAutospacing="1" w:after="100" w:afterAutospacing="1" w:line="240" w:lineRule="auto"/>
        <w:ind w:firstLine="567"/>
        <w:jc w:val="both"/>
      </w:pPr>
      <w:r>
        <w:t xml:space="preserve">Geographical representation within the retrieved evidence is uneven. Nigerian primary studies were concentrated in the south of the country, with limited representation from northern states, and regional evidence on laboratory quality was drawn disproportionately from a small </w:t>
      </w:r>
      <w:r>
        <w:lastRenderedPageBreak/>
        <w:t xml:space="preserve">number of countries. </w:t>
      </w:r>
      <w:proofErr w:type="spellStart"/>
      <w:r>
        <w:t>Generalisation</w:t>
      </w:r>
      <w:proofErr w:type="spellEnd"/>
      <w:r>
        <w:t xml:space="preserve"> across Nigeria, and from other African countries to Nigeria, is correspondingly uncertain.</w:t>
      </w:r>
    </w:p>
    <w:p w14:paraId="3DFEBE87" w14:textId="77777777" w:rsidR="00257D2E" w:rsidRDefault="00495EF8" w:rsidP="00A1194E">
      <w:pPr>
        <w:spacing w:before="100" w:beforeAutospacing="1" w:after="100" w:afterAutospacing="1" w:line="240" w:lineRule="auto"/>
        <w:ind w:firstLine="567"/>
        <w:jc w:val="both"/>
      </w:pPr>
      <w:r>
        <w:t xml:space="preserve">Much of the </w:t>
      </w:r>
      <w:proofErr w:type="spellStart"/>
      <w:r>
        <w:t>aetiological</w:t>
      </w:r>
      <w:proofErr w:type="spellEnd"/>
      <w:r>
        <w:t xml:space="preserve"> evidence is observational and cross-sectional, and the direction of association between infection, dysbiosis and tubal damage cannot be established from such designs. Publication bias is likely to operate in this literature, since studies reporting strong associations between infection and infertility are more likely to be published than those reporting none, and the meta-analyses relied upon in this review assessed but could not eliminate this possibility.</w:t>
      </w:r>
    </w:p>
    <w:p w14:paraId="70E00DB1" w14:textId="77777777" w:rsidR="00257D2E" w:rsidRDefault="00495EF8" w:rsidP="00A1194E">
      <w:pPr>
        <w:spacing w:before="100" w:beforeAutospacing="1" w:after="100" w:afterAutospacing="1" w:line="240" w:lineRule="auto"/>
        <w:ind w:firstLine="567"/>
        <w:jc w:val="both"/>
      </w:pPr>
      <w:r>
        <w:t>Evidence on long-term outcomes is scarce throughout. No retrieved study followed diagnostic cohorts to reproductive outcome over extended periods in the settings under review, so the clinical consequences of diagnostic strategy remain inferred rather than demonstrated. The field is also developing rapidly in respect of molecular platforms and automated assessment, and conclusions concerning those technologies may date more quickly than those concerning basic laboratory practice.</w:t>
      </w:r>
    </w:p>
    <w:p w14:paraId="5E7A3889" w14:textId="2C84C758" w:rsidR="00257D2E" w:rsidRDefault="00495EF8" w:rsidP="00A1194E">
      <w:pPr>
        <w:spacing w:before="100" w:beforeAutospacing="1" w:after="100" w:afterAutospacing="1" w:line="240" w:lineRule="auto"/>
        <w:ind w:firstLine="567"/>
        <w:jc w:val="both"/>
      </w:pPr>
      <w:r>
        <w:t>Finally, no formal risk-of-bias instrument was applied. The reporting available in most retrieved studies was insufficient for reliable scoring, and appraisal was conducted narratively against design-appropriate criteria. This approach is less reproducible than formal scoring and constitutes a limitation on the transparency of the evidence weighting presented.</w:t>
      </w:r>
    </w:p>
    <w:p w14:paraId="7CE03A34" w14:textId="4125E8C8" w:rsidR="00495EF8" w:rsidRDefault="00495EF8" w:rsidP="00A1194E">
      <w:pPr>
        <w:spacing w:before="100" w:beforeAutospacing="1" w:after="100" w:afterAutospacing="1" w:line="240" w:lineRule="auto"/>
        <w:ind w:firstLine="567"/>
        <w:jc w:val="both"/>
      </w:pPr>
    </w:p>
    <w:p w14:paraId="7DE7D8AE" w14:textId="77777777" w:rsidR="00495EF8" w:rsidRDefault="00495EF8" w:rsidP="00495EF8">
      <w:pPr>
        <w:shd w:val="clear" w:color="auto" w:fill="FFFFFF"/>
        <w:spacing w:line="240" w:lineRule="auto"/>
        <w:rPr>
          <w:rFonts w:ascii="Arial" w:hAnsi="Arial" w:cs="Arial"/>
          <w:color w:val="222222"/>
          <w:szCs w:val="24"/>
          <w:lang w:val="en-IN" w:eastAsia="en-IN"/>
        </w:rPr>
      </w:pPr>
    </w:p>
    <w:p w14:paraId="427085A5" w14:textId="77777777" w:rsidR="00495EF8" w:rsidRDefault="00495EF8" w:rsidP="00495EF8">
      <w:pPr>
        <w:shd w:val="clear" w:color="auto" w:fill="FFFFFF"/>
        <w:spacing w:line="240" w:lineRule="auto"/>
        <w:rPr>
          <w:rFonts w:ascii="Arial" w:hAnsi="Arial" w:cs="Arial"/>
          <w:color w:val="222222"/>
          <w:szCs w:val="24"/>
          <w:lang w:val="en-IN" w:eastAsia="en-IN"/>
        </w:rPr>
      </w:pPr>
      <w:bookmarkStart w:id="0" w:name="_Hlk232854992"/>
    </w:p>
    <w:p w14:paraId="71C3DD49" w14:textId="77777777" w:rsidR="00495EF8" w:rsidRPr="000839CE" w:rsidRDefault="00495EF8" w:rsidP="00495EF8">
      <w:pPr>
        <w:spacing w:line="240" w:lineRule="auto"/>
        <w:rPr>
          <w:rFonts w:cs="Times New Roman"/>
          <w:b/>
        </w:rPr>
      </w:pPr>
      <w:bookmarkStart w:id="1" w:name="_Hlk234486585"/>
      <w:bookmarkStart w:id="2" w:name="_Hlk234075571"/>
      <w:bookmarkStart w:id="3" w:name="_Hlk232755622"/>
      <w:r w:rsidRPr="000839CE">
        <w:rPr>
          <w:rFonts w:cs="Times New Roman"/>
          <w:b/>
        </w:rPr>
        <w:t>Declaration of AI Use</w:t>
      </w:r>
    </w:p>
    <w:p w14:paraId="020D2B44" w14:textId="77777777" w:rsidR="00495EF8" w:rsidRPr="000839CE" w:rsidRDefault="00495EF8" w:rsidP="00495EF8">
      <w:pPr>
        <w:spacing w:line="240" w:lineRule="auto"/>
        <w:rPr>
          <w:rFonts w:cs="Times New Roman"/>
        </w:rPr>
      </w:pPr>
      <w:bookmarkStart w:id="4" w:name="_Hlk234486575"/>
      <w:bookmarkEnd w:id="1"/>
    </w:p>
    <w:p w14:paraId="4E4178FD" w14:textId="77777777" w:rsidR="00495EF8" w:rsidRPr="000839CE" w:rsidRDefault="00495EF8" w:rsidP="00495EF8">
      <w:pPr>
        <w:spacing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cs="Times New Roman"/>
        </w:rPr>
        <w:t>.</w:t>
      </w:r>
    </w:p>
    <w:bookmarkEnd w:id="0"/>
    <w:bookmarkEnd w:id="3"/>
    <w:bookmarkEnd w:id="4"/>
    <w:p w14:paraId="66601F4A" w14:textId="77777777" w:rsidR="00495EF8" w:rsidRDefault="00495EF8" w:rsidP="00A1194E">
      <w:pPr>
        <w:spacing w:before="100" w:beforeAutospacing="1" w:after="100" w:afterAutospacing="1" w:line="240" w:lineRule="auto"/>
        <w:ind w:firstLine="567"/>
        <w:jc w:val="both"/>
      </w:pPr>
    </w:p>
    <w:p w14:paraId="11D7B5B7" w14:textId="77777777" w:rsidR="00257D2E" w:rsidRDefault="00495EF8" w:rsidP="00A1194E">
      <w:pPr>
        <w:pStyle w:val="Heading1"/>
        <w:spacing w:before="100" w:beforeAutospacing="1" w:after="100" w:afterAutospacing="1" w:line="240" w:lineRule="auto"/>
      </w:pPr>
      <w:r>
        <w:rPr>
          <w:rFonts w:ascii="Times New Roman" w:hAnsi="Times New Roman"/>
          <w:b w:val="0"/>
        </w:rPr>
        <w:t>References</w:t>
      </w:r>
    </w:p>
    <w:p w14:paraId="1B62EE12" w14:textId="77777777" w:rsidR="00257D2E" w:rsidRDefault="00495EF8" w:rsidP="00A1194E">
      <w:pPr>
        <w:spacing w:before="100" w:beforeAutospacing="1" w:after="100" w:afterAutospacing="1" w:line="240" w:lineRule="auto"/>
        <w:ind w:left="720" w:hanging="720"/>
      </w:pPr>
      <w:r>
        <w:t xml:space="preserve">Adegbola, O., &amp; Akindele, M. O. (2013). The pattern and challenges of infertility management in Lagos, Nigeria. </w:t>
      </w:r>
      <w:r>
        <w:rPr>
          <w:i/>
        </w:rPr>
        <w:t>African Health Sciences, 13</w:t>
      </w:r>
      <w:r>
        <w:t>(4), 1126–1129. https://doi.org/10.4314/ahs.v13i4.37</w:t>
      </w:r>
    </w:p>
    <w:p w14:paraId="3D53F20B" w14:textId="77777777" w:rsidR="00257D2E" w:rsidRDefault="00495EF8" w:rsidP="00A1194E">
      <w:pPr>
        <w:spacing w:before="100" w:beforeAutospacing="1" w:after="100" w:afterAutospacing="1" w:line="240" w:lineRule="auto"/>
        <w:ind w:left="720" w:hanging="720"/>
      </w:pPr>
      <w:r>
        <w:lastRenderedPageBreak/>
        <w:t xml:space="preserve">Adekoya, A. O., Akiseku, A. K., </w:t>
      </w:r>
      <w:proofErr w:type="spellStart"/>
      <w:r>
        <w:t>Osisanwo</w:t>
      </w:r>
      <w:proofErr w:type="spellEnd"/>
      <w:r>
        <w:t xml:space="preserve">, D. A., </w:t>
      </w:r>
      <w:proofErr w:type="spellStart"/>
      <w:r>
        <w:t>Egwuogu</w:t>
      </w:r>
      <w:proofErr w:type="spellEnd"/>
      <w:r>
        <w:t xml:space="preserve">, A. C., Egbetayo, D. O., &amp; Olatunji, A. A. (2024). Hysterosalpingography and endocervical microbial assessment of infertile women in Ogun State, Nigeria. </w:t>
      </w:r>
      <w:r>
        <w:rPr>
          <w:i/>
        </w:rPr>
        <w:t>Ethiopian Journal of Health Sciences, 34</w:t>
      </w:r>
      <w:r>
        <w:t>(4), 271–280. https://doi.org/10.4314/ejhs.v34i4.3</w:t>
      </w:r>
    </w:p>
    <w:p w14:paraId="5879711A" w14:textId="77777777" w:rsidR="00257D2E" w:rsidRDefault="00495EF8" w:rsidP="00A1194E">
      <w:pPr>
        <w:spacing w:before="100" w:beforeAutospacing="1" w:after="100" w:afterAutospacing="1" w:line="240" w:lineRule="auto"/>
        <w:ind w:left="720" w:hanging="720"/>
      </w:pPr>
      <w:proofErr w:type="spellStart"/>
      <w:r>
        <w:t>Afferri</w:t>
      </w:r>
      <w:proofErr w:type="spellEnd"/>
      <w:r>
        <w:t xml:space="preserve">, A., Allen, H., Booth, A., Dierickx, S., Pacey, A., &amp; Balen, J. (2022). Barriers and facilitators for the inclusion of fertility care in reproductive health policies in Africa: A qualitative evidence synthesis. </w:t>
      </w:r>
      <w:r>
        <w:rPr>
          <w:i/>
        </w:rPr>
        <w:t>Human Reproduction Update, 28</w:t>
      </w:r>
      <w:r>
        <w:t>(2), 190–199. https://doi.org/10.1093/humupd/dmab040</w:t>
      </w:r>
    </w:p>
    <w:p w14:paraId="45F4DBDF" w14:textId="77777777" w:rsidR="00257D2E" w:rsidRDefault="00495EF8" w:rsidP="00A1194E">
      <w:pPr>
        <w:spacing w:before="100" w:beforeAutospacing="1" w:after="100" w:afterAutospacing="1" w:line="240" w:lineRule="auto"/>
        <w:ind w:left="720" w:hanging="720"/>
      </w:pPr>
      <w:r>
        <w:t xml:space="preserve">Agarwal, A., Majzoub, A., Baskaran, S., Panner Selvam, M. K., Cho, C. L., Henkel, R., Finelli, R., </w:t>
      </w:r>
      <w:proofErr w:type="spellStart"/>
      <w:r>
        <w:t>Leisegang</w:t>
      </w:r>
      <w:proofErr w:type="spellEnd"/>
      <w:r>
        <w:t xml:space="preserve">, K., Sengupta, P., </w:t>
      </w:r>
      <w:proofErr w:type="spellStart"/>
      <w:r>
        <w:t>Barbarosie</w:t>
      </w:r>
      <w:proofErr w:type="spellEnd"/>
      <w:r>
        <w:t xml:space="preserve">, C., Parekh, N., Alves, M. G., Ko, E., Arafa, M., Tadros, N., Ramasamy, R., Kavoussi, P., Ambar, R., </w:t>
      </w:r>
      <w:proofErr w:type="spellStart"/>
      <w:r>
        <w:t>Kuchakulla</w:t>
      </w:r>
      <w:proofErr w:type="spellEnd"/>
      <w:r>
        <w:t xml:space="preserve">, M., ... Shah, R. (2020). Sperm DNA fragmentation: A new guideline for clinicians. </w:t>
      </w:r>
      <w:r>
        <w:rPr>
          <w:i/>
        </w:rPr>
        <w:t>The World Journal of Men's Health, 38</w:t>
      </w:r>
      <w:r>
        <w:t>(4), 412–471. https://doi.org/10.5534/wjmh.200128</w:t>
      </w:r>
    </w:p>
    <w:p w14:paraId="5DA3C34A" w14:textId="77777777" w:rsidR="00257D2E" w:rsidRDefault="00495EF8" w:rsidP="00A1194E">
      <w:pPr>
        <w:spacing w:before="100" w:beforeAutospacing="1" w:after="100" w:afterAutospacing="1" w:line="240" w:lineRule="auto"/>
        <w:ind w:left="720" w:hanging="720"/>
      </w:pPr>
      <w:r>
        <w:t xml:space="preserve">Agarwal, A., </w:t>
      </w:r>
      <w:proofErr w:type="spellStart"/>
      <w:r>
        <w:t>Mulgund</w:t>
      </w:r>
      <w:proofErr w:type="spellEnd"/>
      <w:r>
        <w:t xml:space="preserve">, A., Hamada, A., &amp; </w:t>
      </w:r>
      <w:proofErr w:type="spellStart"/>
      <w:r>
        <w:t>Chyatte</w:t>
      </w:r>
      <w:proofErr w:type="spellEnd"/>
      <w:r>
        <w:t xml:space="preserve">, M. R. (2015). A unique view on male infertility around the globe. </w:t>
      </w:r>
      <w:r>
        <w:rPr>
          <w:i/>
        </w:rPr>
        <w:t>Reproductive Biology and Endocrinology, 13</w:t>
      </w:r>
      <w:r>
        <w:t>, Article 37. https://doi.org/10.1186/s12958-015-0032-1</w:t>
      </w:r>
    </w:p>
    <w:p w14:paraId="6E87E072" w14:textId="77777777" w:rsidR="00257D2E" w:rsidRDefault="00495EF8" w:rsidP="00A1194E">
      <w:pPr>
        <w:spacing w:before="100" w:beforeAutospacing="1" w:after="100" w:afterAutospacing="1" w:line="240" w:lineRule="auto"/>
        <w:ind w:left="720" w:hanging="720"/>
      </w:pPr>
      <w:r>
        <w:t xml:space="preserve">Akhigbe, R. E., Hamed, M. A., Dutta, S., &amp; Sengupta, P. (2022). Influence of ejaculatory abstinence period on semen quality of 5165 </w:t>
      </w:r>
      <w:proofErr w:type="spellStart"/>
      <w:r>
        <w:t>normozoospermic</w:t>
      </w:r>
      <w:proofErr w:type="spellEnd"/>
      <w:r>
        <w:t xml:space="preserve"> and </w:t>
      </w:r>
      <w:proofErr w:type="spellStart"/>
      <w:r>
        <w:t>oligozoospermic</w:t>
      </w:r>
      <w:proofErr w:type="spellEnd"/>
      <w:r>
        <w:t xml:space="preserve"> Nigerian men: A retrospective study. </w:t>
      </w:r>
      <w:r>
        <w:rPr>
          <w:i/>
        </w:rPr>
        <w:t>Health Science Reports, 5</w:t>
      </w:r>
      <w:r>
        <w:t>(5), Article e722. https://doi.org/10.1002/hsr2.722</w:t>
      </w:r>
    </w:p>
    <w:p w14:paraId="6DBA6B33" w14:textId="77777777" w:rsidR="00257D2E" w:rsidRDefault="00495EF8" w:rsidP="00A1194E">
      <w:pPr>
        <w:spacing w:before="100" w:beforeAutospacing="1" w:after="100" w:afterAutospacing="1" w:line="240" w:lineRule="auto"/>
        <w:ind w:left="720" w:hanging="720"/>
      </w:pPr>
      <w:r>
        <w:t xml:space="preserve">Albert, H., de Dieu </w:t>
      </w:r>
      <w:proofErr w:type="spellStart"/>
      <w:r>
        <w:t>Iragena</w:t>
      </w:r>
      <w:proofErr w:type="spellEnd"/>
      <w:r>
        <w:t xml:space="preserve">, J., Kao, K., Erni, D., Mekonen, T., &amp; </w:t>
      </w:r>
      <w:proofErr w:type="spellStart"/>
      <w:r>
        <w:t>Onyebujoh</w:t>
      </w:r>
      <w:proofErr w:type="spellEnd"/>
      <w:r>
        <w:t xml:space="preserve">, P. C. (2017). Implementation of quality management systems and progress towards accreditation of National Tuberculosis Reference Laboratories in Africa. </w:t>
      </w:r>
      <w:r>
        <w:rPr>
          <w:i/>
        </w:rPr>
        <w:t>African Journal of Laboratory Medicine, 6</w:t>
      </w:r>
      <w:r>
        <w:t>(2), Article 490. https://doi.org/10.4102/ajlm.v6i2.490</w:t>
      </w:r>
    </w:p>
    <w:p w14:paraId="23AF720C" w14:textId="77777777" w:rsidR="00257D2E" w:rsidRDefault="00495EF8" w:rsidP="00A1194E">
      <w:pPr>
        <w:spacing w:before="100" w:beforeAutospacing="1" w:after="100" w:afterAutospacing="1" w:line="240" w:lineRule="auto"/>
        <w:ind w:left="720" w:hanging="720"/>
      </w:pPr>
      <w:proofErr w:type="spellStart"/>
      <w:r>
        <w:t>Alemnji</w:t>
      </w:r>
      <w:proofErr w:type="spellEnd"/>
      <w:r>
        <w:t xml:space="preserve">, G. A., Zeh, C., Yao, K., &amp; </w:t>
      </w:r>
      <w:proofErr w:type="spellStart"/>
      <w:r>
        <w:t>Fonjungo</w:t>
      </w:r>
      <w:proofErr w:type="spellEnd"/>
      <w:r>
        <w:t xml:space="preserve">, P. N. (2014). Strengthening national health laboratories in sub-Saharan Africa: A decade of remarkable progress. </w:t>
      </w:r>
      <w:r>
        <w:rPr>
          <w:i/>
        </w:rPr>
        <w:t>Tropical Medicine &amp; International Health, 19</w:t>
      </w:r>
      <w:r>
        <w:t>(4), 450–458. https://doi.org/10.1111/tmi.12269</w:t>
      </w:r>
    </w:p>
    <w:p w14:paraId="1CB70D34" w14:textId="77777777" w:rsidR="00257D2E" w:rsidRDefault="00495EF8" w:rsidP="00A1194E">
      <w:pPr>
        <w:spacing w:before="100" w:beforeAutospacing="1" w:after="100" w:afterAutospacing="1" w:line="240" w:lineRule="auto"/>
        <w:ind w:left="720" w:hanging="720"/>
      </w:pPr>
      <w:r>
        <w:t xml:space="preserve">Amarasekara, D. S., Wijerathna, S., Fernando, C., &amp; </w:t>
      </w:r>
      <w:proofErr w:type="spellStart"/>
      <w:r>
        <w:t>Udagama</w:t>
      </w:r>
      <w:proofErr w:type="spellEnd"/>
      <w:r>
        <w:t xml:space="preserve">, P. V. (2014). Cost-effective diagnosis of male oxidative stress using the </w:t>
      </w:r>
      <w:proofErr w:type="spellStart"/>
      <w:r>
        <w:t>nitroblue</w:t>
      </w:r>
      <w:proofErr w:type="spellEnd"/>
      <w:r>
        <w:t xml:space="preserve"> tetrazolium test: Useful application for the developing world. </w:t>
      </w:r>
      <w:proofErr w:type="spellStart"/>
      <w:r>
        <w:rPr>
          <w:i/>
        </w:rPr>
        <w:t>Andrologia</w:t>
      </w:r>
      <w:proofErr w:type="spellEnd"/>
      <w:r>
        <w:rPr>
          <w:i/>
        </w:rPr>
        <w:t>, 46</w:t>
      </w:r>
      <w:r>
        <w:t>(2), 73–79. https://doi.org/10.1111/and.12043</w:t>
      </w:r>
    </w:p>
    <w:p w14:paraId="35824B60" w14:textId="77777777" w:rsidR="00257D2E" w:rsidRDefault="00495EF8" w:rsidP="00A1194E">
      <w:pPr>
        <w:spacing w:before="100" w:beforeAutospacing="1" w:after="100" w:afterAutospacing="1" w:line="240" w:lineRule="auto"/>
        <w:ind w:left="720" w:hanging="720"/>
      </w:pPr>
      <w:proofErr w:type="spellStart"/>
      <w:r>
        <w:t>Aregbeshola</w:t>
      </w:r>
      <w:proofErr w:type="spellEnd"/>
      <w:r>
        <w:t xml:space="preserve">, B. S., &amp; Khan, S. M. (2018). Out-of-pocket payments, catastrophic health expenditure and poverty among households in Nigeria 2010. </w:t>
      </w:r>
      <w:r>
        <w:rPr>
          <w:i/>
        </w:rPr>
        <w:t>International Journal of Health Policy and Management, 7</w:t>
      </w:r>
      <w:r>
        <w:t>(9), 798–806. https://doi.org/10.15171/ijhpm.2018.19</w:t>
      </w:r>
    </w:p>
    <w:p w14:paraId="6292604A" w14:textId="77777777" w:rsidR="00257D2E" w:rsidRDefault="00495EF8" w:rsidP="00A1194E">
      <w:pPr>
        <w:spacing w:before="100" w:beforeAutospacing="1" w:after="100" w:afterAutospacing="1" w:line="240" w:lineRule="auto"/>
        <w:ind w:left="720" w:hanging="720"/>
      </w:pPr>
      <w:proofErr w:type="spellStart"/>
      <w:r>
        <w:t>Baethge</w:t>
      </w:r>
      <w:proofErr w:type="spellEnd"/>
      <w:r>
        <w:t xml:space="preserve">, C., Goldbeck-Wood, S., &amp; Mertens, S. (2019). SANRA—a scale for the quality assessment of narrative review articles. </w:t>
      </w:r>
      <w:r>
        <w:rPr>
          <w:i/>
        </w:rPr>
        <w:t>Research Integrity and Peer Review, 4</w:t>
      </w:r>
      <w:r>
        <w:t>, Article 5. https://doi.org/10.1186/s41073-019-0064-8</w:t>
      </w:r>
    </w:p>
    <w:p w14:paraId="2484DC7D" w14:textId="77777777" w:rsidR="00257D2E" w:rsidRDefault="00495EF8" w:rsidP="00A1194E">
      <w:pPr>
        <w:spacing w:before="100" w:beforeAutospacing="1" w:after="100" w:afterAutospacing="1" w:line="240" w:lineRule="auto"/>
        <w:ind w:left="720" w:hanging="720"/>
      </w:pPr>
      <w:r>
        <w:lastRenderedPageBreak/>
        <w:t xml:space="preserve">Bell, S. O., Moreau, C., </w:t>
      </w:r>
      <w:proofErr w:type="spellStart"/>
      <w:r>
        <w:t>Sarnak</w:t>
      </w:r>
      <w:proofErr w:type="spellEnd"/>
      <w:r>
        <w:t xml:space="preserve">, D., </w:t>
      </w:r>
      <w:proofErr w:type="spellStart"/>
      <w:r>
        <w:t>Kibira</w:t>
      </w:r>
      <w:proofErr w:type="spellEnd"/>
      <w:r>
        <w:t xml:space="preserve">, S. P. S., Anglewicz, P., </w:t>
      </w:r>
      <w:proofErr w:type="spellStart"/>
      <w:r>
        <w:t>Gichangi</w:t>
      </w:r>
      <w:proofErr w:type="spellEnd"/>
      <w:r>
        <w:t xml:space="preserve">, P., McLain, A. C., &amp; </w:t>
      </w:r>
      <w:proofErr w:type="spellStart"/>
      <w:r>
        <w:t>Thoma</w:t>
      </w:r>
      <w:proofErr w:type="spellEnd"/>
      <w:r>
        <w:t xml:space="preserve">, M. (2024). Measuring non-events: Infertility estimation using cross-sectional, population-based data from four countries in sub-Saharan Africa. </w:t>
      </w:r>
      <w:r>
        <w:rPr>
          <w:i/>
        </w:rPr>
        <w:t>Human Reproduction, 39</w:t>
      </w:r>
      <w:r>
        <w:t>(12), 2848–2860. https://doi.org/10.1093/humrep/deae218</w:t>
      </w:r>
    </w:p>
    <w:p w14:paraId="180B6694" w14:textId="77777777" w:rsidR="00257D2E" w:rsidRDefault="00495EF8" w:rsidP="00A1194E">
      <w:pPr>
        <w:spacing w:before="100" w:beforeAutospacing="1" w:after="100" w:afterAutospacing="1" w:line="240" w:lineRule="auto"/>
        <w:ind w:left="720" w:hanging="720"/>
      </w:pPr>
      <w:r>
        <w:t xml:space="preserve">Björndahl, L. (2022). A paradigmatic shift in the care of male factor infertility: How can the recommendations for basic semen examination in the sixth edition of the WHO manual and the ISO 23162:2021 standard help? </w:t>
      </w:r>
      <w:r>
        <w:rPr>
          <w:i/>
        </w:rPr>
        <w:t xml:space="preserve">Reproductive </w:t>
      </w:r>
      <w:proofErr w:type="spellStart"/>
      <w:r>
        <w:rPr>
          <w:i/>
        </w:rPr>
        <w:t>BioMedicine</w:t>
      </w:r>
      <w:proofErr w:type="spellEnd"/>
      <w:r>
        <w:rPr>
          <w:i/>
        </w:rPr>
        <w:t xml:space="preserve"> Online, 45</w:t>
      </w:r>
      <w:r>
        <w:t>(4), 731–736. https://doi.org/10.1016/j.rbmo.2022.03.011</w:t>
      </w:r>
    </w:p>
    <w:p w14:paraId="086AF3F7" w14:textId="77777777" w:rsidR="00257D2E" w:rsidRDefault="00495EF8" w:rsidP="00A1194E">
      <w:pPr>
        <w:spacing w:before="100" w:beforeAutospacing="1" w:after="100" w:afterAutospacing="1" w:line="240" w:lineRule="auto"/>
        <w:ind w:left="720" w:hanging="720"/>
      </w:pPr>
      <w:r>
        <w:t xml:space="preserve">Björndahl, L., &amp; Kirkman Brown, J. (2022). The sixth edition of the WHO Laboratory Manual for the Examination and Processing of Human Semen: Ensuring quality and standardization in basic examination of human ejaculates. </w:t>
      </w:r>
      <w:r>
        <w:rPr>
          <w:i/>
        </w:rPr>
        <w:t>Fertility and Sterility, 117</w:t>
      </w:r>
      <w:r>
        <w:t>(2), 246–251. https://doi.org/10.1016/j.fertnstert.2021.12.012</w:t>
      </w:r>
    </w:p>
    <w:p w14:paraId="0A1E070D" w14:textId="77777777" w:rsidR="00257D2E" w:rsidRDefault="00495EF8" w:rsidP="00A1194E">
      <w:pPr>
        <w:spacing w:before="100" w:beforeAutospacing="1" w:after="100" w:afterAutospacing="1" w:line="240" w:lineRule="auto"/>
        <w:ind w:left="720" w:hanging="720"/>
      </w:pPr>
      <w:r>
        <w:t xml:space="preserve">Bornstein, M., Gipson, J. D., Failing, G., Banda, V., &amp; Norris, A. (2020). Individual and community-level impact of infertility-related stigma in Malawi. </w:t>
      </w:r>
      <w:r>
        <w:rPr>
          <w:i/>
        </w:rPr>
        <w:t>Social Science &amp; Medicine, 251</w:t>
      </w:r>
      <w:r>
        <w:t>, Article 112910. https://doi.org/10.1016/j.socscimed.2020.112910</w:t>
      </w:r>
    </w:p>
    <w:p w14:paraId="3D0139AA" w14:textId="77777777" w:rsidR="00257D2E" w:rsidRDefault="00495EF8" w:rsidP="00A1194E">
      <w:pPr>
        <w:spacing w:before="100" w:beforeAutospacing="1" w:after="100" w:afterAutospacing="1" w:line="240" w:lineRule="auto"/>
        <w:ind w:left="720" w:hanging="720"/>
      </w:pPr>
      <w:r>
        <w:t xml:space="preserve">Boshoff, G. M., </w:t>
      </w:r>
      <w:proofErr w:type="spellStart"/>
      <w:r>
        <w:t>Ombelet</w:t>
      </w:r>
      <w:proofErr w:type="spellEnd"/>
      <w:r>
        <w:t xml:space="preserve">, W., &amp; Huyser, C. (2025). Fertility care in low- and middle-income countries: Public sector access to medically assisted reproduction in South Africa: A case study. </w:t>
      </w:r>
      <w:r>
        <w:rPr>
          <w:i/>
        </w:rPr>
        <w:t>Reproduction and Fertility, 6</w:t>
      </w:r>
      <w:r>
        <w:t>(3), Article e240072. https://doi.org/10.1530/RAF-24-0072</w:t>
      </w:r>
    </w:p>
    <w:p w14:paraId="730E1495" w14:textId="77777777" w:rsidR="00257D2E" w:rsidRDefault="00495EF8" w:rsidP="00A1194E">
      <w:pPr>
        <w:spacing w:before="100" w:beforeAutospacing="1" w:after="100" w:afterAutospacing="1" w:line="240" w:lineRule="auto"/>
        <w:ind w:left="720" w:hanging="720"/>
      </w:pPr>
      <w:r>
        <w:t xml:space="preserve">Bowers, S. F., Sonnet, F., &amp; Downs, J. A. (2025). Schistosomiasis: A neglected cause of infertility in females and males. </w:t>
      </w:r>
      <w:r>
        <w:rPr>
          <w:i/>
        </w:rPr>
        <w:t>Current Opinion in Infectious Diseases, 38</w:t>
      </w:r>
      <w:r>
        <w:t>(5), 385–391. https://doi.org/10.1097/QCO.0000000000001127</w:t>
      </w:r>
    </w:p>
    <w:p w14:paraId="7E38928F" w14:textId="77777777" w:rsidR="00257D2E" w:rsidRDefault="00495EF8" w:rsidP="00A1194E">
      <w:pPr>
        <w:spacing w:before="100" w:beforeAutospacing="1" w:after="100" w:afterAutospacing="1" w:line="240" w:lineRule="auto"/>
        <w:ind w:left="720" w:hanging="720"/>
      </w:pPr>
      <w:r>
        <w:t xml:space="preserve">Cherie, N., Chane, E., Angelo, A. A., </w:t>
      </w:r>
      <w:proofErr w:type="spellStart"/>
      <w:r>
        <w:t>Teketelew</w:t>
      </w:r>
      <w:proofErr w:type="spellEnd"/>
      <w:r>
        <w:t xml:space="preserve">, B. B., Tamir, M., &amp; Berta, D. M. (2025). External quality assessment in African clinical laboratories: A systematic review and meta-analysis. </w:t>
      </w:r>
      <w:r>
        <w:rPr>
          <w:i/>
        </w:rPr>
        <w:t>American Journal of Clinical Pathology, 163</w:t>
      </w:r>
      <w:r>
        <w:t>(5), 656–663. https://doi.org/10.1093/ajcp/aqae177</w:t>
      </w:r>
    </w:p>
    <w:p w14:paraId="5B5B70A8" w14:textId="77777777" w:rsidR="00257D2E" w:rsidRDefault="00495EF8" w:rsidP="00A1194E">
      <w:pPr>
        <w:spacing w:before="100" w:beforeAutospacing="1" w:after="100" w:afterAutospacing="1" w:line="240" w:lineRule="auto"/>
        <w:ind w:left="720" w:hanging="720"/>
      </w:pPr>
      <w:r>
        <w:t xml:space="preserve">Chiware, T. M., Vermeulen, N., </w:t>
      </w:r>
      <w:proofErr w:type="spellStart"/>
      <w:r>
        <w:t>Blondeel</w:t>
      </w:r>
      <w:proofErr w:type="spellEnd"/>
      <w:r>
        <w:t xml:space="preserve">, K., Farquharson, R., Kiarie, J., Lundin, K., </w:t>
      </w:r>
      <w:proofErr w:type="spellStart"/>
      <w:r>
        <w:t>Matsaseng</w:t>
      </w:r>
      <w:proofErr w:type="spellEnd"/>
      <w:r>
        <w:t xml:space="preserve">, T. C., </w:t>
      </w:r>
      <w:proofErr w:type="spellStart"/>
      <w:r>
        <w:t>Ombelet</w:t>
      </w:r>
      <w:proofErr w:type="spellEnd"/>
      <w:r>
        <w:t xml:space="preserve">, W., &amp; </w:t>
      </w:r>
      <w:proofErr w:type="spellStart"/>
      <w:r>
        <w:t>Toskin</w:t>
      </w:r>
      <w:proofErr w:type="spellEnd"/>
      <w:r>
        <w:t xml:space="preserve">, I. (2021). IVF and other ART in low- and middle-income countries: A systematic landscape analysis. </w:t>
      </w:r>
      <w:r>
        <w:rPr>
          <w:i/>
        </w:rPr>
        <w:t>Human Reproduction Update, 27</w:t>
      </w:r>
      <w:r>
        <w:t>(2), 213–228. https://doi.org/10.1093/humupd/dmaa047</w:t>
      </w:r>
    </w:p>
    <w:p w14:paraId="5DFDCED9" w14:textId="77777777" w:rsidR="00257D2E" w:rsidRDefault="00495EF8" w:rsidP="00A1194E">
      <w:pPr>
        <w:spacing w:before="100" w:beforeAutospacing="1" w:after="100" w:afterAutospacing="1" w:line="240" w:lineRule="auto"/>
        <w:ind w:left="720" w:hanging="720"/>
      </w:pPr>
      <w:r>
        <w:t xml:space="preserve">Concepción-Zavaleta, M. J., Coronado-Arroyo, J. C., Quiroz-Aldave, J. E., Concepción-Urteaga, L. A., &amp; Paz-Ibarra, J. (2023). Thyroid dysfunction and female infertility: A comprehensive review. </w:t>
      </w:r>
      <w:r>
        <w:rPr>
          <w:i/>
        </w:rPr>
        <w:t>Diabetes &amp; Metabolic Syndrome: Clinical Research &amp; Reviews, 17</w:t>
      </w:r>
      <w:r>
        <w:t>(11), Article 102876. https://doi.org/10.1016/j.dsx.2023.102876</w:t>
      </w:r>
    </w:p>
    <w:p w14:paraId="6CF5314C" w14:textId="77777777" w:rsidR="00257D2E" w:rsidRDefault="00495EF8" w:rsidP="00A1194E">
      <w:pPr>
        <w:spacing w:before="100" w:beforeAutospacing="1" w:after="100" w:afterAutospacing="1" w:line="240" w:lineRule="auto"/>
        <w:ind w:left="720" w:hanging="720"/>
      </w:pPr>
      <w:r>
        <w:t xml:space="preserve">Connolly, S., </w:t>
      </w:r>
      <w:proofErr w:type="spellStart"/>
      <w:r>
        <w:t>Kilembe</w:t>
      </w:r>
      <w:proofErr w:type="spellEnd"/>
      <w:r>
        <w:t xml:space="preserve">, W., Inambao, M., </w:t>
      </w:r>
      <w:proofErr w:type="spellStart"/>
      <w:r>
        <w:t>Visoiu</w:t>
      </w:r>
      <w:proofErr w:type="spellEnd"/>
      <w:r>
        <w:t xml:space="preserve">, A.-M., Sharkey, T., Parker, R., Wall, K. M., Tichacek, A., Hunter, E., &amp; Allen, S. (2020). A population-specific optimized GeneXpert pooling algorithm for </w:t>
      </w:r>
      <w:r>
        <w:rPr>
          <w:i/>
        </w:rPr>
        <w:t>Chlamydia trachomatis</w:t>
      </w:r>
      <w:r>
        <w:t xml:space="preserve"> and </w:t>
      </w:r>
      <w:r>
        <w:rPr>
          <w:i/>
        </w:rPr>
        <w:t>Neisseria gonorrhoeae</w:t>
      </w:r>
      <w:r>
        <w:t xml:space="preserve"> to reduce cost </w:t>
      </w:r>
      <w:r>
        <w:lastRenderedPageBreak/>
        <w:t xml:space="preserve">of molecular sexually transmitted infection screening in resource-limited settings. </w:t>
      </w:r>
      <w:r>
        <w:rPr>
          <w:i/>
        </w:rPr>
        <w:t>Journal of Clinical Microbiology, 58</w:t>
      </w:r>
      <w:r>
        <w:t>(9), Article e00176-20. https://doi.org/10.1128/JCM.00176-20</w:t>
      </w:r>
    </w:p>
    <w:p w14:paraId="157121FB" w14:textId="77777777" w:rsidR="00257D2E" w:rsidRDefault="00495EF8" w:rsidP="00A1194E">
      <w:pPr>
        <w:spacing w:before="100" w:beforeAutospacing="1" w:after="100" w:afterAutospacing="1" w:line="240" w:lineRule="auto"/>
        <w:ind w:left="720" w:hanging="720"/>
      </w:pPr>
      <w:r>
        <w:t xml:space="preserve">Cox, C. M., </w:t>
      </w:r>
      <w:proofErr w:type="spellStart"/>
      <w:r>
        <w:t>Thoma</w:t>
      </w:r>
      <w:proofErr w:type="spellEnd"/>
      <w:r>
        <w:t xml:space="preserve">, M. E., </w:t>
      </w:r>
      <w:proofErr w:type="spellStart"/>
      <w:r>
        <w:t>Tchangalova</w:t>
      </w:r>
      <w:proofErr w:type="spellEnd"/>
      <w:r>
        <w:t xml:space="preserve">, N., Mburu, G., Bornstein, M. J., Johnson, C. L., &amp; Kiarie, J. (2022). Infertility prevalence and the methods of estimation from 1990 to 2021: A systematic review and meta-analysis. </w:t>
      </w:r>
      <w:r>
        <w:rPr>
          <w:i/>
        </w:rPr>
        <w:t>Human Reproduction Open, 2022</w:t>
      </w:r>
      <w:r>
        <w:t>(4), Article hoac051. https://doi.org/10.1093/hropen/hoac051</w:t>
      </w:r>
    </w:p>
    <w:p w14:paraId="303146EB" w14:textId="77777777" w:rsidR="00257D2E" w:rsidRDefault="00495EF8" w:rsidP="00A1194E">
      <w:pPr>
        <w:spacing w:before="100" w:beforeAutospacing="1" w:after="100" w:afterAutospacing="1" w:line="240" w:lineRule="auto"/>
        <w:ind w:left="720" w:hanging="720"/>
      </w:pPr>
      <w:proofErr w:type="spellStart"/>
      <w:r>
        <w:t>Croxton</w:t>
      </w:r>
      <w:proofErr w:type="spellEnd"/>
      <w:r>
        <w:t xml:space="preserve">, T., Agala, N., Jonathan, E., Balogun, O., </w:t>
      </w:r>
      <w:proofErr w:type="spellStart"/>
      <w:r>
        <w:t>Ozumba</w:t>
      </w:r>
      <w:proofErr w:type="spellEnd"/>
      <w:r>
        <w:t xml:space="preserve">, P. J., </w:t>
      </w:r>
      <w:proofErr w:type="spellStart"/>
      <w:r>
        <w:t>Onyemata</w:t>
      </w:r>
      <w:proofErr w:type="spellEnd"/>
      <w:r>
        <w:t xml:space="preserve">, E., Lawal, S., </w:t>
      </w:r>
      <w:proofErr w:type="spellStart"/>
      <w:r>
        <w:t>Mamven</w:t>
      </w:r>
      <w:proofErr w:type="spellEnd"/>
      <w:r>
        <w:t xml:space="preserve">, M., Ajayi, S., </w:t>
      </w:r>
      <w:proofErr w:type="spellStart"/>
      <w:r>
        <w:t>Melikam</w:t>
      </w:r>
      <w:proofErr w:type="spellEnd"/>
      <w:r>
        <w:t xml:space="preserve">, S. E., Owolabi, M., </w:t>
      </w:r>
      <w:proofErr w:type="spellStart"/>
      <w:r>
        <w:t>Ovbiagele</w:t>
      </w:r>
      <w:proofErr w:type="spellEnd"/>
      <w:r>
        <w:t xml:space="preserve">, B., Adu, D., Ojo, A., Beiswanger, C. M., &amp; </w:t>
      </w:r>
      <w:proofErr w:type="spellStart"/>
      <w:r>
        <w:t>Abimiku</w:t>
      </w:r>
      <w:proofErr w:type="spellEnd"/>
      <w:r>
        <w:t xml:space="preserve">, A. (2020). H3Africa partnerships to empower clinical research sites to generate high-quality biological samples. </w:t>
      </w:r>
      <w:r>
        <w:rPr>
          <w:i/>
        </w:rPr>
        <w:t>African Journal of Laboratory Medicine, 9</w:t>
      </w:r>
      <w:r>
        <w:t>(1), Article 935. https://doi.org/10.4102/ajlm.v9i1.935</w:t>
      </w:r>
    </w:p>
    <w:p w14:paraId="6D7A69B4" w14:textId="77777777" w:rsidR="00257D2E" w:rsidRDefault="00495EF8" w:rsidP="00A1194E">
      <w:pPr>
        <w:spacing w:before="100" w:beforeAutospacing="1" w:after="100" w:afterAutospacing="1" w:line="240" w:lineRule="auto"/>
        <w:ind w:left="720" w:hanging="720"/>
      </w:pPr>
      <w:r>
        <w:t xml:space="preserve">Dahiya, B., Kamra, E., Alam, D., Chauhan, M., &amp; Mehta, P. K. (2022). Insight into diagnosis of female genital tuberculosis. </w:t>
      </w:r>
      <w:r>
        <w:rPr>
          <w:i/>
        </w:rPr>
        <w:t>Expert Review of Molecular Diagnostics, 22</w:t>
      </w:r>
      <w:r>
        <w:t>(6), 625–642. https://doi.org/10.1080/14737159.2022.2016395</w:t>
      </w:r>
    </w:p>
    <w:p w14:paraId="0C361169" w14:textId="77777777" w:rsidR="00257D2E" w:rsidRDefault="00495EF8" w:rsidP="00A1194E">
      <w:pPr>
        <w:spacing w:before="100" w:beforeAutospacing="1" w:after="100" w:afterAutospacing="1" w:line="240" w:lineRule="auto"/>
        <w:ind w:left="720" w:hanging="720"/>
      </w:pPr>
      <w:proofErr w:type="spellStart"/>
      <w:r>
        <w:t>Dubbink</w:t>
      </w:r>
      <w:proofErr w:type="spellEnd"/>
      <w:r>
        <w:t xml:space="preserve">, J. H., Verweij, S. P., Struthers, H. E., </w:t>
      </w:r>
      <w:proofErr w:type="spellStart"/>
      <w:r>
        <w:t>Ouburg</w:t>
      </w:r>
      <w:proofErr w:type="spellEnd"/>
      <w:r>
        <w:t xml:space="preserve">, S., McIntyre, J. A., </w:t>
      </w:r>
      <w:proofErr w:type="spellStart"/>
      <w:r>
        <w:t>Morré</w:t>
      </w:r>
      <w:proofErr w:type="spellEnd"/>
      <w:r>
        <w:t xml:space="preserve">, S. A., &amp; Peters, R. P. H. (2018). Genital </w:t>
      </w:r>
      <w:r>
        <w:rPr>
          <w:i/>
        </w:rPr>
        <w:t>Chlamydia trachomatis</w:t>
      </w:r>
      <w:r>
        <w:t xml:space="preserve"> and </w:t>
      </w:r>
      <w:r>
        <w:rPr>
          <w:i/>
        </w:rPr>
        <w:t>Neisseria gonorrhoeae</w:t>
      </w:r>
      <w:r>
        <w:t xml:space="preserve"> infections among women in sub-Saharan Africa: A structured review. </w:t>
      </w:r>
      <w:r>
        <w:rPr>
          <w:i/>
        </w:rPr>
        <w:t>International Journal of STD &amp; AIDS, 29</w:t>
      </w:r>
      <w:r>
        <w:t>(8), 806–824. https://doi.org/10.1177/0956462418758224</w:t>
      </w:r>
    </w:p>
    <w:p w14:paraId="114695BB" w14:textId="77777777" w:rsidR="00257D2E" w:rsidRDefault="00495EF8" w:rsidP="00A1194E">
      <w:pPr>
        <w:spacing w:before="100" w:beforeAutospacing="1" w:after="100" w:afterAutospacing="1" w:line="240" w:lineRule="auto"/>
        <w:ind w:left="720" w:hanging="720"/>
      </w:pPr>
      <w:proofErr w:type="spellStart"/>
      <w:r>
        <w:t>Durugbo</w:t>
      </w:r>
      <w:proofErr w:type="spellEnd"/>
      <w:r>
        <w:t xml:space="preserve">, I. I., </w:t>
      </w:r>
      <w:proofErr w:type="spellStart"/>
      <w:r>
        <w:t>Nyengidiki</w:t>
      </w:r>
      <w:proofErr w:type="spellEnd"/>
      <w:r>
        <w:t xml:space="preserve">, T. K., Bassey, G., &amp; </w:t>
      </w:r>
      <w:proofErr w:type="spellStart"/>
      <w:r>
        <w:t>Wariso</w:t>
      </w:r>
      <w:proofErr w:type="spellEnd"/>
      <w:r>
        <w:t xml:space="preserve">, K. T. (2015). Bacterial vaginosis among women with tubal factor infertility in Nigeria. </w:t>
      </w:r>
      <w:r>
        <w:rPr>
          <w:i/>
        </w:rPr>
        <w:t>International Journal of Gynecology &amp; Obstetrics, 131</w:t>
      </w:r>
      <w:r>
        <w:t>(2), 133–136. https://doi.org/10.1016/j.ijgo.2015.05.031</w:t>
      </w:r>
    </w:p>
    <w:p w14:paraId="5BEADD55" w14:textId="77777777" w:rsidR="00257D2E" w:rsidRDefault="00495EF8" w:rsidP="00A1194E">
      <w:pPr>
        <w:spacing w:before="100" w:beforeAutospacing="1" w:after="100" w:afterAutospacing="1" w:line="240" w:lineRule="auto"/>
        <w:ind w:left="720" w:hanging="720"/>
      </w:pPr>
      <w:r>
        <w:t xml:space="preserve">Elsaid, H. O. A., </w:t>
      </w:r>
      <w:proofErr w:type="spellStart"/>
      <w:r>
        <w:t>Gadkareim</w:t>
      </w:r>
      <w:proofErr w:type="spellEnd"/>
      <w:r>
        <w:t xml:space="preserve">, T., Abobakr, T., Mubarak, E., </w:t>
      </w:r>
      <w:proofErr w:type="spellStart"/>
      <w:r>
        <w:t>Abdelrhem</w:t>
      </w:r>
      <w:proofErr w:type="spellEnd"/>
      <w:r>
        <w:t xml:space="preserve">, M. A., Abu, D., Alhassan, E. A., &amp; </w:t>
      </w:r>
      <w:proofErr w:type="spellStart"/>
      <w:r>
        <w:t>Abushama</w:t>
      </w:r>
      <w:proofErr w:type="spellEnd"/>
      <w:r>
        <w:t xml:space="preserve">, H. (2021). Detection of AZF microdeletions and reproductive hormonal profile analysis of infertile Sudanese men pursuing assisted reproductive approaches. </w:t>
      </w:r>
      <w:r>
        <w:rPr>
          <w:i/>
        </w:rPr>
        <w:t>BMC Urology, 21</w:t>
      </w:r>
      <w:r>
        <w:t>, Article 69. https://doi.org/10.1186/s12894-021-00834-3</w:t>
      </w:r>
    </w:p>
    <w:p w14:paraId="5C39DAC5" w14:textId="77777777" w:rsidR="00257D2E" w:rsidRDefault="00495EF8" w:rsidP="00A1194E">
      <w:pPr>
        <w:spacing w:before="100" w:beforeAutospacing="1" w:after="100" w:afterAutospacing="1" w:line="240" w:lineRule="auto"/>
        <w:ind w:left="720" w:hanging="720"/>
      </w:pPr>
      <w:proofErr w:type="spellStart"/>
      <w:r>
        <w:t>Ezeome</w:t>
      </w:r>
      <w:proofErr w:type="spellEnd"/>
      <w:r>
        <w:t xml:space="preserve">, I. V., Akintola, S. O., &amp; Jegede, A. S. (2023). Experiences of female clients in the assisted reproductive technology process in Nigeria. </w:t>
      </w:r>
      <w:r>
        <w:rPr>
          <w:i/>
        </w:rPr>
        <w:t>African Health Sciences, 23</w:t>
      </w:r>
      <w:r>
        <w:t>(2), 659–669. https://doi.org/10.4314/ahs.v23i2.76</w:t>
      </w:r>
    </w:p>
    <w:p w14:paraId="328AB00D" w14:textId="77777777" w:rsidR="00257D2E" w:rsidRDefault="00495EF8" w:rsidP="00A1194E">
      <w:pPr>
        <w:spacing w:before="100" w:beforeAutospacing="1" w:after="100" w:afterAutospacing="1" w:line="240" w:lineRule="auto"/>
        <w:ind w:left="720" w:hanging="720"/>
      </w:pPr>
      <w:r>
        <w:t xml:space="preserve">Fleming, K. A., Horton, S., Wilson, M. L., Atun, R., DeStigter, K., Flanigan, J., Sayed, S., Adam, P., Aguilar, B., </w:t>
      </w:r>
      <w:proofErr w:type="spellStart"/>
      <w:r>
        <w:t>Andronikou</w:t>
      </w:r>
      <w:proofErr w:type="spellEnd"/>
      <w:r>
        <w:t xml:space="preserve">, S., Boehme, C., Cherniak, W., Cheung, A. N. Y., Dahn, B., Donoso-Bach, L., Douglas, T., Garcia, P., Hussain, S., Iyer, H. S., ... Walia, K. (2021). The Lancet Commission on diagnostics: Transforming access to diagnostics. </w:t>
      </w:r>
      <w:r>
        <w:rPr>
          <w:i/>
        </w:rPr>
        <w:t>The Lancet, 398</w:t>
      </w:r>
      <w:r>
        <w:t>(10315), 1997–2050. https://doi.org/10.1016/S0140-6736(21)00673-5</w:t>
      </w:r>
    </w:p>
    <w:p w14:paraId="0D90BF90" w14:textId="77777777" w:rsidR="00257D2E" w:rsidRDefault="00495EF8" w:rsidP="00A1194E">
      <w:pPr>
        <w:spacing w:before="100" w:beforeAutospacing="1" w:after="100" w:afterAutospacing="1" w:line="240" w:lineRule="auto"/>
        <w:ind w:left="720" w:hanging="720"/>
      </w:pPr>
      <w:proofErr w:type="spellStart"/>
      <w:r>
        <w:t>Gedef</w:t>
      </w:r>
      <w:proofErr w:type="spellEnd"/>
      <w:r>
        <w:t xml:space="preserve">, G. M., Taye, E. B., Mohammed, O. Y., Abegaz, M. Y., </w:t>
      </w:r>
      <w:proofErr w:type="spellStart"/>
      <w:r>
        <w:t>Asratie</w:t>
      </w:r>
      <w:proofErr w:type="spellEnd"/>
      <w:r>
        <w:t xml:space="preserve">, M. H., &amp; </w:t>
      </w:r>
      <w:proofErr w:type="spellStart"/>
      <w:r>
        <w:t>Andualem</w:t>
      </w:r>
      <w:proofErr w:type="spellEnd"/>
      <w:r>
        <w:t xml:space="preserve">, F. (2025). Prevalence of infertility and its risk factors in sub-Saharan Africa: A systematic </w:t>
      </w:r>
      <w:r>
        <w:lastRenderedPageBreak/>
        <w:t xml:space="preserve">review and meta-analysis. </w:t>
      </w:r>
      <w:r>
        <w:rPr>
          <w:i/>
        </w:rPr>
        <w:t>Contraception and Reproductive Medicine, 10</w:t>
      </w:r>
      <w:r>
        <w:t>, Article 73. https://doi.org/10.1186/s40834-025-00411-1</w:t>
      </w:r>
    </w:p>
    <w:p w14:paraId="0511ACD1" w14:textId="77777777" w:rsidR="00257D2E" w:rsidRDefault="00495EF8" w:rsidP="00A1194E">
      <w:pPr>
        <w:spacing w:before="100" w:beforeAutospacing="1" w:after="100" w:afterAutospacing="1" w:line="240" w:lineRule="auto"/>
        <w:ind w:left="720" w:hanging="720"/>
      </w:pPr>
      <w:r>
        <w:t xml:space="preserve">Gerrits, T., Whittaker, A., &amp; Manderson, L. (2025). Fertility care in low and middle income countries: Embryologists' practices of care in IVF-clinics in sub-Saharan Africa. </w:t>
      </w:r>
      <w:r>
        <w:rPr>
          <w:i/>
        </w:rPr>
        <w:t>Reproduction and Fertility, 6</w:t>
      </w:r>
      <w:r>
        <w:t>(1), Article e240025. https://doi.org/10.1530/RAF-24-0025</w:t>
      </w:r>
    </w:p>
    <w:p w14:paraId="121F7591" w14:textId="77777777" w:rsidR="00257D2E" w:rsidRDefault="00495EF8" w:rsidP="00A1194E">
      <w:pPr>
        <w:spacing w:before="100" w:beforeAutospacing="1" w:after="100" w:afterAutospacing="1" w:line="240" w:lineRule="auto"/>
        <w:ind w:left="720" w:hanging="720"/>
      </w:pPr>
      <w:r>
        <w:t xml:space="preserve">Girdwood, S., Pandey, M., Machila, T., Warrier, R., Gautam, J., </w:t>
      </w:r>
      <w:proofErr w:type="spellStart"/>
      <w:r>
        <w:t>Mukumbwa-Mwenechanya</w:t>
      </w:r>
      <w:proofErr w:type="spellEnd"/>
      <w:r>
        <w:t xml:space="preserve">, M., Benade, M., Nichols, K., </w:t>
      </w:r>
      <w:proofErr w:type="spellStart"/>
      <w:r>
        <w:t>Shibemba</w:t>
      </w:r>
      <w:proofErr w:type="spellEnd"/>
      <w:r>
        <w:t xml:space="preserve">, L., Mwewa, J., </w:t>
      </w:r>
      <w:proofErr w:type="spellStart"/>
      <w:r>
        <w:t>Mzyece</w:t>
      </w:r>
      <w:proofErr w:type="spellEnd"/>
      <w:r>
        <w:t xml:space="preserve">, J., Lungu, P., Albert, H., Nichols, B., &amp; Choonga, P. (2023). The integration of tuberculosis and HIV testing on GeneXpert can substantially improve access and same-day diagnosis and benefit tuberculosis </w:t>
      </w:r>
      <w:proofErr w:type="spellStart"/>
      <w:r>
        <w:t>programmes</w:t>
      </w:r>
      <w:proofErr w:type="spellEnd"/>
      <w:r>
        <w:t xml:space="preserve">: A diagnostic network optimization analysis in Zambia. </w:t>
      </w:r>
      <w:r>
        <w:rPr>
          <w:i/>
        </w:rPr>
        <w:t>PLOS Global Public Health, 3</w:t>
      </w:r>
      <w:r>
        <w:t>(1), Article e0001179. https://doi.org/10.1371/journal.pgph.0001179</w:t>
      </w:r>
    </w:p>
    <w:p w14:paraId="5BEDF286" w14:textId="77777777" w:rsidR="00257D2E" w:rsidRDefault="00495EF8" w:rsidP="00A1194E">
      <w:pPr>
        <w:spacing w:before="100" w:beforeAutospacing="1" w:after="100" w:afterAutospacing="1" w:line="240" w:lineRule="auto"/>
        <w:ind w:left="720" w:hanging="720"/>
      </w:pPr>
      <w:r>
        <w:t xml:space="preserve">Groene, E. A., </w:t>
      </w:r>
      <w:proofErr w:type="spellStart"/>
      <w:r>
        <w:t>Mutabuzi</w:t>
      </w:r>
      <w:proofErr w:type="spellEnd"/>
      <w:r>
        <w:t xml:space="preserve">, C., </w:t>
      </w:r>
      <w:proofErr w:type="spellStart"/>
      <w:r>
        <w:t>Chinunje</w:t>
      </w:r>
      <w:proofErr w:type="spellEnd"/>
      <w:r>
        <w:t xml:space="preserve">, D., Shango, E., </w:t>
      </w:r>
      <w:proofErr w:type="spellStart"/>
      <w:r>
        <w:t>Mkhoi</w:t>
      </w:r>
      <w:proofErr w:type="spellEnd"/>
      <w:r>
        <w:t xml:space="preserve">, M. L., Mason, S. M., Kulasingam, S., &amp; </w:t>
      </w:r>
      <w:proofErr w:type="spellStart"/>
      <w:r>
        <w:t>Majinge</w:t>
      </w:r>
      <w:proofErr w:type="spellEnd"/>
      <w:r>
        <w:t xml:space="preserve">, C. R. (2023). Risk factors for infertility and barriers to treatment in Tanzania: A survey and medical records study. </w:t>
      </w:r>
      <w:r>
        <w:rPr>
          <w:i/>
        </w:rPr>
        <w:t>African Health Sciences, 23</w:t>
      </w:r>
      <w:r>
        <w:t>(4), 462–471. https://doi.org/10.4314/ahs.v23i4.50</w:t>
      </w:r>
    </w:p>
    <w:p w14:paraId="527DD705" w14:textId="77777777" w:rsidR="00257D2E" w:rsidRDefault="00495EF8" w:rsidP="00A1194E">
      <w:pPr>
        <w:spacing w:before="100" w:beforeAutospacing="1" w:after="100" w:afterAutospacing="1" w:line="240" w:lineRule="auto"/>
        <w:ind w:left="720" w:hanging="720"/>
      </w:pPr>
      <w:r>
        <w:t xml:space="preserve">Hermans, L. E., Centner, C. M., Morel, C. M., Mbamalu, O., </w:t>
      </w:r>
      <w:proofErr w:type="spellStart"/>
      <w:r>
        <w:t>Bonaconsa</w:t>
      </w:r>
      <w:proofErr w:type="spellEnd"/>
      <w:r>
        <w:t xml:space="preserve">, C., Ferreyra, C., Lindahl, O., &amp; Mendelson, M. (2024). Point-of-care diagnostics for infection and antimicrobial resistance in sub-Saharan Africa: A narrative review. </w:t>
      </w:r>
      <w:r>
        <w:rPr>
          <w:i/>
        </w:rPr>
        <w:t>International Journal of Infectious Diseases, 142</w:t>
      </w:r>
      <w:r>
        <w:t>, Article 106907. https://doi.org/10.1016/j.ijid.2023.11.027</w:t>
      </w:r>
    </w:p>
    <w:p w14:paraId="40AEBA93" w14:textId="77777777" w:rsidR="00257D2E" w:rsidRDefault="00495EF8" w:rsidP="00A1194E">
      <w:pPr>
        <w:spacing w:before="100" w:beforeAutospacing="1" w:after="100" w:afterAutospacing="1" w:line="240" w:lineRule="auto"/>
        <w:ind w:left="720" w:hanging="720"/>
      </w:pPr>
      <w:r>
        <w:t xml:space="preserve">Huang, C., Zhu, H. L., Xu, K. R., Wang, S. Y., Fan, L. Q., &amp; Zhu, W. B. (2015). Mycoplasma and </w:t>
      </w:r>
      <w:proofErr w:type="spellStart"/>
      <w:r>
        <w:t>ureaplasma</w:t>
      </w:r>
      <w:proofErr w:type="spellEnd"/>
      <w:r>
        <w:t xml:space="preserve"> infection and male infertility: A systematic review and meta-analysis. </w:t>
      </w:r>
      <w:r>
        <w:rPr>
          <w:i/>
        </w:rPr>
        <w:t>Andrology, 3</w:t>
      </w:r>
      <w:r>
        <w:t>(5), 809–816. https://doi.org/10.1111/andr.12078</w:t>
      </w:r>
    </w:p>
    <w:p w14:paraId="0A38787D" w14:textId="77777777" w:rsidR="00257D2E" w:rsidRDefault="00495EF8" w:rsidP="00A1194E">
      <w:pPr>
        <w:spacing w:before="100" w:beforeAutospacing="1" w:after="100" w:afterAutospacing="1" w:line="240" w:lineRule="auto"/>
        <w:ind w:left="720" w:hanging="720"/>
      </w:pPr>
      <w:proofErr w:type="spellStart"/>
      <w:r>
        <w:t>Igbodike</w:t>
      </w:r>
      <w:proofErr w:type="spellEnd"/>
      <w:r>
        <w:t xml:space="preserve">, E. P., Badejoko, O. O., </w:t>
      </w:r>
      <w:proofErr w:type="spellStart"/>
      <w:r>
        <w:t>Fasubaa</w:t>
      </w:r>
      <w:proofErr w:type="spellEnd"/>
      <w:r>
        <w:t xml:space="preserve">, O. B., Ibitoye, B. O., </w:t>
      </w:r>
      <w:proofErr w:type="spellStart"/>
      <w:r>
        <w:t>Loto</w:t>
      </w:r>
      <w:proofErr w:type="spellEnd"/>
      <w:r>
        <w:t xml:space="preserve">, O. M., Ikechebelu, J. I., </w:t>
      </w:r>
      <w:proofErr w:type="spellStart"/>
      <w:r>
        <w:t>Eleje</w:t>
      </w:r>
      <w:proofErr w:type="spellEnd"/>
      <w:r>
        <w:t xml:space="preserve">, G. U., </w:t>
      </w:r>
      <w:proofErr w:type="spellStart"/>
      <w:r>
        <w:t>Onwuegbuna</w:t>
      </w:r>
      <w:proofErr w:type="spellEnd"/>
      <w:r>
        <w:t xml:space="preserve">, A. A., Okpala, B. C., </w:t>
      </w:r>
      <w:proofErr w:type="spellStart"/>
      <w:r>
        <w:t>Umeononihu</w:t>
      </w:r>
      <w:proofErr w:type="spellEnd"/>
      <w:r>
        <w:t xml:space="preserve">, O. S., &amp; </w:t>
      </w:r>
      <w:proofErr w:type="spellStart"/>
      <w:r>
        <w:t>Ogelle</w:t>
      </w:r>
      <w:proofErr w:type="spellEnd"/>
      <w:r>
        <w:t xml:space="preserve">, O. M. (2022). Correlation between hysterosalpingography diagnosis and final </w:t>
      </w:r>
      <w:proofErr w:type="spellStart"/>
      <w:r>
        <w:t>hysterolaparoscopy</w:t>
      </w:r>
      <w:proofErr w:type="spellEnd"/>
      <w:r>
        <w:t xml:space="preserve"> with dye-test diagnosis in women with utero-tubal infertility: A cross-sectional study of the implication for which test should be the first-line investigation. </w:t>
      </w:r>
      <w:r>
        <w:rPr>
          <w:i/>
        </w:rPr>
        <w:t>SAGE Open Medicine, 10</w:t>
      </w:r>
      <w:r>
        <w:t>, Article 20503121221104434. https://doi.org/10.1177/20503121221104434</w:t>
      </w:r>
    </w:p>
    <w:p w14:paraId="33731A25" w14:textId="77777777" w:rsidR="00257D2E" w:rsidRDefault="00495EF8" w:rsidP="00A1194E">
      <w:pPr>
        <w:spacing w:before="100" w:beforeAutospacing="1" w:after="100" w:afterAutospacing="1" w:line="240" w:lineRule="auto"/>
        <w:ind w:left="720" w:hanging="720"/>
      </w:pPr>
      <w:proofErr w:type="spellStart"/>
      <w:r>
        <w:t>Inhorn</w:t>
      </w:r>
      <w:proofErr w:type="spellEnd"/>
      <w:r>
        <w:t xml:space="preserve">, M. C., &amp; Patrizio, P. (2015). Infertility around the globe: New thinking on gender, reproductive technologies and global movements in the 21st century. </w:t>
      </w:r>
      <w:r>
        <w:rPr>
          <w:i/>
        </w:rPr>
        <w:t>Human Reproduction Update, 21</w:t>
      </w:r>
      <w:r>
        <w:t>(4), 411–426. https://doi.org/10.1093/humupd/dmv016</w:t>
      </w:r>
    </w:p>
    <w:p w14:paraId="61BEC2E6" w14:textId="77777777" w:rsidR="00257D2E" w:rsidRDefault="00495EF8" w:rsidP="00A1194E">
      <w:pPr>
        <w:spacing w:before="100" w:beforeAutospacing="1" w:after="100" w:afterAutospacing="1" w:line="240" w:lineRule="auto"/>
        <w:ind w:left="720" w:hanging="720"/>
      </w:pPr>
      <w:r>
        <w:t xml:space="preserve">Iwuji, C., Pillay, D., Shamu, P., </w:t>
      </w:r>
      <w:proofErr w:type="spellStart"/>
      <w:r>
        <w:t>Murire</w:t>
      </w:r>
      <w:proofErr w:type="spellEnd"/>
      <w:r>
        <w:t xml:space="preserve">, M., Nzenze, S., Cox, L. A., &amp; Mullick, S. (2022). A systematic review of antimicrobial resistance in </w:t>
      </w:r>
      <w:r>
        <w:rPr>
          <w:i/>
        </w:rPr>
        <w:t>Neisseria gonorrhoeae</w:t>
      </w:r>
      <w:r>
        <w:t xml:space="preserve"> and </w:t>
      </w:r>
      <w:r>
        <w:rPr>
          <w:i/>
        </w:rPr>
        <w:t>Mycoplasma genitalium</w:t>
      </w:r>
      <w:r>
        <w:t xml:space="preserve"> in sub-Saharan Africa. </w:t>
      </w:r>
      <w:r>
        <w:rPr>
          <w:i/>
        </w:rPr>
        <w:t>Journal of Antimicrobial Chemotherapy, 77</w:t>
      </w:r>
      <w:r>
        <w:t>(8), 2074–2093. https://doi.org/10.1093/jac/dkac159</w:t>
      </w:r>
    </w:p>
    <w:p w14:paraId="6E47DA01" w14:textId="77777777" w:rsidR="00257D2E" w:rsidRDefault="00495EF8" w:rsidP="00A1194E">
      <w:pPr>
        <w:spacing w:before="100" w:beforeAutospacing="1" w:after="100" w:afterAutospacing="1" w:line="240" w:lineRule="auto"/>
        <w:ind w:left="720" w:hanging="720"/>
      </w:pPr>
      <w:r>
        <w:lastRenderedPageBreak/>
        <w:t xml:space="preserve">Jayasena, C. N., de Silva, N. L., O'Reilly, M. W., MacKenzie, F., Marrington, R., Jones, H., Livingston, M., Downie, P., Hackett, G., Ramachandran, S., Tomlinson, J., David, J., Boot, C., Patel, M., Tarling, J., Wu, F., &amp; Quinton, R. (2023). </w:t>
      </w:r>
      <w:proofErr w:type="spellStart"/>
      <w:r>
        <w:t>Standardising</w:t>
      </w:r>
      <w:proofErr w:type="spellEnd"/>
      <w:r>
        <w:t xml:space="preserve"> the biochemical confirmation of adult male hypogonadism: A joint position statement by the Society for Endocrinology and Association of Clinical Biochemistry and Laboratory Medicine. </w:t>
      </w:r>
      <w:r>
        <w:rPr>
          <w:i/>
        </w:rPr>
        <w:t>Annals of Clinical Biochemistry, 60</w:t>
      </w:r>
      <w:r>
        <w:t>(4), 223–227. https://doi.org/10.1177/00045632231179022</w:t>
      </w:r>
    </w:p>
    <w:p w14:paraId="55833A25" w14:textId="77777777" w:rsidR="00257D2E" w:rsidRDefault="00495EF8" w:rsidP="00A1194E">
      <w:pPr>
        <w:spacing w:before="100" w:beforeAutospacing="1" w:after="100" w:afterAutospacing="1" w:line="240" w:lineRule="auto"/>
        <w:ind w:left="720" w:hanging="720"/>
      </w:pPr>
      <w:r>
        <w:t xml:space="preserve">Kakooza, F., Kiggundu, R., </w:t>
      </w:r>
      <w:proofErr w:type="spellStart"/>
      <w:r>
        <w:t>Mboowa</w:t>
      </w:r>
      <w:proofErr w:type="spellEnd"/>
      <w:r>
        <w:t xml:space="preserve">, G., </w:t>
      </w:r>
      <w:proofErr w:type="spellStart"/>
      <w:r>
        <w:t>Kateete</w:t>
      </w:r>
      <w:proofErr w:type="spellEnd"/>
      <w:r>
        <w:t xml:space="preserve">, P. D., </w:t>
      </w:r>
      <w:proofErr w:type="spellStart"/>
      <w:r>
        <w:t>Nsangi</w:t>
      </w:r>
      <w:proofErr w:type="spellEnd"/>
      <w:r>
        <w:t xml:space="preserve">, O. T., </w:t>
      </w:r>
      <w:proofErr w:type="spellStart"/>
      <w:r>
        <w:t>Kabahita</w:t>
      </w:r>
      <w:proofErr w:type="spellEnd"/>
      <w:r>
        <w:t xml:space="preserve">, J. M., </w:t>
      </w:r>
      <w:proofErr w:type="spellStart"/>
      <w:r>
        <w:t>Ssentalo</w:t>
      </w:r>
      <w:proofErr w:type="spellEnd"/>
      <w:r>
        <w:t xml:space="preserve"> Bagaya, B., </w:t>
      </w:r>
      <w:proofErr w:type="spellStart"/>
      <w:r>
        <w:t>Golparian</w:t>
      </w:r>
      <w:proofErr w:type="spellEnd"/>
      <w:r>
        <w:t xml:space="preserve">, D., &amp; </w:t>
      </w:r>
      <w:proofErr w:type="spellStart"/>
      <w:r>
        <w:t>Unemo</w:t>
      </w:r>
      <w:proofErr w:type="spellEnd"/>
      <w:r>
        <w:t xml:space="preserve">, M. (2023). Antimicrobial susceptibility surveillance and antimicrobial resistance in </w:t>
      </w:r>
      <w:r>
        <w:rPr>
          <w:i/>
        </w:rPr>
        <w:t>Neisseria gonorrhoeae</w:t>
      </w:r>
      <w:r>
        <w:t xml:space="preserve"> in Africa from 2001 to 2020: A mini-review. </w:t>
      </w:r>
      <w:r>
        <w:rPr>
          <w:i/>
        </w:rPr>
        <w:t>Frontiers in Microbiology, 14</w:t>
      </w:r>
      <w:r>
        <w:t>, Article 1148817. https://doi.org/10.3389/fmicb.2023.1148817</w:t>
      </w:r>
    </w:p>
    <w:p w14:paraId="265A78EE" w14:textId="77777777" w:rsidR="00257D2E" w:rsidRDefault="00495EF8" w:rsidP="00A1194E">
      <w:pPr>
        <w:spacing w:before="100" w:beforeAutospacing="1" w:after="100" w:afterAutospacing="1" w:line="240" w:lineRule="auto"/>
        <w:ind w:left="720" w:hanging="720"/>
      </w:pPr>
      <w:r>
        <w:t xml:space="preserve">Krausz, C., Navarro-Costa, P., Wilke, M., &amp; </w:t>
      </w:r>
      <w:proofErr w:type="spellStart"/>
      <w:r>
        <w:t>Tüttelmann</w:t>
      </w:r>
      <w:proofErr w:type="spellEnd"/>
      <w:r>
        <w:t xml:space="preserve">, F. (2024). EAA/EMQN best practice guidelines for molecular diagnosis of Y-chromosomal microdeletions: State of the art 2023. </w:t>
      </w:r>
      <w:r>
        <w:rPr>
          <w:i/>
        </w:rPr>
        <w:t>Andrology, 12</w:t>
      </w:r>
      <w:r>
        <w:t>(3), 487–504. https://doi.org/10.1111/andr.13514</w:t>
      </w:r>
    </w:p>
    <w:p w14:paraId="77DE13FB" w14:textId="77777777" w:rsidR="00257D2E" w:rsidRDefault="00495EF8" w:rsidP="00A1194E">
      <w:pPr>
        <w:spacing w:before="100" w:beforeAutospacing="1" w:after="100" w:afterAutospacing="1" w:line="240" w:lineRule="auto"/>
        <w:ind w:left="720" w:hanging="720"/>
      </w:pPr>
      <w:r>
        <w:t xml:space="preserve">Lemmens, L., van den Hoven, L., van Vrouwerff, N. J., Braat, D. D., Nelen, W. L., Spath, M. A., &amp; </w:t>
      </w:r>
      <w:proofErr w:type="spellStart"/>
      <w:r>
        <w:t>Wetzels</w:t>
      </w:r>
      <w:proofErr w:type="spellEnd"/>
      <w:r>
        <w:t xml:space="preserve">, A. M. (2022). External quality control and training of semen analysis in the Netherlands: Starting point for further reduction of outcome variability. </w:t>
      </w:r>
      <w:r>
        <w:rPr>
          <w:i/>
        </w:rPr>
        <w:t>Asian Journal of Andrology, 24</w:t>
      </w:r>
      <w:r>
        <w:t>(1), 15–20. https://doi.org/10.4103/aja.aja_46_21</w:t>
      </w:r>
    </w:p>
    <w:p w14:paraId="1DB17601" w14:textId="77777777" w:rsidR="00257D2E" w:rsidRDefault="00495EF8" w:rsidP="00A1194E">
      <w:pPr>
        <w:spacing w:before="100" w:beforeAutospacing="1" w:after="100" w:afterAutospacing="1" w:line="240" w:lineRule="auto"/>
        <w:ind w:left="720" w:hanging="720"/>
      </w:pPr>
      <w:r>
        <w:t xml:space="preserve">Levine, H., Jørgensen, N., Martino-Andrade, A., Mendiola, J., Weksler-Derri, D., Jolles, M., Pinotti, R., &amp; Swan, S. H. (2023). Temporal trends in sperm count: A systematic review and meta-regression analysis of samples collected globally in the 20th and 21st centuries. </w:t>
      </w:r>
      <w:r>
        <w:rPr>
          <w:i/>
        </w:rPr>
        <w:t>Human Reproduction Update, 29</w:t>
      </w:r>
      <w:r>
        <w:t>(2), 157–176. https://doi.org/10.1093/humupd/dmac035</w:t>
      </w:r>
    </w:p>
    <w:p w14:paraId="3C08B48B" w14:textId="77777777" w:rsidR="00257D2E" w:rsidRDefault="00495EF8" w:rsidP="00A1194E">
      <w:pPr>
        <w:spacing w:before="100" w:beforeAutospacing="1" w:after="100" w:afterAutospacing="1" w:line="240" w:lineRule="auto"/>
        <w:ind w:left="720" w:hanging="720"/>
      </w:pPr>
      <w:r>
        <w:t xml:space="preserve">Moll, T., Gerrits, T., Hammarberg, K., Manderson, L., &amp; Whittaker, A. (2022). Reproductive travel to, from and within sub-Saharan Africa: A scoping review. </w:t>
      </w:r>
      <w:r>
        <w:rPr>
          <w:i/>
        </w:rPr>
        <w:t>Reproductive Biomedicine &amp; Society Online, 14</w:t>
      </w:r>
      <w:r>
        <w:t>, 271–288. https://doi.org/10.1016/j.rbms.2021.12.003</w:t>
      </w:r>
    </w:p>
    <w:p w14:paraId="35030A78" w14:textId="77777777" w:rsidR="00257D2E" w:rsidRDefault="00495EF8" w:rsidP="00A1194E">
      <w:pPr>
        <w:spacing w:before="100" w:beforeAutospacing="1" w:after="100" w:afterAutospacing="1" w:line="240" w:lineRule="auto"/>
        <w:ind w:left="720" w:hanging="720"/>
      </w:pPr>
      <w:proofErr w:type="spellStart"/>
      <w:r>
        <w:t>Moolhuijsen</w:t>
      </w:r>
      <w:proofErr w:type="spellEnd"/>
      <w:r>
        <w:t xml:space="preserve">, L. M. E., &amp; Visser, J. A. (2020). Anti-Müllerian hormone and ovarian reserve: Update on assessing ovarian function. </w:t>
      </w:r>
      <w:r>
        <w:rPr>
          <w:i/>
        </w:rPr>
        <w:t>The Journal of Clinical Endocrinology &amp; Metabolism, 105</w:t>
      </w:r>
      <w:r>
        <w:t>(11), 3361–3373. https://doi.org/10.1210/clinem/dgaa513</w:t>
      </w:r>
    </w:p>
    <w:p w14:paraId="50B56C7E" w14:textId="77777777" w:rsidR="00257D2E" w:rsidRDefault="00495EF8" w:rsidP="00A1194E">
      <w:pPr>
        <w:spacing w:before="100" w:beforeAutospacing="1" w:after="100" w:afterAutospacing="1" w:line="240" w:lineRule="auto"/>
        <w:ind w:left="720" w:hanging="720"/>
      </w:pPr>
      <w:proofErr w:type="spellStart"/>
      <w:r>
        <w:t>Muteshi</w:t>
      </w:r>
      <w:proofErr w:type="spellEnd"/>
      <w:r>
        <w:t xml:space="preserve">, C., &amp; Chesire, A. (2025). Approach to evaluation and management of male infertility in sub-Saharan Africa. </w:t>
      </w:r>
      <w:r>
        <w:rPr>
          <w:i/>
        </w:rPr>
        <w:t>International Journal of Gynecology &amp; Obstetrics, 169</w:t>
      </w:r>
      <w:r>
        <w:t>(3), 913–920. https://doi.org/10.1002/ijgo.16196</w:t>
      </w:r>
    </w:p>
    <w:p w14:paraId="5B1001E0" w14:textId="77777777" w:rsidR="00257D2E" w:rsidRDefault="00495EF8" w:rsidP="00A1194E">
      <w:pPr>
        <w:spacing w:before="100" w:beforeAutospacing="1" w:after="100" w:afterAutospacing="1" w:line="240" w:lineRule="auto"/>
        <w:ind w:left="720" w:hanging="720"/>
      </w:pPr>
      <w:r>
        <w:t xml:space="preserve">Ndlovu, Z., Fajardo, E., Mbofana, E., </w:t>
      </w:r>
      <w:proofErr w:type="spellStart"/>
      <w:r>
        <w:t>Maparo</w:t>
      </w:r>
      <w:proofErr w:type="spellEnd"/>
      <w:r>
        <w:t xml:space="preserve">, T., Garone, D., Metcalf, C., Bygrave, H., Kao, K., &amp; </w:t>
      </w:r>
      <w:proofErr w:type="spellStart"/>
      <w:r>
        <w:t>Zinyowera</w:t>
      </w:r>
      <w:proofErr w:type="spellEnd"/>
      <w:r>
        <w:t xml:space="preserve">, S. (2018). </w:t>
      </w:r>
      <w:proofErr w:type="spellStart"/>
      <w:r>
        <w:t>Multidisease</w:t>
      </w:r>
      <w:proofErr w:type="spellEnd"/>
      <w:r>
        <w:t xml:space="preserve"> testing for HIV and TB using the GeneXpert platform: A feasibility study in rural Zimbabwe. </w:t>
      </w:r>
      <w:r>
        <w:rPr>
          <w:i/>
        </w:rPr>
        <w:t>PLOS ONE, 13</w:t>
      </w:r>
      <w:r>
        <w:t>(3), Article e0193577. https://doi.org/10.1371/journal.pone.0193577</w:t>
      </w:r>
    </w:p>
    <w:p w14:paraId="1024E1FE" w14:textId="77777777" w:rsidR="00257D2E" w:rsidRDefault="00495EF8" w:rsidP="00A1194E">
      <w:pPr>
        <w:spacing w:before="100" w:beforeAutospacing="1" w:after="100" w:afterAutospacing="1" w:line="240" w:lineRule="auto"/>
        <w:ind w:left="720" w:hanging="720"/>
      </w:pPr>
      <w:proofErr w:type="spellStart"/>
      <w:r>
        <w:lastRenderedPageBreak/>
        <w:t>Nisenblat</w:t>
      </w:r>
      <w:proofErr w:type="spellEnd"/>
      <w:r>
        <w:t xml:space="preserve">, V., Bossuyt, P. M. M., Shaikh, R., Farquhar, C., Jordan, V., Scheffers, C. S., Mol, B. W. J., Johnson, N., &amp; Hull, M. L. (2016). Blood biomarkers for the non-invasive diagnosis of endometriosis. </w:t>
      </w:r>
      <w:r>
        <w:rPr>
          <w:i/>
        </w:rPr>
        <w:t>Cochrane Database of Systematic Reviews, 2016</w:t>
      </w:r>
      <w:r>
        <w:t>(5), Article CD012179. https://doi.org/10.1002/14651858.CD012179</w:t>
      </w:r>
    </w:p>
    <w:p w14:paraId="71FE8B29" w14:textId="77777777" w:rsidR="00257D2E" w:rsidRDefault="00495EF8" w:rsidP="00A1194E">
      <w:pPr>
        <w:spacing w:before="100" w:beforeAutospacing="1" w:after="100" w:afterAutospacing="1" w:line="240" w:lineRule="auto"/>
        <w:ind w:left="720" w:hanging="720"/>
      </w:pPr>
      <w:r>
        <w:t xml:space="preserve">Njagi, P., Groot, W., </w:t>
      </w:r>
      <w:proofErr w:type="spellStart"/>
      <w:r>
        <w:t>Arsenijevic</w:t>
      </w:r>
      <w:proofErr w:type="spellEnd"/>
      <w:r>
        <w:t xml:space="preserve">, J., Dyer, S., Mburu, G., &amp; Kiarie, J. (2023). Financial costs of assisted reproductive technology for patients in low- and middle-income countries: A systematic review. </w:t>
      </w:r>
      <w:r>
        <w:rPr>
          <w:i/>
        </w:rPr>
        <w:t>Human Reproduction Open, 2023</w:t>
      </w:r>
      <w:r>
        <w:t>(2), Article hoad007. https://doi.org/10.1093/hropen/hoad007</w:t>
      </w:r>
    </w:p>
    <w:p w14:paraId="4D2DA572" w14:textId="77777777" w:rsidR="00257D2E" w:rsidRDefault="00495EF8" w:rsidP="00A1194E">
      <w:pPr>
        <w:spacing w:before="100" w:beforeAutospacing="1" w:after="100" w:afterAutospacing="1" w:line="240" w:lineRule="auto"/>
        <w:ind w:left="720" w:hanging="720"/>
      </w:pPr>
      <w:proofErr w:type="spellStart"/>
      <w:r>
        <w:t>Odelola</w:t>
      </w:r>
      <w:proofErr w:type="spellEnd"/>
      <w:r>
        <w:t xml:space="preserve">, O. I., &amp; </w:t>
      </w:r>
      <w:proofErr w:type="spellStart"/>
      <w:r>
        <w:t>Akadri</w:t>
      </w:r>
      <w:proofErr w:type="spellEnd"/>
      <w:r>
        <w:t xml:space="preserve">, A. A. (2023). </w:t>
      </w:r>
      <w:r>
        <w:rPr>
          <w:i/>
        </w:rPr>
        <w:t>Chlamydia trachomatis</w:t>
      </w:r>
      <w:r>
        <w:t xml:space="preserve"> seropositivity among women with tubal factor infertility and fertile controls: A comparative study. </w:t>
      </w:r>
      <w:r>
        <w:rPr>
          <w:i/>
        </w:rPr>
        <w:t>Pan African Medical Journal, 44</w:t>
      </w:r>
      <w:r>
        <w:t>, Article 178. https://doi.org/10.11604/pamj.2023.44.178.29443</w:t>
      </w:r>
    </w:p>
    <w:p w14:paraId="6B30E280" w14:textId="77777777" w:rsidR="00257D2E" w:rsidRDefault="00495EF8" w:rsidP="00A1194E">
      <w:pPr>
        <w:spacing w:before="100" w:beforeAutospacing="1" w:after="100" w:afterAutospacing="1" w:line="240" w:lineRule="auto"/>
        <w:ind w:left="720" w:hanging="720"/>
      </w:pPr>
      <w:r>
        <w:t xml:space="preserve">Odhiambo, C. O., van der Puije, B., Maina, M., Mekonen, T., Diallo, S., Datema, T., </w:t>
      </w:r>
      <w:proofErr w:type="spellStart"/>
      <w:r>
        <w:t>Loembe</w:t>
      </w:r>
      <w:proofErr w:type="spellEnd"/>
      <w:r>
        <w:t xml:space="preserve">, M. M., Kebede, Y., Ndlovu, N., &amp; Ondoa, P. (2023). Examining 7 years of implementing quality management systems in medical laboratories in sub-Saharan Africa. </w:t>
      </w:r>
      <w:r>
        <w:rPr>
          <w:i/>
        </w:rPr>
        <w:t>Tropical Medicine &amp; International Health, 28</w:t>
      </w:r>
      <w:r>
        <w:t>(2), 126–135. https://doi.org/10.1111/tmi.13839</w:t>
      </w:r>
    </w:p>
    <w:p w14:paraId="4D6E2B68" w14:textId="77777777" w:rsidR="00257D2E" w:rsidRDefault="00495EF8" w:rsidP="00A1194E">
      <w:pPr>
        <w:spacing w:before="100" w:beforeAutospacing="1" w:after="100" w:afterAutospacing="1" w:line="240" w:lineRule="auto"/>
        <w:ind w:left="720" w:hanging="720"/>
      </w:pPr>
      <w:r>
        <w:t xml:space="preserve">Okedo-Alex, I. N., </w:t>
      </w:r>
      <w:proofErr w:type="spellStart"/>
      <w:r>
        <w:t>Akamike</w:t>
      </w:r>
      <w:proofErr w:type="spellEnd"/>
      <w:r>
        <w:t xml:space="preserve">, I. C., </w:t>
      </w:r>
      <w:proofErr w:type="spellStart"/>
      <w:r>
        <w:t>Ezeanosike</w:t>
      </w:r>
      <w:proofErr w:type="spellEnd"/>
      <w:r>
        <w:t xml:space="preserve">, O. B., &amp; </w:t>
      </w:r>
      <w:proofErr w:type="spellStart"/>
      <w:r>
        <w:t>Uneke</w:t>
      </w:r>
      <w:proofErr w:type="spellEnd"/>
      <w:r>
        <w:t xml:space="preserve">, C. J. (2019). A review of the incidence and determinants of catastrophic health expenditure in Nigeria: Implications for universal health coverage. </w:t>
      </w:r>
      <w:r>
        <w:rPr>
          <w:i/>
        </w:rPr>
        <w:t>The International Journal of Health Planning and Management, 34</w:t>
      </w:r>
      <w:r>
        <w:t>(4), e1387–e1404. https://doi.org/10.1002/hpm.2847</w:t>
      </w:r>
    </w:p>
    <w:p w14:paraId="168405A2" w14:textId="77777777" w:rsidR="00257D2E" w:rsidRDefault="00495EF8" w:rsidP="00A1194E">
      <w:pPr>
        <w:spacing w:before="100" w:beforeAutospacing="1" w:after="100" w:afterAutospacing="1" w:line="240" w:lineRule="auto"/>
        <w:ind w:left="720" w:hanging="720"/>
      </w:pPr>
      <w:proofErr w:type="spellStart"/>
      <w:r>
        <w:t>Ombelet</w:t>
      </w:r>
      <w:proofErr w:type="spellEnd"/>
      <w:r>
        <w:t xml:space="preserve">, W., Van </w:t>
      </w:r>
      <w:proofErr w:type="spellStart"/>
      <w:r>
        <w:t>Blerkom</w:t>
      </w:r>
      <w:proofErr w:type="spellEnd"/>
      <w:r>
        <w:t xml:space="preserve">, J., </w:t>
      </w:r>
      <w:proofErr w:type="spellStart"/>
      <w:r>
        <w:t>Bruckers</w:t>
      </w:r>
      <w:proofErr w:type="spellEnd"/>
      <w:r>
        <w:t xml:space="preserve">, L., Dhont, N., Nargund, G., &amp; Campo, R. (2023). Promising perinatal outcome after using a simplified low-cost IVF culture system specifically designed for resource-poor countries. </w:t>
      </w:r>
      <w:r>
        <w:rPr>
          <w:i/>
        </w:rPr>
        <w:t>Journal of Clinical Medicine, 12</w:t>
      </w:r>
      <w:r>
        <w:t>(6), Article 2264. https://doi.org/10.3390/jcm12062264</w:t>
      </w:r>
    </w:p>
    <w:p w14:paraId="61D8CAF3" w14:textId="77777777" w:rsidR="00257D2E" w:rsidRDefault="00495EF8" w:rsidP="00A1194E">
      <w:pPr>
        <w:spacing w:before="100" w:beforeAutospacing="1" w:after="100" w:afterAutospacing="1" w:line="240" w:lineRule="auto"/>
        <w:ind w:left="720" w:hanging="720"/>
      </w:pPr>
      <w:proofErr w:type="spellStart"/>
      <w:r>
        <w:t>Onyeabochukwu</w:t>
      </w:r>
      <w:proofErr w:type="spellEnd"/>
      <w:r>
        <w:t xml:space="preserve">, A. D., Izuka, E. O., </w:t>
      </w:r>
      <w:proofErr w:type="spellStart"/>
      <w:r>
        <w:t>Onyegbule</w:t>
      </w:r>
      <w:proofErr w:type="spellEnd"/>
      <w:r>
        <w:t>, O. A., Onumajuru, C. C., Ejelonu, U. T., Duke-</w:t>
      </w:r>
      <w:proofErr w:type="spellStart"/>
      <w:r>
        <w:t>Onyeabo</w:t>
      </w:r>
      <w:proofErr w:type="spellEnd"/>
      <w:r>
        <w:t xml:space="preserve">, C. P., Obiora-Izuka, C. E., &amp; </w:t>
      </w:r>
      <w:proofErr w:type="spellStart"/>
      <w:r>
        <w:t>Nwagha</w:t>
      </w:r>
      <w:proofErr w:type="spellEnd"/>
      <w:r>
        <w:t xml:space="preserve">, U. I. (2021). Association between serum chlamydial antibody levels and tubal infertility in tertiary health facility in South-East Nigeria: A case-control study. </w:t>
      </w:r>
      <w:r>
        <w:rPr>
          <w:i/>
        </w:rPr>
        <w:t>Ghana Medical Journal, 55</w:t>
      </w:r>
      <w:r>
        <w:t>(3), 183–189. https://doi.org/10.4314/gmj.v55i3.2</w:t>
      </w:r>
    </w:p>
    <w:p w14:paraId="54EEC7D5" w14:textId="77777777" w:rsidR="00257D2E" w:rsidRDefault="00495EF8" w:rsidP="00A1194E">
      <w:pPr>
        <w:spacing w:before="100" w:beforeAutospacing="1" w:after="100" w:afterAutospacing="1" w:line="240" w:lineRule="auto"/>
        <w:ind w:left="720" w:hanging="720"/>
      </w:pPr>
      <w:r>
        <w:t xml:space="preserve">Opeyemi, A. A., </w:t>
      </w:r>
      <w:proofErr w:type="spellStart"/>
      <w:r>
        <w:t>Obeagu</w:t>
      </w:r>
      <w:proofErr w:type="spellEnd"/>
      <w:r>
        <w:t xml:space="preserve">, E. I., &amp; Hassan, A. O. (2024). Enhancing quality healthcare in Nigeria through medical laboratory services: A review. </w:t>
      </w:r>
      <w:r>
        <w:rPr>
          <w:i/>
        </w:rPr>
        <w:t>Medicine, 103</w:t>
      </w:r>
      <w:r>
        <w:t>(2), Article e36869. https://doi.org/10.1097/MD.0000000000036869</w:t>
      </w:r>
    </w:p>
    <w:p w14:paraId="6775245F" w14:textId="77777777" w:rsidR="00257D2E" w:rsidRDefault="00495EF8" w:rsidP="00A1194E">
      <w:pPr>
        <w:spacing w:before="100" w:beforeAutospacing="1" w:after="100" w:afterAutospacing="1" w:line="240" w:lineRule="auto"/>
        <w:ind w:left="720" w:hanging="720"/>
      </w:pPr>
      <w:r>
        <w:t xml:space="preserve">Panner Selvam, M. K., </w:t>
      </w:r>
      <w:proofErr w:type="spellStart"/>
      <w:r>
        <w:t>Moharana</w:t>
      </w:r>
      <w:proofErr w:type="spellEnd"/>
      <w:r>
        <w:t xml:space="preserve">, A. K., Baskaran, S., Finelli, R., Hudnall, M. C., &amp; Sikka, S. C. (2024). Current updates on involvement of artificial intelligence and machine learning in semen analysis. </w:t>
      </w:r>
      <w:r>
        <w:rPr>
          <w:i/>
        </w:rPr>
        <w:t>Medicina, 60</w:t>
      </w:r>
      <w:r>
        <w:t>(2), Article 279. https://doi.org/10.3390/medicina60020279</w:t>
      </w:r>
    </w:p>
    <w:p w14:paraId="1401433B" w14:textId="77777777" w:rsidR="00257D2E" w:rsidRDefault="00495EF8" w:rsidP="00A1194E">
      <w:pPr>
        <w:spacing w:before="100" w:beforeAutospacing="1" w:after="100" w:afterAutospacing="1" w:line="240" w:lineRule="auto"/>
        <w:ind w:left="720" w:hanging="720"/>
      </w:pPr>
      <w:r>
        <w:t xml:space="preserve">Practice Committee of the American Society for Reproductive Medicine. (2024). Subclinical hypothyroidism in the infertile female population: A guideline. </w:t>
      </w:r>
      <w:r>
        <w:rPr>
          <w:i/>
        </w:rPr>
        <w:t>Fertility and Sterility, 121</w:t>
      </w:r>
      <w:r>
        <w:t>(5), 765–782. https://doi.org/10.1016/j.fertnstert.2023.12.038</w:t>
      </w:r>
    </w:p>
    <w:p w14:paraId="0F7CE56F" w14:textId="77777777" w:rsidR="00257D2E" w:rsidRDefault="00495EF8" w:rsidP="00A1194E">
      <w:pPr>
        <w:spacing w:before="100" w:beforeAutospacing="1" w:after="100" w:afterAutospacing="1" w:line="240" w:lineRule="auto"/>
        <w:ind w:left="720" w:hanging="720"/>
      </w:pPr>
      <w:r>
        <w:lastRenderedPageBreak/>
        <w:t xml:space="preserve">Punjabi, U., Wyns, C., Mahmoud, A., </w:t>
      </w:r>
      <w:proofErr w:type="spellStart"/>
      <w:r>
        <w:t>Vernelen</w:t>
      </w:r>
      <w:proofErr w:type="spellEnd"/>
      <w:r>
        <w:t xml:space="preserve">, K., China, B., &amp; Verheyen, G. (2016). Fifteen years of Belgian experience with external quality assessment of semen analysis. </w:t>
      </w:r>
      <w:r>
        <w:rPr>
          <w:i/>
        </w:rPr>
        <w:t>Andrology, 4</w:t>
      </w:r>
      <w:r>
        <w:t>(6), 1084–1093. https://doi.org/10.1111/andr.12230</w:t>
      </w:r>
    </w:p>
    <w:p w14:paraId="457A933D" w14:textId="77777777" w:rsidR="00257D2E" w:rsidRDefault="00495EF8" w:rsidP="00A1194E">
      <w:pPr>
        <w:spacing w:before="100" w:beforeAutospacing="1" w:after="100" w:afterAutospacing="1" w:line="240" w:lineRule="auto"/>
        <w:ind w:left="720" w:hanging="720"/>
      </w:pPr>
      <w:proofErr w:type="spellStart"/>
      <w:r>
        <w:t>Tantengco</w:t>
      </w:r>
      <w:proofErr w:type="spellEnd"/>
      <w:r>
        <w:t xml:space="preserve">, O. A. G., de Castro Silva, M., &amp; </w:t>
      </w:r>
      <w:proofErr w:type="spellStart"/>
      <w:r>
        <w:t>Velayo</w:t>
      </w:r>
      <w:proofErr w:type="spellEnd"/>
      <w:r>
        <w:t xml:space="preserve">, C. L. (2021). The role of genital mycoplasma infection in female infertility: A systematic review and meta-analysis. </w:t>
      </w:r>
      <w:r>
        <w:rPr>
          <w:i/>
        </w:rPr>
        <w:t>American Journal of Reproductive Immunology, 85</w:t>
      </w:r>
      <w:r>
        <w:t>(6), Article e13390. https://doi.org/10.1111/aji.13390</w:t>
      </w:r>
    </w:p>
    <w:p w14:paraId="0A6F62AE" w14:textId="77777777" w:rsidR="00257D2E" w:rsidRDefault="00495EF8" w:rsidP="00A1194E">
      <w:pPr>
        <w:spacing w:before="100" w:beforeAutospacing="1" w:after="100" w:afterAutospacing="1" w:line="240" w:lineRule="auto"/>
        <w:ind w:left="720" w:hanging="720"/>
      </w:pPr>
      <w:proofErr w:type="spellStart"/>
      <w:r>
        <w:t>Torokaa</w:t>
      </w:r>
      <w:proofErr w:type="spellEnd"/>
      <w:r>
        <w:t xml:space="preserve">, P. R., </w:t>
      </w:r>
      <w:proofErr w:type="spellStart"/>
      <w:r>
        <w:t>Massambu</w:t>
      </w:r>
      <w:proofErr w:type="spellEnd"/>
      <w:r>
        <w:t xml:space="preserve">, C., Lusekelo, J., Julius, R., </w:t>
      </w:r>
      <w:proofErr w:type="spellStart"/>
      <w:r>
        <w:t>Magesa</w:t>
      </w:r>
      <w:proofErr w:type="spellEnd"/>
      <w:r>
        <w:t xml:space="preserve">, A. S., </w:t>
      </w:r>
      <w:proofErr w:type="spellStart"/>
      <w:r>
        <w:t>Majigo</w:t>
      </w:r>
      <w:proofErr w:type="spellEnd"/>
      <w:r>
        <w:t xml:space="preserve">, M., Joachim, A., Kelly, M. E., Kyalo, A., &amp; Moremi, N. (2026). Strengthening laboratory management towards accreditation in Tanzania: The 13 years of remarkable revolutions in laboratory quality management system. </w:t>
      </w:r>
      <w:r>
        <w:rPr>
          <w:i/>
        </w:rPr>
        <w:t>PLOS One, 21</w:t>
      </w:r>
      <w:r>
        <w:t>(3), Article e0320823. https://doi.org/10.1371/journal.pone.0320823</w:t>
      </w:r>
    </w:p>
    <w:p w14:paraId="6E2966AE" w14:textId="77777777" w:rsidR="00257D2E" w:rsidRDefault="00495EF8" w:rsidP="00A1194E">
      <w:pPr>
        <w:spacing w:before="100" w:beforeAutospacing="1" w:after="100" w:afterAutospacing="1" w:line="240" w:lineRule="auto"/>
        <w:ind w:left="720" w:hanging="720"/>
      </w:pPr>
      <w:r>
        <w:t xml:space="preserve">Tzelios, C., </w:t>
      </w:r>
      <w:proofErr w:type="spellStart"/>
      <w:r>
        <w:t>Neuhausser</w:t>
      </w:r>
      <w:proofErr w:type="spellEnd"/>
      <w:r>
        <w:t xml:space="preserve">, W. M., Ryley, D., Vo, N., Hurtado, R. M., &amp; </w:t>
      </w:r>
      <w:proofErr w:type="spellStart"/>
      <w:r>
        <w:t>Nathavitharana</w:t>
      </w:r>
      <w:proofErr w:type="spellEnd"/>
      <w:r>
        <w:t xml:space="preserve">, R. R. (2022). Female genital tuberculosis. </w:t>
      </w:r>
      <w:r>
        <w:rPr>
          <w:i/>
        </w:rPr>
        <w:t>Open Forum Infectious Diseases, 9</w:t>
      </w:r>
      <w:r>
        <w:t>(11), Article ofac543. https://doi.org/10.1093/ofid/ofac543</w:t>
      </w:r>
    </w:p>
    <w:p w14:paraId="45550743" w14:textId="77777777" w:rsidR="00257D2E" w:rsidRDefault="00495EF8" w:rsidP="00A1194E">
      <w:pPr>
        <w:spacing w:before="100" w:beforeAutospacing="1" w:after="100" w:afterAutospacing="1" w:line="240" w:lineRule="auto"/>
        <w:ind w:left="720" w:hanging="720"/>
      </w:pPr>
      <w:r>
        <w:t xml:space="preserve">Vargas, S., Calvo, G., </w:t>
      </w:r>
      <w:proofErr w:type="spellStart"/>
      <w:r>
        <w:t>Qquellon</w:t>
      </w:r>
      <w:proofErr w:type="spellEnd"/>
      <w:r>
        <w:t xml:space="preserve">, J., Vasquez, F., </w:t>
      </w:r>
      <w:proofErr w:type="spellStart"/>
      <w:r>
        <w:t>Blondeel</w:t>
      </w:r>
      <w:proofErr w:type="spellEnd"/>
      <w:r>
        <w:t xml:space="preserve">, K., Ballard, R., &amp; </w:t>
      </w:r>
      <w:proofErr w:type="spellStart"/>
      <w:r>
        <w:t>Toskin</w:t>
      </w:r>
      <w:proofErr w:type="spellEnd"/>
      <w:r>
        <w:t xml:space="preserve">, I. (2022). Point-of-care testing for sexually transmitted infections in low-resource settings. </w:t>
      </w:r>
      <w:r>
        <w:rPr>
          <w:i/>
        </w:rPr>
        <w:t>Clinical Microbiology and Infection, 28</w:t>
      </w:r>
      <w:r>
        <w:t>(7), 946–951. https://doi.org/10.1016/j.cmi.2021.05.052</w:t>
      </w:r>
    </w:p>
    <w:p w14:paraId="6A047E76" w14:textId="77777777" w:rsidR="00257D2E" w:rsidRDefault="00495EF8" w:rsidP="00A1194E">
      <w:pPr>
        <w:spacing w:before="100" w:beforeAutospacing="1" w:after="100" w:afterAutospacing="1" w:line="240" w:lineRule="auto"/>
        <w:ind w:left="720" w:hanging="720"/>
      </w:pPr>
      <w:r>
        <w:t xml:space="preserve">Wang, C., </w:t>
      </w:r>
      <w:proofErr w:type="spellStart"/>
      <w:r>
        <w:t>Mbizvo</w:t>
      </w:r>
      <w:proofErr w:type="spellEnd"/>
      <w:r>
        <w:t xml:space="preserve">, M., Festin, M. P., Björndahl, L., &amp; </w:t>
      </w:r>
      <w:proofErr w:type="spellStart"/>
      <w:r>
        <w:t>Toskin</w:t>
      </w:r>
      <w:proofErr w:type="spellEnd"/>
      <w:r>
        <w:t xml:space="preserve">, I. (2022). Evolution of the WHO "semen" processing manual from the first (1980) to the sixth edition (2021). </w:t>
      </w:r>
      <w:r>
        <w:rPr>
          <w:i/>
        </w:rPr>
        <w:t>Fertility and Sterility, 117</w:t>
      </w:r>
      <w:r>
        <w:t>(2), 237–245. https://doi.org/10.1016/j.fertnstert.2021.11.037</w:t>
      </w:r>
    </w:p>
    <w:p w14:paraId="49746F00" w14:textId="77777777" w:rsidR="00257D2E" w:rsidRDefault="00495EF8" w:rsidP="00A1194E">
      <w:pPr>
        <w:spacing w:before="100" w:beforeAutospacing="1" w:after="100" w:afterAutospacing="1" w:line="240" w:lineRule="auto"/>
        <w:ind w:left="720" w:hanging="720"/>
      </w:pPr>
      <w:r>
        <w:t xml:space="preserve">Whittaker, A., Gerrits, T., Hammarberg, K., &amp; Manderson, L. (2024). Access to assisted reproductive technologies in sub-Saharan Africa: Fertility professionals' views. </w:t>
      </w:r>
      <w:r>
        <w:rPr>
          <w:i/>
        </w:rPr>
        <w:t>Sexual and Reproductive Health Matters, 32</w:t>
      </w:r>
      <w:r>
        <w:t>(1), Article 2355790. https://doi.org/10.1080/26410397.2024.2355790</w:t>
      </w:r>
    </w:p>
    <w:p w14:paraId="12D32FB0" w14:textId="77777777" w:rsidR="00257D2E" w:rsidRDefault="00495EF8" w:rsidP="00A1194E">
      <w:pPr>
        <w:spacing w:before="100" w:beforeAutospacing="1" w:after="100" w:afterAutospacing="1" w:line="240" w:lineRule="auto"/>
        <w:ind w:left="720" w:hanging="720"/>
      </w:pPr>
      <w:r>
        <w:t xml:space="preserve">Woodall, P. A., &amp; Kramer, M. R. (2018). Schistosomiasis and infertility in East Africa. </w:t>
      </w:r>
      <w:r>
        <w:rPr>
          <w:i/>
        </w:rPr>
        <w:t>The American Journal of Tropical Medicine and Hygiene, 98</w:t>
      </w:r>
      <w:r>
        <w:t>(4), 1137–1144. https://doi.org/10.4269/ajtmh.17-0280</w:t>
      </w:r>
    </w:p>
    <w:p w14:paraId="4AD940DD" w14:textId="77777777" w:rsidR="00257D2E" w:rsidRDefault="00495EF8" w:rsidP="00A1194E">
      <w:pPr>
        <w:spacing w:before="100" w:beforeAutospacing="1" w:after="100" w:afterAutospacing="1" w:line="240" w:lineRule="auto"/>
        <w:ind w:left="720" w:hanging="720"/>
      </w:pPr>
      <w:r>
        <w:t xml:space="preserve">World Health Organization. (2021). </w:t>
      </w:r>
      <w:r>
        <w:rPr>
          <w:i/>
        </w:rPr>
        <w:t>WHO laboratory manual for the examination and processing of human semen</w:t>
      </w:r>
      <w:r>
        <w:t xml:space="preserve"> (6th ed.). https://www.who.int/publications/i/item/9789240030787</w:t>
      </w:r>
    </w:p>
    <w:p w14:paraId="0B9A3488" w14:textId="77777777" w:rsidR="00257D2E" w:rsidRDefault="00495EF8" w:rsidP="00A1194E">
      <w:pPr>
        <w:spacing w:before="100" w:beforeAutospacing="1" w:after="100" w:afterAutospacing="1" w:line="240" w:lineRule="auto"/>
        <w:ind w:left="720" w:hanging="720"/>
      </w:pPr>
      <w:r>
        <w:t xml:space="preserve">World Health Organization. (2023). </w:t>
      </w:r>
      <w:r>
        <w:rPr>
          <w:i/>
        </w:rPr>
        <w:t>Infertility prevalence estimates, 1990–2021</w:t>
      </w:r>
      <w:r>
        <w:t>. https://www.who.int/publications/i/item/978920068315</w:t>
      </w:r>
    </w:p>
    <w:p w14:paraId="35DDFB81" w14:textId="77777777" w:rsidR="00257D2E" w:rsidRDefault="00495EF8" w:rsidP="00A1194E">
      <w:pPr>
        <w:spacing w:before="100" w:beforeAutospacing="1" w:after="100" w:afterAutospacing="1" w:line="240" w:lineRule="auto"/>
        <w:ind w:left="720" w:hanging="720"/>
      </w:pPr>
      <w:r>
        <w:t xml:space="preserve">Yao, K., Maruta, T., Luman, E. T., &amp; </w:t>
      </w:r>
      <w:proofErr w:type="spellStart"/>
      <w:r>
        <w:t>Nkengasong</w:t>
      </w:r>
      <w:proofErr w:type="spellEnd"/>
      <w:r>
        <w:t xml:space="preserve">, J. N. (2014). The SLMTA </w:t>
      </w:r>
      <w:proofErr w:type="spellStart"/>
      <w:r>
        <w:t>programme</w:t>
      </w:r>
      <w:proofErr w:type="spellEnd"/>
      <w:r>
        <w:t xml:space="preserve">: Transforming the laboratory landscape in developing countries. </w:t>
      </w:r>
      <w:r>
        <w:rPr>
          <w:i/>
        </w:rPr>
        <w:t>African Journal of Laboratory Medicine, 3</w:t>
      </w:r>
      <w:r>
        <w:t>(2), Article 194. https://doi.org/10.4102/ajlm.v3i2.194</w:t>
      </w:r>
    </w:p>
    <w:p w14:paraId="20066340" w14:textId="77777777" w:rsidR="00257D2E" w:rsidRDefault="00495EF8" w:rsidP="00A1194E">
      <w:pPr>
        <w:spacing w:before="100" w:beforeAutospacing="1" w:after="100" w:afterAutospacing="1" w:line="240" w:lineRule="auto"/>
        <w:ind w:left="720" w:hanging="720"/>
      </w:pPr>
      <w:r>
        <w:lastRenderedPageBreak/>
        <w:t xml:space="preserve">Zheng, Y., Wu, Y., Yu, L., Jia, Y., Yang, T., Cheng, Q., Qin, J., Liu, X., Jiang, M., &amp; Li, F. (2025). How has the external quality assessment/proficiency testing of semen analysis been developed in the past 34 years: A review. </w:t>
      </w:r>
      <w:r>
        <w:rPr>
          <w:i/>
        </w:rPr>
        <w:t>Clinical Chemistry and Laboratory Medicine, 63</w:t>
      </w:r>
      <w:r>
        <w:t>(4), 670–683. https://doi.org/10.1515/cclm-2024-1062</w:t>
      </w:r>
    </w:p>
    <w:sectPr w:rsidR="00257D2E"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9566" w14:textId="77777777" w:rsidR="006A70DF" w:rsidRDefault="006A70DF" w:rsidP="00CB48D4">
      <w:pPr>
        <w:spacing w:line="240" w:lineRule="auto"/>
      </w:pPr>
      <w:r>
        <w:separator/>
      </w:r>
    </w:p>
  </w:endnote>
  <w:endnote w:type="continuationSeparator" w:id="0">
    <w:p w14:paraId="52665EDA" w14:textId="77777777" w:rsidR="006A70DF" w:rsidRDefault="006A70DF" w:rsidP="00CB4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47F9" w14:textId="77777777" w:rsidR="00CB48D4" w:rsidRDefault="00CB4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5448" w14:textId="77777777" w:rsidR="00CB48D4" w:rsidRDefault="00CB48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A3F6" w14:textId="77777777" w:rsidR="00CB48D4" w:rsidRDefault="00CB4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B8559" w14:textId="77777777" w:rsidR="006A70DF" w:rsidRDefault="006A70DF" w:rsidP="00CB48D4">
      <w:pPr>
        <w:spacing w:line="240" w:lineRule="auto"/>
      </w:pPr>
      <w:r>
        <w:separator/>
      </w:r>
    </w:p>
  </w:footnote>
  <w:footnote w:type="continuationSeparator" w:id="0">
    <w:p w14:paraId="52992BD5" w14:textId="77777777" w:rsidR="006A70DF" w:rsidRDefault="006A70DF" w:rsidP="00CB48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8CC9" w14:textId="237FCB2D" w:rsidR="00CB48D4" w:rsidRDefault="00CB48D4">
    <w:pPr>
      <w:pStyle w:val="Header"/>
    </w:pPr>
    <w:r>
      <w:rPr>
        <w:noProof/>
      </w:rPr>
      <w:pict w14:anchorId="6176B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73182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60CA" w14:textId="6FBDF86D" w:rsidR="00CB48D4" w:rsidRDefault="00CB48D4">
    <w:pPr>
      <w:pStyle w:val="Header"/>
    </w:pPr>
    <w:r>
      <w:rPr>
        <w:noProof/>
      </w:rPr>
      <w:pict w14:anchorId="64AD84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73183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B71D" w14:textId="0F707861" w:rsidR="00CB48D4" w:rsidRDefault="00CB48D4">
    <w:pPr>
      <w:pStyle w:val="Header"/>
    </w:pPr>
    <w:r>
      <w:rPr>
        <w:noProof/>
      </w:rPr>
      <w:pict w14:anchorId="09F17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73182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1932242">
    <w:abstractNumId w:val="8"/>
  </w:num>
  <w:num w:numId="2" w16cid:durableId="261568295">
    <w:abstractNumId w:val="6"/>
  </w:num>
  <w:num w:numId="3" w16cid:durableId="1954093641">
    <w:abstractNumId w:val="5"/>
  </w:num>
  <w:num w:numId="4" w16cid:durableId="1706640800">
    <w:abstractNumId w:val="4"/>
  </w:num>
  <w:num w:numId="5" w16cid:durableId="518858011">
    <w:abstractNumId w:val="7"/>
  </w:num>
  <w:num w:numId="6" w16cid:durableId="959646328">
    <w:abstractNumId w:val="3"/>
  </w:num>
  <w:num w:numId="7" w16cid:durableId="510920366">
    <w:abstractNumId w:val="2"/>
  </w:num>
  <w:num w:numId="8" w16cid:durableId="68038089">
    <w:abstractNumId w:val="1"/>
  </w:num>
  <w:num w:numId="9" w16cid:durableId="1486167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7D2E"/>
    <w:rsid w:val="0029639D"/>
    <w:rsid w:val="00326F90"/>
    <w:rsid w:val="00495EF8"/>
    <w:rsid w:val="004F7C96"/>
    <w:rsid w:val="005812C7"/>
    <w:rsid w:val="006A70DF"/>
    <w:rsid w:val="00A1194E"/>
    <w:rsid w:val="00AA1D8D"/>
    <w:rsid w:val="00B47730"/>
    <w:rsid w:val="00CB0664"/>
    <w:rsid w:val="00CB48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387C1C"/>
  <w14:defaultImageDpi w14:val="300"/>
  <w15:docId w15:val="{EB8AF5C9-C241-4A40-9E36-FD9CC9E1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Cs/>
      <w:i/>
      <w:color w:val="000000"/>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240" w:after="120"/>
      <w:contextualSpacing/>
    </w:pPr>
    <w:rPr>
      <w:rFonts w:asciiTheme="majorHAnsi" w:eastAsiaTheme="majorEastAsia" w:hAnsiTheme="majorHAnsi" w:cstheme="majorBidi"/>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8FB9C-7D59-4312-9F9C-E8B64BE1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18427</Words>
  <Characters>105034</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1166</cp:lastModifiedBy>
  <cp:revision>5</cp:revision>
  <dcterms:created xsi:type="dcterms:W3CDTF">2013-12-23T23:15:00Z</dcterms:created>
  <dcterms:modified xsi:type="dcterms:W3CDTF">2026-08-03T09:42:00Z</dcterms:modified>
  <cp:category/>
</cp:coreProperties>
</file>