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3DAD" w14:textId="77777777" w:rsidR="00DC271A" w:rsidRPr="00DC271A" w:rsidRDefault="00DC271A" w:rsidP="00157BD5">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DC271A">
        <w:rPr>
          <w:rFonts w:ascii="Times New Roman" w:eastAsia="Times New Roman" w:hAnsi="Times New Roman" w:cs="Times New Roman"/>
          <w:b/>
          <w:bCs/>
          <w:sz w:val="36"/>
          <w:szCs w:val="36"/>
          <w:lang w:eastAsia="en-GB"/>
        </w:rPr>
        <w:t>Cancer Stem Cells: Molecular Mechanisms and Targets for Anti-Cancer Therapy</w:t>
      </w:r>
    </w:p>
    <w:p w14:paraId="475CC414"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4CDB0FE0"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Abstract</w:t>
      </w:r>
    </w:p>
    <w:p w14:paraId="0AFCF1B3"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Cancer stem cells (CSCs) represent a distinct subpopulation within malignant tumours that drive tumour growth, resist treatment, and seed metastatic disease through their capacity for self-renewal and multipotent differentiation. Their discovery has shifted how the field thinks about tumour heterogeneity and therapeutic failure. At the molecular level, CSC identity depends on a network of signalling pathways — Wnt/β-catenin, Notch, Hedgehog, PI3K/AKT/mTOR, and JAK/STAT3 — that sustain the expression of stemness transcription factors such as NANOG, OCT4, and SOX2. Epigenetic mechanisms, including DNA methylation, Polycomb-mediated histone modification, and non-coding RNA networks, reinforce these programmes and give CSC identity a stability that goes beyond genetic mutation. The tumour microenvironment supplies critical extrinsic support through hypoxic niches, cancer-associated fibroblasts, tumour-associated macrophages, and perivascular structures, all of which help CSCs evade immune clearance. The epithelial–mesenchymal transition further enables non-CSC tumour cells to acquire stem-like properties in response to stress, complicating simple hierarchical models of tumour organisation. Together, these features render CSCs intrinsically and adaptively resistant to chemotherapy, radiotherapy, and most targeted agents, making them the primary substrate of disease recurrence and distant spread. Therapeutic strategies to eliminate CSC populations are now advancing rapidly, ranging from surface marker-directed antibodies and CAR T cell therapies to epigenetic reprogramming agents, small-molecule pathway inhibitors, immune checkpoint combinations, and metabolic interventions. This review synthesises current mechanistic understanding of CSC biology and critically evaluates the therapeutic landscape, with attention to both promising advances and persistent challenges.</w:t>
      </w:r>
    </w:p>
    <w:p w14:paraId="24D11408" w14:textId="66C5ED50"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Keywords:</w:t>
      </w:r>
      <w:r w:rsidRPr="00DC271A">
        <w:rPr>
          <w:rFonts w:ascii="Times New Roman" w:eastAsia="Times New Roman" w:hAnsi="Times New Roman" w:cs="Times New Roman"/>
          <w:sz w:val="24"/>
          <w:szCs w:val="24"/>
          <w:lang w:eastAsia="en-GB"/>
        </w:rPr>
        <w:t xml:space="preserve"> </w:t>
      </w:r>
      <w:r w:rsidR="00157BD5">
        <w:rPr>
          <w:rFonts w:ascii="Times New Roman" w:eastAsia="Times New Roman" w:hAnsi="Times New Roman" w:cs="Times New Roman"/>
          <w:sz w:val="24"/>
          <w:szCs w:val="24"/>
          <w:lang w:eastAsia="en-GB"/>
        </w:rPr>
        <w:t>C</w:t>
      </w:r>
      <w:r w:rsidRPr="00DC271A">
        <w:rPr>
          <w:rFonts w:ascii="Times New Roman" w:eastAsia="Times New Roman" w:hAnsi="Times New Roman" w:cs="Times New Roman"/>
          <w:sz w:val="24"/>
          <w:szCs w:val="24"/>
          <w:lang w:eastAsia="en-GB"/>
        </w:rPr>
        <w:t>ancer stem cells; tumour heterogeneity; signalling pathways; epithelial–mesenchymal transition; drug resistance; therapeutic targeting; tumour microenvironment; epigenetics; self-renewal; stemness</w:t>
      </w:r>
    </w:p>
    <w:p w14:paraId="03FA2CA2"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2F8EFF65"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1. Introduction</w:t>
      </w:r>
    </w:p>
    <w:p w14:paraId="1BE8968B"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1.1 Historical Context and the Emergence of the Cancer Stem Cell Concept</w:t>
      </w:r>
    </w:p>
    <w:p w14:paraId="44E40599"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idea that tumours contain a rare subset of cells responsible for driving and sustaining malignant growth has reshaped how the field approaches cancer biology. Its experimental origins lie in leukaemia research. Lapidot et al. (1994) showed that only a CD34+/CD38− fraction of human acute myeloid leukaemia (AML) cells could engraft and propagate disease in SCID mice, whilst the bulk of leukaemic blasts lacked this capacity entirely. Bonnet and Dick (1997) extended this observation into a formal hierarchical model, establishing that AML originates from a primitive stem-like progenitor with properties resembling normal haematopoietic stem cells rather than from the abundant but comparatively inert blast population.</w:t>
      </w:r>
    </w:p>
    <w:p w14:paraId="7AB793C6"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Interest in solid tumours followed quickly. Al-Hajj et al. (2003) demonstrated that as few as 200 CD44+/CD24−/low/Lin− cells isolated from primary human breast carcinomas could initiate tumour formation in immunodeficient mice, whereas tens of thousands of cells from non-enriched populations largely failed to do so. That same approach — surface marker-based prospective isolation followed by xenograft testing — was adopted across solid tumour types with considerable success. Singh et al. (2004) identified a CD133+ population in human brain tumours capable of generating neurospheres and propagating xenografts whilst also producing the full phenotypic diversity of the parent tumour through differentiation. Comparable tumour-initiating populations were subsequently described in colorectal cancer (O'Brien et al., 2007) and pancreatic adenocarcinoma (Li et al., 2007), firmly establishing the CSC concept as applicable across histological contexts rather than unique to the haematopoietic system.</w:t>
      </w:r>
    </w:p>
    <w:p w14:paraId="6FAD00EC"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1.2 The Cancer Stem Cell Hypothesis and Tumour Heterogeneity</w:t>
      </w:r>
    </w:p>
    <w:p w14:paraId="5B095073"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Tumour heterogeneity — the coexistence within a single tumour of cells that differ genetically, epigenetically, and behaviourally — is one of the most clinically consequential features of cancer and a principal reason why therapies that work initially so often fail over time. Two models have shaped thinking on this problem. Clonal evolution theory holds that tumours diversify through sequential mutation and Darwinian selection, meaning that heterogeneity reflects the accumulated history of competitive adaptation. The CSC model proposes instead a hierarchical organisation, in which a rare stem-like subpopulation continuously regenerates the phenotypically diverse tumour mass through asymmetric division and differentiation (Visvader &amp; Lindeman, 2008). Neither model alone is sufficient. Current understanding treats them as complementary: genetic clonal evolution operates within a cellular hierarchy, and the two processes interact in ways that shape tumour behaviour over time (Kreso &amp; Dick, 2014).</w:t>
      </w:r>
    </w:p>
    <w:p w14:paraId="7719E9DC" w14:textId="4B7B12FF" w:rsidR="00974B9C" w:rsidRPr="00157BD5" w:rsidRDefault="00DC271A" w:rsidP="00157BD5">
      <w:pPr>
        <w:spacing w:before="100" w:beforeAutospacing="1" w:after="100" w:afterAutospacing="1" w:line="240" w:lineRule="auto"/>
        <w:jc w:val="both"/>
        <w:rPr>
          <w:rFonts w:ascii="Times New Roman" w:eastAsia="Times New Roman" w:hAnsi="Times New Roman" w:cs="Times New Roman"/>
          <w:bCs/>
          <w:sz w:val="24"/>
          <w:szCs w:val="24"/>
          <w:lang w:eastAsia="en-GB"/>
        </w:rPr>
      </w:pPr>
      <w:r w:rsidRPr="00DC271A">
        <w:rPr>
          <w:rFonts w:ascii="Times New Roman" w:eastAsia="Times New Roman" w:hAnsi="Times New Roman" w:cs="Times New Roman"/>
          <w:sz w:val="24"/>
          <w:szCs w:val="24"/>
          <w:lang w:eastAsia="en-GB"/>
        </w:rPr>
        <w:t>What complicates the CSC model further is the phenomenon of phenotypic plasticity — the ability of non-CSC tumour cells to reacquire stem-like properties in response to microenvironmental pressure, oncogenic signalling, or therapeutic stress (Nguyen et al., 2012; Batlle &amp; Clevers, 2017). This means CSC identity is not a fixed, heritable property but a dynamic cellular state, one that can be entered and exited. The revised hallmarks framework proposed by Hanahan (2022) acknowledges this directly, placing non-mutational epigenetic reprogramming and phenotypic plasticity among the enabling characteristics of malignant cells. In clinical terms, the implication is that treatments targeting only the bulk tumour population may consistently fail to eliminate the stem-like minority responsible for relapse and metastatic seeding (Peitzsch et al., 2017; Phi et al., 2018).</w:t>
      </w:r>
      <w:r w:rsidR="00157BD5">
        <w:rPr>
          <w:rFonts w:ascii="Times New Roman" w:eastAsia="Times New Roman" w:hAnsi="Times New Roman" w:cs="Times New Roman"/>
          <w:sz w:val="24"/>
          <w:szCs w:val="24"/>
          <w:lang w:eastAsia="en-GB"/>
        </w:rPr>
        <w:t xml:space="preserve"> </w:t>
      </w:r>
      <w:r w:rsidRPr="00157BD5">
        <w:rPr>
          <w:bCs/>
          <w:highlight w:val="yellow"/>
        </w:rPr>
        <w:t>Recent syntheses have further refined this view by framing cancer stemness as a plastic cellular state maintained by tumour-intrinsic regulatory networks, epigenetic control and niche-derived cues rather than as a uniformly stable subpopulation (Zeng et al., 2023; Loh &amp; Ma, 2024). Current reviews also indicate that CSC-directed therapeutic development still depends on more precise biomarker definition, validated functional models and rational integration of pathway, immune and metabolic targeting approaches (Chu et al., 2024; Lee et al., 2025).</w:t>
      </w:r>
    </w:p>
    <w:p w14:paraId="382D96AE" w14:textId="77777777" w:rsidR="00974B9C" w:rsidRPr="00157BD5" w:rsidRDefault="00000000" w:rsidP="00157BD5">
      <w:pPr>
        <w:jc w:val="both"/>
        <w:rPr>
          <w:bCs/>
        </w:rPr>
      </w:pPr>
      <w:r w:rsidRPr="00157BD5">
        <w:rPr>
          <w:bCs/>
          <w:highlight w:val="yellow"/>
        </w:rPr>
        <w:t>Despite this progress, the literature remains distributed across mechanistic, microenvironmental, resistance and therapeutic domains, and uncertainty persists about how best to translate CSC biology into clinically durable strategies. A focused synthesis is therefore needed to connect the molecular basis of CSC maintenance with practical therapeutic targets and the limitations that continue to affect anti-CSC approaches.</w:t>
      </w:r>
    </w:p>
    <w:p w14:paraId="47FA717E" w14:textId="4B94AC02"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lastRenderedPageBreak/>
        <w:t xml:space="preserve">1.3 Scope and Objectives </w:t>
      </w:r>
    </w:p>
    <w:p w14:paraId="6DE0D845"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This review examines the molecular biology of cancer stem cells and the therapeutic strategies emerging to target them. It covers the identification and characterisation of CSC populations across major cancer types; the signalling pathways and epigenetic mechanisms that sustain CSC identity; the role of the tumour microenvironment in CSC maintenance and immune evasion; the mechanistic basis of CSC-mediated therapy resistance; and the evolving landscape of anti-CSC therapeutic approaches. The objectives are: to consolidate mechanistic understanding of how CSC identity is specified and maintained; to appraise the principal molecular targets that have been identified for therapeutic intervention; to evaluate the evidence for anti-CSC strategies across the translational spectrum from cell biology to clinical trials; and to identify knowledge gaps and directions for future work.</w:t>
      </w:r>
    </w:p>
    <w:p w14:paraId="65D5C5AD"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550D6C5E"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2. Methods for Literature Selection</w:t>
      </w:r>
    </w:p>
    <w:p w14:paraId="7F0328E9"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This review adopts a narrative synthesis approach, which was considered appropriate given the mechanistic breadth of the subject matter and the need to draw together evidence from cell biology, tumour immunology, epigenetics, and clinical oncology into a coherent interpretive framework. Narrative reviews are well suited to rapidly evolving scientific domains where rigid inclusion criteria risk excluding important emerging evidence, and where synthesis of heterogeneous findings is the primary intellectual task (Gasparyan et al., 2011).</w:t>
      </w:r>
    </w:p>
    <w:p w14:paraId="37457FE3" w14:textId="47ADF0DC"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Literature searches were performed across PubMed/MEDLINE, Web of Science Core Collection, Scopus, Google Scholar, the Cochrane Library, BIOSIS Previews, ChemSpider, the WHO International Clinical Trials Registry Platform, the National Cancer Institute designated cancer information resources, the Cancer Genome Atlas (TCGA) publication portal, and StemBook. The primary search period ran from January 2011 to </w:t>
      </w:r>
      <w:r w:rsidR="00157BD5">
        <w:rPr>
          <w:rFonts w:ascii="Times New Roman" w:eastAsia="Times New Roman" w:hAnsi="Times New Roman" w:cs="Times New Roman"/>
          <w:sz w:val="24"/>
          <w:szCs w:val="24"/>
          <w:lang w:eastAsia="en-GB"/>
        </w:rPr>
        <w:t>February</w:t>
      </w:r>
      <w:r w:rsidRPr="00DC271A">
        <w:rPr>
          <w:rFonts w:ascii="Times New Roman" w:eastAsia="Times New Roman" w:hAnsi="Times New Roman" w:cs="Times New Roman"/>
          <w:sz w:val="24"/>
          <w:szCs w:val="24"/>
          <w:lang w:eastAsia="en-GB"/>
        </w:rPr>
        <w:t xml:space="preserve"> 2026, a window chosen to capture the most significant phase of CSC research — encompassing advances in single-cell analysis, epigenetic regulation, tumour microenvironment biology, and early clinical translation of anti-CSC therapies. For landmark and foundational work predating 2011, supplementary searches were conducted without a lower date restriction.</w:t>
      </w:r>
    </w:p>
    <w:p w14:paraId="0047EA15"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Search strings included, in various Boolean combinations: "cancer stem cells" AND "molecular mechanisms"; "cancer stem cells" AND "signalling pathways"; "CSC" AND "drug resistance"; "CSC" AND "tumour microenvironment"; "cancer stem cell niche"; "epithelial–mesenchymal transition" AND "cancer stem cells"; "CSC" AND "therapeutic targeting"; "stemness markers" AND "cancer"; "Wnt" OR "Notch" OR "Hedgehog" OR "PI3K" OR "STAT3" AND "cancer stem cells"; "epigenetics" AND "cancer stem cells"; "CSC plasticity"; "CSC immunotherapy"; and "anti-cancer stem cell therapy". All searches were restricted to English-language publications.</w:t>
      </w:r>
    </w:p>
    <w:p w14:paraId="2D41EF03" w14:textId="50F3A2C3" w:rsidR="00475A27" w:rsidRPr="00157BD5" w:rsidRDefault="00DC271A" w:rsidP="00157BD5">
      <w:pPr>
        <w:spacing w:before="100" w:beforeAutospacing="1" w:after="100" w:afterAutospacing="1" w:line="240" w:lineRule="auto"/>
        <w:jc w:val="both"/>
        <w:rPr>
          <w:rFonts w:ascii="Times New Roman" w:eastAsia="Times New Roman" w:hAnsi="Times New Roman" w:cs="Times New Roman"/>
          <w:sz w:val="28"/>
          <w:szCs w:val="28"/>
          <w:lang w:eastAsia="en-GB"/>
        </w:rPr>
      </w:pPr>
      <w:r w:rsidRPr="00157BD5">
        <w:rPr>
          <w:sz w:val="24"/>
          <w:szCs w:val="24"/>
        </w:rPr>
        <w:t xml:space="preserve">For inclusion, studies needed to appear in indexed peer-reviewed journals and address CSC biology or therapeutic targeting in human cancers or well-validated experimental systems, contributing original data or authoritative synthesis. Excluded were conference abstracts, book chapters, preprints, patents, and trade publications. Duplicate records were removed by title and author matching prior to screening. Articles were screened by title and abstract, </w:t>
      </w:r>
      <w:r w:rsidRPr="00157BD5">
        <w:rPr>
          <w:sz w:val="24"/>
          <w:szCs w:val="24"/>
        </w:rPr>
        <w:lastRenderedPageBreak/>
        <w:t xml:space="preserve">then assessed in full text for methodological quality, citation impact, and conceptual relevance. Preference was given to publications in high-ranking journals, influential mechanistic studies regardless of date, and recent reports addressing emerging targets or mechanisms. The final reference list comprises </w:t>
      </w:r>
      <w:r w:rsidRPr="00157BD5">
        <w:rPr>
          <w:b/>
          <w:sz w:val="24"/>
          <w:szCs w:val="24"/>
          <w:highlight w:val="yellow"/>
        </w:rPr>
        <w:t>53</w:t>
      </w:r>
      <w:r w:rsidRPr="00157BD5">
        <w:rPr>
          <w:sz w:val="24"/>
          <w:szCs w:val="24"/>
        </w:rPr>
        <w:t xml:space="preserve"> references, the majority from the </w:t>
      </w:r>
      <w:r w:rsidR="00157BD5" w:rsidRPr="00157BD5">
        <w:rPr>
          <w:rFonts w:ascii="Times New Roman" w:eastAsia="Times New Roman" w:hAnsi="Times New Roman" w:cs="Times New Roman"/>
          <w:sz w:val="24"/>
          <w:szCs w:val="24"/>
          <w:lang w:eastAsia="en-GB"/>
        </w:rPr>
        <w:t xml:space="preserve">January 2011 to February 2026 </w:t>
      </w:r>
      <w:r w:rsidRPr="00157BD5">
        <w:rPr>
          <w:sz w:val="24"/>
          <w:szCs w:val="24"/>
        </w:rPr>
        <w:t>primary search window, supplemented by foundational earlier work judged essential for contextualising the field.</w:t>
      </w:r>
    </w:p>
    <w:p w14:paraId="557B21A7"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6FC6DC28"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3. Identification and Characterisation of Cancer Stem Cells</w:t>
      </w:r>
    </w:p>
    <w:p w14:paraId="3AF8D83A"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3.1 Surface Markers and Phenotypic Characterisation</w:t>
      </w:r>
    </w:p>
    <w:p w14:paraId="778BFFE9"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CSC identification in heterogeneous tumours has depended primarily on cell-surface antigens that allow prospective isolation by flow cytometry or immunomagnetic sorting. These markers are not CSC-specific in a strict molecular sense — they enrich for populations with elevated tumour-initiating capacity, but their discriminatory power varies with tumour type, disease stage, and the specific assay used (Visvader &amp; Lindeman, 2008). This caveat matters for interpreting the literature, since a marker that reliably enriches for CSCs in one tumour type may perform poorly or even mislead in another.</w:t>
      </w:r>
    </w:p>
    <w:p w14:paraId="50E57B7D"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CD44 is the most widely studied CSC surface antigen. A transmembrane glycoprotein involved in cell adhesion, hyaluronan binding, and signal transduction, its splice isoforms — particularly the CD44v variants — engage multiple signalling axes including Wnt/β-catenin, PI3K/AKT, and RAS/MAPK to sustain proliferation, survival, and protection against oxidative damage (Zöller, 2011). The CD44+/CD24−/low phenotype, first validated as a CSC marker in breast cancer by Al-Hajj et al. (2003), has since been documented across prostate, colorectal, bladder, and head and neck malignancies, generally associating with mesenchymal gene expression, therapy resistance, and adverse prognosis.</w:t>
      </w:r>
    </w:p>
    <w:p w14:paraId="0EBF4F58"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Aldehyde dehydrogenase 1 (ALDH1) enzymatic activity provides an important complementary readout that is functional rather than purely phenotypic. Ginestier et al. (2007) showed that ALDH1-high cells in human mammary tumours have greater self-renewal capacity, superior tumour-initiating activity in xenografts, and — independently of stage or grade — a significantly worse clinical prognosis. Mechanistically, ALDH1 also metabolises aldophosphamide, the active metabolite of cyclophosphamide, providing a direct biochemical explanation for the chemotherapy resistance seen in ALDH1-high CSC populations.</w:t>
      </w:r>
    </w:p>
    <w:p w14:paraId="5C5389C8"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CD133 (Prominin-1) was identified by Singh et al. (2004) as marking brain tumour-initiating cells capable of serial neurosphere formation and histologically faithful xenograft propagation. The same marker subsequently proved useful in colorectal cancer (O'Brien et al., 2007) and pancreatic cancer (Li et al., 2007), though its reliability has been questioned in some contexts where CD133 expression is regulated post-translationally and may not consistently track with tumour-initiating capacity. LGR5 offers a particularly well-validated marker in colorectal and gastric cancers: Barker et al. (2007) first identified it as the definitive intestinal stem cell marker, and lineage-tracing experiments in APC-mutant mice subsequently demonstrated that LGR5+ crypt base columnar cells give rise to intestinal adenomas, establishing a direct link between the normal intestinal stem cell and the colorectal </w:t>
      </w:r>
      <w:r w:rsidRPr="00DC271A">
        <w:rPr>
          <w:rFonts w:ascii="Times New Roman" w:eastAsia="Times New Roman" w:hAnsi="Times New Roman" w:cs="Times New Roman"/>
          <w:sz w:val="24"/>
          <w:szCs w:val="24"/>
          <w:lang w:eastAsia="en-GB"/>
        </w:rPr>
        <w:lastRenderedPageBreak/>
        <w:t>CSC. EpCAM, CD90, CD13, and CXCR4 have been identified as CSC-enriching markers in hepatocellular carcinoma and other epithelial tumours (Nguyen et al., 2012). Table 1 provides a comparative summary of established CSC surface markers across major cancer types.</w:t>
      </w:r>
    </w:p>
    <w:p w14:paraId="0BD99AF2"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3.2 Functional Assays for Cancer Stem Cell Identification</w:t>
      </w:r>
    </w:p>
    <w:p w14:paraId="3619EEDC"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Surface markers alone are insufficient to confirm CSC identity. The key functional properties — self-renewal, differentiation capacity, and tumour-initiating activity — require dedicated assays, and there is now broad consensus that multiple orthogonal lines of evidence are needed to make a credible case for CSC identity.</w:t>
      </w:r>
    </w:p>
    <w:p w14:paraId="1BED4990"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sphere formation assay remains widely used as an in vitro self-renewal surrogate. Dissociated tumour cells are cultured under non-adherent, serum-free conditions; cells capable of surviving in suspension and proliferating form spheres, whilst differentiated cells die from anoikis. Serial sphere propagation at limiting dilution provides a quantitative estimate of self-renewal frequency (Lathia et al., 2015). The assay has practical limitations — sphere formation efficiency can be inflated by cell aggregation, and media composition has a large effect on outcome — but as part of a broader evidence base it remains informative.</w:t>
      </w:r>
    </w:p>
    <w:p w14:paraId="792BD268"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Xenograft transplantation into immunodeficient mice remains the definitive functional test, measuring whether prospectively sorted cell populations can initiate and serially propagate histologically faithful tumours in vivo (Kreso &amp; Dick, 2014). Limiting dilution analysis allows statistical estimation of the tumour-initiating cell frequency. The immunocompromised host environment is a recognised limitation — it removes immune barriers that would normally filter non-CSC cells — meaning that xenograft-based CSC frequencies may overestimate those in the original human tumour. Patient-derived organoids (PDOs) have emerged as a valuable intermediate platform, preserving the genetic and cellular heterogeneity of the parent tumour in three-dimensional architectures that support both CSC and non-CSC compartments (Prager et al., 2019). PDOs have shown closer pharmacological correspondence with clinical responses than conventional cell lines and are increasingly used for drug screening and mechanistic studies. Finally, side-population analysis — which exploits the capacity of ABCG2-overexpressing CSCs to efflux Hoechst 33342 dye — simultaneously enriches for drug-resistant stem-like cells and directly demonstrates the enhanced drug efflux activity that underlies much of their clinical resistance (Phi et al., 2018).</w:t>
      </w:r>
    </w:p>
    <w:p w14:paraId="2133C95C"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5AC07F59"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Table 1: Key Cancer Stem Cell Surface Markers Across Major Tumour Types</w:t>
      </w:r>
    </w:p>
    <w:tbl>
      <w:tblPr>
        <w:tblStyle w:val="TableGrid"/>
        <w:tblW w:w="0" w:type="auto"/>
        <w:tblLook w:val="04A0" w:firstRow="1" w:lastRow="0" w:firstColumn="1" w:lastColumn="0" w:noHBand="0" w:noVBand="1"/>
      </w:tblPr>
      <w:tblGrid>
        <w:gridCol w:w="1427"/>
        <w:gridCol w:w="2709"/>
        <w:gridCol w:w="2558"/>
        <w:gridCol w:w="2548"/>
      </w:tblGrid>
      <w:tr w:rsidR="00DC271A" w:rsidRPr="00DC271A" w14:paraId="53BDFBDB" w14:textId="77777777" w:rsidTr="0030192C">
        <w:tc>
          <w:tcPr>
            <w:tcW w:w="0" w:type="auto"/>
            <w:hideMark/>
          </w:tcPr>
          <w:p w14:paraId="25E26AA0"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Cancer Type</w:t>
            </w:r>
          </w:p>
        </w:tc>
        <w:tc>
          <w:tcPr>
            <w:tcW w:w="0" w:type="auto"/>
            <w:hideMark/>
          </w:tcPr>
          <w:p w14:paraId="7A21482D"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CSC Surface Markers</w:t>
            </w:r>
          </w:p>
        </w:tc>
        <w:tc>
          <w:tcPr>
            <w:tcW w:w="0" w:type="auto"/>
            <w:hideMark/>
          </w:tcPr>
          <w:p w14:paraId="69DACE32"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Principal Functional Role</w:t>
            </w:r>
          </w:p>
        </w:tc>
        <w:tc>
          <w:tcPr>
            <w:tcW w:w="0" w:type="auto"/>
            <w:hideMark/>
          </w:tcPr>
          <w:p w14:paraId="0A254B14"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Clinical Association</w:t>
            </w:r>
          </w:p>
        </w:tc>
      </w:tr>
      <w:tr w:rsidR="00DC271A" w:rsidRPr="00DC271A" w14:paraId="1CCD9246" w14:textId="77777777" w:rsidTr="0030192C">
        <w:tc>
          <w:tcPr>
            <w:tcW w:w="0" w:type="auto"/>
            <w:hideMark/>
          </w:tcPr>
          <w:p w14:paraId="3A73E63D"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Breast</w:t>
            </w:r>
          </w:p>
        </w:tc>
        <w:tc>
          <w:tcPr>
            <w:tcW w:w="0" w:type="auto"/>
            <w:hideMark/>
          </w:tcPr>
          <w:p w14:paraId="0B54784C"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CD44+/CD24−/low, ALDH1+, CD29+, CD49f+</w:t>
            </w:r>
          </w:p>
        </w:tc>
        <w:tc>
          <w:tcPr>
            <w:tcW w:w="0" w:type="auto"/>
            <w:hideMark/>
          </w:tcPr>
          <w:p w14:paraId="4297AFAF"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Self-renewal, tumour initiation, anoikis resistance</w:t>
            </w:r>
          </w:p>
        </w:tc>
        <w:tc>
          <w:tcPr>
            <w:tcW w:w="0" w:type="auto"/>
            <w:hideMark/>
          </w:tcPr>
          <w:p w14:paraId="503BAFA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Poor prognosis, mesenchymal phenotype, chemotherapy resistance</w:t>
            </w:r>
          </w:p>
        </w:tc>
      </w:tr>
      <w:tr w:rsidR="00DC271A" w:rsidRPr="00DC271A" w14:paraId="08E6BB99" w14:textId="77777777" w:rsidTr="0030192C">
        <w:tc>
          <w:tcPr>
            <w:tcW w:w="0" w:type="auto"/>
            <w:hideMark/>
          </w:tcPr>
          <w:p w14:paraId="157158A8"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Brain (GBM)</w:t>
            </w:r>
          </w:p>
        </w:tc>
        <w:tc>
          <w:tcPr>
            <w:tcW w:w="0" w:type="auto"/>
            <w:hideMark/>
          </w:tcPr>
          <w:p w14:paraId="3862D49D"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CD133+, CD15+, A2B5+, L1CAM+</w:t>
            </w:r>
          </w:p>
        </w:tc>
        <w:tc>
          <w:tcPr>
            <w:tcW w:w="0" w:type="auto"/>
            <w:hideMark/>
          </w:tcPr>
          <w:p w14:paraId="42834BA0"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Neurosphere formation, perivascular niche maintenance</w:t>
            </w:r>
          </w:p>
        </w:tc>
        <w:tc>
          <w:tcPr>
            <w:tcW w:w="0" w:type="auto"/>
            <w:hideMark/>
          </w:tcPr>
          <w:p w14:paraId="41F902A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Predicts tumour recurrence and radiotherapy resistance</w:t>
            </w:r>
          </w:p>
        </w:tc>
      </w:tr>
      <w:tr w:rsidR="00DC271A" w:rsidRPr="00DC271A" w14:paraId="5B35F0B2" w14:textId="77777777" w:rsidTr="0030192C">
        <w:tc>
          <w:tcPr>
            <w:tcW w:w="0" w:type="auto"/>
            <w:hideMark/>
          </w:tcPr>
          <w:p w14:paraId="16B79FA5"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Colorectal</w:t>
            </w:r>
          </w:p>
        </w:tc>
        <w:tc>
          <w:tcPr>
            <w:tcW w:w="0" w:type="auto"/>
            <w:hideMark/>
          </w:tcPr>
          <w:p w14:paraId="1D744639" w14:textId="77777777" w:rsidR="00DC271A" w:rsidRPr="00ED04FE" w:rsidRDefault="00DC271A" w:rsidP="00157BD5">
            <w:pPr>
              <w:jc w:val="both"/>
              <w:rPr>
                <w:rFonts w:ascii="Times New Roman" w:eastAsia="Times New Roman" w:hAnsi="Times New Roman" w:cs="Times New Roman"/>
                <w:sz w:val="24"/>
                <w:szCs w:val="24"/>
                <w:lang w:val="nl-BE" w:eastAsia="en-GB"/>
              </w:rPr>
            </w:pPr>
            <w:r w:rsidRPr="00ED04FE">
              <w:rPr>
                <w:rFonts w:ascii="Times New Roman" w:eastAsia="Times New Roman" w:hAnsi="Times New Roman" w:cs="Times New Roman"/>
                <w:sz w:val="24"/>
                <w:szCs w:val="24"/>
                <w:lang w:val="nl-BE" w:eastAsia="en-GB"/>
              </w:rPr>
              <w:t>CD133+, LGR5+, CD44+, EpCAM+, ALDH1+</w:t>
            </w:r>
          </w:p>
        </w:tc>
        <w:tc>
          <w:tcPr>
            <w:tcW w:w="0" w:type="auto"/>
            <w:hideMark/>
          </w:tcPr>
          <w:p w14:paraId="10B6C4EA" w14:textId="77777777" w:rsidR="00DC271A" w:rsidRPr="00DC271A" w:rsidRDefault="00DC271A" w:rsidP="00157BD5">
            <w:pPr>
              <w:jc w:val="both"/>
              <w:rPr>
                <w:rFonts w:ascii="Times New Roman" w:eastAsia="Times New Roman" w:hAnsi="Times New Roman" w:cs="Times New Roman"/>
                <w:sz w:val="24"/>
                <w:szCs w:val="24"/>
                <w:lang w:eastAsia="en-GB"/>
              </w:rPr>
            </w:pPr>
            <w:proofErr w:type="spellStart"/>
            <w:r w:rsidRPr="00DC271A">
              <w:rPr>
                <w:rFonts w:ascii="Times New Roman" w:eastAsia="Times New Roman" w:hAnsi="Times New Roman" w:cs="Times New Roman"/>
                <w:sz w:val="24"/>
                <w:szCs w:val="24"/>
                <w:lang w:eastAsia="en-GB"/>
              </w:rPr>
              <w:t>Wnt</w:t>
            </w:r>
            <w:proofErr w:type="spellEnd"/>
            <w:r w:rsidRPr="00DC271A">
              <w:rPr>
                <w:rFonts w:ascii="Times New Roman" w:eastAsia="Times New Roman" w:hAnsi="Times New Roman" w:cs="Times New Roman"/>
                <w:sz w:val="24"/>
                <w:szCs w:val="24"/>
                <w:lang w:eastAsia="en-GB"/>
              </w:rPr>
              <w:t xml:space="preserve"> target gene activation, crypt base columnar cell identity</w:t>
            </w:r>
          </w:p>
        </w:tc>
        <w:tc>
          <w:tcPr>
            <w:tcW w:w="0" w:type="auto"/>
            <w:hideMark/>
          </w:tcPr>
          <w:p w14:paraId="4EACEE1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Metastatic potential, oxaliplatin resistance</w:t>
            </w:r>
          </w:p>
        </w:tc>
      </w:tr>
      <w:tr w:rsidR="00DC271A" w:rsidRPr="00DC271A" w14:paraId="78C3B6E2" w14:textId="77777777" w:rsidTr="0030192C">
        <w:tc>
          <w:tcPr>
            <w:tcW w:w="0" w:type="auto"/>
            <w:hideMark/>
          </w:tcPr>
          <w:p w14:paraId="3F5FB36E"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Pancreatic</w:t>
            </w:r>
          </w:p>
        </w:tc>
        <w:tc>
          <w:tcPr>
            <w:tcW w:w="0" w:type="auto"/>
            <w:hideMark/>
          </w:tcPr>
          <w:p w14:paraId="557369D6" w14:textId="77777777" w:rsidR="00DC271A" w:rsidRPr="00ED04FE" w:rsidRDefault="00DC271A" w:rsidP="00157BD5">
            <w:pPr>
              <w:jc w:val="both"/>
              <w:rPr>
                <w:rFonts w:ascii="Times New Roman" w:eastAsia="Times New Roman" w:hAnsi="Times New Roman" w:cs="Times New Roman"/>
                <w:sz w:val="24"/>
                <w:szCs w:val="24"/>
                <w:lang w:val="nl-BE" w:eastAsia="en-GB"/>
              </w:rPr>
            </w:pPr>
            <w:r w:rsidRPr="00ED04FE">
              <w:rPr>
                <w:rFonts w:ascii="Times New Roman" w:eastAsia="Times New Roman" w:hAnsi="Times New Roman" w:cs="Times New Roman"/>
                <w:sz w:val="24"/>
                <w:szCs w:val="24"/>
                <w:lang w:val="nl-BE" w:eastAsia="en-GB"/>
              </w:rPr>
              <w:t>CD44+, CD24+, ESA+, CD133+, ALDH+</w:t>
            </w:r>
          </w:p>
        </w:tc>
        <w:tc>
          <w:tcPr>
            <w:tcW w:w="0" w:type="auto"/>
            <w:hideMark/>
          </w:tcPr>
          <w:p w14:paraId="47B01FA4"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Hedgehog signalling, clonogenicity, immune evasion</w:t>
            </w:r>
          </w:p>
        </w:tc>
        <w:tc>
          <w:tcPr>
            <w:tcW w:w="0" w:type="auto"/>
            <w:hideMark/>
          </w:tcPr>
          <w:p w14:paraId="4ABABBCE"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Gemcitabine resistance, poor overall survival</w:t>
            </w:r>
          </w:p>
        </w:tc>
      </w:tr>
      <w:tr w:rsidR="00DC271A" w:rsidRPr="00DC271A" w14:paraId="2A9A9A74" w14:textId="77777777" w:rsidTr="0030192C">
        <w:tc>
          <w:tcPr>
            <w:tcW w:w="0" w:type="auto"/>
            <w:hideMark/>
          </w:tcPr>
          <w:p w14:paraId="074BEF45"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Leukaemia (AML)</w:t>
            </w:r>
          </w:p>
        </w:tc>
        <w:tc>
          <w:tcPr>
            <w:tcW w:w="0" w:type="auto"/>
            <w:hideMark/>
          </w:tcPr>
          <w:p w14:paraId="0726E497"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CD34+/CD38−, CD123+, TIM-3+, CD47+</w:t>
            </w:r>
          </w:p>
        </w:tc>
        <w:tc>
          <w:tcPr>
            <w:tcW w:w="0" w:type="auto"/>
            <w:hideMark/>
          </w:tcPr>
          <w:p w14:paraId="7A1C2302"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Haematopoietic hierarchy maintenance</w:t>
            </w:r>
          </w:p>
        </w:tc>
        <w:tc>
          <w:tcPr>
            <w:tcW w:w="0" w:type="auto"/>
            <w:hideMark/>
          </w:tcPr>
          <w:p w14:paraId="2477FFBC"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Minimal residual disease, relapse, inferior clinical outcomes</w:t>
            </w:r>
          </w:p>
        </w:tc>
      </w:tr>
    </w:tbl>
    <w:p w14:paraId="08240EBD"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04FE">
        <w:rPr>
          <w:rFonts w:ascii="Times New Roman" w:eastAsia="Times New Roman" w:hAnsi="Times New Roman" w:cs="Times New Roman"/>
          <w:i/>
          <w:iCs/>
          <w:sz w:val="24"/>
          <w:szCs w:val="24"/>
          <w:lang w:val="nl-BE" w:eastAsia="en-GB"/>
        </w:rPr>
        <w:t xml:space="preserve">Sources: Al-Hajj et al. (2003); Barker et al. (2007); Ginestier et al. (2007); Lapidot et al. (1994); Li et al. (2007); O'Brien et al. (2007); Singh et al. </w:t>
      </w:r>
      <w:r w:rsidRPr="00DC271A">
        <w:rPr>
          <w:rFonts w:ascii="Times New Roman" w:eastAsia="Times New Roman" w:hAnsi="Times New Roman" w:cs="Times New Roman"/>
          <w:i/>
          <w:iCs/>
          <w:sz w:val="24"/>
          <w:szCs w:val="24"/>
          <w:lang w:eastAsia="en-GB"/>
        </w:rPr>
        <w:t>(2004)</w:t>
      </w:r>
    </w:p>
    <w:p w14:paraId="6A561DC8"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04C1798C"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4. Molecular Mechanisms Governing Cancer Stem Cell Biology</w:t>
      </w:r>
    </w:p>
    <w:p w14:paraId="0D6094F4"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4.1 Wnt/β-Catenin Signalling</w:t>
      </w:r>
    </w:p>
    <w:p w14:paraId="4D3F04BE"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Wnt/β-catenin signalling is arguably the best-characterised stemness pathway across tissue types and is dysregulated in CSC populations from a wide range of cancers. The central regulatory event is the control of β-catenin stability. In the absence of Wnt ligand, a destruction complex containing APC, Axin, GSK-3β, and CK1α phosphorylates β-catenin, marking it for proteasomal degradation. When Wnt ligands engage Frizzled receptors and LRP5/6 co-receptors, Dishevelled disrupts this complex, β-catenin escapes degradation, accumulates in the cytoplasm, and translocates to the nucleus. There it displaces Groucho co-repressors from TCF/LEF transcription factors and drives expression of target genes including c-MYC, cyclin D1, LGR5, and SNAIL (Zhan et al., 2017) — genes that promote proliferation, stem-like identity, and EMT, respectively.</w:t>
      </w:r>
    </w:p>
    <w:p w14:paraId="05A5DE65"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frequency of Wnt pathway mutation in colorectal cancer is instructive: truncating APC mutations occur in more than 80% of cases, producing constitutive β-catenin accumulation and LGR5+ CSC expansion that drives adenoma-to-carcinoma progression (de Sousa e Melo &amp; Vermeulen, 2016). Wnt pathway dysregulation in CSC populations is not confined to genetic mutation, however. Paracrine Wnt ligand secretion from cancer-associated fibroblasts, tumour-associated macrophages, and endothelial cells sustains CSC self-renewal through receptor engagement, embedding the pathway within a broader microenvironmental support system (Plaks et al., 2015; Nusse &amp; Clevers, 2017). Pharmacological interference has been pursued through multiple mechanisms — porcupine inhibitors that block Wnt ligand palmitoylation and secretion, antagonists of the β-catenin/TCF interaction, and anti-Frizzled antibodies — though the essential role of Wnt signalling in intestinal homeostasis complicates dosing at therapeutically active levels (Takebe et al., 2011).</w:t>
      </w:r>
    </w:p>
    <w:p w14:paraId="47517559"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4.2 Notch Signalling</w:t>
      </w:r>
    </w:p>
    <w:p w14:paraId="1B0FBB10"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Notch signalling coordinates cell-fate determination through direct cell-to-cell contact. When Notch receptors (Notch1–4) engage their membrane-bound ligands (DLL1, DLL3, DLL4, JAG1, JAG2) on adjacent cells, sequential cleavage by ADAM10/17 metalloprotease and the presenilin-1/γ-secretase complex releases the Notch intracellular domain (NICD). The NICD </w:t>
      </w:r>
      <w:r w:rsidRPr="00DC271A">
        <w:rPr>
          <w:rFonts w:ascii="Times New Roman" w:eastAsia="Times New Roman" w:hAnsi="Times New Roman" w:cs="Times New Roman"/>
          <w:sz w:val="24"/>
          <w:szCs w:val="24"/>
          <w:lang w:eastAsia="en-GB"/>
        </w:rPr>
        <w:lastRenderedPageBreak/>
        <w:t>then forms an active transcriptional complex with the co-activator Mastermind-like and the adaptor RBPJ, driving expression of target genes including HES1, HEY1, and NRARP (Ranganathan et al., 2011; Zhou et al., 2022). In normal tissues, this pathway balances stem cell self-renewal against differentiation and regulates the number of progenitors produced per asymmetric division.</w:t>
      </w:r>
    </w:p>
    <w:p w14:paraId="45882596"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In CSCs, Notch signalling is frequently amplified and functions to suppress differentiation, promote survival, and cross-activate Wnt and Hedgehog effectors. Activating NOTCH1 mutations are present in approximately 50–60% of T-cell acute lymphoblastic leukaemia cases, making this the best-validated context for Notch-driven CSC activity (Ranganathan et al., 2011). In solid tumours — breast, colorectal, pancreatic — Notch activation is more commonly driven by ligand overexpression, particularly Jagged1 on tumour-associated vascular endothelial cells, which engages CSC Notch receptors in the perivascular niche to sustain stem-like identity and confer resistance to cytotoxic injury (Plaks et al., 2015). γ-Secretase inhibitors (GSIs) have been the primary pharmacological approach to Notch pathway disruption, but dose-limiting goblet cell hyperplasia arising from intestinal Notch inhibition has been a persistent clinical obstacle. Efforts to develop selective antibodies targeting individual Notch receptor subtypes or specific ligands aim to achieve a more favourable therapeutic index (Takebe et al., 2011).</w:t>
      </w:r>
    </w:p>
    <w:p w14:paraId="1316BDFE"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4.3 Hedgehog Signalling</w:t>
      </w:r>
    </w:p>
    <w:p w14:paraId="6A836C39"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Hedgehog (Hh) pathway activation begins with ligand binding — Sonic (SHH), Indian (IHH), or Desert (DHH) hedgehog — to the transmembrane receptor Patched1 (PTCH1). In its unbound state, PTCH1 tonically suppresses Smoothened (SMO); ligand binding relieves this inhibition, allowing SMO to activate the downstream GLI transcription factor family (Lytle et al., 2018). GLI1 and GLI2, which act as transcriptional activators, then drive expression of target genes including PTCH1, NANOG, SNAIL, and cyclin D1, genes that promote CSC self-renewal, EMT, and cell cycle progression.</w:t>
      </w:r>
    </w:p>
    <w:p w14:paraId="4EDBB454"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PTCH1 loss-of-function mutations are the primary mechanism of constitutive Hh activation in basal cell carcinoma and medulloblastoma, whereas paracrine Hh signalling from stromal cells sustains CSC populations in pancreatic and colorectal cancers without requiring tumour-intrinsic mutation (Peitzsch et al., 2017). Both vismodegib and sonidegib are FDA-approved for locally advanced or metastatic basal cell carcinoma where surgery and radiation are not appropriate. Vismodegib has additionally been investigated in clinical trials for hedgehog-activated medulloblastoma, where CSC populations can be selectively depleted by SMO inhibition, though this indication does not carry a separate formal regulatory approval (Takebe et al., 2011). A recurring problem in the clinic is acquired resistance mediated by SMO point mutations — notably the gatekeeper D473H substitution — or by amplification of GLI effectors downstream of SMO, motivating development of post-SMO GLI-directed compounds.</w:t>
      </w:r>
    </w:p>
    <w:p w14:paraId="5DA1CA63"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4.4 PI3K/AKT/mTOR Signalling</w:t>
      </w:r>
    </w:p>
    <w:p w14:paraId="22DE29EF"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The PI3K/AKT/mTOR axis integrates signals from growth factors, nutrients, and cellular energy status to control metabolism, growth, and survival. Upon receptor tyrosine kinase activation, class I PI3Ks phosphorylate PIP2 to generate PIP3, which recruits AKT to the plasma membrane where it is activated by PDK1 and mTORC2. AKT in turn phosphorylates a broad array of substrates — FOXO transcription factors, BAD, MDM2, and the TSC1/2 </w:t>
      </w:r>
      <w:r w:rsidRPr="00DC271A">
        <w:rPr>
          <w:rFonts w:ascii="Times New Roman" w:eastAsia="Times New Roman" w:hAnsi="Times New Roman" w:cs="Times New Roman"/>
          <w:sz w:val="24"/>
          <w:szCs w:val="24"/>
          <w:lang w:eastAsia="en-GB"/>
        </w:rPr>
        <w:lastRenderedPageBreak/>
        <w:t>complex — to promote cell survival, proliferation, and metabolic reprogramming (Fruman et al., 2017). mTORC1, activated downstream of AKT through TSC1/2 inhibition, coordinates ribosome biogenesis, cap-dependent translation, and anabolic metabolism.</w:t>
      </w:r>
    </w:p>
    <w:p w14:paraId="3FFB73DD"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CSC populations across multiple tumour types exhibit constitutive PI3K/AKT/mTOR activity, most commonly because of PTEN loss through deletion, mutation, or promoter methylation, removing the principal phosphatase that degrades PIP3 (Fruman et al., 2017). Within the CSC context, mTORC2 is of particular functional importance: its activation of AKT and SGK1 drives FOXO transcription factors out of the nucleus, preventing the transcription of pro-differentiation target genes and thereby holding cells in a less committed state. mTORC1, meanwhile, supplies the anabolic machinery needed to support the heightened biosynthetic demands of self-renewing division (Turdo et al., 2019). Dual PI3K/mTOR inhibitors have shown anti-CSC activity in glioblastoma and breast cancer preclinical models, though compensatory feedback activation of receptor tyrosine kinases following mTOR inhibition limits the durability of single-agent effects.</w:t>
      </w:r>
    </w:p>
    <w:p w14:paraId="2C98CE69"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4.5 JAK/STAT3 Signalling</w:t>
      </w:r>
    </w:p>
    <w:p w14:paraId="7D3365E9"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STAT3 is a latent cytoplasmic transcription factor that becomes activated when cytokine receptors or receptor tyrosine kinases phosphorylate it at Tyr705, enabling dimerisation, nuclear entry, and sequence-specific DNA binding. Its transcriptional targets — survivin, BCL-XL, MCL-1, c-MYC, VEGF, and MMP2 — collectively promote survival, proliferation, angiogenesis, and tissue invasion (Yu et al., 2014). In the tumour microenvironment, IL-6 secreted by tumour-associated macrophages and cancer-associated fibroblasts is the primary STAT3-activating signal for CSC populations; notably, CSCs also produce IL-6 themselves, establishing an autocrine loop that sustains STAT3 phosphorylation even when paracrine signals are reduced (Prager et al., 2019). At the transcriptional level, STAT3 co-operates with NANOG and OCT4 to reinforce the core stemness programme, creating a feedforward circuit in which cytokine signalling and pluripotency factors mutually amplify one another (Yu et al., 2014). Constitutive STAT3 phosphorylation characterises CSC populations in glioblastoma, breast, colorectal, ovarian, and head and neck cancers. The STAT3 pathway inhibitor napabucasin (BBI608) has been evaluated in clinical trials for colorectal and other solid tumours — a meaningful step in translating this mechanism into patient care, even though achieving reliable intratumoral STAT3 inhibition at acceptable systemic doses remains an ongoing pharmacological challenge (Turdo et al., 2019).</w:t>
      </w:r>
    </w:p>
    <w:p w14:paraId="37D99EB2"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Table 2 summarises the major signalling pathways governing CSC biology, their key molecular components, relevant target genes, and current therapeutic approaches.</w:t>
      </w:r>
    </w:p>
    <w:p w14:paraId="32A9E0AA"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3A1CB6F8"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Table 2: Major Signalling Pathways Governing Cancer Stem Cell Biology</w:t>
      </w:r>
    </w:p>
    <w:tbl>
      <w:tblPr>
        <w:tblStyle w:val="TableGrid"/>
        <w:tblW w:w="0" w:type="auto"/>
        <w:tblLook w:val="04A0" w:firstRow="1" w:lastRow="0" w:firstColumn="1" w:lastColumn="0" w:noHBand="0" w:noVBand="1"/>
      </w:tblPr>
      <w:tblGrid>
        <w:gridCol w:w="2016"/>
        <w:gridCol w:w="2031"/>
        <w:gridCol w:w="1301"/>
        <w:gridCol w:w="1854"/>
        <w:gridCol w:w="2040"/>
      </w:tblGrid>
      <w:tr w:rsidR="00DC271A" w:rsidRPr="00DC271A" w14:paraId="0E48498C" w14:textId="77777777" w:rsidTr="0030192C">
        <w:tc>
          <w:tcPr>
            <w:tcW w:w="0" w:type="auto"/>
            <w:hideMark/>
          </w:tcPr>
          <w:p w14:paraId="7AA4206E"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Pathway</w:t>
            </w:r>
          </w:p>
        </w:tc>
        <w:tc>
          <w:tcPr>
            <w:tcW w:w="0" w:type="auto"/>
            <w:hideMark/>
          </w:tcPr>
          <w:p w14:paraId="057D2216"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Key Molecular Components</w:t>
            </w:r>
          </w:p>
        </w:tc>
        <w:tc>
          <w:tcPr>
            <w:tcW w:w="0" w:type="auto"/>
            <w:hideMark/>
          </w:tcPr>
          <w:p w14:paraId="2C915EDD"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CSC-Relevant Target Genes</w:t>
            </w:r>
          </w:p>
        </w:tc>
        <w:tc>
          <w:tcPr>
            <w:tcW w:w="0" w:type="auto"/>
            <w:hideMark/>
          </w:tcPr>
          <w:p w14:paraId="5FF118F4"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Therapeutic Approaches</w:t>
            </w:r>
          </w:p>
        </w:tc>
        <w:tc>
          <w:tcPr>
            <w:tcW w:w="0" w:type="auto"/>
            <w:hideMark/>
          </w:tcPr>
          <w:p w14:paraId="3F572C38"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Representative Tumour Types</w:t>
            </w:r>
          </w:p>
        </w:tc>
      </w:tr>
      <w:tr w:rsidR="00DC271A" w:rsidRPr="00DC271A" w14:paraId="01A23EF3" w14:textId="77777777" w:rsidTr="0030192C">
        <w:tc>
          <w:tcPr>
            <w:tcW w:w="0" w:type="auto"/>
            <w:hideMark/>
          </w:tcPr>
          <w:p w14:paraId="063A343D"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Wnt/β-catenin</w:t>
            </w:r>
          </w:p>
        </w:tc>
        <w:tc>
          <w:tcPr>
            <w:tcW w:w="0" w:type="auto"/>
            <w:hideMark/>
          </w:tcPr>
          <w:p w14:paraId="01F2BA5E"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Frizzled, LRP5/6, APC, GSK-3β, β-catenin, TCF/LEF</w:t>
            </w:r>
          </w:p>
        </w:tc>
        <w:tc>
          <w:tcPr>
            <w:tcW w:w="0" w:type="auto"/>
            <w:hideMark/>
          </w:tcPr>
          <w:p w14:paraId="57E45016"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MYC, cyclin D1, LGR5, </w:t>
            </w:r>
            <w:r w:rsidRPr="00DC271A">
              <w:rPr>
                <w:rFonts w:ascii="Times New Roman" w:eastAsia="Times New Roman" w:hAnsi="Times New Roman" w:cs="Times New Roman"/>
                <w:sz w:val="24"/>
                <w:szCs w:val="24"/>
                <w:lang w:eastAsia="en-GB"/>
              </w:rPr>
              <w:lastRenderedPageBreak/>
              <w:t>SNAIL, AXIN2</w:t>
            </w:r>
          </w:p>
        </w:tc>
        <w:tc>
          <w:tcPr>
            <w:tcW w:w="0" w:type="auto"/>
            <w:hideMark/>
          </w:tcPr>
          <w:p w14:paraId="6CE12EB7"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 xml:space="preserve">Porcupine inhibitors (WNT-974), </w:t>
            </w:r>
            <w:r w:rsidRPr="00DC271A">
              <w:rPr>
                <w:rFonts w:ascii="Times New Roman" w:eastAsia="Times New Roman" w:hAnsi="Times New Roman" w:cs="Times New Roman"/>
                <w:sz w:val="24"/>
                <w:szCs w:val="24"/>
                <w:lang w:eastAsia="en-GB"/>
              </w:rPr>
              <w:lastRenderedPageBreak/>
              <w:t>anti-Frizzled antibodies</w:t>
            </w:r>
          </w:p>
        </w:tc>
        <w:tc>
          <w:tcPr>
            <w:tcW w:w="0" w:type="auto"/>
            <w:hideMark/>
          </w:tcPr>
          <w:p w14:paraId="15CA0158"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Colorectal, breast, gastric, AML</w:t>
            </w:r>
          </w:p>
        </w:tc>
      </w:tr>
      <w:tr w:rsidR="00DC271A" w:rsidRPr="00DC271A" w14:paraId="573EDF50" w14:textId="77777777" w:rsidTr="0030192C">
        <w:tc>
          <w:tcPr>
            <w:tcW w:w="0" w:type="auto"/>
            <w:hideMark/>
          </w:tcPr>
          <w:p w14:paraId="4855A9AC"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Notch</w:t>
            </w:r>
          </w:p>
        </w:tc>
        <w:tc>
          <w:tcPr>
            <w:tcW w:w="0" w:type="auto"/>
            <w:hideMark/>
          </w:tcPr>
          <w:p w14:paraId="195B0A92"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Notch1–4, DLL1/3/4, JAG1/2, γ-secretase, NICD, RBPJ</w:t>
            </w:r>
          </w:p>
        </w:tc>
        <w:tc>
          <w:tcPr>
            <w:tcW w:w="0" w:type="auto"/>
            <w:hideMark/>
          </w:tcPr>
          <w:p w14:paraId="54B1553C"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HES1, HEY1, NRARP, Cyclin D1</w:t>
            </w:r>
          </w:p>
        </w:tc>
        <w:tc>
          <w:tcPr>
            <w:tcW w:w="0" w:type="auto"/>
            <w:hideMark/>
          </w:tcPr>
          <w:p w14:paraId="321FC29A"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γ-Secretase inhibitors, anti-Notch antibodies</w:t>
            </w:r>
          </w:p>
        </w:tc>
        <w:tc>
          <w:tcPr>
            <w:tcW w:w="0" w:type="auto"/>
            <w:hideMark/>
          </w:tcPr>
          <w:p w14:paraId="077965B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Breast, colorectal, T-ALL, lung</w:t>
            </w:r>
          </w:p>
        </w:tc>
      </w:tr>
      <w:tr w:rsidR="00DC271A" w:rsidRPr="00DC271A" w14:paraId="3BFC37F0" w14:textId="77777777" w:rsidTr="0030192C">
        <w:tc>
          <w:tcPr>
            <w:tcW w:w="0" w:type="auto"/>
            <w:hideMark/>
          </w:tcPr>
          <w:p w14:paraId="2209D9C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Hedgehog</w:t>
            </w:r>
          </w:p>
        </w:tc>
        <w:tc>
          <w:tcPr>
            <w:tcW w:w="0" w:type="auto"/>
            <w:hideMark/>
          </w:tcPr>
          <w:p w14:paraId="6EF384D9"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SHH/IHH/DHH, PTCH1, SMO, GLI1/2/3</w:t>
            </w:r>
          </w:p>
        </w:tc>
        <w:tc>
          <w:tcPr>
            <w:tcW w:w="0" w:type="auto"/>
            <w:hideMark/>
          </w:tcPr>
          <w:p w14:paraId="0F3C5A78"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PTCH1, SNAIL, NANOG, CCND1</w:t>
            </w:r>
          </w:p>
        </w:tc>
        <w:tc>
          <w:tcPr>
            <w:tcW w:w="0" w:type="auto"/>
            <w:hideMark/>
          </w:tcPr>
          <w:p w14:paraId="196754C9"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SMO inhibitors (vismodegib, sonidegib), GLI inhibitors</w:t>
            </w:r>
          </w:p>
        </w:tc>
        <w:tc>
          <w:tcPr>
            <w:tcW w:w="0" w:type="auto"/>
            <w:hideMark/>
          </w:tcPr>
          <w:p w14:paraId="2C2C566C"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BCC, medulloblastoma (investigational), pancreatic</w:t>
            </w:r>
          </w:p>
        </w:tc>
      </w:tr>
      <w:tr w:rsidR="00DC271A" w:rsidRPr="00DC271A" w14:paraId="73B7A9C5" w14:textId="77777777" w:rsidTr="0030192C">
        <w:tc>
          <w:tcPr>
            <w:tcW w:w="0" w:type="auto"/>
            <w:hideMark/>
          </w:tcPr>
          <w:p w14:paraId="55FACFB2"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PI3K/AKT/mTOR</w:t>
            </w:r>
          </w:p>
        </w:tc>
        <w:tc>
          <w:tcPr>
            <w:tcW w:w="0" w:type="auto"/>
            <w:hideMark/>
          </w:tcPr>
          <w:p w14:paraId="11FED3E2" w14:textId="77777777" w:rsidR="00DC271A" w:rsidRPr="00ED04FE" w:rsidRDefault="00DC271A" w:rsidP="00157BD5">
            <w:pPr>
              <w:jc w:val="both"/>
              <w:rPr>
                <w:rFonts w:ascii="Times New Roman" w:eastAsia="Times New Roman" w:hAnsi="Times New Roman" w:cs="Times New Roman"/>
                <w:sz w:val="24"/>
                <w:szCs w:val="24"/>
                <w:lang w:val="nl-BE" w:eastAsia="en-GB"/>
              </w:rPr>
            </w:pPr>
            <w:r w:rsidRPr="00ED04FE">
              <w:rPr>
                <w:rFonts w:ascii="Times New Roman" w:eastAsia="Times New Roman" w:hAnsi="Times New Roman" w:cs="Times New Roman"/>
                <w:sz w:val="24"/>
                <w:szCs w:val="24"/>
                <w:lang w:val="nl-BE" w:eastAsia="en-GB"/>
              </w:rPr>
              <w:t>PI3K, PTEN, AKT, PDK1, mTORC1/2, TSC1/2</w:t>
            </w:r>
          </w:p>
        </w:tc>
        <w:tc>
          <w:tcPr>
            <w:tcW w:w="0" w:type="auto"/>
            <w:hideMark/>
          </w:tcPr>
          <w:p w14:paraId="78132E02"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FOXO targets, </w:t>
            </w:r>
            <w:proofErr w:type="spellStart"/>
            <w:r w:rsidRPr="00DC271A">
              <w:rPr>
                <w:rFonts w:ascii="Times New Roman" w:eastAsia="Times New Roman" w:hAnsi="Times New Roman" w:cs="Times New Roman"/>
                <w:sz w:val="24"/>
                <w:szCs w:val="24"/>
                <w:lang w:eastAsia="en-GB"/>
              </w:rPr>
              <w:t>survivin</w:t>
            </w:r>
            <w:proofErr w:type="spellEnd"/>
            <w:r w:rsidRPr="00DC271A">
              <w:rPr>
                <w:rFonts w:ascii="Times New Roman" w:eastAsia="Times New Roman" w:hAnsi="Times New Roman" w:cs="Times New Roman"/>
                <w:sz w:val="24"/>
                <w:szCs w:val="24"/>
                <w:lang w:eastAsia="en-GB"/>
              </w:rPr>
              <w:t>, VEGF</w:t>
            </w:r>
          </w:p>
        </w:tc>
        <w:tc>
          <w:tcPr>
            <w:tcW w:w="0" w:type="auto"/>
            <w:hideMark/>
          </w:tcPr>
          <w:p w14:paraId="12D909AD"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Dual PI3K/mTOR inhibitors (BEZ235), rapamycin analogues</w:t>
            </w:r>
          </w:p>
        </w:tc>
        <w:tc>
          <w:tcPr>
            <w:tcW w:w="0" w:type="auto"/>
            <w:hideMark/>
          </w:tcPr>
          <w:p w14:paraId="2B54EA92"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 prostate, endometrial</w:t>
            </w:r>
          </w:p>
        </w:tc>
      </w:tr>
      <w:tr w:rsidR="00DC271A" w:rsidRPr="00DC271A" w14:paraId="1C15BA34" w14:textId="77777777" w:rsidTr="0030192C">
        <w:tc>
          <w:tcPr>
            <w:tcW w:w="0" w:type="auto"/>
            <w:hideMark/>
          </w:tcPr>
          <w:p w14:paraId="67F8D663"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JAK/STAT3</w:t>
            </w:r>
          </w:p>
        </w:tc>
        <w:tc>
          <w:tcPr>
            <w:tcW w:w="0" w:type="auto"/>
            <w:hideMark/>
          </w:tcPr>
          <w:p w14:paraId="50457C7D"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IL-6R, JAK1/2, STAT3, SHP-2</w:t>
            </w:r>
          </w:p>
        </w:tc>
        <w:tc>
          <w:tcPr>
            <w:tcW w:w="0" w:type="auto"/>
            <w:hideMark/>
          </w:tcPr>
          <w:p w14:paraId="14C5B02A"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Survivin, BCL-XL, MYC, VEGF, MMP2</w:t>
            </w:r>
          </w:p>
        </w:tc>
        <w:tc>
          <w:tcPr>
            <w:tcW w:w="0" w:type="auto"/>
            <w:hideMark/>
          </w:tcPr>
          <w:p w14:paraId="7F03EC2F"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STAT3 inhibitors (napabucasin), JAK inhibitors (ruxolitinib)</w:t>
            </w:r>
          </w:p>
        </w:tc>
        <w:tc>
          <w:tcPr>
            <w:tcW w:w="0" w:type="auto"/>
            <w:hideMark/>
          </w:tcPr>
          <w:p w14:paraId="5488B85D"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 colorectal, ovarian</w:t>
            </w:r>
          </w:p>
        </w:tc>
      </w:tr>
    </w:tbl>
    <w:p w14:paraId="08951E62"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04FE">
        <w:rPr>
          <w:rFonts w:ascii="Times New Roman" w:eastAsia="Times New Roman" w:hAnsi="Times New Roman" w:cs="Times New Roman"/>
          <w:i/>
          <w:iCs/>
          <w:sz w:val="24"/>
          <w:szCs w:val="24"/>
          <w:lang w:val="nl-BE" w:eastAsia="en-GB"/>
        </w:rPr>
        <w:t xml:space="preserve">Sources: de Sousa e Melo &amp; Vermeulen (2016); Fruman et al. (2017); Nusse &amp; Clevers (2017); Prager et al. (2019); Ranganathan et al. (2011); Takebe et al. (2011); Yu et al. (2014); Zhan et al. </w:t>
      </w:r>
      <w:r w:rsidRPr="00DC271A">
        <w:rPr>
          <w:rFonts w:ascii="Times New Roman" w:eastAsia="Times New Roman" w:hAnsi="Times New Roman" w:cs="Times New Roman"/>
          <w:i/>
          <w:iCs/>
          <w:sz w:val="24"/>
          <w:szCs w:val="24"/>
          <w:lang w:eastAsia="en-GB"/>
        </w:rPr>
        <w:t>(2017); Zhou et al. (2022)</w:t>
      </w:r>
    </w:p>
    <w:p w14:paraId="5BBB3FA3"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3985263C"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5. Epigenetic Regulation of Cancer Stem Cells</w:t>
      </w:r>
    </w:p>
    <w:p w14:paraId="4418935A"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5.1 DNA Methylation and Polycomb-Mediated Chromatin Remodelling</w:t>
      </w:r>
    </w:p>
    <w:p w14:paraId="7DD9CF70"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Developmental signalling pathways do not act alone in maintaining CSC identity — they operate on a chromatin landscape that has been epigenetically configured to favour the stem-like state. Aberrant DNA methylation is among the most consistent epigenetic features of cancer, and in CSC populations it operates bidirectionally: silencing tumour suppressor and differentiation-promoting loci via hypermethylation of their regulatory regions, whilst maintaining the hypomethylated and transcriptionally permissive state of stemness-associated genes (Easwaran et al., 2014). DNA methyltransferases DNMT1, DNMT3A, and DNMT3B are frequently overexpressed or dysregulated in CSC populations, and nucleoside analogue inhibitors of these enzymes — azacitidine and decitabine — can partially reverse pathological silencing, inducing differentiation and reducing sphere-forming capacity in both leukaemic and solid tumour models.</w:t>
      </w:r>
    </w:p>
    <w:p w14:paraId="27F80389"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Two Polycomb repressive complexes add a second layer of chromatin-based gene silencing. PRC2, through its catalytic subunit EZH2, tri-methylates histone H3 at lysine 27 (H3K27me3), creating a compact repressive chromatin environment at differentiation gene loci. EZH2 overexpression is documented across CSC populations in breast, prostate, bladder, and haematological malignancies, where it maintains the undifferentiated state by </w:t>
      </w:r>
      <w:r w:rsidRPr="00DC271A">
        <w:rPr>
          <w:rFonts w:ascii="Times New Roman" w:eastAsia="Times New Roman" w:hAnsi="Times New Roman" w:cs="Times New Roman"/>
          <w:sz w:val="24"/>
          <w:szCs w:val="24"/>
          <w:lang w:eastAsia="en-GB"/>
        </w:rPr>
        <w:lastRenderedPageBreak/>
        <w:t>silencing lineage-specification programmes (Toh et al., 2017). For epithelioid sarcoma — where EZH2 loss paradoxically occurs via SMARCB1 inactivation — tazemetostat (an EZH2 inhibitor) received FDA approval in a mutation-agnostic indication. Separately, for relapsed or refractory follicular lymphoma, approval is restricted to patients whose tumours carry EZH2 activating mutations as confirmed by an approved assay. These two distinct regulatory contexts illustrate how EZH2 biology differs between cancer types. PRC1, operating through its core component BMI1, mono-ubiquitinates histone H2A at lysine 119 (H2AK119ub1) and maintains CSC self-renewal by silencing the CDKN2A/INK4A locus — preventing the p16INK4a-driven senescence and p14ARF-mediated p53 stabilisation that would otherwise restrain proliferation (Easwaran et al., 2014). BMI1 overexpression consistently associates with stem-like phenotypes and treatment resistance in glioblastoma, breast cancer, colorectal cancer, and leukaemia. Histone deacetylases constitute a third epigenetic axis relevant to CSC biology; HDAC inhibitors including vorinostat, romidepsin, and panobinostat can reduce sphere-forming capacity, downregulate key stemness transcription factors, and sensitise CSC populations to conventional cytotoxic agents in multiple preclinical models (Toh et al., 2017).</w:t>
      </w:r>
    </w:p>
    <w:p w14:paraId="70AC5E62"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5.2 Non-Coding RNAs in Cancer Stem Cell Regulation</w:t>
      </w:r>
    </w:p>
    <w:p w14:paraId="1FADB79C"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Non-coding RNAs function as a post-transcriptional regulatory network that fine-tunes CSC gene expression. Let-7 family miRNAs are among the most important anti-CSC molecules in this network. They target LIN28, HMGA2, and KRAS to suppress self-renewal, but in CSC populations let-7 expression is itself suppressed — partly through promoter methylation and partly through LIN28-mediated inhibition of let-7 biogenesis — creating a double-negative feedback loop that locks cells in the stem-like state. The miR-200 family operates as a guardian of epithelial identity by targeting ZEB1 and ZEB2, transcriptional repressors of E-cadherin. Loss of miR-200 expression in mesenchymal-state CSC populations is a consistent finding, and it couples the acquisition of CSC properties to the EMT programme in a mechanistically tractable way (Shibue &amp; Weinberg, 2017). miR-34a exerts its anti-CSC effects more broadly, targeting Notch1/2, BCL-2, CD44, and SNAIL simultaneously, and its promoter methylation appears to be a recurrent event in multiple CSC populations. Synthetic miR-34a mimics delivered via lipid nanoparticle formulations have demonstrated anti-CSC activity in preclinical models, motivating ongoing translational efforts (Turdo et al., 2019).</w:t>
      </w:r>
    </w:p>
    <w:p w14:paraId="6669A5A0"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Long non-coding RNAs add structural complexity to this regulatory landscape. HOTAIR recruits PRC2 to chromatin regions it would not otherwise occupy, extending the reach of H3K27me3-mediated silencing to differentiation gene clusters including the HOXD locus. This activity reinforces CD44 expression and the stem-like state in breast, colorectal, and gastric cancers, where HOTAIR overexpression correlates with adverse clinical outcomes (Toh et al., 2017). MALAT1 and NEAT1 regulate alternative splicing and act as competitive endogenous RNAs to sequester tumour-suppressive miRNAs away from their targets. Taken together, non-coding RNA networks represent a post-transcriptional tier of CSC regulation with substantial therapeutic interest, particularly as RNA-delivery technology matures.</w:t>
      </w:r>
    </w:p>
    <w:p w14:paraId="7E03CFAD"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734316E8"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6. The Tumour Microenvironment and Cancer Stem Cell Maintenance</w:t>
      </w:r>
    </w:p>
    <w:p w14:paraId="6FD2B43F"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6.1 The Cancer Stem Cell Niche and Stromal Interactions</w:t>
      </w:r>
    </w:p>
    <w:p w14:paraId="0159B95F"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A recurrent lesson from normal stem cell biology is that stem cell identity cannot be understood in isolation from the surrounding niche — the microanatomical compartment that supplies the signals sustaining self-renewal and prevents premature differentiation (Morrison &amp; Spradling, 2008). In tumours, an analogous niche exists. The tumour microenvironment (TME) within which CSCs reside comprises cancer-associated fibroblasts (CAFs), tumour-associated macrophages (TAMs), vascular endothelial cells, pericytes, and an extensively remodelled extracellular matrix (ECM) rich in collagen, fibronectin, hyaluronic acid, and laminin. These components communicate with CSCs through direct contact, paracrine secretion, and extracellular vesicles, collectively generating a milieu that sustains stem-like properties and protects CSCs from immune clearance and cytotoxic drugs (Plaks et al., 2015).</w:t>
      </w:r>
    </w:p>
    <w:p w14:paraId="6A2914F3"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CAFs contribute heavily to this protective environment. Through the secretion of TGF-β, HGF, EGF, FGF, and Wnt ligands, CAFs simultaneously activate EMT programmes in adjacent epithelial tumour cells and reinforce self-renewal signalling in established CSC populations (Brabletz et al., 2018). TAMs — predominately polarised towards the immunosuppressive M2-like phenotype in established tumours — provide further CSC support through IL-6, IL-10, CCL2, and prostaglandin E2, which activate STAT3 and Wnt signalling in CSCs and dampen anti-tumour immune responses (Bayik &amp; Lathia, 2021). The perivascular niche is particularly well characterised in glioblastoma, where proximity to blood vessels correlates with maintenance of CD133+ stem-like cells. This vascular niche provides not only oxygen and nutrients but also Notch ligands — Jagged1 and DLL4 — from endothelial cells and CXCL12/SDF-1, which retains CSCs near the vasculature through CXCR4 receptor engagement (Lathia et al., 2015).</w:t>
      </w:r>
    </w:p>
    <w:p w14:paraId="4515AB42"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6.2 Hypoxia and Metabolic Reprogramming in Cancer Stem Cells</w:t>
      </w:r>
    </w:p>
    <w:p w14:paraId="6B57E761"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Hypoxia is a near-universal feature of solid tumour growth, arising wherever oxygen consumption by proliferating cells outpaces delivery from the vasculature. Far from being a passive stressor, hypoxia actively sculpts the CSC phenotype through the stabilisation of hypoxia-inducible factors HIF-1α and HIF-2α. Under low oxygen conditions, these transcription factors are no longer hydroxylated and VHL-targeted for degradation; instead they accumulate and drive expression of genes encoding stemness factors (NANOG, OCT4, SOX2, c-MYC), glycolytic enzymes, angiogenic mediators, and EMT regulators (Keith &amp; Simon, 2007). HIF-2α has attracted particular attention in glioblastoma and renal cell carcinoma, where it appears to co-ordinate with SOX2 and CD133 expression to actively reinforce CSC identity within the hypoxic tumour core (Lathia et al., 2015).</w:t>
      </w:r>
    </w:p>
    <w:p w14:paraId="26545D5D"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The metabolic phenotype of CSCs is more heterogeneous than early models suggested. Whilst the Warburg effect — aerobic glycolysis — is often considered the defining metabolic feature of cancer cells broadly, many CSC populations actually depend more heavily on mitochondrial oxidative phosphorylation (OXPHOS) than the surrounding differentiated tumour cells (Sancho et al., 2016). This has been particularly well documented in AML, pancreatic cancer, and breast cancer CSCs, where OXPHOS provides the ATP and biosynthetic intermediates needed to meet the demands of self-renewing division. Other CSC populations rely predominantly on fatty acid oxidation or glutamine-fuelled anaplerosis of the TCA cycle. The metabolic heterogeneity between CSC populations in different tumour types likely reflects tissue lineage, the degree of local hypoxia, and oncogene-driven metabolic reprogramming, but it also creates a degree of exploitable vulnerability: targeting OXPHOS or specific carbon sources that are disproportionately important to CSC survival can selectively deplete this population without necessarily harming differentiated tumour cells </w:t>
      </w:r>
      <w:r w:rsidRPr="00DC271A">
        <w:rPr>
          <w:rFonts w:ascii="Times New Roman" w:eastAsia="Times New Roman" w:hAnsi="Times New Roman" w:cs="Times New Roman"/>
          <w:sz w:val="24"/>
          <w:szCs w:val="24"/>
          <w:lang w:eastAsia="en-GB"/>
        </w:rPr>
        <w:lastRenderedPageBreak/>
        <w:t>(Sancho et al., 2016; García-Heredia &amp; Carnero, 2020). Table 3 summarises key microenvironmental components and their roles in CSC regulation.</w:t>
      </w:r>
    </w:p>
    <w:p w14:paraId="0D8E8CA2"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30B5E025"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Table 3: Tumour Microenvironment Components and Their Roles in Cancer Stem Cell Regulation</w:t>
      </w:r>
    </w:p>
    <w:tbl>
      <w:tblPr>
        <w:tblStyle w:val="TableGrid"/>
        <w:tblW w:w="0" w:type="auto"/>
        <w:tblLook w:val="04A0" w:firstRow="1" w:lastRow="0" w:firstColumn="1" w:lastColumn="0" w:noHBand="0" w:noVBand="1"/>
      </w:tblPr>
      <w:tblGrid>
        <w:gridCol w:w="1986"/>
        <w:gridCol w:w="2118"/>
        <w:gridCol w:w="2928"/>
        <w:gridCol w:w="2210"/>
      </w:tblGrid>
      <w:tr w:rsidR="00DC271A" w:rsidRPr="00DC271A" w14:paraId="0C854D84" w14:textId="77777777" w:rsidTr="0030192C">
        <w:tc>
          <w:tcPr>
            <w:tcW w:w="0" w:type="auto"/>
            <w:hideMark/>
          </w:tcPr>
          <w:p w14:paraId="4C64B53F"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TME Component</w:t>
            </w:r>
          </w:p>
        </w:tc>
        <w:tc>
          <w:tcPr>
            <w:tcW w:w="0" w:type="auto"/>
            <w:hideMark/>
          </w:tcPr>
          <w:p w14:paraId="4E8A0881"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Key Mediators</w:t>
            </w:r>
          </w:p>
        </w:tc>
        <w:tc>
          <w:tcPr>
            <w:tcW w:w="0" w:type="auto"/>
            <w:hideMark/>
          </w:tcPr>
          <w:p w14:paraId="207515CE"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Effect on CSCs</w:t>
            </w:r>
          </w:p>
        </w:tc>
        <w:tc>
          <w:tcPr>
            <w:tcW w:w="0" w:type="auto"/>
            <w:hideMark/>
          </w:tcPr>
          <w:p w14:paraId="46D24A9D"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Representative Tumour Types</w:t>
            </w:r>
          </w:p>
        </w:tc>
      </w:tr>
      <w:tr w:rsidR="00DC271A" w:rsidRPr="00DC271A" w14:paraId="3D19C4DB" w14:textId="77777777" w:rsidTr="0030192C">
        <w:tc>
          <w:tcPr>
            <w:tcW w:w="0" w:type="auto"/>
            <w:hideMark/>
          </w:tcPr>
          <w:p w14:paraId="70FB8AAE"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Cancer-associated fibroblasts</w:t>
            </w:r>
          </w:p>
        </w:tc>
        <w:tc>
          <w:tcPr>
            <w:tcW w:w="0" w:type="auto"/>
            <w:hideMark/>
          </w:tcPr>
          <w:p w14:paraId="7D042B38"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TGF-β, HGF, Wnt ligands, FGF, EGF</w:t>
            </w:r>
          </w:p>
        </w:tc>
        <w:tc>
          <w:tcPr>
            <w:tcW w:w="0" w:type="auto"/>
            <w:hideMark/>
          </w:tcPr>
          <w:p w14:paraId="23FB06D8"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EMT induction, Wnt/Notch activation, stemness maintenance</w:t>
            </w:r>
          </w:p>
        </w:tc>
        <w:tc>
          <w:tcPr>
            <w:tcW w:w="0" w:type="auto"/>
            <w:hideMark/>
          </w:tcPr>
          <w:p w14:paraId="70425DEA"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Breast, colorectal, pancreatic, lung</w:t>
            </w:r>
          </w:p>
        </w:tc>
      </w:tr>
      <w:tr w:rsidR="00DC271A" w:rsidRPr="00DC271A" w14:paraId="64AAB345" w14:textId="77777777" w:rsidTr="0030192C">
        <w:tc>
          <w:tcPr>
            <w:tcW w:w="0" w:type="auto"/>
            <w:hideMark/>
          </w:tcPr>
          <w:p w14:paraId="20A1E04D"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Tumour-associated macrophages (M2)</w:t>
            </w:r>
          </w:p>
        </w:tc>
        <w:tc>
          <w:tcPr>
            <w:tcW w:w="0" w:type="auto"/>
            <w:hideMark/>
          </w:tcPr>
          <w:p w14:paraId="7D269C2C"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IL-6, IL-10, CCL2, PGE2</w:t>
            </w:r>
          </w:p>
        </w:tc>
        <w:tc>
          <w:tcPr>
            <w:tcW w:w="0" w:type="auto"/>
            <w:hideMark/>
          </w:tcPr>
          <w:p w14:paraId="4D4238A6"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STAT3 and Wnt activation, immune tolerance</w:t>
            </w:r>
          </w:p>
        </w:tc>
        <w:tc>
          <w:tcPr>
            <w:tcW w:w="0" w:type="auto"/>
            <w:hideMark/>
          </w:tcPr>
          <w:p w14:paraId="00840B1B"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 hepatocellular carcinoma</w:t>
            </w:r>
          </w:p>
        </w:tc>
      </w:tr>
      <w:tr w:rsidR="00DC271A" w:rsidRPr="00DC271A" w14:paraId="37AD49DE" w14:textId="77777777" w:rsidTr="0030192C">
        <w:tc>
          <w:tcPr>
            <w:tcW w:w="0" w:type="auto"/>
            <w:hideMark/>
          </w:tcPr>
          <w:p w14:paraId="03AC3B35"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Cancer-associated endothelium</w:t>
            </w:r>
          </w:p>
        </w:tc>
        <w:tc>
          <w:tcPr>
            <w:tcW w:w="0" w:type="auto"/>
            <w:hideMark/>
          </w:tcPr>
          <w:p w14:paraId="016816BB"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Notch ligands (Jagged1, DLL4), CXCL12</w:t>
            </w:r>
          </w:p>
        </w:tc>
        <w:tc>
          <w:tcPr>
            <w:tcW w:w="0" w:type="auto"/>
            <w:hideMark/>
          </w:tcPr>
          <w:p w14:paraId="113CB970"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Perivascular niche maintenance, CXCR4-mediated CSC retention</w:t>
            </w:r>
          </w:p>
        </w:tc>
        <w:tc>
          <w:tcPr>
            <w:tcW w:w="0" w:type="auto"/>
            <w:hideMark/>
          </w:tcPr>
          <w:p w14:paraId="61A2A553"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w:t>
            </w:r>
          </w:p>
        </w:tc>
      </w:tr>
      <w:tr w:rsidR="00DC271A" w:rsidRPr="00DC271A" w14:paraId="56AC8F65" w14:textId="77777777" w:rsidTr="0030192C">
        <w:tc>
          <w:tcPr>
            <w:tcW w:w="0" w:type="auto"/>
            <w:hideMark/>
          </w:tcPr>
          <w:p w14:paraId="0DF78A3D"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Hypoxic regions</w:t>
            </w:r>
          </w:p>
        </w:tc>
        <w:tc>
          <w:tcPr>
            <w:tcW w:w="0" w:type="auto"/>
            <w:hideMark/>
          </w:tcPr>
          <w:p w14:paraId="6C7F0FAA"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HIF-1α, HIF-2α, VEGF, CAIX</w:t>
            </w:r>
          </w:p>
        </w:tc>
        <w:tc>
          <w:tcPr>
            <w:tcW w:w="0" w:type="auto"/>
            <w:hideMark/>
          </w:tcPr>
          <w:p w14:paraId="6188CDDD"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Stemness gene induction, metabolic reprogramming, EMT activation</w:t>
            </w:r>
          </w:p>
        </w:tc>
        <w:tc>
          <w:tcPr>
            <w:tcW w:w="0" w:type="auto"/>
            <w:hideMark/>
          </w:tcPr>
          <w:p w14:paraId="584E80B5"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Most solid tumours</w:t>
            </w:r>
          </w:p>
        </w:tc>
      </w:tr>
      <w:tr w:rsidR="00DC271A" w:rsidRPr="00DC271A" w14:paraId="4DE2347F" w14:textId="77777777" w:rsidTr="0030192C">
        <w:tc>
          <w:tcPr>
            <w:tcW w:w="0" w:type="auto"/>
            <w:hideMark/>
          </w:tcPr>
          <w:p w14:paraId="35060842"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Extracellular matrix</w:t>
            </w:r>
          </w:p>
        </w:tc>
        <w:tc>
          <w:tcPr>
            <w:tcW w:w="0" w:type="auto"/>
            <w:hideMark/>
          </w:tcPr>
          <w:p w14:paraId="43779B67"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Collagen I/IV, fibronectin, hyaluronic acid, laminin</w:t>
            </w:r>
          </w:p>
        </w:tc>
        <w:tc>
          <w:tcPr>
            <w:tcW w:w="0" w:type="auto"/>
            <w:hideMark/>
          </w:tcPr>
          <w:p w14:paraId="5E918693"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CD44 ligation, integrin signalling, mechanical stiffness-mediated stemness</w:t>
            </w:r>
          </w:p>
        </w:tc>
        <w:tc>
          <w:tcPr>
            <w:tcW w:w="0" w:type="auto"/>
            <w:hideMark/>
          </w:tcPr>
          <w:p w14:paraId="0FE48C2C"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Breast, prostate, colorectal, GBM</w:t>
            </w:r>
          </w:p>
        </w:tc>
      </w:tr>
    </w:tbl>
    <w:p w14:paraId="7A04D508"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i/>
          <w:iCs/>
          <w:sz w:val="24"/>
          <w:szCs w:val="24"/>
          <w:lang w:eastAsia="en-GB"/>
        </w:rPr>
        <w:t>Sources: Bayik &amp; Lathia (2021); Brabletz et al. (2018); Keith &amp; Simon (2007); Lathia et al. (2015); Morrison &amp; Spradling (2008); Plaks et al. (2015); Sancho et al. (2016)</w:t>
      </w:r>
    </w:p>
    <w:p w14:paraId="266D9F80"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568CB443"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7. Epithelial–Mesenchymal Transition and Cancer Stem Cells</w:t>
      </w:r>
    </w:p>
    <w:p w14:paraId="6EEC421B"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7.1 EMT as a Cancer Stem Cell-Inducing Programme</w:t>
      </w:r>
    </w:p>
    <w:p w14:paraId="78B108DB"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epithelial–mesenchymal transition (EMT) was initially characterised as a mechanism of tumour invasion and metastatic spread, but its relationship to CSC generation has proven to be a more fundamental connection. When Mani et al. (2008) showed that inducing EMT in immortalised human mammary epithelial cells with either SNAIL or TWIST generated a CD44+/CD24−/low subpopulation with sphere-forming capacity, this was a pivotal finding — it suggested that the same transcriptional programme driving invasion was simultaneously inducing a stem-like state, linking two major hallmarks of malignancy through a common mechanism. The connection has since been confirmed in multiple cancer types, and the underlying logic is now well understood mechanistically.</w:t>
      </w:r>
    </w:p>
    <w:p w14:paraId="3AADADEC"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TGF-β is the predominant EMT-inducing signal in epithelial tumour cells. Through SMAD2/3-dependent signalling and non-SMAD pathways including PI3K and RAS, TGF-β activates a set of EMT transcription factors — SNAIL1/2, ZEB1/2, and TWIST1/2 — that </w:t>
      </w:r>
      <w:r w:rsidRPr="00DC271A">
        <w:rPr>
          <w:rFonts w:ascii="Times New Roman" w:eastAsia="Times New Roman" w:hAnsi="Times New Roman" w:cs="Times New Roman"/>
          <w:sz w:val="24"/>
          <w:szCs w:val="24"/>
          <w:lang w:eastAsia="en-GB"/>
        </w:rPr>
        <w:lastRenderedPageBreak/>
        <w:t>repress E-cadherin, upregulate mesenchymal proteins such as vimentin and N-cadherin, and directly engage stemness programmes (Brabletz et al., 2018). These EMT transcription factors activate Wnt and Notch signalling whilst simultaneously suppressing miR-200 and miR-34 family expression, creating a mutually reinforcing network that links EMT activation to stable stemness maintenance. What has become increasingly clear is that the most stem-like and metastasis-competent state is often not the fully mesenchymal endpoint but rather an intermediate, partial EMT state in which cells co-express epithelial and mesenchymal markers (Shibue &amp; Weinberg, 2017). These hybrid states appear to confer greater plasticity and a more pronounced CSC phenotype than either extreme.</w:t>
      </w:r>
    </w:p>
    <w:p w14:paraId="33F61405"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7.2 EMT in Metastasis and Therapy Resistance</w:t>
      </w:r>
    </w:p>
    <w:p w14:paraId="026AE321"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connection between EMT and metastasis extends from local invasion through systemic dissemination to distant colonisation. Circulating tumour cells recovered from cancer patients frequently express mesenchymal markers and show upregulated EMT transcription factor activity, indicating that EMT is not merely a property of the primary tumour but an active programme during haematogenous spread (Brabletz et al., 2018). At distant organ sites, reversion to a more epithelial state through mesenchymal–epithelial transition (MET) appears to facilitate colonisation, suggesting that phenotypic switching between EMT and MET states is a dynamic feature of the metastatic cascade rather than a unidirectional commitment (Shibue &amp; Weinberg, 2017).</w:t>
      </w:r>
    </w:p>
    <w:p w14:paraId="59981E43"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Clinically, EMT-associated CSC states create treatment resistance through several overlapping mechanisms. The slow proliferation of mesenchymal-state cells reduces susceptibility to cell cycle-dependent cytotoxic agents. Enhanced expression of ABC drug efflux transporters in these populations reduces intracellular drug accumulation. Anti-apoptotic programmes driven by NF-κB and BCL-2 family proteins raise the apoptotic threshold. Together, these features make mesenchymal-state CSCs broadly resistant across chemotherapy regimens and many targeted agents (Cojoc et al., 2015). EMT-induced upregulation of PD-L1 on CSC surfaces adds another dimension: these cells can suppress T cell responses directly, which is increasingly relevant as immune checkpoint blockade becomes standard of care in more tumour types (Dagogo-Jack &amp; Shaw, 2018). Targeting the EMT programme itself — through TGF-β receptor kinase inhibitors, SNAIL and ZEB1 antagonists, or miR-200 family replacement — therefore addresses both metastatic potential and treatment resistance at once, and represents an attractive therapeutic strategy (Najafi et al., 2019).</w:t>
      </w:r>
    </w:p>
    <w:p w14:paraId="3BCDCFCD"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61A9C5AF"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8. Cancer Stem Cells and Therapeutic Resistance</w:t>
      </w:r>
    </w:p>
    <w:p w14:paraId="4911BF16"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8.1 Mechanisms of Intrinsic Resistance</w:t>
      </w:r>
    </w:p>
    <w:p w14:paraId="48DC9A24"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The resistance of CSCs to conventional therapy reflects a convergence of intrinsic cellular properties rather than any single mechanism, and this multifactorial basis is part of what makes the problem so difficult to solve (Phi et al., 2018; Cojoc et al., 2015). Drug efflux is perhaps the most extensively documented mechanism. ATP-binding cassette transporters — ABCB1 (P-glycoprotein), ABCG2 (BCRP), and ABCC1 (MRP1) — are overexpressed in CSC populations from most tumour types, actively pumping chemotherapeutic agents out of cells before lethal concentrations can accumulate. Their expression is transcriptionally </w:t>
      </w:r>
      <w:r w:rsidRPr="00DC271A">
        <w:rPr>
          <w:rFonts w:ascii="Times New Roman" w:eastAsia="Times New Roman" w:hAnsi="Times New Roman" w:cs="Times New Roman"/>
          <w:sz w:val="24"/>
          <w:szCs w:val="24"/>
          <w:lang w:eastAsia="en-GB"/>
        </w:rPr>
        <w:lastRenderedPageBreak/>
        <w:t>regulated by stemness factors including NANOG and NF-κB, establishing a direct mechanistic link between the stem-like transcriptional programme and the multidrug resistant phenotype (Najafi et al., 2019). The side-population assay, which measures Hoechst dye efflux through ABCG2, provides simultaneous evidence for both CSC identity and elevated drug efflux capacity, making it a particularly informative enrichment strategy (Phi et al., 2018).</w:t>
      </w:r>
    </w:p>
    <w:p w14:paraId="5212272D"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DNA damage repair proficiency is a second major resistance mechanism. CD133+ glioblastoma cells preferentially activate the checkpoint kinases CHK1 and CHK2 in response to irradiation, enabling more efficient DNA repair through upregulated non-homologous end joining and homologous recombination, which together underlie the relative radioresistance of brain tumour CSCs (Lathia et al., 2015). Anti-apoptotic signalling constitutes a third layer of intrinsic resistance. BCL-2, BCL-XL, MCL-1, and survivin are overexpressed in CSC populations across multiple tumour types, driven by STAT3, NF-κB, and Notch, raising the threshold above which pro-apoptotic signals can trigger the mitochondrial permeability transition (Phi et al., 2018). Finally, upregulated reactive oxygen species (ROS) scavenging systems — including superoxide dismutase 2 (SOD2), catalase, and the thioredoxin–glutaredoxin network — shield CSC populations from oxidative stress-mediated cell death, which is a major cytotoxic mechanism of both chemotherapy and ionising radiation (Najafi et al., 2019).</w:t>
      </w:r>
    </w:p>
    <w:p w14:paraId="1D75C9DC"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8.2 Acquired Resistance, Phenotypic Plasticity, and Selective Survival</w:t>
      </w:r>
    </w:p>
    <w:p w14:paraId="4ACDAE99"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Beyond pre-existing intrinsic resistance, therapy itself can actively generate or expand CSC populations — a phenomenon with serious implications for treatment sequencing and combination design. When targeted agents eliminate the proliferating bulk of a tumour, residual drug-tolerant cells exhibiting stem-like gene expression, upregulated ABC transporter activity, and mesenchymal characteristics can survive, repopulate, and generate resistant progeny (Boumahdi &amp; de Sauvage, 2020). These drug-tolerant persisters are not simply pre-existing clones selected by therapy; they also arise through active transcriptional and epigenetic reprogramming triggered by the pharmacological pressure itself (Shen et al., </w:t>
      </w:r>
      <w:r w:rsidR="0030192C">
        <w:rPr>
          <w:rFonts w:ascii="Times New Roman" w:eastAsia="Times New Roman" w:hAnsi="Times New Roman" w:cs="Times New Roman"/>
          <w:sz w:val="24"/>
          <w:szCs w:val="24"/>
          <w:lang w:eastAsia="en-GB"/>
        </w:rPr>
        <w:t>2020</w:t>
      </w:r>
      <w:r w:rsidRPr="00DC271A">
        <w:rPr>
          <w:rFonts w:ascii="Times New Roman" w:eastAsia="Times New Roman" w:hAnsi="Times New Roman" w:cs="Times New Roman"/>
          <w:sz w:val="24"/>
          <w:szCs w:val="24"/>
          <w:lang w:eastAsia="en-GB"/>
        </w:rPr>
        <w:t>). The net result is an enrichment of the CSC compartment in residual disease after treatment — the very population most likely to drive relapse.</w:t>
      </w:r>
    </w:p>
    <w:p w14:paraId="4FB00DD4"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Lineage reprogramming under therapy provides the most dramatic examples of this plasticity. Prostate cancers treated with androgen deprivation can transdifferentiate into neuroendocrine tumours that no longer depend on androgen receptor signalling. Lung adenocarcinomas progressing under EGFR inhibition sometimes convert to small cell histology. Breast cancers acquiring resistance to taxanes frequently show increased EMT-driven CSC induction (Boumahdi &amp; de Sauvage, 2020; Dagogo-Jack &amp; Shaw, 2018). These observations argue that the stem-like state is not merely selected under therapy but can be actively induced, and that any effective treatment strategy must address this adaptive capacity from the outset rather than as an afterthought.</w:t>
      </w:r>
    </w:p>
    <w:p w14:paraId="300F6D96"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Immune evasion adds a further dimension. CSC populations present fewer surface MHC class I molecules, reducing their visibility to cytotoxic T lymphocytes. They concurrently upregulate PD-L1 to suppress T cell activation and CD47 to prevent phagocytic destruction by macrophages. The immunosuppressive cytokines they secrete — IL-4, IL-10, TGF-β, and VEGF — further remodel the TME in favour of regulatory T cells and M2 macrophages, perpetuating a local immune environment in which CSCs are poorly controlled (Bayik &amp; </w:t>
      </w:r>
      <w:r w:rsidRPr="00DC271A">
        <w:rPr>
          <w:rFonts w:ascii="Times New Roman" w:eastAsia="Times New Roman" w:hAnsi="Times New Roman" w:cs="Times New Roman"/>
          <w:sz w:val="24"/>
          <w:szCs w:val="24"/>
          <w:lang w:eastAsia="en-GB"/>
        </w:rPr>
        <w:lastRenderedPageBreak/>
        <w:t>Lathia, 2021). Table 4 summarises the principal resistance mechanisms characterising CSC populations.</w:t>
      </w:r>
    </w:p>
    <w:p w14:paraId="5AEBD8BA"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24E62B1E"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Table 4: Mechanisms of Therapeutic Resistance in Cancer Stem Cell Populations</w:t>
      </w:r>
    </w:p>
    <w:tbl>
      <w:tblPr>
        <w:tblStyle w:val="TableGrid"/>
        <w:tblW w:w="0" w:type="auto"/>
        <w:tblLook w:val="04A0" w:firstRow="1" w:lastRow="0" w:firstColumn="1" w:lastColumn="0" w:noHBand="0" w:noVBand="1"/>
      </w:tblPr>
      <w:tblGrid>
        <w:gridCol w:w="1481"/>
        <w:gridCol w:w="2811"/>
        <w:gridCol w:w="3227"/>
        <w:gridCol w:w="1723"/>
      </w:tblGrid>
      <w:tr w:rsidR="00DC271A" w:rsidRPr="00DC271A" w14:paraId="0F90DB26" w14:textId="77777777" w:rsidTr="0030192C">
        <w:tc>
          <w:tcPr>
            <w:tcW w:w="0" w:type="auto"/>
            <w:hideMark/>
          </w:tcPr>
          <w:p w14:paraId="2D10E5AE"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Resistance Mechanism</w:t>
            </w:r>
          </w:p>
        </w:tc>
        <w:tc>
          <w:tcPr>
            <w:tcW w:w="0" w:type="auto"/>
            <w:hideMark/>
          </w:tcPr>
          <w:p w14:paraId="7C481E7F"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Key Molecular Mediators</w:t>
            </w:r>
          </w:p>
        </w:tc>
        <w:tc>
          <w:tcPr>
            <w:tcW w:w="0" w:type="auto"/>
            <w:hideMark/>
          </w:tcPr>
          <w:p w14:paraId="75C6E99E"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Functional Consequence</w:t>
            </w:r>
          </w:p>
        </w:tc>
        <w:tc>
          <w:tcPr>
            <w:tcW w:w="0" w:type="auto"/>
            <w:hideMark/>
          </w:tcPr>
          <w:p w14:paraId="6AFD396C"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Tumour Types</w:t>
            </w:r>
          </w:p>
        </w:tc>
      </w:tr>
      <w:tr w:rsidR="00DC271A" w:rsidRPr="00DC271A" w14:paraId="577A1FA9" w14:textId="77777777" w:rsidTr="0030192C">
        <w:tc>
          <w:tcPr>
            <w:tcW w:w="0" w:type="auto"/>
            <w:hideMark/>
          </w:tcPr>
          <w:p w14:paraId="4333FE79"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Drug efflux</w:t>
            </w:r>
          </w:p>
        </w:tc>
        <w:tc>
          <w:tcPr>
            <w:tcW w:w="0" w:type="auto"/>
            <w:hideMark/>
          </w:tcPr>
          <w:p w14:paraId="3CB62E3E"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ABCB1, ABCG2, ABCC1</w:t>
            </w:r>
          </w:p>
        </w:tc>
        <w:tc>
          <w:tcPr>
            <w:tcW w:w="0" w:type="auto"/>
            <w:hideMark/>
          </w:tcPr>
          <w:p w14:paraId="3418C289"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Reduced intracellular drug accumulation; multidrug resistance</w:t>
            </w:r>
          </w:p>
        </w:tc>
        <w:tc>
          <w:tcPr>
            <w:tcW w:w="0" w:type="auto"/>
            <w:hideMark/>
          </w:tcPr>
          <w:p w14:paraId="34EBDC95"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Multiple solid tumours and leukaemia</w:t>
            </w:r>
          </w:p>
        </w:tc>
      </w:tr>
      <w:tr w:rsidR="00DC271A" w:rsidRPr="00DC271A" w14:paraId="24D674F0" w14:textId="77777777" w:rsidTr="0030192C">
        <w:tc>
          <w:tcPr>
            <w:tcW w:w="0" w:type="auto"/>
            <w:hideMark/>
          </w:tcPr>
          <w:p w14:paraId="031D86F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Enhanced DNA repair</w:t>
            </w:r>
          </w:p>
        </w:tc>
        <w:tc>
          <w:tcPr>
            <w:tcW w:w="0" w:type="auto"/>
            <w:hideMark/>
          </w:tcPr>
          <w:p w14:paraId="1ECE7849"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CHK1/2, NHEJ, homologous recombination enzymes</w:t>
            </w:r>
          </w:p>
        </w:tc>
        <w:tc>
          <w:tcPr>
            <w:tcW w:w="0" w:type="auto"/>
            <w:hideMark/>
          </w:tcPr>
          <w:p w14:paraId="71E94CDB"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Survival after chemotherapy/radiotherapy-induced DNA damage</w:t>
            </w:r>
          </w:p>
        </w:tc>
        <w:tc>
          <w:tcPr>
            <w:tcW w:w="0" w:type="auto"/>
            <w:hideMark/>
          </w:tcPr>
          <w:p w14:paraId="1E365137"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 colorectal CSCs</w:t>
            </w:r>
          </w:p>
        </w:tc>
      </w:tr>
      <w:tr w:rsidR="00DC271A" w:rsidRPr="00DC271A" w14:paraId="258BD242" w14:textId="77777777" w:rsidTr="0030192C">
        <w:tc>
          <w:tcPr>
            <w:tcW w:w="0" w:type="auto"/>
            <w:hideMark/>
          </w:tcPr>
          <w:p w14:paraId="5250D96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Anti-apoptotic signalling</w:t>
            </w:r>
          </w:p>
        </w:tc>
        <w:tc>
          <w:tcPr>
            <w:tcW w:w="0" w:type="auto"/>
            <w:hideMark/>
          </w:tcPr>
          <w:p w14:paraId="02B02EF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BCL-2, BCL-XL, MCL-1, survivin</w:t>
            </w:r>
          </w:p>
        </w:tc>
        <w:tc>
          <w:tcPr>
            <w:tcW w:w="0" w:type="auto"/>
            <w:hideMark/>
          </w:tcPr>
          <w:p w14:paraId="3C0578B7"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Elevated apoptotic threshold; reduced sensitivity to cytotoxic stimuli</w:t>
            </w:r>
          </w:p>
        </w:tc>
        <w:tc>
          <w:tcPr>
            <w:tcW w:w="0" w:type="auto"/>
            <w:hideMark/>
          </w:tcPr>
          <w:p w14:paraId="38F4E1EB"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Driven by STAT3, NF-κB, and Notch across tumour types</w:t>
            </w:r>
          </w:p>
        </w:tc>
      </w:tr>
      <w:tr w:rsidR="00DC271A" w:rsidRPr="00DC271A" w14:paraId="718ACA7B" w14:textId="77777777" w:rsidTr="0030192C">
        <w:tc>
          <w:tcPr>
            <w:tcW w:w="0" w:type="auto"/>
            <w:hideMark/>
          </w:tcPr>
          <w:p w14:paraId="000DF84F"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ROS scavenging</w:t>
            </w:r>
          </w:p>
        </w:tc>
        <w:tc>
          <w:tcPr>
            <w:tcW w:w="0" w:type="auto"/>
            <w:hideMark/>
          </w:tcPr>
          <w:p w14:paraId="32FBA95F"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SOD2, catalase, thioredoxin/glutaredoxin</w:t>
            </w:r>
          </w:p>
        </w:tc>
        <w:tc>
          <w:tcPr>
            <w:tcW w:w="0" w:type="auto"/>
            <w:hideMark/>
          </w:tcPr>
          <w:p w14:paraId="7B9D5D9A"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Protection from oxidative stress-mediated cell death</w:t>
            </w:r>
          </w:p>
        </w:tc>
        <w:tc>
          <w:tcPr>
            <w:tcW w:w="0" w:type="auto"/>
            <w:hideMark/>
          </w:tcPr>
          <w:p w14:paraId="5F1CDE58"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 leukaemic CSCs</w:t>
            </w:r>
          </w:p>
        </w:tc>
      </w:tr>
      <w:tr w:rsidR="00DC271A" w:rsidRPr="00DC271A" w14:paraId="04A5B081" w14:textId="77777777" w:rsidTr="0030192C">
        <w:tc>
          <w:tcPr>
            <w:tcW w:w="0" w:type="auto"/>
            <w:hideMark/>
          </w:tcPr>
          <w:p w14:paraId="7486BBD4"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Immune evasion</w:t>
            </w:r>
          </w:p>
        </w:tc>
        <w:tc>
          <w:tcPr>
            <w:tcW w:w="0" w:type="auto"/>
            <w:hideMark/>
          </w:tcPr>
          <w:p w14:paraId="6FE0AAA0"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PD-L1, CD47, Treg/M2 induction, IL-10, TGF-β</w:t>
            </w:r>
          </w:p>
        </w:tc>
        <w:tc>
          <w:tcPr>
            <w:tcW w:w="0" w:type="auto"/>
            <w:hideMark/>
          </w:tcPr>
          <w:p w14:paraId="18FEAAA6"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Escape from CTL/NK-mediated cytotoxicity</w:t>
            </w:r>
          </w:p>
        </w:tc>
        <w:tc>
          <w:tcPr>
            <w:tcW w:w="0" w:type="auto"/>
            <w:hideMark/>
          </w:tcPr>
          <w:p w14:paraId="7CE552C8"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Documented across multiple tumour types</w:t>
            </w:r>
          </w:p>
        </w:tc>
      </w:tr>
      <w:tr w:rsidR="00DC271A" w:rsidRPr="00DC271A" w14:paraId="76D69CD6" w14:textId="77777777" w:rsidTr="0030192C">
        <w:tc>
          <w:tcPr>
            <w:tcW w:w="0" w:type="auto"/>
            <w:hideMark/>
          </w:tcPr>
          <w:p w14:paraId="6371036D"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Phenotypic plasticity</w:t>
            </w:r>
          </w:p>
        </w:tc>
        <w:tc>
          <w:tcPr>
            <w:tcW w:w="0" w:type="auto"/>
            <w:hideMark/>
          </w:tcPr>
          <w:p w14:paraId="019D6024"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EMT-TFs, lineage reprogramming, epigenetic remodelling</w:t>
            </w:r>
          </w:p>
        </w:tc>
        <w:tc>
          <w:tcPr>
            <w:tcW w:w="0" w:type="auto"/>
            <w:hideMark/>
          </w:tcPr>
          <w:p w14:paraId="0D7DFC0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Dynamic acquisition of stem-like resistance state under therapeutic pressure</w:t>
            </w:r>
          </w:p>
        </w:tc>
        <w:tc>
          <w:tcPr>
            <w:tcW w:w="0" w:type="auto"/>
            <w:hideMark/>
          </w:tcPr>
          <w:p w14:paraId="35396B50"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Breast, lung, prostate, colorectal</w:t>
            </w:r>
          </w:p>
        </w:tc>
      </w:tr>
    </w:tbl>
    <w:p w14:paraId="224BABDA"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i/>
          <w:iCs/>
          <w:sz w:val="24"/>
          <w:szCs w:val="24"/>
          <w:lang w:eastAsia="en-GB"/>
        </w:rPr>
        <w:t>Sources: Bayik &amp; Lathia (2021); Boumahdi &amp; de Sauvage (2020); Cojoc et al. (2015); Dagogo-Jack &amp; Shaw (2018); Lathia et al. (2015); Najafi et al. (2019); Peitzsch et al. (2017); Phi et al. (2018)</w:t>
      </w:r>
    </w:p>
    <w:p w14:paraId="4C0C8DDB"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18AAE539"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9. Therapeutic Targeting of Cancer Stem Cells</w:t>
      </w:r>
    </w:p>
    <w:p w14:paraId="6F288D4D"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9.1 Targeting Cancer Stem Cell Surface Markers</w:t>
      </w:r>
    </w:p>
    <w:p w14:paraId="01C1BBC3"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The surface antigens that distinguish CSC populations from the surrounding bulk tumour provide a logical entry point for antibody-based therapeutics, including naked antibodies, antibody–drug conjugates (ADCs), and bispecific engagers. Anti-CD44 antibodies have shown capacity to deplete CSC populations and suppress tumour-initiating activity in colorectal and gastric cancer xenograft models, though broad CD44 expression across normal tissues has been a consistent obstacle to clinical advancement (Zöller, 2011). CD133-targeting strategies, including immunotoxin conjugates and CAR T cell approaches, have demonstrated selective depletion of tumour-initiating cells in glioblastoma and colorectal cancer preclinical systems. CD47-blocking antibodies — of which magrolimab is the most clinically advanced example — aim to reverse the "don't eat me" signal that CSCs use to </w:t>
      </w:r>
      <w:r w:rsidRPr="00DC271A">
        <w:rPr>
          <w:rFonts w:ascii="Times New Roman" w:eastAsia="Times New Roman" w:hAnsi="Times New Roman" w:cs="Times New Roman"/>
          <w:sz w:val="24"/>
          <w:szCs w:val="24"/>
          <w:lang w:eastAsia="en-GB"/>
        </w:rPr>
        <w:lastRenderedPageBreak/>
        <w:t>avoid phagocytic destruction, an approach currently in clinical evaluation for AML and several solid tumours (Bayik &amp; Lathia, 2021). Among EpCAM-targeted strategies, catumaxomab reached the clinic furthest: it received European marketing authorisation for malignant ascites in EpCAM-positive carcinoma, providing an early proof that surface-targeted approaches can achieve clinical responses in CSC-enriched tumour compartments, before marketing was subsequently withdrawn for commercial rather than safety reasons (Frank et al., 2010). ADCs concentrating cytotoxic payloads at CSC surfaces through antibodies targeting CD44, CD133, or ALDH1-high cells remain an attractive concept for improving tumour selectivity, though heterogeneous and context-dependent surface marker expression within individual tumours remains a significant practical challenge (Turdo et al., 2019).</w:t>
      </w:r>
    </w:p>
    <w:p w14:paraId="004CD3D4"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9.2 Inhibiting Cancer Stem Cell Signalling Pathways</w:t>
      </w:r>
    </w:p>
    <w:p w14:paraId="1E671109"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Small-molecule inhibition of CSC-sustaining signalling pathways is mechanistically well motivated, but single-agent pathway blockade rarely produces durable anti-CSC responses. Compensatory activation of alternative stemness pathways, feedback upregulation of upstream signals, and the redundant paracrine inputs from the TME all limit the effectiveness of blocking any single node (Pattabiraman &amp; Weinberg, 2014). An additional difficulty is on-target normal tissue toxicity: Wnt, Notch, and Hedgehog all have essential functions in adult intestinal epithelium, skin, and haematopoietic tissue, meaning that effective anti-CSC doses may be associated with significant toxicity (Clevers, 2011). Rational combinations — simultaneously targeting two or more stemness-driving pathways, or pairing pathway inhibition with conventional chemotherapy and immunotherapy — are more likely to produce meaningful and durable responses (Takebe et al., 2011; Turdo et al., 2019). Tumour-homing nanoparticle delivery systems offer one practical route to concentrating pathway inhibitors within the tumour niche whilst limiting systemic drug exposure, and represent an active area of formulation research.</w:t>
      </w:r>
    </w:p>
    <w:p w14:paraId="73054666"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9.3 Epigenetic Reprogramming Strategies</w:t>
      </w:r>
    </w:p>
    <w:p w14:paraId="2C6AB995"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Because epigenetic regulation plays such a central role in sustaining the CSC transcriptional programme, there is a compelling rationale for using pharmacological epigenetic reprogramming to force CSC differentiation and remove self-renewal capacity. DNA demethylating agents azacitidine and decitabine have established roles in AML and myelodysplastic syndromes, where they reactivate silenced differentiation genes and can reduce leukaemic stem cell frequency, at least transiently (Easwaran et al., 2014). HDAC inhibitors — vorinostat, romidepsin, and panobinostat — have shown anti-CSC activity in both haematological and solid tumour preclinical models by altering the chromatin environment to disfavour stemness gene expression. EZH2 inhibition with tazemetostat provides the clearest clinical validation of epigenetic targeting as an anti-CSC strategy, with approved applications in epithelioid sarcoma and, in patients with EZH2-activating mutations, in relapsed/refractory follicular lymphoma (Toh et al., 2017). BET bromodomain inhibitors, which displace BRD4 from acetylated histones and thereby disrupt transcription at MYC and other stemness oncogene super-enhancers, have shown promising anti-CSC activity in multiple preclinical systems and are advancing through early clinical trials. miRNA replacement therapy — using lipid nanoparticles to deliver let-7, miR-34a, or miR-200 family mimics — offers a conceptually distinct post-transcriptional approach, though delivery efficiency, off-target activity, and potential innate immune responses are barriers that must be overcome before reliable clinical translation (Turdo et al., 2019).</w:t>
      </w:r>
    </w:p>
    <w:p w14:paraId="155E4CCB"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lastRenderedPageBreak/>
        <w:t>9.4 Immunotherapeutic Approaches</w:t>
      </w:r>
    </w:p>
    <w:p w14:paraId="5DB4BC0B"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Immune checkpoint inhibitors have transformed the treatment of several cancers, but their impact on the CSC compartment has been limited, partly because CSCs are equipped to evade adaptive immunity through MHC class I downregulation, PD-L1 upregulation, and the creation of an immunosuppressive niche (Bayik &amp; Lathia, 2021). Approaches designed specifically to direct immune activity against CSC populations are advancing on several fronts. CAR T cells targeting CD133 and EpCAM have shown anti-tumour activity in preclinical solid tumour models, though solid tumour trafficking barriers, antigen heterogeneity, and the immunosuppressive TME remain major obstacles to clinical translation. Oncolytic viruses with tumour-selective tropism can infect and lyse CSC populations, generating danger-associated molecular patterns that prime adaptive immunity whilst simultaneously depleting the stem-like reservoir (Frank et al., 2010). CSF1R inhibitors — which re-educate tumour-associated macrophages towards an M1-like pro-inflammatory phenotype — simultaneously disrupt the macrophage-mediated CSC niche and improve immune effector activity. Combining these strategies with immune checkpoint inhibitors is a rational next step, on the premise that converting an immunologically cold CSC-enriched niche into a hot one requires both disabling tumour immune evasion and supplying adequate effector activity. Early-phase clinical trials exploring such combinations are ongoing (Bayik &amp; Lathia, 2021).</w:t>
      </w:r>
    </w:p>
    <w:p w14:paraId="799EE9F4" w14:textId="77777777" w:rsidR="00DC271A" w:rsidRPr="00DC271A" w:rsidRDefault="00DC271A" w:rsidP="00157BD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9.5 Metabolic Targeting of Cancer Stem Cells</w:t>
      </w:r>
    </w:p>
    <w:p w14:paraId="60822E6C"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metabolic dependencies of CSC populations offer therapeutic opportunities that are largely orthogonal to signalling pathway inhibition, potentially allowing combination regimens that address distinct biological vulnerabilities without overlapping toxicity. Metformin, which inhibits mitochondrial complex I and thereby reduces OXPHOS-driven ATP production, selectively impairs CSC self-renewal and viability in breast, colorectal, and pancreatic cancer models where CSC populations are particularly dependent on mitochondrial respiration (Sancho et al., 2016). Epidemiological data showing reduced cancer incidence and improved outcomes in diabetic patients on metformin — albeit confounded by multiple variables — have stimulated interest in repurposing this drug as part of combination anti-CSC regimens, though prospective oncology trials have yielded inconsistent results. IACS-010759, a potent complex I inhibitor, has demonstrated more selective anti-CSC activity in leukaemia and glioblastoma models. The BCL-2 inhibitor venetoclax achieves its anti-leukaemic effect partly through mitochondrial disruption in leukaemic stem cells: by inhibiting BCL-2 it forces cells towards mitochondrial apoptosis, and the combination of venetoclax with hypomethylating agents is now approved for newly diagnosed AML in patients ineligible for intensive chemotherapy, providing a clinically validated example of metabolic and epigenetic co-targeting of leukaemic stem cells (García-Heredia &amp; Carnero, 2020). Glutaminase inhibition with CB-839 targets the amino acid catabolism that feeds TCA cycle anaplerosis in CSC populations that rely on glutamine under hypoxic conditions, and multiple clinical trials are evaluating this agent across solid tumour histologies (Sancho et al., 2016). Table 5 summarises the major therapeutic strategies targeting CSC populations.</w:t>
      </w:r>
    </w:p>
    <w:p w14:paraId="7D3BDDF1"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7CBE584A"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Table 5: Therapeutic Strategies Targeting Cancer Stem Cell Populations</w:t>
      </w:r>
    </w:p>
    <w:tbl>
      <w:tblPr>
        <w:tblStyle w:val="TableGrid"/>
        <w:tblW w:w="0" w:type="auto"/>
        <w:tblLook w:val="04A0" w:firstRow="1" w:lastRow="0" w:firstColumn="1" w:lastColumn="0" w:noHBand="0" w:noVBand="1"/>
      </w:tblPr>
      <w:tblGrid>
        <w:gridCol w:w="1815"/>
        <w:gridCol w:w="2819"/>
        <w:gridCol w:w="2073"/>
        <w:gridCol w:w="2535"/>
      </w:tblGrid>
      <w:tr w:rsidR="00DC271A" w:rsidRPr="00DC271A" w14:paraId="00BA5FAF" w14:textId="77777777" w:rsidTr="0030192C">
        <w:tc>
          <w:tcPr>
            <w:tcW w:w="0" w:type="auto"/>
            <w:hideMark/>
          </w:tcPr>
          <w:p w14:paraId="2D4E04E5"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lastRenderedPageBreak/>
              <w:t>Strategy</w:t>
            </w:r>
          </w:p>
        </w:tc>
        <w:tc>
          <w:tcPr>
            <w:tcW w:w="0" w:type="auto"/>
            <w:hideMark/>
          </w:tcPr>
          <w:p w14:paraId="251EA254"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Representative Agents</w:t>
            </w:r>
          </w:p>
        </w:tc>
        <w:tc>
          <w:tcPr>
            <w:tcW w:w="0" w:type="auto"/>
            <w:hideMark/>
          </w:tcPr>
          <w:p w14:paraId="234641E4"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Mechanism of Anti-CSC Action</w:t>
            </w:r>
          </w:p>
        </w:tc>
        <w:tc>
          <w:tcPr>
            <w:tcW w:w="0" w:type="auto"/>
            <w:hideMark/>
          </w:tcPr>
          <w:p w14:paraId="595A8558" w14:textId="77777777" w:rsidR="00DC271A" w:rsidRPr="00DC271A" w:rsidRDefault="00DC271A" w:rsidP="00157BD5">
            <w:pPr>
              <w:jc w:val="both"/>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Clinical Development Status</w:t>
            </w:r>
          </w:p>
        </w:tc>
      </w:tr>
      <w:tr w:rsidR="00DC271A" w:rsidRPr="00DC271A" w14:paraId="2D74F5B7" w14:textId="77777777" w:rsidTr="0030192C">
        <w:tc>
          <w:tcPr>
            <w:tcW w:w="0" w:type="auto"/>
            <w:hideMark/>
          </w:tcPr>
          <w:p w14:paraId="08F56078"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Surface marker targeting</w:t>
            </w:r>
          </w:p>
        </w:tc>
        <w:tc>
          <w:tcPr>
            <w:tcW w:w="0" w:type="auto"/>
            <w:hideMark/>
          </w:tcPr>
          <w:p w14:paraId="48828F4C"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Magrolimab (anti-CD47), catumaxomab (anti-EpCAM), anti-CD44 antibodies</w:t>
            </w:r>
          </w:p>
        </w:tc>
        <w:tc>
          <w:tcPr>
            <w:tcW w:w="0" w:type="auto"/>
            <w:hideMark/>
          </w:tcPr>
          <w:p w14:paraId="53C02253"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Direct CSC depletion, phagocytosis restoration, immune-mediated killing</w:t>
            </w:r>
          </w:p>
        </w:tc>
        <w:tc>
          <w:tcPr>
            <w:tcW w:w="0" w:type="auto"/>
            <w:hideMark/>
          </w:tcPr>
          <w:p w14:paraId="0CF1A5DE"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Preclinical to phase II/III clinical trials</w:t>
            </w:r>
          </w:p>
        </w:tc>
      </w:tr>
      <w:tr w:rsidR="00DC271A" w:rsidRPr="00DC271A" w14:paraId="52ED99CD" w14:textId="77777777" w:rsidTr="0030192C">
        <w:tc>
          <w:tcPr>
            <w:tcW w:w="0" w:type="auto"/>
            <w:hideMark/>
          </w:tcPr>
          <w:p w14:paraId="7B032C9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Signalling pathway inhibition</w:t>
            </w:r>
          </w:p>
        </w:tc>
        <w:tc>
          <w:tcPr>
            <w:tcW w:w="0" w:type="auto"/>
            <w:hideMark/>
          </w:tcPr>
          <w:p w14:paraId="43D1B4A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Vismodegib/sonidegib (SMO), napabucasin (STAT3), WNT-974, γ-secretase inhibitors</w:t>
            </w:r>
          </w:p>
        </w:tc>
        <w:tc>
          <w:tcPr>
            <w:tcW w:w="0" w:type="auto"/>
            <w:hideMark/>
          </w:tcPr>
          <w:p w14:paraId="5F0B6B5D"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Blockade of stemness-sustaining signalling cascades</w:t>
            </w:r>
          </w:p>
        </w:tc>
        <w:tc>
          <w:tcPr>
            <w:tcW w:w="0" w:type="auto"/>
            <w:hideMark/>
          </w:tcPr>
          <w:p w14:paraId="5422B7AF"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Phase I–III; vismodegib/sonidegib approved for advanced BCC</w:t>
            </w:r>
          </w:p>
        </w:tc>
      </w:tr>
      <w:tr w:rsidR="00DC271A" w:rsidRPr="00DC271A" w14:paraId="4CCA4616" w14:textId="77777777" w:rsidTr="0030192C">
        <w:tc>
          <w:tcPr>
            <w:tcW w:w="0" w:type="auto"/>
            <w:hideMark/>
          </w:tcPr>
          <w:p w14:paraId="00323687"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Epigenetic reprogramming</w:t>
            </w:r>
          </w:p>
        </w:tc>
        <w:tc>
          <w:tcPr>
            <w:tcW w:w="0" w:type="auto"/>
            <w:hideMark/>
          </w:tcPr>
          <w:p w14:paraId="21627F7C"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Tazemetostat (EZH2i), vorinostat (HDACi), azacitidine (DNMTi), BET inhibitors</w:t>
            </w:r>
          </w:p>
        </w:tc>
        <w:tc>
          <w:tcPr>
            <w:tcW w:w="0" w:type="auto"/>
            <w:hideMark/>
          </w:tcPr>
          <w:p w14:paraId="5AC1727E"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Chromatin remodelling; differentiation induction; stemness gene silencing</w:t>
            </w:r>
          </w:p>
        </w:tc>
        <w:tc>
          <w:tcPr>
            <w:tcW w:w="0" w:type="auto"/>
            <w:hideMark/>
          </w:tcPr>
          <w:p w14:paraId="4A5227B6"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Approved in specific contexts; expanded trials ongoing</w:t>
            </w:r>
          </w:p>
        </w:tc>
      </w:tr>
      <w:tr w:rsidR="00DC271A" w:rsidRPr="00DC271A" w14:paraId="493E48E7" w14:textId="77777777" w:rsidTr="0030192C">
        <w:tc>
          <w:tcPr>
            <w:tcW w:w="0" w:type="auto"/>
            <w:hideMark/>
          </w:tcPr>
          <w:p w14:paraId="06EF9316"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Immunotherapy</w:t>
            </w:r>
          </w:p>
        </w:tc>
        <w:tc>
          <w:tcPr>
            <w:tcW w:w="0" w:type="auto"/>
            <w:hideMark/>
          </w:tcPr>
          <w:p w14:paraId="2FEA6558"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CAR T (CD133/EpCAM), checkpoint inhibitors + CSC pathway inhibitors, CSF1R inhibitors, oncolytic viruses</w:t>
            </w:r>
          </w:p>
        </w:tc>
        <w:tc>
          <w:tcPr>
            <w:tcW w:w="0" w:type="auto"/>
            <w:hideMark/>
          </w:tcPr>
          <w:p w14:paraId="4E3EBD34"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Immune-mediated CSC killing; TME reprogramming; niche disruption</w:t>
            </w:r>
          </w:p>
        </w:tc>
        <w:tc>
          <w:tcPr>
            <w:tcW w:w="0" w:type="auto"/>
            <w:hideMark/>
          </w:tcPr>
          <w:p w14:paraId="57ED64BB"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Preclinical to early-phase clinical trials</w:t>
            </w:r>
          </w:p>
        </w:tc>
      </w:tr>
      <w:tr w:rsidR="00DC271A" w:rsidRPr="00DC271A" w14:paraId="7F7768F6" w14:textId="77777777" w:rsidTr="0030192C">
        <w:tc>
          <w:tcPr>
            <w:tcW w:w="0" w:type="auto"/>
            <w:hideMark/>
          </w:tcPr>
          <w:p w14:paraId="757FA02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Metabolic targeting</w:t>
            </w:r>
          </w:p>
        </w:tc>
        <w:tc>
          <w:tcPr>
            <w:tcW w:w="0" w:type="auto"/>
            <w:hideMark/>
          </w:tcPr>
          <w:p w14:paraId="3C2F0681"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Metformin (complex I), IACS-010759 (OXPHOS), venetoclax (BCL-2/mitochondria), CB-839 (glutaminase)</w:t>
            </w:r>
          </w:p>
        </w:tc>
        <w:tc>
          <w:tcPr>
            <w:tcW w:w="0" w:type="auto"/>
            <w:hideMark/>
          </w:tcPr>
          <w:p w14:paraId="731947B8"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OXPHOS inhibition; glutamine pathway blockade; mitochondrial dysfunction</w:t>
            </w:r>
          </w:p>
        </w:tc>
        <w:tc>
          <w:tcPr>
            <w:tcW w:w="0" w:type="auto"/>
            <w:hideMark/>
          </w:tcPr>
          <w:p w14:paraId="2BE15B46"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Phase I–III; venetoclax + HMA approved in AML</w:t>
            </w:r>
          </w:p>
        </w:tc>
      </w:tr>
      <w:tr w:rsidR="00DC271A" w:rsidRPr="00DC271A" w14:paraId="4AE057EC" w14:textId="77777777" w:rsidTr="0030192C">
        <w:tc>
          <w:tcPr>
            <w:tcW w:w="0" w:type="auto"/>
            <w:hideMark/>
          </w:tcPr>
          <w:p w14:paraId="2302B216"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miRNA therapeutics</w:t>
            </w:r>
          </w:p>
        </w:tc>
        <w:tc>
          <w:tcPr>
            <w:tcW w:w="0" w:type="auto"/>
            <w:hideMark/>
          </w:tcPr>
          <w:p w14:paraId="3976AE44"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let-7, miR-34a, miR-200 family (nanoparticle-delivered)</w:t>
            </w:r>
          </w:p>
        </w:tc>
        <w:tc>
          <w:tcPr>
            <w:tcW w:w="0" w:type="auto"/>
            <w:hideMark/>
          </w:tcPr>
          <w:p w14:paraId="190829FE"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Post-transcriptional suppression of stemness regulators and EMT-TFs</w:t>
            </w:r>
          </w:p>
        </w:tc>
        <w:tc>
          <w:tcPr>
            <w:tcW w:w="0" w:type="auto"/>
            <w:hideMark/>
          </w:tcPr>
          <w:p w14:paraId="693FAD18" w14:textId="77777777" w:rsidR="00DC271A" w:rsidRPr="00DC271A" w:rsidRDefault="00DC271A" w:rsidP="00157BD5">
            <w:pPr>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Primarily preclinical; early translational stage</w:t>
            </w:r>
          </w:p>
        </w:tc>
      </w:tr>
    </w:tbl>
    <w:p w14:paraId="1B99C949"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i/>
          <w:iCs/>
          <w:sz w:val="24"/>
          <w:szCs w:val="24"/>
          <w:lang w:eastAsia="en-GB"/>
        </w:rPr>
        <w:t xml:space="preserve">Sources: Bayik &amp; Lathia (2021); Easwaran et al. </w:t>
      </w:r>
      <w:r w:rsidRPr="00ED04FE">
        <w:rPr>
          <w:rFonts w:ascii="Times New Roman" w:eastAsia="Times New Roman" w:hAnsi="Times New Roman" w:cs="Times New Roman"/>
          <w:i/>
          <w:iCs/>
          <w:sz w:val="24"/>
          <w:szCs w:val="24"/>
          <w:lang w:val="nl-BE" w:eastAsia="en-GB"/>
        </w:rPr>
        <w:t xml:space="preserve">(2014); Frank et al. (2010); García-Heredia &amp; Carnero (2020); Pattabiraman &amp; Weinberg (2014); Sancho et al. (2016); Takebe et al. (2011); Toh et al. (2017); Turdo et al. </w:t>
      </w:r>
      <w:r w:rsidRPr="00DC271A">
        <w:rPr>
          <w:rFonts w:ascii="Times New Roman" w:eastAsia="Times New Roman" w:hAnsi="Times New Roman" w:cs="Times New Roman"/>
          <w:i/>
          <w:iCs/>
          <w:sz w:val="24"/>
          <w:szCs w:val="24"/>
          <w:lang w:eastAsia="en-GB"/>
        </w:rPr>
        <w:t>(2019)</w:t>
      </w:r>
    </w:p>
    <w:p w14:paraId="75CBB31C"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22A31EDA"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10. Conclusions</w:t>
      </w:r>
    </w:p>
    <w:p w14:paraId="66E35767"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The cancer stem cell concept has moved, over three decades, from a provocative hypothesis to an experimentally grounded framework with direct clinical relevance. There is now robust evidence — from xenograft experiments, lineage-tracing studies, organoid models, and clinical correlates — that a biologically distinct subpopulation within malignant tumours sustains long-term tumour growth, seeds metastasis, and drives resistance to most available treatments. These properties are not accidental; they arise from the convergent activity of </w:t>
      </w:r>
      <w:r w:rsidRPr="00DC271A">
        <w:rPr>
          <w:rFonts w:ascii="Times New Roman" w:eastAsia="Times New Roman" w:hAnsi="Times New Roman" w:cs="Times New Roman"/>
          <w:sz w:val="24"/>
          <w:szCs w:val="24"/>
          <w:lang w:eastAsia="en-GB"/>
        </w:rPr>
        <w:lastRenderedPageBreak/>
        <w:t>multiple developmental signalling pathways acting on an epigenetic landscape configured to favour self-renewal, and they are actively maintained and protected by the surrounding tumour microenvironment.</w:t>
      </w:r>
    </w:p>
    <w:p w14:paraId="3A9CEBD3"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Perhaps the most important conceptual shift of recent years has been the recognition that CSC identity is a dynamic state rather than a fixed programme. Non-CSC tumour cells can acquire stem-like properties under therapeutic pressure, and the stem-like state can be reinforced by microenvironmental cues that standard treatments leave intact. This means that eliminating the CSC fraction — without also addressing the non-CSC bulk and the niche that sustains them both — is unlikely to produce durable responses. The most promising therapeutic approaches are therefore those that combine multiple mechanisms: disrupting CSC self-renewal signals, interfering with the supportive niche, engaging immune effectors, and exploiting metabolic dependencies, ideally timed and sequenced to prevent adaptive resistance.</w:t>
      </w:r>
    </w:p>
    <w:p w14:paraId="310FDC96"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Encouragingly, the field has moved beyond proof-of-concept. The clinical approvals of vismodegib for hedgehog-driven basal cell carcinoma, tazemetostat for EZH2-driven malignancies, and venetoclax-based regimens for AML all embody anti-CSC mechanisms and demonstrate that this biology can be translated into patient benefit. The challenge now is to extend this success across the broad spectrum of human cancer, using the rapidly maturing tools of single-cell genomics, spatial transcriptomics, and precision immunotherapy to understand CSC heterogeneity in individual patients and design rational, mechanistically informed combinations that durably eliminate tumour-initiating populations.</w:t>
      </w:r>
    </w:p>
    <w:p w14:paraId="488E45A7"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1512E55F" w14:textId="77777777" w:rsidR="00DC271A" w:rsidRP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11. Limitations</w:t>
      </w:r>
    </w:p>
    <w:p w14:paraId="10F62EDA" w14:textId="77777777" w:rsidR="00DC271A" w:rsidRP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Several limitations bear on the evidence synthesised in this review. As a narrative rather than systematic review, the selection of studies — conducted with care — nonetheless involves a degree of interpretive judgement about relevance and priority, and the absence of formal quantitative synthesis means that the weight of evidence across studies cannot be assessed with statistical rigour. Second, a large proportion of the mechanistic evidence reviewed comes from in vitro cultures and rodent xenograft models, neither of which fully recapitulates the complexity of human tumour biology — including the intact immune system, three-dimensional stromal architecture, and the pharmacokinetic behaviour of therapeutic agents in patients. Species-specific differences in biological regulatory networks add further uncertainty when extrapolating from mouse data to clinical prediction.</w:t>
      </w:r>
    </w:p>
    <w:p w14:paraId="4F7023A8" w14:textId="77777777" w:rsidR="00DC271A" w:rsidRDefault="00DC271A" w:rsidP="00157BD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Third, the plasticity of CSC populations and the absence of universally agreed, tumour-type-specific marker panels mean that comparisons between studies using different enrichment strategies and model systems are complicated by definitional inconsistency. Populations labelled "CSCs" in different studies may not be biologically equivalent. Fourth, the review focuses primarily on common solid tumours and haematological malignancies, and the conclusions may not translate directly to rarer cancer types where the CSC literature is sparse and less well validated. Fifth, data on very recent clinical trial outcomes — particularly for early-phase studies initiated in 2024–2026 — are necessarily limited by the currency of the published evidence base, and rapidly developing areas such as cellular immunotherapy and RNA-based medicine may have seen important advances since the literature search closed. Finally, the well-recognised tendency for negative or inconclusive clinical trial results to be </w:t>
      </w:r>
      <w:r w:rsidRPr="00DC271A">
        <w:rPr>
          <w:rFonts w:ascii="Times New Roman" w:eastAsia="Times New Roman" w:hAnsi="Times New Roman" w:cs="Times New Roman"/>
          <w:sz w:val="24"/>
          <w:szCs w:val="24"/>
          <w:lang w:eastAsia="en-GB"/>
        </w:rPr>
        <w:lastRenderedPageBreak/>
        <w:t>underreported in the oncology literature means that the present synthesis may inadvertently convey a more optimistic picture of anti-CSC therapeutic progress than a comprehensive view of all conducted trials would support. Whilst the review attempts to acknowledge study limitations throughout, this structural publication bias cannot be fully corrected in a narrative synthesis.</w:t>
      </w:r>
    </w:p>
    <w:p w14:paraId="1C14C24B" w14:textId="77777777" w:rsidR="001D4BB1" w:rsidRDefault="001D4BB1" w:rsidP="00157BD5">
      <w:pPr>
        <w:shd w:val="clear" w:color="auto" w:fill="FFFFFF"/>
        <w:spacing w:after="0" w:line="240" w:lineRule="auto"/>
        <w:jc w:val="both"/>
        <w:rPr>
          <w:rFonts w:ascii="Arial" w:eastAsia="Times New Roman" w:hAnsi="Arial" w:cs="Arial"/>
          <w:color w:val="222222"/>
          <w:sz w:val="24"/>
          <w:szCs w:val="24"/>
          <w:lang w:val="en-IN" w:eastAsia="en-IN"/>
        </w:rPr>
      </w:pPr>
    </w:p>
    <w:p w14:paraId="636E7E0D" w14:textId="77777777" w:rsidR="00475A27" w:rsidRDefault="00475A27" w:rsidP="00157BD5">
      <w:pPr>
        <w:shd w:val="clear" w:color="auto" w:fill="FFFFFF"/>
        <w:spacing w:after="0" w:line="240" w:lineRule="auto"/>
        <w:jc w:val="both"/>
        <w:rPr>
          <w:rFonts w:ascii="Arial" w:eastAsia="Times New Roman" w:hAnsi="Arial" w:cs="Arial"/>
          <w:color w:val="222222"/>
          <w:sz w:val="24"/>
          <w:szCs w:val="24"/>
          <w:lang w:val="en-IN" w:eastAsia="en-IN"/>
        </w:rPr>
      </w:pPr>
    </w:p>
    <w:p w14:paraId="20E6AB84" w14:textId="77777777" w:rsidR="00475A27" w:rsidRDefault="00475A27" w:rsidP="00157BD5">
      <w:pPr>
        <w:shd w:val="clear" w:color="auto" w:fill="FFFFFF"/>
        <w:spacing w:after="0" w:line="240" w:lineRule="auto"/>
        <w:jc w:val="both"/>
        <w:rPr>
          <w:rFonts w:ascii="Arial" w:eastAsia="Times New Roman" w:hAnsi="Arial" w:cs="Arial"/>
          <w:color w:val="222222"/>
          <w:sz w:val="24"/>
          <w:szCs w:val="24"/>
          <w:lang w:val="en-IN" w:eastAsia="en-IN"/>
        </w:rPr>
      </w:pPr>
    </w:p>
    <w:p w14:paraId="4C4EA4EB" w14:textId="77777777" w:rsidR="00475A27" w:rsidRDefault="00475A27" w:rsidP="00157BD5">
      <w:pPr>
        <w:shd w:val="clear" w:color="auto" w:fill="FFFFFF"/>
        <w:spacing w:after="0" w:line="240" w:lineRule="auto"/>
        <w:jc w:val="both"/>
        <w:rPr>
          <w:rFonts w:ascii="Arial" w:eastAsia="Times New Roman" w:hAnsi="Arial" w:cs="Arial"/>
          <w:color w:val="222222"/>
          <w:sz w:val="24"/>
          <w:szCs w:val="24"/>
          <w:lang w:val="en-IN" w:eastAsia="en-IN"/>
        </w:rPr>
      </w:pPr>
    </w:p>
    <w:p w14:paraId="0019AD88" w14:textId="77777777" w:rsidR="001D4BB1" w:rsidRDefault="001D4BB1" w:rsidP="00157BD5">
      <w:pPr>
        <w:shd w:val="clear" w:color="auto" w:fill="FFFFFF"/>
        <w:spacing w:after="0" w:line="240" w:lineRule="auto"/>
        <w:jc w:val="both"/>
        <w:rPr>
          <w:rFonts w:ascii="Arial" w:eastAsia="Times New Roman" w:hAnsi="Arial" w:cs="Arial"/>
          <w:color w:val="222222"/>
          <w:sz w:val="24"/>
          <w:szCs w:val="24"/>
          <w:lang w:val="en-IN" w:eastAsia="en-IN"/>
        </w:rPr>
      </w:pPr>
      <w:bookmarkStart w:id="0" w:name="_Hlk232854992"/>
    </w:p>
    <w:p w14:paraId="7422EBEE" w14:textId="77777777" w:rsidR="001D4BB1" w:rsidRPr="000839CE" w:rsidRDefault="001D4BB1" w:rsidP="00157BD5">
      <w:pPr>
        <w:spacing w:after="0" w:line="240" w:lineRule="auto"/>
        <w:jc w:val="both"/>
        <w:rPr>
          <w:rFonts w:ascii="Times New Roman" w:hAnsi="Times New Roman" w:cs="Times New Roman"/>
          <w:b/>
        </w:rPr>
      </w:pPr>
      <w:bookmarkStart w:id="1" w:name="_Hlk232755622"/>
      <w:r w:rsidRPr="000839CE">
        <w:rPr>
          <w:rFonts w:ascii="Times New Roman" w:hAnsi="Times New Roman" w:cs="Times New Roman"/>
          <w:b/>
        </w:rPr>
        <w:t>Declaration of AI Use</w:t>
      </w:r>
    </w:p>
    <w:p w14:paraId="7AC20C22" w14:textId="77777777" w:rsidR="001D4BB1" w:rsidRPr="000839CE" w:rsidRDefault="001D4BB1" w:rsidP="00157BD5">
      <w:pPr>
        <w:spacing w:after="0" w:line="240" w:lineRule="auto"/>
        <w:jc w:val="both"/>
        <w:rPr>
          <w:rFonts w:ascii="Times New Roman" w:hAnsi="Times New Roman" w:cs="Times New Roman"/>
        </w:rPr>
      </w:pPr>
    </w:p>
    <w:p w14:paraId="015879F4" w14:textId="77777777" w:rsidR="001D4BB1" w:rsidRPr="000839CE" w:rsidRDefault="001D4BB1" w:rsidP="00157BD5">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0"/>
    <w:bookmarkEnd w:id="1"/>
    <w:p w14:paraId="72178E5D" w14:textId="77777777" w:rsidR="00DC271A" w:rsidRPr="00DC271A" w:rsidRDefault="00DC271A" w:rsidP="00157BD5">
      <w:pPr>
        <w:spacing w:after="0" w:line="240" w:lineRule="auto"/>
        <w:jc w:val="both"/>
        <w:rPr>
          <w:rFonts w:ascii="Times New Roman" w:eastAsia="Times New Roman" w:hAnsi="Times New Roman" w:cs="Times New Roman"/>
          <w:sz w:val="24"/>
          <w:szCs w:val="24"/>
          <w:lang w:eastAsia="en-GB"/>
        </w:rPr>
      </w:pPr>
    </w:p>
    <w:p w14:paraId="0CBD7655" w14:textId="77777777" w:rsidR="00DC271A" w:rsidRDefault="00DC271A" w:rsidP="00157BD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References</w:t>
      </w:r>
    </w:p>
    <w:p w14:paraId="39D85894"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nl-BE"/>
        </w:rPr>
      </w:pPr>
      <w:r w:rsidRPr="00ED04FE">
        <w:rPr>
          <w:rFonts w:ascii="Times New Roman" w:eastAsia="Times New Roman" w:hAnsi="Times New Roman" w:cs="Times New Roman"/>
          <w:sz w:val="24"/>
          <w:szCs w:val="24"/>
          <w:lang w:val="en-US"/>
        </w:rPr>
        <w:t xml:space="preserve">Al-Hajj, M., </w:t>
      </w:r>
      <w:proofErr w:type="spellStart"/>
      <w:r w:rsidRPr="00ED04FE">
        <w:rPr>
          <w:rFonts w:ascii="Times New Roman" w:eastAsia="Times New Roman" w:hAnsi="Times New Roman" w:cs="Times New Roman"/>
          <w:sz w:val="24"/>
          <w:szCs w:val="24"/>
          <w:lang w:val="en-US"/>
        </w:rPr>
        <w:t>Wicha</w:t>
      </w:r>
      <w:proofErr w:type="spellEnd"/>
      <w:r w:rsidRPr="00ED04FE">
        <w:rPr>
          <w:rFonts w:ascii="Times New Roman" w:eastAsia="Times New Roman" w:hAnsi="Times New Roman" w:cs="Times New Roman"/>
          <w:sz w:val="24"/>
          <w:szCs w:val="24"/>
          <w:lang w:val="en-US"/>
        </w:rPr>
        <w:t xml:space="preserve">, M. S., Benito-Hernandez, A., Morrison, S. J., &amp; Clarke, M. F. (2003). Prospective identification of tumorigenic breast cancer cells. </w:t>
      </w:r>
      <w:r w:rsidRPr="00ED04FE">
        <w:rPr>
          <w:rFonts w:ascii="Times New Roman" w:eastAsia="Times New Roman" w:hAnsi="Times New Roman" w:cs="Times New Roman"/>
          <w:i/>
          <w:iCs/>
          <w:sz w:val="24"/>
          <w:szCs w:val="24"/>
          <w:lang w:val="en-US"/>
        </w:rPr>
        <w:t>Proceedings of the National Academy of Sciences of the United States of America, 100</w:t>
      </w:r>
      <w:r w:rsidRPr="00ED04FE">
        <w:rPr>
          <w:rFonts w:ascii="Times New Roman" w:eastAsia="Times New Roman" w:hAnsi="Times New Roman" w:cs="Times New Roman"/>
          <w:sz w:val="24"/>
          <w:szCs w:val="24"/>
          <w:lang w:val="en-US"/>
        </w:rPr>
        <w:t xml:space="preserve">(7), 3983–3988. </w:t>
      </w:r>
      <w:hyperlink r:id="rId7" w:tgtFrame="_new" w:history="1">
        <w:r w:rsidRPr="00ED04FE">
          <w:rPr>
            <w:rFonts w:ascii="Times New Roman" w:eastAsia="Times New Roman" w:hAnsi="Times New Roman" w:cs="Times New Roman"/>
            <w:color w:val="0000FF"/>
            <w:sz w:val="24"/>
            <w:szCs w:val="24"/>
            <w:u w:val="single"/>
            <w:lang w:val="nl-BE"/>
          </w:rPr>
          <w:t>https://doi.org/10.1073/pnas.0530291100</w:t>
        </w:r>
      </w:hyperlink>
    </w:p>
    <w:p w14:paraId="3BCAFD5B"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nl-BE"/>
        </w:rPr>
        <w:t xml:space="preserve">Barker, N., van Es, J. H., Kuipers, J., Kujala, P., van den Born, M., Cozijnsen, M., Haegebarth, A., Korving, J., Begthel, H., Peters, P. J., &amp; Clevers, H. (2007). </w:t>
      </w:r>
      <w:r w:rsidRPr="00ED04FE">
        <w:rPr>
          <w:rFonts w:ascii="Times New Roman" w:eastAsia="Times New Roman" w:hAnsi="Times New Roman" w:cs="Times New Roman"/>
          <w:sz w:val="24"/>
          <w:szCs w:val="24"/>
          <w:lang w:val="en-US"/>
        </w:rPr>
        <w:t xml:space="preserve">Identification of stem cells in small intestine and colon by marker gene Lgr5. </w:t>
      </w:r>
      <w:r w:rsidRPr="00ED04FE">
        <w:rPr>
          <w:rFonts w:ascii="Times New Roman" w:eastAsia="Times New Roman" w:hAnsi="Times New Roman" w:cs="Times New Roman"/>
          <w:i/>
          <w:iCs/>
          <w:sz w:val="24"/>
          <w:szCs w:val="24"/>
          <w:lang w:val="en-US"/>
        </w:rPr>
        <w:t>Nature, 449</w:t>
      </w:r>
      <w:r w:rsidRPr="00ED04FE">
        <w:rPr>
          <w:rFonts w:ascii="Times New Roman" w:eastAsia="Times New Roman" w:hAnsi="Times New Roman" w:cs="Times New Roman"/>
          <w:sz w:val="24"/>
          <w:szCs w:val="24"/>
          <w:lang w:val="en-US"/>
        </w:rPr>
        <w:t xml:space="preserve">(7165), 1003–1007. </w:t>
      </w:r>
      <w:hyperlink r:id="rId8" w:tgtFrame="_new" w:history="1">
        <w:r w:rsidRPr="00ED04FE">
          <w:rPr>
            <w:rFonts w:ascii="Times New Roman" w:eastAsia="Times New Roman" w:hAnsi="Times New Roman" w:cs="Times New Roman"/>
            <w:color w:val="0000FF"/>
            <w:sz w:val="24"/>
            <w:szCs w:val="24"/>
            <w:u w:val="single"/>
            <w:lang w:val="en-US"/>
          </w:rPr>
          <w:t>https://doi.org/10.1038/nature06196</w:t>
        </w:r>
      </w:hyperlink>
    </w:p>
    <w:p w14:paraId="756672DB"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Batlle, E., &amp; </w:t>
      </w:r>
      <w:proofErr w:type="spellStart"/>
      <w:r w:rsidRPr="00ED04FE">
        <w:rPr>
          <w:rFonts w:ascii="Times New Roman" w:eastAsia="Times New Roman" w:hAnsi="Times New Roman" w:cs="Times New Roman"/>
          <w:sz w:val="24"/>
          <w:szCs w:val="24"/>
          <w:lang w:val="en-US"/>
        </w:rPr>
        <w:t>Clevers</w:t>
      </w:r>
      <w:proofErr w:type="spellEnd"/>
      <w:r w:rsidRPr="00ED04FE">
        <w:rPr>
          <w:rFonts w:ascii="Times New Roman" w:eastAsia="Times New Roman" w:hAnsi="Times New Roman" w:cs="Times New Roman"/>
          <w:sz w:val="24"/>
          <w:szCs w:val="24"/>
          <w:lang w:val="en-US"/>
        </w:rPr>
        <w:t xml:space="preserve">, H. (2017). Cancer stem cells revisited. </w:t>
      </w:r>
      <w:r w:rsidRPr="00ED04FE">
        <w:rPr>
          <w:rFonts w:ascii="Times New Roman" w:eastAsia="Times New Roman" w:hAnsi="Times New Roman" w:cs="Times New Roman"/>
          <w:i/>
          <w:iCs/>
          <w:sz w:val="24"/>
          <w:szCs w:val="24"/>
          <w:lang w:val="en-US"/>
        </w:rPr>
        <w:t>Nature Medicine, 23</w:t>
      </w:r>
      <w:r w:rsidRPr="00ED04FE">
        <w:rPr>
          <w:rFonts w:ascii="Times New Roman" w:eastAsia="Times New Roman" w:hAnsi="Times New Roman" w:cs="Times New Roman"/>
          <w:sz w:val="24"/>
          <w:szCs w:val="24"/>
          <w:lang w:val="en-US"/>
        </w:rPr>
        <w:t xml:space="preserve">(10), 1124–1134. </w:t>
      </w:r>
      <w:hyperlink r:id="rId9" w:tgtFrame="_new" w:history="1">
        <w:r w:rsidRPr="00ED04FE">
          <w:rPr>
            <w:rFonts w:ascii="Times New Roman" w:eastAsia="Times New Roman" w:hAnsi="Times New Roman" w:cs="Times New Roman"/>
            <w:color w:val="0000FF"/>
            <w:sz w:val="24"/>
            <w:szCs w:val="24"/>
            <w:u w:val="single"/>
            <w:lang w:val="en-US"/>
          </w:rPr>
          <w:t>https://doi.org/10.1038/nm.4409</w:t>
        </w:r>
      </w:hyperlink>
    </w:p>
    <w:p w14:paraId="765143DA"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nl-BE"/>
        </w:rPr>
        <w:t xml:space="preserve">Bayik, D., &amp; Lathia, J. D. (2021). </w:t>
      </w:r>
      <w:r w:rsidRPr="00ED04FE">
        <w:rPr>
          <w:rFonts w:ascii="Times New Roman" w:eastAsia="Times New Roman" w:hAnsi="Times New Roman" w:cs="Times New Roman"/>
          <w:sz w:val="24"/>
          <w:szCs w:val="24"/>
          <w:lang w:val="en-US"/>
        </w:rPr>
        <w:t xml:space="preserve">Cancer stem cell–immune cell crosstalk in </w:t>
      </w:r>
      <w:proofErr w:type="spellStart"/>
      <w:r w:rsidRPr="00ED04FE">
        <w:rPr>
          <w:rFonts w:ascii="Times New Roman" w:eastAsia="Times New Roman" w:hAnsi="Times New Roman" w:cs="Times New Roman"/>
          <w:sz w:val="24"/>
          <w:szCs w:val="24"/>
          <w:lang w:val="en-US"/>
        </w:rPr>
        <w:t>tumour</w:t>
      </w:r>
      <w:proofErr w:type="spellEnd"/>
      <w:r w:rsidRPr="00ED04FE">
        <w:rPr>
          <w:rFonts w:ascii="Times New Roman" w:eastAsia="Times New Roman" w:hAnsi="Times New Roman" w:cs="Times New Roman"/>
          <w:sz w:val="24"/>
          <w:szCs w:val="24"/>
          <w:lang w:val="en-US"/>
        </w:rPr>
        <w:t xml:space="preserve"> progression. </w:t>
      </w:r>
      <w:r w:rsidRPr="00ED04FE">
        <w:rPr>
          <w:rFonts w:ascii="Times New Roman" w:eastAsia="Times New Roman" w:hAnsi="Times New Roman" w:cs="Times New Roman"/>
          <w:i/>
          <w:iCs/>
          <w:sz w:val="24"/>
          <w:szCs w:val="24"/>
          <w:lang w:val="en-US"/>
        </w:rPr>
        <w:t>Nature Reviews Cancer, 21</w:t>
      </w:r>
      <w:r w:rsidRPr="00ED04FE">
        <w:rPr>
          <w:rFonts w:ascii="Times New Roman" w:eastAsia="Times New Roman" w:hAnsi="Times New Roman" w:cs="Times New Roman"/>
          <w:sz w:val="24"/>
          <w:szCs w:val="24"/>
          <w:lang w:val="en-US"/>
        </w:rPr>
        <w:t xml:space="preserve">(8), 526–536. </w:t>
      </w:r>
      <w:hyperlink r:id="rId10" w:tgtFrame="_new" w:history="1">
        <w:r w:rsidRPr="00ED04FE">
          <w:rPr>
            <w:rFonts w:ascii="Times New Roman" w:eastAsia="Times New Roman" w:hAnsi="Times New Roman" w:cs="Times New Roman"/>
            <w:color w:val="0000FF"/>
            <w:sz w:val="24"/>
            <w:szCs w:val="24"/>
            <w:u w:val="single"/>
            <w:lang w:val="en-US"/>
          </w:rPr>
          <w:t>https://doi.org/10.1038/s41568-021-00366-w</w:t>
        </w:r>
      </w:hyperlink>
    </w:p>
    <w:p w14:paraId="26A4EB9F"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Bonnet, D., &amp; Dick, J. E. (1997). Human acute myeloid leukemia is organized as a hierarchy that originates from a primitive hematopoietic cell. </w:t>
      </w:r>
      <w:r w:rsidRPr="00ED04FE">
        <w:rPr>
          <w:rFonts w:ascii="Times New Roman" w:eastAsia="Times New Roman" w:hAnsi="Times New Roman" w:cs="Times New Roman"/>
          <w:i/>
          <w:iCs/>
          <w:sz w:val="24"/>
          <w:szCs w:val="24"/>
          <w:lang w:val="en-US"/>
        </w:rPr>
        <w:t>Nature Medicine, 3</w:t>
      </w:r>
      <w:r w:rsidRPr="00ED04FE">
        <w:rPr>
          <w:rFonts w:ascii="Times New Roman" w:eastAsia="Times New Roman" w:hAnsi="Times New Roman" w:cs="Times New Roman"/>
          <w:sz w:val="24"/>
          <w:szCs w:val="24"/>
          <w:lang w:val="en-US"/>
        </w:rPr>
        <w:t xml:space="preserve">(7), 730–737. </w:t>
      </w:r>
      <w:hyperlink r:id="rId11" w:tgtFrame="_new" w:history="1">
        <w:r w:rsidRPr="00ED04FE">
          <w:rPr>
            <w:rFonts w:ascii="Times New Roman" w:eastAsia="Times New Roman" w:hAnsi="Times New Roman" w:cs="Times New Roman"/>
            <w:color w:val="0000FF"/>
            <w:sz w:val="24"/>
            <w:szCs w:val="24"/>
            <w:u w:val="single"/>
            <w:lang w:val="en-US"/>
          </w:rPr>
          <w:t>https://doi.org/10.1038/nm0797-730</w:t>
        </w:r>
      </w:hyperlink>
    </w:p>
    <w:p w14:paraId="1FEFFC1E"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proofErr w:type="spellStart"/>
      <w:r w:rsidRPr="00ED04FE">
        <w:rPr>
          <w:rFonts w:ascii="Times New Roman" w:eastAsia="Times New Roman" w:hAnsi="Times New Roman" w:cs="Times New Roman"/>
          <w:sz w:val="24"/>
          <w:szCs w:val="24"/>
          <w:lang w:val="en-US"/>
        </w:rPr>
        <w:t>Boumahdi</w:t>
      </w:r>
      <w:proofErr w:type="spellEnd"/>
      <w:r w:rsidRPr="00ED04FE">
        <w:rPr>
          <w:rFonts w:ascii="Times New Roman" w:eastAsia="Times New Roman" w:hAnsi="Times New Roman" w:cs="Times New Roman"/>
          <w:sz w:val="24"/>
          <w:szCs w:val="24"/>
          <w:lang w:val="en-US"/>
        </w:rPr>
        <w:t xml:space="preserve">, S., &amp; de Sauvage, F. J. (2020). The great escape: </w:t>
      </w:r>
      <w:proofErr w:type="spellStart"/>
      <w:r w:rsidRPr="00ED04FE">
        <w:rPr>
          <w:rFonts w:ascii="Times New Roman" w:eastAsia="Times New Roman" w:hAnsi="Times New Roman" w:cs="Times New Roman"/>
          <w:sz w:val="24"/>
          <w:szCs w:val="24"/>
          <w:lang w:val="en-US"/>
        </w:rPr>
        <w:t>Tumour</w:t>
      </w:r>
      <w:proofErr w:type="spellEnd"/>
      <w:r w:rsidRPr="00ED04FE">
        <w:rPr>
          <w:rFonts w:ascii="Times New Roman" w:eastAsia="Times New Roman" w:hAnsi="Times New Roman" w:cs="Times New Roman"/>
          <w:sz w:val="24"/>
          <w:szCs w:val="24"/>
          <w:lang w:val="en-US"/>
        </w:rPr>
        <w:t xml:space="preserve"> cell plasticity in resistance to targeted therapy. </w:t>
      </w:r>
      <w:r w:rsidRPr="00ED04FE">
        <w:rPr>
          <w:rFonts w:ascii="Times New Roman" w:eastAsia="Times New Roman" w:hAnsi="Times New Roman" w:cs="Times New Roman"/>
          <w:i/>
          <w:iCs/>
          <w:sz w:val="24"/>
          <w:szCs w:val="24"/>
          <w:lang w:val="en-US"/>
        </w:rPr>
        <w:t>Nature Reviews Drug Discovery, 19</w:t>
      </w:r>
      <w:r w:rsidRPr="00ED04FE">
        <w:rPr>
          <w:rFonts w:ascii="Times New Roman" w:eastAsia="Times New Roman" w:hAnsi="Times New Roman" w:cs="Times New Roman"/>
          <w:sz w:val="24"/>
          <w:szCs w:val="24"/>
          <w:lang w:val="en-US"/>
        </w:rPr>
        <w:t xml:space="preserve">(1), 39–56. </w:t>
      </w:r>
      <w:hyperlink r:id="rId12" w:tgtFrame="_new" w:history="1">
        <w:r w:rsidRPr="00ED04FE">
          <w:rPr>
            <w:rFonts w:ascii="Times New Roman" w:eastAsia="Times New Roman" w:hAnsi="Times New Roman" w:cs="Times New Roman"/>
            <w:color w:val="0000FF"/>
            <w:sz w:val="24"/>
            <w:szCs w:val="24"/>
            <w:u w:val="single"/>
            <w:lang w:val="en-US"/>
          </w:rPr>
          <w:t>https://doi.org/10.1038/s41573-019-0044-1</w:t>
        </w:r>
      </w:hyperlink>
    </w:p>
    <w:p w14:paraId="54A7DE11"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proofErr w:type="spellStart"/>
      <w:r w:rsidRPr="00ED04FE">
        <w:rPr>
          <w:rFonts w:ascii="Times New Roman" w:eastAsia="Times New Roman" w:hAnsi="Times New Roman" w:cs="Times New Roman"/>
          <w:sz w:val="24"/>
          <w:szCs w:val="24"/>
          <w:lang w:val="en-US"/>
        </w:rPr>
        <w:lastRenderedPageBreak/>
        <w:t>Brabletz</w:t>
      </w:r>
      <w:proofErr w:type="spellEnd"/>
      <w:r w:rsidRPr="00ED04FE">
        <w:rPr>
          <w:rFonts w:ascii="Times New Roman" w:eastAsia="Times New Roman" w:hAnsi="Times New Roman" w:cs="Times New Roman"/>
          <w:sz w:val="24"/>
          <w:szCs w:val="24"/>
          <w:lang w:val="en-US"/>
        </w:rPr>
        <w:t xml:space="preserve">, T., Kalluri, R., Nieto, M. A., &amp; Weinberg, R. A. (2018). EMT in cancer. </w:t>
      </w:r>
      <w:r w:rsidRPr="00ED04FE">
        <w:rPr>
          <w:rFonts w:ascii="Times New Roman" w:eastAsia="Times New Roman" w:hAnsi="Times New Roman" w:cs="Times New Roman"/>
          <w:i/>
          <w:iCs/>
          <w:sz w:val="24"/>
          <w:szCs w:val="24"/>
          <w:lang w:val="en-US"/>
        </w:rPr>
        <w:t>Nature Reviews Cancer, 18</w:t>
      </w:r>
      <w:r w:rsidRPr="00ED04FE">
        <w:rPr>
          <w:rFonts w:ascii="Times New Roman" w:eastAsia="Times New Roman" w:hAnsi="Times New Roman" w:cs="Times New Roman"/>
          <w:sz w:val="24"/>
          <w:szCs w:val="24"/>
          <w:lang w:val="en-US"/>
        </w:rPr>
        <w:t xml:space="preserve">(2), 128–134. </w:t>
      </w:r>
      <w:hyperlink r:id="rId13" w:tgtFrame="_new" w:history="1">
        <w:r w:rsidRPr="00ED04FE">
          <w:rPr>
            <w:rFonts w:ascii="Times New Roman" w:eastAsia="Times New Roman" w:hAnsi="Times New Roman" w:cs="Times New Roman"/>
            <w:color w:val="0000FF"/>
            <w:sz w:val="24"/>
            <w:szCs w:val="24"/>
            <w:u w:val="single"/>
            <w:lang w:val="en-US"/>
          </w:rPr>
          <w:t>https://doi.org/10.1038/nrc.2017.118</w:t>
        </w:r>
      </w:hyperlink>
    </w:p>
    <w:p w14:paraId="46FF23D8"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proofErr w:type="spellStart"/>
      <w:r w:rsidRPr="00ED04FE">
        <w:rPr>
          <w:rFonts w:ascii="Times New Roman" w:eastAsia="Times New Roman" w:hAnsi="Times New Roman" w:cs="Times New Roman"/>
          <w:sz w:val="24"/>
          <w:szCs w:val="24"/>
          <w:lang w:val="en-US"/>
        </w:rPr>
        <w:t>Clevers</w:t>
      </w:r>
      <w:proofErr w:type="spellEnd"/>
      <w:r w:rsidRPr="00ED04FE">
        <w:rPr>
          <w:rFonts w:ascii="Times New Roman" w:eastAsia="Times New Roman" w:hAnsi="Times New Roman" w:cs="Times New Roman"/>
          <w:sz w:val="24"/>
          <w:szCs w:val="24"/>
          <w:lang w:val="en-US"/>
        </w:rPr>
        <w:t xml:space="preserve">, H. (2011). The cancer stem cell: Premises, promises and challenges. </w:t>
      </w:r>
      <w:r w:rsidRPr="00ED04FE">
        <w:rPr>
          <w:rFonts w:ascii="Times New Roman" w:eastAsia="Times New Roman" w:hAnsi="Times New Roman" w:cs="Times New Roman"/>
          <w:i/>
          <w:iCs/>
          <w:sz w:val="24"/>
          <w:szCs w:val="24"/>
          <w:lang w:val="en-US"/>
        </w:rPr>
        <w:t>Nature Medicine, 17</w:t>
      </w:r>
      <w:r w:rsidRPr="00ED04FE">
        <w:rPr>
          <w:rFonts w:ascii="Times New Roman" w:eastAsia="Times New Roman" w:hAnsi="Times New Roman" w:cs="Times New Roman"/>
          <w:sz w:val="24"/>
          <w:szCs w:val="24"/>
          <w:lang w:val="en-US"/>
        </w:rPr>
        <w:t xml:space="preserve">(3), 313–319. </w:t>
      </w:r>
      <w:hyperlink r:id="rId14" w:tgtFrame="_new" w:history="1">
        <w:r w:rsidRPr="00ED04FE">
          <w:rPr>
            <w:rFonts w:ascii="Times New Roman" w:eastAsia="Times New Roman" w:hAnsi="Times New Roman" w:cs="Times New Roman"/>
            <w:color w:val="0000FF"/>
            <w:sz w:val="24"/>
            <w:szCs w:val="24"/>
            <w:u w:val="single"/>
            <w:lang w:val="en-US"/>
          </w:rPr>
          <w:t>https://doi.org/10.1038/nm.2304</w:t>
        </w:r>
      </w:hyperlink>
    </w:p>
    <w:p w14:paraId="450EDE00"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Chu, X., Tian, W., Ning, J., Xiao, G., Zhou, Y., Wang, Z., Zhai, Z., </w:t>
      </w:r>
      <w:proofErr w:type="spellStart"/>
      <w:r w:rsidRPr="00ED04FE">
        <w:rPr>
          <w:rFonts w:ascii="Times New Roman" w:eastAsia="Times New Roman" w:hAnsi="Times New Roman" w:cs="Times New Roman"/>
          <w:sz w:val="24"/>
          <w:szCs w:val="24"/>
          <w:lang w:val="en-US"/>
        </w:rPr>
        <w:t>Tanzhu</w:t>
      </w:r>
      <w:proofErr w:type="spellEnd"/>
      <w:r w:rsidRPr="00ED04FE">
        <w:rPr>
          <w:rFonts w:ascii="Times New Roman" w:eastAsia="Times New Roman" w:hAnsi="Times New Roman" w:cs="Times New Roman"/>
          <w:sz w:val="24"/>
          <w:szCs w:val="24"/>
          <w:lang w:val="en-US"/>
        </w:rPr>
        <w:t xml:space="preserve">, G., Yang, J., &amp; Zhou, R. (2024). Cancer stem cells: Advances in knowledge and implications for cancer therapy. </w:t>
      </w:r>
      <w:r w:rsidRPr="00ED04FE">
        <w:rPr>
          <w:rFonts w:ascii="Times New Roman" w:eastAsia="Times New Roman" w:hAnsi="Times New Roman" w:cs="Times New Roman"/>
          <w:i/>
          <w:iCs/>
          <w:sz w:val="24"/>
          <w:szCs w:val="24"/>
          <w:lang w:val="en-US"/>
        </w:rPr>
        <w:t>Signal Transduction and Targeted Therapy, 9</w:t>
      </w:r>
      <w:r w:rsidRPr="00ED04FE">
        <w:rPr>
          <w:rFonts w:ascii="Times New Roman" w:eastAsia="Times New Roman" w:hAnsi="Times New Roman" w:cs="Times New Roman"/>
          <w:sz w:val="24"/>
          <w:szCs w:val="24"/>
          <w:lang w:val="en-US"/>
        </w:rPr>
        <w:t xml:space="preserve">, Article 170. </w:t>
      </w:r>
      <w:hyperlink r:id="rId15" w:tgtFrame="_new" w:history="1">
        <w:r w:rsidRPr="00ED04FE">
          <w:rPr>
            <w:rFonts w:ascii="Times New Roman" w:eastAsia="Times New Roman" w:hAnsi="Times New Roman" w:cs="Times New Roman"/>
            <w:color w:val="0000FF"/>
            <w:sz w:val="24"/>
            <w:szCs w:val="24"/>
            <w:u w:val="single"/>
            <w:lang w:val="en-US"/>
          </w:rPr>
          <w:t>https://doi.org/10.1038/s41392-024-01851-y</w:t>
        </w:r>
      </w:hyperlink>
    </w:p>
    <w:p w14:paraId="6667793E"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nl-BE"/>
        </w:rPr>
        <w:t xml:space="preserve">Cojoc, M., Mäbert, K., Muders, M. H., &amp; Dubrovska, A. (2015). </w:t>
      </w:r>
      <w:r w:rsidRPr="00ED04FE">
        <w:rPr>
          <w:rFonts w:ascii="Times New Roman" w:eastAsia="Times New Roman" w:hAnsi="Times New Roman" w:cs="Times New Roman"/>
          <w:sz w:val="24"/>
          <w:szCs w:val="24"/>
          <w:lang w:val="en-US"/>
        </w:rPr>
        <w:t xml:space="preserve">A role for cancer stem cells in therapy resistance: Cellular and molecular mechanisms. </w:t>
      </w:r>
      <w:r w:rsidRPr="00ED04FE">
        <w:rPr>
          <w:rFonts w:ascii="Times New Roman" w:eastAsia="Times New Roman" w:hAnsi="Times New Roman" w:cs="Times New Roman"/>
          <w:i/>
          <w:iCs/>
          <w:sz w:val="24"/>
          <w:szCs w:val="24"/>
          <w:lang w:val="en-US"/>
        </w:rPr>
        <w:t>Seminars in Cancer Biology, 31</w:t>
      </w:r>
      <w:r w:rsidRPr="00ED04FE">
        <w:rPr>
          <w:rFonts w:ascii="Times New Roman" w:eastAsia="Times New Roman" w:hAnsi="Times New Roman" w:cs="Times New Roman"/>
          <w:sz w:val="24"/>
          <w:szCs w:val="24"/>
          <w:lang w:val="en-US"/>
        </w:rPr>
        <w:t xml:space="preserve">, 16–27. </w:t>
      </w:r>
      <w:hyperlink r:id="rId16" w:tgtFrame="_new" w:history="1">
        <w:r w:rsidRPr="00ED04FE">
          <w:rPr>
            <w:rFonts w:ascii="Times New Roman" w:eastAsia="Times New Roman" w:hAnsi="Times New Roman" w:cs="Times New Roman"/>
            <w:color w:val="0000FF"/>
            <w:sz w:val="24"/>
            <w:szCs w:val="24"/>
            <w:u w:val="single"/>
            <w:lang w:val="en-US"/>
          </w:rPr>
          <w:t>https://doi.org/10.1016/j.semcancer.2014.06.004</w:t>
        </w:r>
      </w:hyperlink>
    </w:p>
    <w:p w14:paraId="2AA33829"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proofErr w:type="spellStart"/>
      <w:r w:rsidRPr="00ED04FE">
        <w:rPr>
          <w:rFonts w:ascii="Times New Roman" w:eastAsia="Times New Roman" w:hAnsi="Times New Roman" w:cs="Times New Roman"/>
          <w:sz w:val="24"/>
          <w:szCs w:val="24"/>
          <w:lang w:val="en-US"/>
        </w:rPr>
        <w:t>Dagogo</w:t>
      </w:r>
      <w:proofErr w:type="spellEnd"/>
      <w:r w:rsidRPr="00ED04FE">
        <w:rPr>
          <w:rFonts w:ascii="Times New Roman" w:eastAsia="Times New Roman" w:hAnsi="Times New Roman" w:cs="Times New Roman"/>
          <w:sz w:val="24"/>
          <w:szCs w:val="24"/>
          <w:lang w:val="en-US"/>
        </w:rPr>
        <w:t xml:space="preserve">-Jack, I., &amp; Shaw, A. T. (2018). </w:t>
      </w:r>
      <w:proofErr w:type="spellStart"/>
      <w:r w:rsidRPr="00ED04FE">
        <w:rPr>
          <w:rFonts w:ascii="Times New Roman" w:eastAsia="Times New Roman" w:hAnsi="Times New Roman" w:cs="Times New Roman"/>
          <w:sz w:val="24"/>
          <w:szCs w:val="24"/>
          <w:lang w:val="en-US"/>
        </w:rPr>
        <w:t>Tumour</w:t>
      </w:r>
      <w:proofErr w:type="spellEnd"/>
      <w:r w:rsidRPr="00ED04FE">
        <w:rPr>
          <w:rFonts w:ascii="Times New Roman" w:eastAsia="Times New Roman" w:hAnsi="Times New Roman" w:cs="Times New Roman"/>
          <w:sz w:val="24"/>
          <w:szCs w:val="24"/>
          <w:lang w:val="en-US"/>
        </w:rPr>
        <w:t xml:space="preserve"> heterogeneity and resistance to cancer therapies. </w:t>
      </w:r>
      <w:r w:rsidRPr="00ED04FE">
        <w:rPr>
          <w:rFonts w:ascii="Times New Roman" w:eastAsia="Times New Roman" w:hAnsi="Times New Roman" w:cs="Times New Roman"/>
          <w:i/>
          <w:iCs/>
          <w:sz w:val="24"/>
          <w:szCs w:val="24"/>
          <w:lang w:val="en-US"/>
        </w:rPr>
        <w:t>Nature Reviews Clinical Oncology, 15</w:t>
      </w:r>
      <w:r w:rsidRPr="00ED04FE">
        <w:rPr>
          <w:rFonts w:ascii="Times New Roman" w:eastAsia="Times New Roman" w:hAnsi="Times New Roman" w:cs="Times New Roman"/>
          <w:sz w:val="24"/>
          <w:szCs w:val="24"/>
          <w:lang w:val="en-US"/>
        </w:rPr>
        <w:t xml:space="preserve">(2), 81–94. </w:t>
      </w:r>
      <w:hyperlink r:id="rId17" w:tgtFrame="_new" w:history="1">
        <w:r w:rsidRPr="00ED04FE">
          <w:rPr>
            <w:rFonts w:ascii="Times New Roman" w:eastAsia="Times New Roman" w:hAnsi="Times New Roman" w:cs="Times New Roman"/>
            <w:color w:val="0000FF"/>
            <w:sz w:val="24"/>
            <w:szCs w:val="24"/>
            <w:u w:val="single"/>
            <w:lang w:val="en-US"/>
          </w:rPr>
          <w:t>https://doi.org/10.1038/nrclinonc.2017.166</w:t>
        </w:r>
      </w:hyperlink>
    </w:p>
    <w:p w14:paraId="52AE414E"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de Sousa e Melo, F., &amp; Vermeulen, L. (2016). </w:t>
      </w:r>
      <w:proofErr w:type="spellStart"/>
      <w:r w:rsidRPr="00ED04FE">
        <w:rPr>
          <w:rFonts w:ascii="Times New Roman" w:eastAsia="Times New Roman" w:hAnsi="Times New Roman" w:cs="Times New Roman"/>
          <w:sz w:val="24"/>
          <w:szCs w:val="24"/>
          <w:lang w:val="en-US"/>
        </w:rPr>
        <w:t>Wnt</w:t>
      </w:r>
      <w:proofErr w:type="spellEnd"/>
      <w:r w:rsidRPr="00ED04FE">
        <w:rPr>
          <w:rFonts w:ascii="Times New Roman" w:eastAsia="Times New Roman" w:hAnsi="Times New Roman" w:cs="Times New Roman"/>
          <w:sz w:val="24"/>
          <w:szCs w:val="24"/>
          <w:lang w:val="en-US"/>
        </w:rPr>
        <w:t xml:space="preserve"> signaling in cancer stem cell biology. </w:t>
      </w:r>
      <w:r w:rsidRPr="00ED04FE">
        <w:rPr>
          <w:rFonts w:ascii="Times New Roman" w:eastAsia="Times New Roman" w:hAnsi="Times New Roman" w:cs="Times New Roman"/>
          <w:i/>
          <w:iCs/>
          <w:sz w:val="24"/>
          <w:szCs w:val="24"/>
          <w:lang w:val="en-US"/>
        </w:rPr>
        <w:t>Cancers, 8</w:t>
      </w:r>
      <w:r w:rsidRPr="00ED04FE">
        <w:rPr>
          <w:rFonts w:ascii="Times New Roman" w:eastAsia="Times New Roman" w:hAnsi="Times New Roman" w:cs="Times New Roman"/>
          <w:sz w:val="24"/>
          <w:szCs w:val="24"/>
          <w:lang w:val="en-US"/>
        </w:rPr>
        <w:t xml:space="preserve">(7), Article 60. </w:t>
      </w:r>
      <w:hyperlink r:id="rId18" w:tgtFrame="_new" w:history="1">
        <w:r w:rsidRPr="00ED04FE">
          <w:rPr>
            <w:rFonts w:ascii="Times New Roman" w:eastAsia="Times New Roman" w:hAnsi="Times New Roman" w:cs="Times New Roman"/>
            <w:color w:val="0000FF"/>
            <w:sz w:val="24"/>
            <w:szCs w:val="24"/>
            <w:u w:val="single"/>
            <w:lang w:val="en-US"/>
          </w:rPr>
          <w:t>https://doi.org/10.3390/cancers8070060</w:t>
        </w:r>
      </w:hyperlink>
    </w:p>
    <w:p w14:paraId="020C20F6"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Easwaran, H., Tsai, H. C., &amp; Baylin, S. B. (2014). Cancer epigenetics: Tumor heterogeneity, plasticity of stem-like states, and drug resistance. </w:t>
      </w:r>
      <w:r w:rsidRPr="00ED04FE">
        <w:rPr>
          <w:rFonts w:ascii="Times New Roman" w:eastAsia="Times New Roman" w:hAnsi="Times New Roman" w:cs="Times New Roman"/>
          <w:i/>
          <w:iCs/>
          <w:sz w:val="24"/>
          <w:szCs w:val="24"/>
          <w:lang w:val="en-US"/>
        </w:rPr>
        <w:t>Molecular Cell, 54</w:t>
      </w:r>
      <w:r w:rsidRPr="00ED04FE">
        <w:rPr>
          <w:rFonts w:ascii="Times New Roman" w:eastAsia="Times New Roman" w:hAnsi="Times New Roman" w:cs="Times New Roman"/>
          <w:sz w:val="24"/>
          <w:szCs w:val="24"/>
          <w:lang w:val="en-US"/>
        </w:rPr>
        <w:t xml:space="preserve">(5), 716–727. </w:t>
      </w:r>
      <w:hyperlink r:id="rId19" w:tgtFrame="_new" w:history="1">
        <w:r w:rsidRPr="00ED04FE">
          <w:rPr>
            <w:rFonts w:ascii="Times New Roman" w:eastAsia="Times New Roman" w:hAnsi="Times New Roman" w:cs="Times New Roman"/>
            <w:color w:val="0000FF"/>
            <w:sz w:val="24"/>
            <w:szCs w:val="24"/>
            <w:u w:val="single"/>
            <w:lang w:val="en-US"/>
          </w:rPr>
          <w:t>https://doi.org/10.1016/j.molcel.2014.05.015</w:t>
        </w:r>
      </w:hyperlink>
    </w:p>
    <w:p w14:paraId="265925C1"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Frank, N. Y., </w:t>
      </w:r>
      <w:proofErr w:type="spellStart"/>
      <w:r w:rsidRPr="00ED04FE">
        <w:rPr>
          <w:rFonts w:ascii="Times New Roman" w:eastAsia="Times New Roman" w:hAnsi="Times New Roman" w:cs="Times New Roman"/>
          <w:sz w:val="24"/>
          <w:szCs w:val="24"/>
          <w:lang w:val="en-US"/>
        </w:rPr>
        <w:t>Schatton</w:t>
      </w:r>
      <w:proofErr w:type="spellEnd"/>
      <w:r w:rsidRPr="00ED04FE">
        <w:rPr>
          <w:rFonts w:ascii="Times New Roman" w:eastAsia="Times New Roman" w:hAnsi="Times New Roman" w:cs="Times New Roman"/>
          <w:sz w:val="24"/>
          <w:szCs w:val="24"/>
          <w:lang w:val="en-US"/>
        </w:rPr>
        <w:t xml:space="preserve">, T., &amp; Frank, M. H. (2010). The therapeutic promise of the cancer stem cell concept. </w:t>
      </w:r>
      <w:r w:rsidRPr="00ED04FE">
        <w:rPr>
          <w:rFonts w:ascii="Times New Roman" w:eastAsia="Times New Roman" w:hAnsi="Times New Roman" w:cs="Times New Roman"/>
          <w:i/>
          <w:iCs/>
          <w:sz w:val="24"/>
          <w:szCs w:val="24"/>
          <w:lang w:val="en-US"/>
        </w:rPr>
        <w:t>Journal of Clinical Investigation, 120</w:t>
      </w:r>
      <w:r w:rsidRPr="00ED04FE">
        <w:rPr>
          <w:rFonts w:ascii="Times New Roman" w:eastAsia="Times New Roman" w:hAnsi="Times New Roman" w:cs="Times New Roman"/>
          <w:sz w:val="24"/>
          <w:szCs w:val="24"/>
          <w:lang w:val="en-US"/>
        </w:rPr>
        <w:t xml:space="preserve">(1), 41–50. </w:t>
      </w:r>
      <w:hyperlink r:id="rId20" w:tgtFrame="_new" w:history="1">
        <w:r w:rsidRPr="00ED04FE">
          <w:rPr>
            <w:rFonts w:ascii="Times New Roman" w:eastAsia="Times New Roman" w:hAnsi="Times New Roman" w:cs="Times New Roman"/>
            <w:color w:val="0000FF"/>
            <w:sz w:val="24"/>
            <w:szCs w:val="24"/>
            <w:u w:val="single"/>
            <w:lang w:val="en-US"/>
          </w:rPr>
          <w:t>https://doi.org/10.1172/JCI41004</w:t>
        </w:r>
      </w:hyperlink>
    </w:p>
    <w:p w14:paraId="450A3348"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Fruman, D. A., Chiu, H., Hopkins, B. D., </w:t>
      </w:r>
      <w:proofErr w:type="spellStart"/>
      <w:r w:rsidRPr="00ED04FE">
        <w:rPr>
          <w:rFonts w:ascii="Times New Roman" w:eastAsia="Times New Roman" w:hAnsi="Times New Roman" w:cs="Times New Roman"/>
          <w:sz w:val="24"/>
          <w:szCs w:val="24"/>
          <w:lang w:val="en-US"/>
        </w:rPr>
        <w:t>Bagrodia</w:t>
      </w:r>
      <w:proofErr w:type="spellEnd"/>
      <w:r w:rsidRPr="00ED04FE">
        <w:rPr>
          <w:rFonts w:ascii="Times New Roman" w:eastAsia="Times New Roman" w:hAnsi="Times New Roman" w:cs="Times New Roman"/>
          <w:sz w:val="24"/>
          <w:szCs w:val="24"/>
          <w:lang w:val="en-US"/>
        </w:rPr>
        <w:t xml:space="preserve">, S., Cantley, L. C., &amp; Abraham, R. T. (2017). The PI3K pathway in human disease. </w:t>
      </w:r>
      <w:r w:rsidRPr="00ED04FE">
        <w:rPr>
          <w:rFonts w:ascii="Times New Roman" w:eastAsia="Times New Roman" w:hAnsi="Times New Roman" w:cs="Times New Roman"/>
          <w:i/>
          <w:iCs/>
          <w:sz w:val="24"/>
          <w:szCs w:val="24"/>
          <w:lang w:val="en-US"/>
        </w:rPr>
        <w:t>Cell, 170</w:t>
      </w:r>
      <w:r w:rsidRPr="00ED04FE">
        <w:rPr>
          <w:rFonts w:ascii="Times New Roman" w:eastAsia="Times New Roman" w:hAnsi="Times New Roman" w:cs="Times New Roman"/>
          <w:sz w:val="24"/>
          <w:szCs w:val="24"/>
          <w:lang w:val="en-US"/>
        </w:rPr>
        <w:t xml:space="preserve">(4), 605–635. </w:t>
      </w:r>
      <w:hyperlink r:id="rId21" w:tgtFrame="_new" w:history="1">
        <w:r w:rsidRPr="00ED04FE">
          <w:rPr>
            <w:rFonts w:ascii="Times New Roman" w:eastAsia="Times New Roman" w:hAnsi="Times New Roman" w:cs="Times New Roman"/>
            <w:color w:val="0000FF"/>
            <w:sz w:val="24"/>
            <w:szCs w:val="24"/>
            <w:u w:val="single"/>
            <w:lang w:val="en-US"/>
          </w:rPr>
          <w:t>https://doi.org/10.1016/j.cell.2017.07.029</w:t>
        </w:r>
      </w:hyperlink>
    </w:p>
    <w:p w14:paraId="335E3DA7"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García-Heredia, J. M., &amp; Carnero, A. (2020). Role of mitochondria in cancer stem cell resistance. </w:t>
      </w:r>
      <w:r w:rsidRPr="00ED04FE">
        <w:rPr>
          <w:rFonts w:ascii="Times New Roman" w:eastAsia="Times New Roman" w:hAnsi="Times New Roman" w:cs="Times New Roman"/>
          <w:i/>
          <w:iCs/>
          <w:sz w:val="24"/>
          <w:szCs w:val="24"/>
          <w:lang w:val="en-US"/>
        </w:rPr>
        <w:t>Cells, 9</w:t>
      </w:r>
      <w:r w:rsidRPr="00ED04FE">
        <w:rPr>
          <w:rFonts w:ascii="Times New Roman" w:eastAsia="Times New Roman" w:hAnsi="Times New Roman" w:cs="Times New Roman"/>
          <w:sz w:val="24"/>
          <w:szCs w:val="24"/>
          <w:lang w:val="en-US"/>
        </w:rPr>
        <w:t xml:space="preserve">(7), Article 1693. </w:t>
      </w:r>
      <w:hyperlink r:id="rId22" w:tgtFrame="_new" w:history="1">
        <w:r w:rsidRPr="00ED04FE">
          <w:rPr>
            <w:rFonts w:ascii="Times New Roman" w:eastAsia="Times New Roman" w:hAnsi="Times New Roman" w:cs="Times New Roman"/>
            <w:color w:val="0000FF"/>
            <w:sz w:val="24"/>
            <w:szCs w:val="24"/>
            <w:u w:val="single"/>
            <w:lang w:val="en-US"/>
          </w:rPr>
          <w:t>https://doi.org/10.3390/cells9071693</w:t>
        </w:r>
      </w:hyperlink>
    </w:p>
    <w:p w14:paraId="41700A1B"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Gasparyan, A. Y., Ayvazyan, L., Blackmore, H., &amp; Kitas, G. D. (2011). Writing a narrative biomedical review: Considerations for authors, peer reviewers, and editors. </w:t>
      </w:r>
      <w:r w:rsidRPr="00ED04FE">
        <w:rPr>
          <w:rFonts w:ascii="Times New Roman" w:eastAsia="Times New Roman" w:hAnsi="Times New Roman" w:cs="Times New Roman"/>
          <w:i/>
          <w:iCs/>
          <w:sz w:val="24"/>
          <w:szCs w:val="24"/>
          <w:lang w:val="en-US"/>
        </w:rPr>
        <w:t>Rheumatology International, 31</w:t>
      </w:r>
      <w:r w:rsidRPr="00ED04FE">
        <w:rPr>
          <w:rFonts w:ascii="Times New Roman" w:eastAsia="Times New Roman" w:hAnsi="Times New Roman" w:cs="Times New Roman"/>
          <w:sz w:val="24"/>
          <w:szCs w:val="24"/>
          <w:lang w:val="en-US"/>
        </w:rPr>
        <w:t xml:space="preserve">(11), 1409–1417. </w:t>
      </w:r>
      <w:hyperlink r:id="rId23" w:tgtFrame="_new" w:history="1">
        <w:r w:rsidRPr="00ED04FE">
          <w:rPr>
            <w:rFonts w:ascii="Times New Roman" w:eastAsia="Times New Roman" w:hAnsi="Times New Roman" w:cs="Times New Roman"/>
            <w:color w:val="0000FF"/>
            <w:sz w:val="24"/>
            <w:szCs w:val="24"/>
            <w:u w:val="single"/>
            <w:lang w:val="en-US"/>
          </w:rPr>
          <w:t>https://doi.org/10.1007/s00296-011-1999-3</w:t>
        </w:r>
      </w:hyperlink>
    </w:p>
    <w:p w14:paraId="024090DE"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Ginestier, C., Hur, M. H., </w:t>
      </w:r>
      <w:proofErr w:type="spellStart"/>
      <w:r w:rsidRPr="00ED04FE">
        <w:rPr>
          <w:rFonts w:ascii="Times New Roman" w:eastAsia="Times New Roman" w:hAnsi="Times New Roman" w:cs="Times New Roman"/>
          <w:sz w:val="24"/>
          <w:szCs w:val="24"/>
          <w:lang w:val="en-US"/>
        </w:rPr>
        <w:t>Charafe</w:t>
      </w:r>
      <w:proofErr w:type="spellEnd"/>
      <w:r w:rsidRPr="00ED04FE">
        <w:rPr>
          <w:rFonts w:ascii="Times New Roman" w:eastAsia="Times New Roman" w:hAnsi="Times New Roman" w:cs="Times New Roman"/>
          <w:sz w:val="24"/>
          <w:szCs w:val="24"/>
          <w:lang w:val="en-US"/>
        </w:rPr>
        <w:t xml:space="preserve">-Jauffret, E., Monville, F., Dutcher, J., Brown, M., Jacquemier, J., Viens, P., Kleer, C. G., Liu, S., Schott, A., Hayes, D., Birnbaum, D., </w:t>
      </w:r>
      <w:proofErr w:type="spellStart"/>
      <w:r w:rsidRPr="00ED04FE">
        <w:rPr>
          <w:rFonts w:ascii="Times New Roman" w:eastAsia="Times New Roman" w:hAnsi="Times New Roman" w:cs="Times New Roman"/>
          <w:sz w:val="24"/>
          <w:szCs w:val="24"/>
          <w:lang w:val="en-US"/>
        </w:rPr>
        <w:t>Wicha</w:t>
      </w:r>
      <w:proofErr w:type="spellEnd"/>
      <w:r w:rsidRPr="00ED04FE">
        <w:rPr>
          <w:rFonts w:ascii="Times New Roman" w:eastAsia="Times New Roman" w:hAnsi="Times New Roman" w:cs="Times New Roman"/>
          <w:sz w:val="24"/>
          <w:szCs w:val="24"/>
          <w:lang w:val="en-US"/>
        </w:rPr>
        <w:t xml:space="preserve">, M. S., &amp; Dontu, G. (2007). ALDH1 is a marker of normal and malignant human mammary stem cells and a predictor of poor clinical outcome. </w:t>
      </w:r>
      <w:r w:rsidRPr="00ED04FE">
        <w:rPr>
          <w:rFonts w:ascii="Times New Roman" w:eastAsia="Times New Roman" w:hAnsi="Times New Roman" w:cs="Times New Roman"/>
          <w:i/>
          <w:iCs/>
          <w:sz w:val="24"/>
          <w:szCs w:val="24"/>
          <w:lang w:val="en-US"/>
        </w:rPr>
        <w:t>Cell Stem Cell, 1</w:t>
      </w:r>
      <w:r w:rsidRPr="00ED04FE">
        <w:rPr>
          <w:rFonts w:ascii="Times New Roman" w:eastAsia="Times New Roman" w:hAnsi="Times New Roman" w:cs="Times New Roman"/>
          <w:sz w:val="24"/>
          <w:szCs w:val="24"/>
          <w:lang w:val="en-US"/>
        </w:rPr>
        <w:t xml:space="preserve">(5), 555–567. </w:t>
      </w:r>
      <w:hyperlink r:id="rId24" w:tgtFrame="_new" w:history="1">
        <w:r w:rsidRPr="00ED04FE">
          <w:rPr>
            <w:rFonts w:ascii="Times New Roman" w:eastAsia="Times New Roman" w:hAnsi="Times New Roman" w:cs="Times New Roman"/>
            <w:color w:val="0000FF"/>
            <w:sz w:val="24"/>
            <w:szCs w:val="24"/>
            <w:u w:val="single"/>
            <w:lang w:val="en-US"/>
          </w:rPr>
          <w:t>https://doi.org/10.1016/j.stem.2007.08.014</w:t>
        </w:r>
      </w:hyperlink>
    </w:p>
    <w:p w14:paraId="02024D13"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Hanahan, D. (2022). Hallmarks of cancer: New dimensions. </w:t>
      </w:r>
      <w:r w:rsidRPr="00ED04FE">
        <w:rPr>
          <w:rFonts w:ascii="Times New Roman" w:eastAsia="Times New Roman" w:hAnsi="Times New Roman" w:cs="Times New Roman"/>
          <w:i/>
          <w:iCs/>
          <w:sz w:val="24"/>
          <w:szCs w:val="24"/>
          <w:lang w:val="en-US"/>
        </w:rPr>
        <w:t>Cancer Discovery, 12</w:t>
      </w:r>
      <w:r w:rsidRPr="00ED04FE">
        <w:rPr>
          <w:rFonts w:ascii="Times New Roman" w:eastAsia="Times New Roman" w:hAnsi="Times New Roman" w:cs="Times New Roman"/>
          <w:sz w:val="24"/>
          <w:szCs w:val="24"/>
          <w:lang w:val="en-US"/>
        </w:rPr>
        <w:t xml:space="preserve">(1), 31–46. </w:t>
      </w:r>
      <w:hyperlink r:id="rId25" w:tgtFrame="_new" w:history="1">
        <w:r w:rsidRPr="00ED04FE">
          <w:rPr>
            <w:rFonts w:ascii="Times New Roman" w:eastAsia="Times New Roman" w:hAnsi="Times New Roman" w:cs="Times New Roman"/>
            <w:color w:val="0000FF"/>
            <w:sz w:val="24"/>
            <w:szCs w:val="24"/>
            <w:u w:val="single"/>
            <w:lang w:val="en-US"/>
          </w:rPr>
          <w:t>https://doi.org/10.1158/2159-8290.CD-21-1059</w:t>
        </w:r>
      </w:hyperlink>
    </w:p>
    <w:p w14:paraId="2D537CC4"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lastRenderedPageBreak/>
        <w:t xml:space="preserve">Keith, B., &amp; Simon, M. C. (2007). Hypoxia-inducible factors, stem cells, and cancer. </w:t>
      </w:r>
      <w:r w:rsidRPr="00ED04FE">
        <w:rPr>
          <w:rFonts w:ascii="Times New Roman" w:eastAsia="Times New Roman" w:hAnsi="Times New Roman" w:cs="Times New Roman"/>
          <w:i/>
          <w:iCs/>
          <w:sz w:val="24"/>
          <w:szCs w:val="24"/>
          <w:lang w:val="en-US"/>
        </w:rPr>
        <w:t>Cell, 129</w:t>
      </w:r>
      <w:r w:rsidRPr="00ED04FE">
        <w:rPr>
          <w:rFonts w:ascii="Times New Roman" w:eastAsia="Times New Roman" w:hAnsi="Times New Roman" w:cs="Times New Roman"/>
          <w:sz w:val="24"/>
          <w:szCs w:val="24"/>
          <w:lang w:val="en-US"/>
        </w:rPr>
        <w:t xml:space="preserve">(3), 465–472. </w:t>
      </w:r>
      <w:hyperlink r:id="rId26" w:tgtFrame="_new" w:history="1">
        <w:r w:rsidRPr="00ED04FE">
          <w:rPr>
            <w:rFonts w:ascii="Times New Roman" w:eastAsia="Times New Roman" w:hAnsi="Times New Roman" w:cs="Times New Roman"/>
            <w:color w:val="0000FF"/>
            <w:sz w:val="24"/>
            <w:szCs w:val="24"/>
            <w:u w:val="single"/>
            <w:lang w:val="en-US"/>
          </w:rPr>
          <w:t>https://doi.org/10.1016/j.cell.2007.04.019</w:t>
        </w:r>
      </w:hyperlink>
    </w:p>
    <w:p w14:paraId="76E631C7"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Kreso, A., &amp; Dick, J. E. (2014). Evolution of the cancer stem cell model. </w:t>
      </w:r>
      <w:r w:rsidRPr="00ED04FE">
        <w:rPr>
          <w:rFonts w:ascii="Times New Roman" w:eastAsia="Times New Roman" w:hAnsi="Times New Roman" w:cs="Times New Roman"/>
          <w:i/>
          <w:iCs/>
          <w:sz w:val="24"/>
          <w:szCs w:val="24"/>
          <w:lang w:val="en-US"/>
        </w:rPr>
        <w:t>Cell Stem Cell, 14</w:t>
      </w:r>
      <w:r w:rsidRPr="00ED04FE">
        <w:rPr>
          <w:rFonts w:ascii="Times New Roman" w:eastAsia="Times New Roman" w:hAnsi="Times New Roman" w:cs="Times New Roman"/>
          <w:sz w:val="24"/>
          <w:szCs w:val="24"/>
          <w:lang w:val="en-US"/>
        </w:rPr>
        <w:t xml:space="preserve">(3), 275–291. </w:t>
      </w:r>
      <w:hyperlink r:id="rId27" w:tgtFrame="_new" w:history="1">
        <w:r w:rsidRPr="00ED04FE">
          <w:rPr>
            <w:rFonts w:ascii="Times New Roman" w:eastAsia="Times New Roman" w:hAnsi="Times New Roman" w:cs="Times New Roman"/>
            <w:color w:val="0000FF"/>
            <w:sz w:val="24"/>
            <w:szCs w:val="24"/>
            <w:u w:val="single"/>
            <w:lang w:val="en-US"/>
          </w:rPr>
          <w:t>https://doi.org/10.1016/j.stem.2014.02.006</w:t>
        </w:r>
      </w:hyperlink>
    </w:p>
    <w:p w14:paraId="78109BE5"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Lapidot, T., Sirard, C., </w:t>
      </w:r>
      <w:proofErr w:type="spellStart"/>
      <w:r w:rsidRPr="00ED04FE">
        <w:rPr>
          <w:rFonts w:ascii="Times New Roman" w:eastAsia="Times New Roman" w:hAnsi="Times New Roman" w:cs="Times New Roman"/>
          <w:sz w:val="24"/>
          <w:szCs w:val="24"/>
          <w:lang w:val="en-US"/>
        </w:rPr>
        <w:t>Vormoor</w:t>
      </w:r>
      <w:proofErr w:type="spellEnd"/>
      <w:r w:rsidRPr="00ED04FE">
        <w:rPr>
          <w:rFonts w:ascii="Times New Roman" w:eastAsia="Times New Roman" w:hAnsi="Times New Roman" w:cs="Times New Roman"/>
          <w:sz w:val="24"/>
          <w:szCs w:val="24"/>
          <w:lang w:val="en-US"/>
        </w:rPr>
        <w:t xml:space="preserve">, J., Murdoch, B., Hoang, T., Caceres-Cortes, J., Minden, M., Paterson, B., Caligiuri, M. A., &amp; Dick, J. E. (1994). A cell initiating human acute myeloid </w:t>
      </w:r>
      <w:proofErr w:type="spellStart"/>
      <w:r w:rsidRPr="00ED04FE">
        <w:rPr>
          <w:rFonts w:ascii="Times New Roman" w:eastAsia="Times New Roman" w:hAnsi="Times New Roman" w:cs="Times New Roman"/>
          <w:sz w:val="24"/>
          <w:szCs w:val="24"/>
          <w:lang w:val="en-US"/>
        </w:rPr>
        <w:t>leukaemia</w:t>
      </w:r>
      <w:proofErr w:type="spellEnd"/>
      <w:r w:rsidRPr="00ED04FE">
        <w:rPr>
          <w:rFonts w:ascii="Times New Roman" w:eastAsia="Times New Roman" w:hAnsi="Times New Roman" w:cs="Times New Roman"/>
          <w:sz w:val="24"/>
          <w:szCs w:val="24"/>
          <w:lang w:val="en-US"/>
        </w:rPr>
        <w:t xml:space="preserve"> after transplantation into SCID mice. </w:t>
      </w:r>
      <w:r w:rsidRPr="00ED04FE">
        <w:rPr>
          <w:rFonts w:ascii="Times New Roman" w:eastAsia="Times New Roman" w:hAnsi="Times New Roman" w:cs="Times New Roman"/>
          <w:i/>
          <w:iCs/>
          <w:sz w:val="24"/>
          <w:szCs w:val="24"/>
          <w:lang w:val="en-US"/>
        </w:rPr>
        <w:t>Nature, 367</w:t>
      </w:r>
      <w:r w:rsidRPr="00ED04FE">
        <w:rPr>
          <w:rFonts w:ascii="Times New Roman" w:eastAsia="Times New Roman" w:hAnsi="Times New Roman" w:cs="Times New Roman"/>
          <w:sz w:val="24"/>
          <w:szCs w:val="24"/>
          <w:lang w:val="en-US"/>
        </w:rPr>
        <w:t xml:space="preserve">(6464), 645–648. </w:t>
      </w:r>
      <w:hyperlink r:id="rId28" w:tgtFrame="_new" w:history="1">
        <w:r w:rsidRPr="00ED04FE">
          <w:rPr>
            <w:rFonts w:ascii="Times New Roman" w:eastAsia="Times New Roman" w:hAnsi="Times New Roman" w:cs="Times New Roman"/>
            <w:color w:val="0000FF"/>
            <w:sz w:val="24"/>
            <w:szCs w:val="24"/>
            <w:u w:val="single"/>
            <w:lang w:val="en-US"/>
          </w:rPr>
          <w:t>https://doi.org/10.1038/367645a0</w:t>
        </w:r>
      </w:hyperlink>
    </w:p>
    <w:p w14:paraId="3039A318"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Lathia, J. D., Mack, S. C., </w:t>
      </w:r>
      <w:proofErr w:type="spellStart"/>
      <w:r w:rsidRPr="00ED04FE">
        <w:rPr>
          <w:rFonts w:ascii="Times New Roman" w:eastAsia="Times New Roman" w:hAnsi="Times New Roman" w:cs="Times New Roman"/>
          <w:sz w:val="24"/>
          <w:szCs w:val="24"/>
          <w:lang w:val="en-US"/>
        </w:rPr>
        <w:t>Mulkearns</w:t>
      </w:r>
      <w:proofErr w:type="spellEnd"/>
      <w:r w:rsidRPr="00ED04FE">
        <w:rPr>
          <w:rFonts w:ascii="Times New Roman" w:eastAsia="Times New Roman" w:hAnsi="Times New Roman" w:cs="Times New Roman"/>
          <w:sz w:val="24"/>
          <w:szCs w:val="24"/>
          <w:lang w:val="en-US"/>
        </w:rPr>
        <w:t xml:space="preserve">-Hubert, E. E., Valentim, C. L. L., &amp; Rich, J. N. (2015). Cancer stem cells in glioblastoma. </w:t>
      </w:r>
      <w:r w:rsidRPr="00ED04FE">
        <w:rPr>
          <w:rFonts w:ascii="Times New Roman" w:eastAsia="Times New Roman" w:hAnsi="Times New Roman" w:cs="Times New Roman"/>
          <w:i/>
          <w:iCs/>
          <w:sz w:val="24"/>
          <w:szCs w:val="24"/>
          <w:lang w:val="en-US"/>
        </w:rPr>
        <w:t>Genes &amp; Development, 29</w:t>
      </w:r>
      <w:r w:rsidRPr="00ED04FE">
        <w:rPr>
          <w:rFonts w:ascii="Times New Roman" w:eastAsia="Times New Roman" w:hAnsi="Times New Roman" w:cs="Times New Roman"/>
          <w:sz w:val="24"/>
          <w:szCs w:val="24"/>
          <w:lang w:val="en-US"/>
        </w:rPr>
        <w:t xml:space="preserve">(12), 1203–1217. </w:t>
      </w:r>
      <w:hyperlink r:id="rId29" w:tgtFrame="_new" w:history="1">
        <w:r w:rsidRPr="00ED04FE">
          <w:rPr>
            <w:rFonts w:ascii="Times New Roman" w:eastAsia="Times New Roman" w:hAnsi="Times New Roman" w:cs="Times New Roman"/>
            <w:color w:val="0000FF"/>
            <w:sz w:val="24"/>
            <w:szCs w:val="24"/>
            <w:u w:val="single"/>
            <w:lang w:val="en-US"/>
          </w:rPr>
          <w:t>https://doi.org/10.1101/gad.261982.115</w:t>
        </w:r>
      </w:hyperlink>
    </w:p>
    <w:p w14:paraId="2E328FC9"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Lee, H., Kim, B., Park, J., Park, S., Yoo, G., Yum, S., Kang, W., Lee, J.-M., Youn, H., &amp; Youn, B. (2025). Cancer stem cells: Landscape, challenges and emerging therapeutic innovations. </w:t>
      </w:r>
      <w:r w:rsidRPr="00ED04FE">
        <w:rPr>
          <w:rFonts w:ascii="Times New Roman" w:eastAsia="Times New Roman" w:hAnsi="Times New Roman" w:cs="Times New Roman"/>
          <w:i/>
          <w:iCs/>
          <w:sz w:val="24"/>
          <w:szCs w:val="24"/>
          <w:lang w:val="en-US"/>
        </w:rPr>
        <w:t>Signal Transduction and Targeted Therapy, 10</w:t>
      </w:r>
      <w:r w:rsidRPr="00ED04FE">
        <w:rPr>
          <w:rFonts w:ascii="Times New Roman" w:eastAsia="Times New Roman" w:hAnsi="Times New Roman" w:cs="Times New Roman"/>
          <w:sz w:val="24"/>
          <w:szCs w:val="24"/>
          <w:lang w:val="en-US"/>
        </w:rPr>
        <w:t xml:space="preserve">, Article 248. </w:t>
      </w:r>
      <w:hyperlink r:id="rId30" w:tgtFrame="_new" w:history="1">
        <w:r w:rsidRPr="00ED04FE">
          <w:rPr>
            <w:rFonts w:ascii="Times New Roman" w:eastAsia="Times New Roman" w:hAnsi="Times New Roman" w:cs="Times New Roman"/>
            <w:color w:val="0000FF"/>
            <w:sz w:val="24"/>
            <w:szCs w:val="24"/>
            <w:u w:val="single"/>
            <w:lang w:val="en-US"/>
          </w:rPr>
          <w:t>https://doi.org/10.1038/s41392-025-02360-2</w:t>
        </w:r>
      </w:hyperlink>
    </w:p>
    <w:p w14:paraId="64C2D11B"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Li, C., Heidt, D. G., Dalerba, P., Burant, C. F., Zhang, L., </w:t>
      </w:r>
      <w:proofErr w:type="spellStart"/>
      <w:r w:rsidRPr="00ED04FE">
        <w:rPr>
          <w:rFonts w:ascii="Times New Roman" w:eastAsia="Times New Roman" w:hAnsi="Times New Roman" w:cs="Times New Roman"/>
          <w:sz w:val="24"/>
          <w:szCs w:val="24"/>
          <w:lang w:val="en-US"/>
        </w:rPr>
        <w:t>Adsay</w:t>
      </w:r>
      <w:proofErr w:type="spellEnd"/>
      <w:r w:rsidRPr="00ED04FE">
        <w:rPr>
          <w:rFonts w:ascii="Times New Roman" w:eastAsia="Times New Roman" w:hAnsi="Times New Roman" w:cs="Times New Roman"/>
          <w:sz w:val="24"/>
          <w:szCs w:val="24"/>
          <w:lang w:val="en-US"/>
        </w:rPr>
        <w:t xml:space="preserve">, V., Wicha, M., Clarke, M. F., &amp; Simeone, D. M. (2007). Identification of pancreatic cancer stem cells. </w:t>
      </w:r>
      <w:r w:rsidRPr="00ED04FE">
        <w:rPr>
          <w:rFonts w:ascii="Times New Roman" w:eastAsia="Times New Roman" w:hAnsi="Times New Roman" w:cs="Times New Roman"/>
          <w:i/>
          <w:iCs/>
          <w:sz w:val="24"/>
          <w:szCs w:val="24"/>
          <w:lang w:val="en-US"/>
        </w:rPr>
        <w:t>Cancer Research, 67</w:t>
      </w:r>
      <w:r w:rsidRPr="00ED04FE">
        <w:rPr>
          <w:rFonts w:ascii="Times New Roman" w:eastAsia="Times New Roman" w:hAnsi="Times New Roman" w:cs="Times New Roman"/>
          <w:sz w:val="24"/>
          <w:szCs w:val="24"/>
          <w:lang w:val="en-US"/>
        </w:rPr>
        <w:t xml:space="preserve">(3), 1030–1037. </w:t>
      </w:r>
      <w:hyperlink r:id="rId31" w:tgtFrame="_new" w:history="1">
        <w:r w:rsidRPr="00ED04FE">
          <w:rPr>
            <w:rFonts w:ascii="Times New Roman" w:eastAsia="Times New Roman" w:hAnsi="Times New Roman" w:cs="Times New Roman"/>
            <w:color w:val="0000FF"/>
            <w:sz w:val="24"/>
            <w:szCs w:val="24"/>
            <w:u w:val="single"/>
            <w:lang w:val="en-US"/>
          </w:rPr>
          <w:t>https://doi.org/10.1158/0008-5472.CAN-06-2030</w:t>
        </w:r>
      </w:hyperlink>
    </w:p>
    <w:p w14:paraId="20DCF6C4"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Loh, J.-J., &amp; Ma, S. (2024). Hallmarks of cancer stemness. </w:t>
      </w:r>
      <w:r w:rsidRPr="00ED04FE">
        <w:rPr>
          <w:rFonts w:ascii="Times New Roman" w:eastAsia="Times New Roman" w:hAnsi="Times New Roman" w:cs="Times New Roman"/>
          <w:i/>
          <w:iCs/>
          <w:sz w:val="24"/>
          <w:szCs w:val="24"/>
          <w:lang w:val="en-US"/>
        </w:rPr>
        <w:t>Cell Stem Cell, 31</w:t>
      </w:r>
      <w:r w:rsidRPr="00ED04FE">
        <w:rPr>
          <w:rFonts w:ascii="Times New Roman" w:eastAsia="Times New Roman" w:hAnsi="Times New Roman" w:cs="Times New Roman"/>
          <w:sz w:val="24"/>
          <w:szCs w:val="24"/>
          <w:lang w:val="en-US"/>
        </w:rPr>
        <w:t xml:space="preserve">(5), 617–639. </w:t>
      </w:r>
      <w:hyperlink r:id="rId32" w:tgtFrame="_new" w:history="1">
        <w:r w:rsidRPr="00ED04FE">
          <w:rPr>
            <w:rFonts w:ascii="Times New Roman" w:eastAsia="Times New Roman" w:hAnsi="Times New Roman" w:cs="Times New Roman"/>
            <w:color w:val="0000FF"/>
            <w:sz w:val="24"/>
            <w:szCs w:val="24"/>
            <w:u w:val="single"/>
            <w:lang w:val="en-US"/>
          </w:rPr>
          <w:t>https://doi.org/10.1016/j.stem.2024.04.004</w:t>
        </w:r>
      </w:hyperlink>
    </w:p>
    <w:p w14:paraId="57F37DA4"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Lytle, N. K., Barber, A. G., &amp; Reya, T. (2018). Stem cell fate in cancer growth, progression and therapy resistance. </w:t>
      </w:r>
      <w:r w:rsidRPr="00ED04FE">
        <w:rPr>
          <w:rFonts w:ascii="Times New Roman" w:eastAsia="Times New Roman" w:hAnsi="Times New Roman" w:cs="Times New Roman"/>
          <w:i/>
          <w:iCs/>
          <w:sz w:val="24"/>
          <w:szCs w:val="24"/>
          <w:lang w:val="en-US"/>
        </w:rPr>
        <w:t>Nature Reviews Cancer, 18</w:t>
      </w:r>
      <w:r w:rsidRPr="00ED04FE">
        <w:rPr>
          <w:rFonts w:ascii="Times New Roman" w:eastAsia="Times New Roman" w:hAnsi="Times New Roman" w:cs="Times New Roman"/>
          <w:sz w:val="24"/>
          <w:szCs w:val="24"/>
          <w:lang w:val="en-US"/>
        </w:rPr>
        <w:t xml:space="preserve">(11), 669–680. </w:t>
      </w:r>
      <w:hyperlink r:id="rId33" w:tgtFrame="_new" w:history="1">
        <w:r w:rsidRPr="00ED04FE">
          <w:rPr>
            <w:rFonts w:ascii="Times New Roman" w:eastAsia="Times New Roman" w:hAnsi="Times New Roman" w:cs="Times New Roman"/>
            <w:color w:val="0000FF"/>
            <w:sz w:val="24"/>
            <w:szCs w:val="24"/>
            <w:u w:val="single"/>
            <w:lang w:val="en-US"/>
          </w:rPr>
          <w:t>https://doi.org/10.1038/s41568-018-0056-x</w:t>
        </w:r>
      </w:hyperlink>
    </w:p>
    <w:p w14:paraId="3327DE83"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Mani, S. A., Guo, W., Liao, M. J., Eaton, E. N., </w:t>
      </w:r>
      <w:proofErr w:type="spellStart"/>
      <w:r w:rsidRPr="00ED04FE">
        <w:rPr>
          <w:rFonts w:ascii="Times New Roman" w:eastAsia="Times New Roman" w:hAnsi="Times New Roman" w:cs="Times New Roman"/>
          <w:sz w:val="24"/>
          <w:szCs w:val="24"/>
          <w:lang w:val="en-US"/>
        </w:rPr>
        <w:t>Ayyanan</w:t>
      </w:r>
      <w:proofErr w:type="spellEnd"/>
      <w:r w:rsidRPr="00ED04FE">
        <w:rPr>
          <w:rFonts w:ascii="Times New Roman" w:eastAsia="Times New Roman" w:hAnsi="Times New Roman" w:cs="Times New Roman"/>
          <w:sz w:val="24"/>
          <w:szCs w:val="24"/>
          <w:lang w:val="en-US"/>
        </w:rPr>
        <w:t xml:space="preserve">, A., Zhou, A. Y., Brooks, M., Reinhard, F., Zhang, C. C., </w:t>
      </w:r>
      <w:proofErr w:type="spellStart"/>
      <w:r w:rsidRPr="00ED04FE">
        <w:rPr>
          <w:rFonts w:ascii="Times New Roman" w:eastAsia="Times New Roman" w:hAnsi="Times New Roman" w:cs="Times New Roman"/>
          <w:sz w:val="24"/>
          <w:szCs w:val="24"/>
          <w:lang w:val="en-US"/>
        </w:rPr>
        <w:t>Shipitsin</w:t>
      </w:r>
      <w:proofErr w:type="spellEnd"/>
      <w:r w:rsidRPr="00ED04FE">
        <w:rPr>
          <w:rFonts w:ascii="Times New Roman" w:eastAsia="Times New Roman" w:hAnsi="Times New Roman" w:cs="Times New Roman"/>
          <w:sz w:val="24"/>
          <w:szCs w:val="24"/>
          <w:lang w:val="en-US"/>
        </w:rPr>
        <w:t xml:space="preserve">, M., Campbell, L. L., Polyak, K., Brisken, C., Yang, J., &amp; Weinberg, R. A. (2008). The epithelial-mesenchymal transition generates cells with properties of stem cells. </w:t>
      </w:r>
      <w:r w:rsidRPr="00ED04FE">
        <w:rPr>
          <w:rFonts w:ascii="Times New Roman" w:eastAsia="Times New Roman" w:hAnsi="Times New Roman" w:cs="Times New Roman"/>
          <w:i/>
          <w:iCs/>
          <w:sz w:val="24"/>
          <w:szCs w:val="24"/>
          <w:lang w:val="en-US"/>
        </w:rPr>
        <w:t>Cell, 133</w:t>
      </w:r>
      <w:r w:rsidRPr="00ED04FE">
        <w:rPr>
          <w:rFonts w:ascii="Times New Roman" w:eastAsia="Times New Roman" w:hAnsi="Times New Roman" w:cs="Times New Roman"/>
          <w:sz w:val="24"/>
          <w:szCs w:val="24"/>
          <w:lang w:val="en-US"/>
        </w:rPr>
        <w:t xml:space="preserve">(4), 704–715. </w:t>
      </w:r>
      <w:hyperlink r:id="rId34" w:tgtFrame="_new" w:history="1">
        <w:r w:rsidRPr="00ED04FE">
          <w:rPr>
            <w:rFonts w:ascii="Times New Roman" w:eastAsia="Times New Roman" w:hAnsi="Times New Roman" w:cs="Times New Roman"/>
            <w:color w:val="0000FF"/>
            <w:sz w:val="24"/>
            <w:szCs w:val="24"/>
            <w:u w:val="single"/>
            <w:lang w:val="en-US"/>
          </w:rPr>
          <w:t>https://doi.org/10.1016/j.cell.2008.03.027</w:t>
        </w:r>
      </w:hyperlink>
    </w:p>
    <w:p w14:paraId="1B900A94"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Meacham, C. E., &amp; Morrison, S. J. (2013). </w:t>
      </w:r>
      <w:proofErr w:type="spellStart"/>
      <w:r w:rsidRPr="00ED04FE">
        <w:rPr>
          <w:rFonts w:ascii="Times New Roman" w:eastAsia="Times New Roman" w:hAnsi="Times New Roman" w:cs="Times New Roman"/>
          <w:sz w:val="24"/>
          <w:szCs w:val="24"/>
          <w:lang w:val="en-US"/>
        </w:rPr>
        <w:t>Tumour</w:t>
      </w:r>
      <w:proofErr w:type="spellEnd"/>
      <w:r w:rsidRPr="00ED04FE">
        <w:rPr>
          <w:rFonts w:ascii="Times New Roman" w:eastAsia="Times New Roman" w:hAnsi="Times New Roman" w:cs="Times New Roman"/>
          <w:sz w:val="24"/>
          <w:szCs w:val="24"/>
          <w:lang w:val="en-US"/>
        </w:rPr>
        <w:t xml:space="preserve"> heterogeneity and cancer cell plasticity. </w:t>
      </w:r>
      <w:r w:rsidRPr="00ED04FE">
        <w:rPr>
          <w:rFonts w:ascii="Times New Roman" w:eastAsia="Times New Roman" w:hAnsi="Times New Roman" w:cs="Times New Roman"/>
          <w:i/>
          <w:iCs/>
          <w:sz w:val="24"/>
          <w:szCs w:val="24"/>
          <w:lang w:val="en-US"/>
        </w:rPr>
        <w:t>Nature, 501</w:t>
      </w:r>
      <w:r w:rsidRPr="00ED04FE">
        <w:rPr>
          <w:rFonts w:ascii="Times New Roman" w:eastAsia="Times New Roman" w:hAnsi="Times New Roman" w:cs="Times New Roman"/>
          <w:sz w:val="24"/>
          <w:szCs w:val="24"/>
          <w:lang w:val="en-US"/>
        </w:rPr>
        <w:t xml:space="preserve">(7467), 328–337. </w:t>
      </w:r>
      <w:hyperlink r:id="rId35" w:tgtFrame="_new" w:history="1">
        <w:r w:rsidRPr="00ED04FE">
          <w:rPr>
            <w:rFonts w:ascii="Times New Roman" w:eastAsia="Times New Roman" w:hAnsi="Times New Roman" w:cs="Times New Roman"/>
            <w:color w:val="0000FF"/>
            <w:sz w:val="24"/>
            <w:szCs w:val="24"/>
            <w:u w:val="single"/>
            <w:lang w:val="en-US"/>
          </w:rPr>
          <w:t>https://doi.org/10.1038/nature12624</w:t>
        </w:r>
      </w:hyperlink>
    </w:p>
    <w:p w14:paraId="7FF29213"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Morrison, S. J., &amp; Spradling, A. C. (2008). Stem cells and niches: Mechanisms that promote stem cell maintenance throughout life. </w:t>
      </w:r>
      <w:r w:rsidRPr="00ED04FE">
        <w:rPr>
          <w:rFonts w:ascii="Times New Roman" w:eastAsia="Times New Roman" w:hAnsi="Times New Roman" w:cs="Times New Roman"/>
          <w:i/>
          <w:iCs/>
          <w:sz w:val="24"/>
          <w:szCs w:val="24"/>
          <w:lang w:val="en-US"/>
        </w:rPr>
        <w:t>Cell, 132</w:t>
      </w:r>
      <w:r w:rsidRPr="00ED04FE">
        <w:rPr>
          <w:rFonts w:ascii="Times New Roman" w:eastAsia="Times New Roman" w:hAnsi="Times New Roman" w:cs="Times New Roman"/>
          <w:sz w:val="24"/>
          <w:szCs w:val="24"/>
          <w:lang w:val="en-US"/>
        </w:rPr>
        <w:t xml:space="preserve">(4), 598–611. </w:t>
      </w:r>
      <w:hyperlink r:id="rId36" w:tgtFrame="_new" w:history="1">
        <w:r w:rsidRPr="00ED04FE">
          <w:rPr>
            <w:rFonts w:ascii="Times New Roman" w:eastAsia="Times New Roman" w:hAnsi="Times New Roman" w:cs="Times New Roman"/>
            <w:color w:val="0000FF"/>
            <w:sz w:val="24"/>
            <w:szCs w:val="24"/>
            <w:u w:val="single"/>
            <w:lang w:val="en-US"/>
          </w:rPr>
          <w:t>https://doi.org/10.1016/j.cell.2008.01.038</w:t>
        </w:r>
      </w:hyperlink>
    </w:p>
    <w:p w14:paraId="17DAD997"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Najafi, M., </w:t>
      </w:r>
      <w:proofErr w:type="spellStart"/>
      <w:r w:rsidRPr="00ED04FE">
        <w:rPr>
          <w:rFonts w:ascii="Times New Roman" w:eastAsia="Times New Roman" w:hAnsi="Times New Roman" w:cs="Times New Roman"/>
          <w:sz w:val="24"/>
          <w:szCs w:val="24"/>
          <w:lang w:val="en-US"/>
        </w:rPr>
        <w:t>Mortezaee</w:t>
      </w:r>
      <w:proofErr w:type="spellEnd"/>
      <w:r w:rsidRPr="00ED04FE">
        <w:rPr>
          <w:rFonts w:ascii="Times New Roman" w:eastAsia="Times New Roman" w:hAnsi="Times New Roman" w:cs="Times New Roman"/>
          <w:sz w:val="24"/>
          <w:szCs w:val="24"/>
          <w:lang w:val="en-US"/>
        </w:rPr>
        <w:t xml:space="preserve">, K., &amp; </w:t>
      </w:r>
      <w:proofErr w:type="spellStart"/>
      <w:r w:rsidRPr="00ED04FE">
        <w:rPr>
          <w:rFonts w:ascii="Times New Roman" w:eastAsia="Times New Roman" w:hAnsi="Times New Roman" w:cs="Times New Roman"/>
          <w:sz w:val="24"/>
          <w:szCs w:val="24"/>
          <w:lang w:val="en-US"/>
        </w:rPr>
        <w:t>Majidpoor</w:t>
      </w:r>
      <w:proofErr w:type="spellEnd"/>
      <w:r w:rsidRPr="00ED04FE">
        <w:rPr>
          <w:rFonts w:ascii="Times New Roman" w:eastAsia="Times New Roman" w:hAnsi="Times New Roman" w:cs="Times New Roman"/>
          <w:sz w:val="24"/>
          <w:szCs w:val="24"/>
          <w:lang w:val="en-US"/>
        </w:rPr>
        <w:t xml:space="preserve">, J. (2019). Cancer stem cell (CSC) resistance drivers. </w:t>
      </w:r>
      <w:r w:rsidRPr="00ED04FE">
        <w:rPr>
          <w:rFonts w:ascii="Times New Roman" w:eastAsia="Times New Roman" w:hAnsi="Times New Roman" w:cs="Times New Roman"/>
          <w:i/>
          <w:iCs/>
          <w:sz w:val="24"/>
          <w:szCs w:val="24"/>
          <w:lang w:val="en-US"/>
        </w:rPr>
        <w:t>Life Sciences, 234</w:t>
      </w:r>
      <w:r w:rsidRPr="00ED04FE">
        <w:rPr>
          <w:rFonts w:ascii="Times New Roman" w:eastAsia="Times New Roman" w:hAnsi="Times New Roman" w:cs="Times New Roman"/>
          <w:sz w:val="24"/>
          <w:szCs w:val="24"/>
          <w:lang w:val="en-US"/>
        </w:rPr>
        <w:t xml:space="preserve">, Article 116781. </w:t>
      </w:r>
      <w:hyperlink r:id="rId37" w:tgtFrame="_new" w:history="1">
        <w:r w:rsidRPr="00ED04FE">
          <w:rPr>
            <w:rFonts w:ascii="Times New Roman" w:eastAsia="Times New Roman" w:hAnsi="Times New Roman" w:cs="Times New Roman"/>
            <w:color w:val="0000FF"/>
            <w:sz w:val="24"/>
            <w:szCs w:val="24"/>
            <w:u w:val="single"/>
            <w:lang w:val="en-US"/>
          </w:rPr>
          <w:t>https://doi.org/10.1016/j.lfs.2019.116781</w:t>
        </w:r>
      </w:hyperlink>
    </w:p>
    <w:p w14:paraId="41DA44E8"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Nguyen, L. V., Vanner, R., Dirks, P., &amp; Eaves, C. J. (2012). Cancer stem cells: An evolving concept. </w:t>
      </w:r>
      <w:r w:rsidRPr="00ED04FE">
        <w:rPr>
          <w:rFonts w:ascii="Times New Roman" w:eastAsia="Times New Roman" w:hAnsi="Times New Roman" w:cs="Times New Roman"/>
          <w:i/>
          <w:iCs/>
          <w:sz w:val="24"/>
          <w:szCs w:val="24"/>
          <w:lang w:val="en-US"/>
        </w:rPr>
        <w:t>Nature Reviews Cancer, 12</w:t>
      </w:r>
      <w:r w:rsidRPr="00ED04FE">
        <w:rPr>
          <w:rFonts w:ascii="Times New Roman" w:eastAsia="Times New Roman" w:hAnsi="Times New Roman" w:cs="Times New Roman"/>
          <w:sz w:val="24"/>
          <w:szCs w:val="24"/>
          <w:lang w:val="en-US"/>
        </w:rPr>
        <w:t xml:space="preserve">(2), 133–143. </w:t>
      </w:r>
      <w:hyperlink r:id="rId38" w:tgtFrame="_new" w:history="1">
        <w:r w:rsidRPr="00ED04FE">
          <w:rPr>
            <w:rFonts w:ascii="Times New Roman" w:eastAsia="Times New Roman" w:hAnsi="Times New Roman" w:cs="Times New Roman"/>
            <w:color w:val="0000FF"/>
            <w:sz w:val="24"/>
            <w:szCs w:val="24"/>
            <w:u w:val="single"/>
            <w:lang w:val="en-US"/>
          </w:rPr>
          <w:t>https://doi.org/10.1038/nrc3184</w:t>
        </w:r>
      </w:hyperlink>
    </w:p>
    <w:p w14:paraId="6D9243F5"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lastRenderedPageBreak/>
        <w:t xml:space="preserve">Nusse, R., &amp; </w:t>
      </w:r>
      <w:proofErr w:type="spellStart"/>
      <w:r w:rsidRPr="00ED04FE">
        <w:rPr>
          <w:rFonts w:ascii="Times New Roman" w:eastAsia="Times New Roman" w:hAnsi="Times New Roman" w:cs="Times New Roman"/>
          <w:sz w:val="24"/>
          <w:szCs w:val="24"/>
          <w:lang w:val="en-US"/>
        </w:rPr>
        <w:t>Clevers</w:t>
      </w:r>
      <w:proofErr w:type="spellEnd"/>
      <w:r w:rsidRPr="00ED04FE">
        <w:rPr>
          <w:rFonts w:ascii="Times New Roman" w:eastAsia="Times New Roman" w:hAnsi="Times New Roman" w:cs="Times New Roman"/>
          <w:sz w:val="24"/>
          <w:szCs w:val="24"/>
          <w:lang w:val="en-US"/>
        </w:rPr>
        <w:t xml:space="preserve">, H. (2017). </w:t>
      </w:r>
      <w:proofErr w:type="spellStart"/>
      <w:r w:rsidRPr="00ED04FE">
        <w:rPr>
          <w:rFonts w:ascii="Times New Roman" w:eastAsia="Times New Roman" w:hAnsi="Times New Roman" w:cs="Times New Roman"/>
          <w:sz w:val="24"/>
          <w:szCs w:val="24"/>
          <w:lang w:val="en-US"/>
        </w:rPr>
        <w:t>Wnt</w:t>
      </w:r>
      <w:proofErr w:type="spellEnd"/>
      <w:r w:rsidRPr="00ED04FE">
        <w:rPr>
          <w:rFonts w:ascii="Times New Roman" w:eastAsia="Times New Roman" w:hAnsi="Times New Roman" w:cs="Times New Roman"/>
          <w:sz w:val="24"/>
          <w:szCs w:val="24"/>
          <w:lang w:val="en-US"/>
        </w:rPr>
        <w:t xml:space="preserve">/β-catenin signaling, disease, and emerging therapeutic modalities. </w:t>
      </w:r>
      <w:r w:rsidRPr="00ED04FE">
        <w:rPr>
          <w:rFonts w:ascii="Times New Roman" w:eastAsia="Times New Roman" w:hAnsi="Times New Roman" w:cs="Times New Roman"/>
          <w:i/>
          <w:iCs/>
          <w:sz w:val="24"/>
          <w:szCs w:val="24"/>
          <w:lang w:val="en-US"/>
        </w:rPr>
        <w:t>Cell, 169</w:t>
      </w:r>
      <w:r w:rsidRPr="00ED04FE">
        <w:rPr>
          <w:rFonts w:ascii="Times New Roman" w:eastAsia="Times New Roman" w:hAnsi="Times New Roman" w:cs="Times New Roman"/>
          <w:sz w:val="24"/>
          <w:szCs w:val="24"/>
          <w:lang w:val="en-US"/>
        </w:rPr>
        <w:t xml:space="preserve">(6), 985–999. </w:t>
      </w:r>
      <w:hyperlink r:id="rId39" w:tgtFrame="_new" w:history="1">
        <w:r w:rsidRPr="00ED04FE">
          <w:rPr>
            <w:rFonts w:ascii="Times New Roman" w:eastAsia="Times New Roman" w:hAnsi="Times New Roman" w:cs="Times New Roman"/>
            <w:color w:val="0000FF"/>
            <w:sz w:val="24"/>
            <w:szCs w:val="24"/>
            <w:u w:val="single"/>
            <w:lang w:val="en-US"/>
          </w:rPr>
          <w:t>https://doi.org/10.1016/j.cell.2017.05.016</w:t>
        </w:r>
      </w:hyperlink>
    </w:p>
    <w:p w14:paraId="1F45F961"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nl-BE"/>
        </w:rPr>
      </w:pPr>
      <w:r w:rsidRPr="00ED04FE">
        <w:rPr>
          <w:rFonts w:ascii="Times New Roman" w:eastAsia="Times New Roman" w:hAnsi="Times New Roman" w:cs="Times New Roman"/>
          <w:sz w:val="24"/>
          <w:szCs w:val="24"/>
          <w:lang w:val="en-US"/>
        </w:rPr>
        <w:t xml:space="preserve">O’Brien, C. A., Pollett, A., Gallinger, S., &amp; Dick, J. E. (2007). A human colon cancer cell capable of initiating </w:t>
      </w:r>
      <w:proofErr w:type="spellStart"/>
      <w:r w:rsidRPr="00ED04FE">
        <w:rPr>
          <w:rFonts w:ascii="Times New Roman" w:eastAsia="Times New Roman" w:hAnsi="Times New Roman" w:cs="Times New Roman"/>
          <w:sz w:val="24"/>
          <w:szCs w:val="24"/>
          <w:lang w:val="en-US"/>
        </w:rPr>
        <w:t>tumour</w:t>
      </w:r>
      <w:proofErr w:type="spellEnd"/>
      <w:r w:rsidRPr="00ED04FE">
        <w:rPr>
          <w:rFonts w:ascii="Times New Roman" w:eastAsia="Times New Roman" w:hAnsi="Times New Roman" w:cs="Times New Roman"/>
          <w:sz w:val="24"/>
          <w:szCs w:val="24"/>
          <w:lang w:val="en-US"/>
        </w:rPr>
        <w:t xml:space="preserve"> growth in immunodeficient mice. </w:t>
      </w:r>
      <w:r w:rsidRPr="00ED04FE">
        <w:rPr>
          <w:rFonts w:ascii="Times New Roman" w:eastAsia="Times New Roman" w:hAnsi="Times New Roman" w:cs="Times New Roman"/>
          <w:i/>
          <w:iCs/>
          <w:sz w:val="24"/>
          <w:szCs w:val="24"/>
          <w:lang w:val="nl-BE"/>
        </w:rPr>
        <w:t>Nature, 445</w:t>
      </w:r>
      <w:r w:rsidRPr="00ED04FE">
        <w:rPr>
          <w:rFonts w:ascii="Times New Roman" w:eastAsia="Times New Roman" w:hAnsi="Times New Roman" w:cs="Times New Roman"/>
          <w:sz w:val="24"/>
          <w:szCs w:val="24"/>
          <w:lang w:val="nl-BE"/>
        </w:rPr>
        <w:t xml:space="preserve">(7123), 106–110. </w:t>
      </w:r>
      <w:r w:rsidRPr="00ED04FE">
        <w:rPr>
          <w:rFonts w:ascii="Times New Roman" w:eastAsia="Times New Roman" w:hAnsi="Times New Roman" w:cs="Times New Roman"/>
          <w:sz w:val="24"/>
          <w:szCs w:val="24"/>
          <w:lang w:val="en-US"/>
        </w:rPr>
        <w:fldChar w:fldCharType="begin"/>
      </w:r>
      <w:r w:rsidRPr="00ED04FE">
        <w:rPr>
          <w:rFonts w:ascii="Times New Roman" w:eastAsia="Times New Roman" w:hAnsi="Times New Roman" w:cs="Times New Roman"/>
          <w:sz w:val="24"/>
          <w:szCs w:val="24"/>
          <w:lang w:val="nl-BE"/>
        </w:rPr>
        <w:instrText>HYPERLINK "https://doi.org/10.1038/nature05372" \t "_new"</w:instrText>
      </w:r>
      <w:r w:rsidRPr="00ED04FE">
        <w:rPr>
          <w:rFonts w:ascii="Times New Roman" w:eastAsia="Times New Roman" w:hAnsi="Times New Roman" w:cs="Times New Roman"/>
          <w:sz w:val="24"/>
          <w:szCs w:val="24"/>
          <w:lang w:val="en-US"/>
        </w:rPr>
      </w:r>
      <w:r w:rsidRPr="00ED04FE">
        <w:rPr>
          <w:rFonts w:ascii="Times New Roman" w:eastAsia="Times New Roman" w:hAnsi="Times New Roman" w:cs="Times New Roman"/>
          <w:sz w:val="24"/>
          <w:szCs w:val="24"/>
          <w:lang w:val="en-US"/>
        </w:rPr>
        <w:fldChar w:fldCharType="separate"/>
      </w:r>
      <w:r w:rsidRPr="00ED04FE">
        <w:rPr>
          <w:rFonts w:ascii="Times New Roman" w:eastAsia="Times New Roman" w:hAnsi="Times New Roman" w:cs="Times New Roman"/>
          <w:color w:val="0000FF"/>
          <w:sz w:val="24"/>
          <w:szCs w:val="24"/>
          <w:u w:val="single"/>
          <w:lang w:val="nl-BE"/>
        </w:rPr>
        <w:t>https://doi.org/10.1038/nature05372</w:t>
      </w:r>
      <w:r w:rsidRPr="00ED04FE">
        <w:rPr>
          <w:rFonts w:ascii="Times New Roman" w:eastAsia="Times New Roman" w:hAnsi="Times New Roman" w:cs="Times New Roman"/>
          <w:sz w:val="24"/>
          <w:szCs w:val="24"/>
          <w:lang w:val="en-US"/>
        </w:rPr>
        <w:fldChar w:fldCharType="end"/>
      </w:r>
    </w:p>
    <w:p w14:paraId="5A7CBCF4"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nl-BE"/>
        </w:rPr>
        <w:t xml:space="preserve">Pattabiraman, D. R., &amp; Weinberg, R. A. (2014). </w:t>
      </w:r>
      <w:r w:rsidRPr="00ED04FE">
        <w:rPr>
          <w:rFonts w:ascii="Times New Roman" w:eastAsia="Times New Roman" w:hAnsi="Times New Roman" w:cs="Times New Roman"/>
          <w:sz w:val="24"/>
          <w:szCs w:val="24"/>
          <w:lang w:val="en-US"/>
        </w:rPr>
        <w:t xml:space="preserve">Tackling the cancer stem cells: What challenges do they pose? </w:t>
      </w:r>
      <w:r w:rsidRPr="00ED04FE">
        <w:rPr>
          <w:rFonts w:ascii="Times New Roman" w:eastAsia="Times New Roman" w:hAnsi="Times New Roman" w:cs="Times New Roman"/>
          <w:i/>
          <w:iCs/>
          <w:sz w:val="24"/>
          <w:szCs w:val="24"/>
          <w:lang w:val="en-US"/>
        </w:rPr>
        <w:t>Nature Reviews Drug Discovery, 13</w:t>
      </w:r>
      <w:r w:rsidRPr="00ED04FE">
        <w:rPr>
          <w:rFonts w:ascii="Times New Roman" w:eastAsia="Times New Roman" w:hAnsi="Times New Roman" w:cs="Times New Roman"/>
          <w:sz w:val="24"/>
          <w:szCs w:val="24"/>
          <w:lang w:val="en-US"/>
        </w:rPr>
        <w:t xml:space="preserve">(7), 497–512. </w:t>
      </w:r>
      <w:hyperlink r:id="rId40" w:tgtFrame="_new" w:history="1">
        <w:r w:rsidRPr="00ED04FE">
          <w:rPr>
            <w:rFonts w:ascii="Times New Roman" w:eastAsia="Times New Roman" w:hAnsi="Times New Roman" w:cs="Times New Roman"/>
            <w:color w:val="0000FF"/>
            <w:sz w:val="24"/>
            <w:szCs w:val="24"/>
            <w:u w:val="single"/>
            <w:lang w:val="en-US"/>
          </w:rPr>
          <w:t>https://doi.org/10.1038/nrd4253</w:t>
        </w:r>
      </w:hyperlink>
    </w:p>
    <w:p w14:paraId="7E69B7C0"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Peitzsch, C., </w:t>
      </w:r>
      <w:proofErr w:type="spellStart"/>
      <w:r w:rsidRPr="00ED04FE">
        <w:rPr>
          <w:rFonts w:ascii="Times New Roman" w:eastAsia="Times New Roman" w:hAnsi="Times New Roman" w:cs="Times New Roman"/>
          <w:sz w:val="24"/>
          <w:szCs w:val="24"/>
          <w:lang w:val="en-US"/>
        </w:rPr>
        <w:t>Tyutyunnykova</w:t>
      </w:r>
      <w:proofErr w:type="spellEnd"/>
      <w:r w:rsidRPr="00ED04FE">
        <w:rPr>
          <w:rFonts w:ascii="Times New Roman" w:eastAsia="Times New Roman" w:hAnsi="Times New Roman" w:cs="Times New Roman"/>
          <w:sz w:val="24"/>
          <w:szCs w:val="24"/>
          <w:lang w:val="en-US"/>
        </w:rPr>
        <w:t xml:space="preserve">, A., Pantel, K., &amp; </w:t>
      </w:r>
      <w:proofErr w:type="spellStart"/>
      <w:r w:rsidRPr="00ED04FE">
        <w:rPr>
          <w:rFonts w:ascii="Times New Roman" w:eastAsia="Times New Roman" w:hAnsi="Times New Roman" w:cs="Times New Roman"/>
          <w:sz w:val="24"/>
          <w:szCs w:val="24"/>
          <w:lang w:val="en-US"/>
        </w:rPr>
        <w:t>Dubrovska</w:t>
      </w:r>
      <w:proofErr w:type="spellEnd"/>
      <w:r w:rsidRPr="00ED04FE">
        <w:rPr>
          <w:rFonts w:ascii="Times New Roman" w:eastAsia="Times New Roman" w:hAnsi="Times New Roman" w:cs="Times New Roman"/>
          <w:sz w:val="24"/>
          <w:szCs w:val="24"/>
          <w:lang w:val="en-US"/>
        </w:rPr>
        <w:t xml:space="preserve">, A. (2017). Cancer stem cells: The root of tumor recurrence and metastases. </w:t>
      </w:r>
      <w:r w:rsidRPr="00ED04FE">
        <w:rPr>
          <w:rFonts w:ascii="Times New Roman" w:eastAsia="Times New Roman" w:hAnsi="Times New Roman" w:cs="Times New Roman"/>
          <w:i/>
          <w:iCs/>
          <w:sz w:val="24"/>
          <w:szCs w:val="24"/>
          <w:lang w:val="en-US"/>
        </w:rPr>
        <w:t>Seminars in Cancer Biology, 44</w:t>
      </w:r>
      <w:r w:rsidRPr="00ED04FE">
        <w:rPr>
          <w:rFonts w:ascii="Times New Roman" w:eastAsia="Times New Roman" w:hAnsi="Times New Roman" w:cs="Times New Roman"/>
          <w:sz w:val="24"/>
          <w:szCs w:val="24"/>
          <w:lang w:val="en-US"/>
        </w:rPr>
        <w:t xml:space="preserve">, 10–24. </w:t>
      </w:r>
      <w:hyperlink r:id="rId41" w:tgtFrame="_new" w:history="1">
        <w:r w:rsidRPr="00ED04FE">
          <w:rPr>
            <w:rFonts w:ascii="Times New Roman" w:eastAsia="Times New Roman" w:hAnsi="Times New Roman" w:cs="Times New Roman"/>
            <w:color w:val="0000FF"/>
            <w:sz w:val="24"/>
            <w:szCs w:val="24"/>
            <w:u w:val="single"/>
            <w:lang w:val="en-US"/>
          </w:rPr>
          <w:t>https://doi.org/10.1016/j.semcancer.2017.02.011</w:t>
        </w:r>
      </w:hyperlink>
    </w:p>
    <w:p w14:paraId="38BB3C28"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Phi, L. T. H., Sari, I. N., Yang, Y. G., Lee, S. H., Jun, N., Kim, K. S., Lee, Y. K., &amp; Kwon, H. Y. (2018). Cancer stem cells (CSCs) in drug resistance and their therapeutic implications in cancer treatment. </w:t>
      </w:r>
      <w:r w:rsidRPr="00ED04FE">
        <w:rPr>
          <w:rFonts w:ascii="Times New Roman" w:eastAsia="Times New Roman" w:hAnsi="Times New Roman" w:cs="Times New Roman"/>
          <w:i/>
          <w:iCs/>
          <w:sz w:val="24"/>
          <w:szCs w:val="24"/>
          <w:lang w:val="en-US"/>
        </w:rPr>
        <w:t>Stem Cells International, 2018</w:t>
      </w:r>
      <w:r w:rsidRPr="00ED04FE">
        <w:rPr>
          <w:rFonts w:ascii="Times New Roman" w:eastAsia="Times New Roman" w:hAnsi="Times New Roman" w:cs="Times New Roman"/>
          <w:sz w:val="24"/>
          <w:szCs w:val="24"/>
          <w:lang w:val="en-US"/>
        </w:rPr>
        <w:t xml:space="preserve">, Article 5416923. </w:t>
      </w:r>
      <w:hyperlink r:id="rId42" w:tgtFrame="_new" w:history="1">
        <w:r w:rsidRPr="00ED04FE">
          <w:rPr>
            <w:rFonts w:ascii="Times New Roman" w:eastAsia="Times New Roman" w:hAnsi="Times New Roman" w:cs="Times New Roman"/>
            <w:color w:val="0000FF"/>
            <w:sz w:val="24"/>
            <w:szCs w:val="24"/>
            <w:u w:val="single"/>
            <w:lang w:val="en-US"/>
          </w:rPr>
          <w:t>https://doi.org/10.1155/2018/5416923</w:t>
        </w:r>
      </w:hyperlink>
    </w:p>
    <w:p w14:paraId="01FFAAAB"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proofErr w:type="spellStart"/>
      <w:r w:rsidRPr="00ED04FE">
        <w:rPr>
          <w:rFonts w:ascii="Times New Roman" w:eastAsia="Times New Roman" w:hAnsi="Times New Roman" w:cs="Times New Roman"/>
          <w:sz w:val="24"/>
          <w:szCs w:val="24"/>
          <w:lang w:val="en-US"/>
        </w:rPr>
        <w:t>Plaks</w:t>
      </w:r>
      <w:proofErr w:type="spellEnd"/>
      <w:r w:rsidRPr="00ED04FE">
        <w:rPr>
          <w:rFonts w:ascii="Times New Roman" w:eastAsia="Times New Roman" w:hAnsi="Times New Roman" w:cs="Times New Roman"/>
          <w:sz w:val="24"/>
          <w:szCs w:val="24"/>
          <w:lang w:val="en-US"/>
        </w:rPr>
        <w:t xml:space="preserve">, V., Kong, N., &amp; Werb, Z. (2015). The cancer stem cell niche: How essential is the niche in regulating stemness of tumor cells? </w:t>
      </w:r>
      <w:r w:rsidRPr="00ED04FE">
        <w:rPr>
          <w:rFonts w:ascii="Times New Roman" w:eastAsia="Times New Roman" w:hAnsi="Times New Roman" w:cs="Times New Roman"/>
          <w:i/>
          <w:iCs/>
          <w:sz w:val="24"/>
          <w:szCs w:val="24"/>
          <w:lang w:val="en-US"/>
        </w:rPr>
        <w:t>Cell Stem Cell, 16</w:t>
      </w:r>
      <w:r w:rsidRPr="00ED04FE">
        <w:rPr>
          <w:rFonts w:ascii="Times New Roman" w:eastAsia="Times New Roman" w:hAnsi="Times New Roman" w:cs="Times New Roman"/>
          <w:sz w:val="24"/>
          <w:szCs w:val="24"/>
          <w:lang w:val="en-US"/>
        </w:rPr>
        <w:t xml:space="preserve">(3), 225–238. </w:t>
      </w:r>
      <w:hyperlink r:id="rId43" w:tgtFrame="_new" w:history="1">
        <w:r w:rsidRPr="00ED04FE">
          <w:rPr>
            <w:rFonts w:ascii="Times New Roman" w:eastAsia="Times New Roman" w:hAnsi="Times New Roman" w:cs="Times New Roman"/>
            <w:color w:val="0000FF"/>
            <w:sz w:val="24"/>
            <w:szCs w:val="24"/>
            <w:u w:val="single"/>
            <w:lang w:val="en-US"/>
          </w:rPr>
          <w:t>https://doi.org/10.1016/j.stem.2015.02.015</w:t>
        </w:r>
      </w:hyperlink>
    </w:p>
    <w:p w14:paraId="48431752"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Prager, B. C., Xie, Q., Bao, S., &amp; Rich, J. N. (2019). Cancer stem cells: The architects of the tumor ecosystem. </w:t>
      </w:r>
      <w:r w:rsidRPr="00ED04FE">
        <w:rPr>
          <w:rFonts w:ascii="Times New Roman" w:eastAsia="Times New Roman" w:hAnsi="Times New Roman" w:cs="Times New Roman"/>
          <w:i/>
          <w:iCs/>
          <w:sz w:val="24"/>
          <w:szCs w:val="24"/>
          <w:lang w:val="en-US"/>
        </w:rPr>
        <w:t>Cell Stem Cell, 24</w:t>
      </w:r>
      <w:r w:rsidRPr="00ED04FE">
        <w:rPr>
          <w:rFonts w:ascii="Times New Roman" w:eastAsia="Times New Roman" w:hAnsi="Times New Roman" w:cs="Times New Roman"/>
          <w:sz w:val="24"/>
          <w:szCs w:val="24"/>
          <w:lang w:val="en-US"/>
        </w:rPr>
        <w:t xml:space="preserve">(4), 509–524. </w:t>
      </w:r>
      <w:hyperlink r:id="rId44" w:tgtFrame="_new" w:history="1">
        <w:r w:rsidRPr="00ED04FE">
          <w:rPr>
            <w:rFonts w:ascii="Times New Roman" w:eastAsia="Times New Roman" w:hAnsi="Times New Roman" w:cs="Times New Roman"/>
            <w:color w:val="0000FF"/>
            <w:sz w:val="24"/>
            <w:szCs w:val="24"/>
            <w:u w:val="single"/>
            <w:lang w:val="en-US"/>
          </w:rPr>
          <w:t>https://doi.org/10.1016/j.stem.2019.03.009</w:t>
        </w:r>
      </w:hyperlink>
    </w:p>
    <w:p w14:paraId="50E27D48"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Ranganathan, P., Weaver, K. L., &amp; Capobianco, A. J. (2011). Notch </w:t>
      </w:r>
      <w:proofErr w:type="spellStart"/>
      <w:r w:rsidRPr="00ED04FE">
        <w:rPr>
          <w:rFonts w:ascii="Times New Roman" w:eastAsia="Times New Roman" w:hAnsi="Times New Roman" w:cs="Times New Roman"/>
          <w:sz w:val="24"/>
          <w:szCs w:val="24"/>
          <w:lang w:val="en-US"/>
        </w:rPr>
        <w:t>signalling</w:t>
      </w:r>
      <w:proofErr w:type="spellEnd"/>
      <w:r w:rsidRPr="00ED04FE">
        <w:rPr>
          <w:rFonts w:ascii="Times New Roman" w:eastAsia="Times New Roman" w:hAnsi="Times New Roman" w:cs="Times New Roman"/>
          <w:sz w:val="24"/>
          <w:szCs w:val="24"/>
          <w:lang w:val="en-US"/>
        </w:rPr>
        <w:t xml:space="preserve"> in solid </w:t>
      </w:r>
      <w:proofErr w:type="spellStart"/>
      <w:r w:rsidRPr="00ED04FE">
        <w:rPr>
          <w:rFonts w:ascii="Times New Roman" w:eastAsia="Times New Roman" w:hAnsi="Times New Roman" w:cs="Times New Roman"/>
          <w:sz w:val="24"/>
          <w:szCs w:val="24"/>
          <w:lang w:val="en-US"/>
        </w:rPr>
        <w:t>tumours</w:t>
      </w:r>
      <w:proofErr w:type="spellEnd"/>
      <w:r w:rsidRPr="00ED04FE">
        <w:rPr>
          <w:rFonts w:ascii="Times New Roman" w:eastAsia="Times New Roman" w:hAnsi="Times New Roman" w:cs="Times New Roman"/>
          <w:sz w:val="24"/>
          <w:szCs w:val="24"/>
          <w:lang w:val="en-US"/>
        </w:rPr>
        <w:t xml:space="preserve">: A little bit of everything but not all the time. </w:t>
      </w:r>
      <w:r w:rsidRPr="00ED04FE">
        <w:rPr>
          <w:rFonts w:ascii="Times New Roman" w:eastAsia="Times New Roman" w:hAnsi="Times New Roman" w:cs="Times New Roman"/>
          <w:i/>
          <w:iCs/>
          <w:sz w:val="24"/>
          <w:szCs w:val="24"/>
          <w:lang w:val="en-US"/>
        </w:rPr>
        <w:t>Nature Reviews Cancer, 11</w:t>
      </w:r>
      <w:r w:rsidRPr="00ED04FE">
        <w:rPr>
          <w:rFonts w:ascii="Times New Roman" w:eastAsia="Times New Roman" w:hAnsi="Times New Roman" w:cs="Times New Roman"/>
          <w:sz w:val="24"/>
          <w:szCs w:val="24"/>
          <w:lang w:val="en-US"/>
        </w:rPr>
        <w:t xml:space="preserve">(5), 338–351. </w:t>
      </w:r>
      <w:hyperlink r:id="rId45" w:tgtFrame="_new" w:history="1">
        <w:r w:rsidRPr="00ED04FE">
          <w:rPr>
            <w:rFonts w:ascii="Times New Roman" w:eastAsia="Times New Roman" w:hAnsi="Times New Roman" w:cs="Times New Roman"/>
            <w:color w:val="0000FF"/>
            <w:sz w:val="24"/>
            <w:szCs w:val="24"/>
            <w:u w:val="single"/>
            <w:lang w:val="en-US"/>
          </w:rPr>
          <w:t>https://doi.org/10.1038/nrc3035</w:t>
        </w:r>
      </w:hyperlink>
    </w:p>
    <w:p w14:paraId="1BED117E"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Sancho, P., </w:t>
      </w:r>
      <w:proofErr w:type="spellStart"/>
      <w:r w:rsidRPr="00ED04FE">
        <w:rPr>
          <w:rFonts w:ascii="Times New Roman" w:eastAsia="Times New Roman" w:hAnsi="Times New Roman" w:cs="Times New Roman"/>
          <w:sz w:val="24"/>
          <w:szCs w:val="24"/>
          <w:lang w:val="en-US"/>
        </w:rPr>
        <w:t>Barneda</w:t>
      </w:r>
      <w:proofErr w:type="spellEnd"/>
      <w:r w:rsidRPr="00ED04FE">
        <w:rPr>
          <w:rFonts w:ascii="Times New Roman" w:eastAsia="Times New Roman" w:hAnsi="Times New Roman" w:cs="Times New Roman"/>
          <w:sz w:val="24"/>
          <w:szCs w:val="24"/>
          <w:lang w:val="en-US"/>
        </w:rPr>
        <w:t xml:space="preserve">, D., &amp; </w:t>
      </w:r>
      <w:proofErr w:type="spellStart"/>
      <w:r w:rsidRPr="00ED04FE">
        <w:rPr>
          <w:rFonts w:ascii="Times New Roman" w:eastAsia="Times New Roman" w:hAnsi="Times New Roman" w:cs="Times New Roman"/>
          <w:sz w:val="24"/>
          <w:szCs w:val="24"/>
          <w:lang w:val="en-US"/>
        </w:rPr>
        <w:t>Heeschen</w:t>
      </w:r>
      <w:proofErr w:type="spellEnd"/>
      <w:r w:rsidRPr="00ED04FE">
        <w:rPr>
          <w:rFonts w:ascii="Times New Roman" w:eastAsia="Times New Roman" w:hAnsi="Times New Roman" w:cs="Times New Roman"/>
          <w:sz w:val="24"/>
          <w:szCs w:val="24"/>
          <w:lang w:val="en-US"/>
        </w:rPr>
        <w:t xml:space="preserve">, C. (2016). Hallmarks of cancer stem cell metabolism. </w:t>
      </w:r>
      <w:r w:rsidRPr="00ED04FE">
        <w:rPr>
          <w:rFonts w:ascii="Times New Roman" w:eastAsia="Times New Roman" w:hAnsi="Times New Roman" w:cs="Times New Roman"/>
          <w:i/>
          <w:iCs/>
          <w:sz w:val="24"/>
          <w:szCs w:val="24"/>
          <w:lang w:val="en-US"/>
        </w:rPr>
        <w:t>British Journal of Cancer, 114</w:t>
      </w:r>
      <w:r w:rsidRPr="00ED04FE">
        <w:rPr>
          <w:rFonts w:ascii="Times New Roman" w:eastAsia="Times New Roman" w:hAnsi="Times New Roman" w:cs="Times New Roman"/>
          <w:sz w:val="24"/>
          <w:szCs w:val="24"/>
          <w:lang w:val="en-US"/>
        </w:rPr>
        <w:t xml:space="preserve">(12), 1305–1312. </w:t>
      </w:r>
      <w:hyperlink r:id="rId46" w:tgtFrame="_new" w:history="1">
        <w:r w:rsidRPr="00ED04FE">
          <w:rPr>
            <w:rFonts w:ascii="Times New Roman" w:eastAsia="Times New Roman" w:hAnsi="Times New Roman" w:cs="Times New Roman"/>
            <w:color w:val="0000FF"/>
            <w:sz w:val="24"/>
            <w:szCs w:val="24"/>
            <w:u w:val="single"/>
            <w:lang w:val="en-US"/>
          </w:rPr>
          <w:t>https://doi.org/10.1038/bjc.2016.152</w:t>
        </w:r>
      </w:hyperlink>
    </w:p>
    <w:p w14:paraId="70C4DC8C"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nl-BE"/>
        </w:rPr>
      </w:pPr>
      <w:r w:rsidRPr="00ED04FE">
        <w:rPr>
          <w:rFonts w:ascii="Times New Roman" w:eastAsia="Times New Roman" w:hAnsi="Times New Roman" w:cs="Times New Roman"/>
          <w:sz w:val="24"/>
          <w:szCs w:val="24"/>
          <w:lang w:val="en-US"/>
        </w:rPr>
        <w:t xml:space="preserve">Shen, S., Vagner, S., &amp; Robert, C. (2020). Persistent cancer cells: The deadly survivors. </w:t>
      </w:r>
      <w:r w:rsidRPr="00ED04FE">
        <w:rPr>
          <w:rFonts w:ascii="Times New Roman" w:eastAsia="Times New Roman" w:hAnsi="Times New Roman" w:cs="Times New Roman"/>
          <w:i/>
          <w:iCs/>
          <w:sz w:val="24"/>
          <w:szCs w:val="24"/>
          <w:lang w:val="nl-BE"/>
        </w:rPr>
        <w:t>Cell, 183</w:t>
      </w:r>
      <w:r w:rsidRPr="00ED04FE">
        <w:rPr>
          <w:rFonts w:ascii="Times New Roman" w:eastAsia="Times New Roman" w:hAnsi="Times New Roman" w:cs="Times New Roman"/>
          <w:sz w:val="24"/>
          <w:szCs w:val="24"/>
          <w:lang w:val="nl-BE"/>
        </w:rPr>
        <w:t xml:space="preserve">(4), 860–874. </w:t>
      </w:r>
      <w:r w:rsidRPr="00ED04FE">
        <w:rPr>
          <w:rFonts w:ascii="Times New Roman" w:eastAsia="Times New Roman" w:hAnsi="Times New Roman" w:cs="Times New Roman"/>
          <w:sz w:val="24"/>
          <w:szCs w:val="24"/>
          <w:lang w:val="en-US"/>
        </w:rPr>
        <w:fldChar w:fldCharType="begin"/>
      </w:r>
      <w:r w:rsidRPr="00ED04FE">
        <w:rPr>
          <w:rFonts w:ascii="Times New Roman" w:eastAsia="Times New Roman" w:hAnsi="Times New Roman" w:cs="Times New Roman"/>
          <w:sz w:val="24"/>
          <w:szCs w:val="24"/>
          <w:lang w:val="nl-BE"/>
        </w:rPr>
        <w:instrText>HYPERLINK "https://doi.org/10.1016/j.cell.2020.10.027" \t "_new"</w:instrText>
      </w:r>
      <w:r w:rsidRPr="00ED04FE">
        <w:rPr>
          <w:rFonts w:ascii="Times New Roman" w:eastAsia="Times New Roman" w:hAnsi="Times New Roman" w:cs="Times New Roman"/>
          <w:sz w:val="24"/>
          <w:szCs w:val="24"/>
          <w:lang w:val="en-US"/>
        </w:rPr>
      </w:r>
      <w:r w:rsidRPr="00ED04FE">
        <w:rPr>
          <w:rFonts w:ascii="Times New Roman" w:eastAsia="Times New Roman" w:hAnsi="Times New Roman" w:cs="Times New Roman"/>
          <w:sz w:val="24"/>
          <w:szCs w:val="24"/>
          <w:lang w:val="en-US"/>
        </w:rPr>
        <w:fldChar w:fldCharType="separate"/>
      </w:r>
      <w:r w:rsidRPr="00ED04FE">
        <w:rPr>
          <w:rFonts w:ascii="Times New Roman" w:eastAsia="Times New Roman" w:hAnsi="Times New Roman" w:cs="Times New Roman"/>
          <w:color w:val="0000FF"/>
          <w:sz w:val="24"/>
          <w:szCs w:val="24"/>
          <w:u w:val="single"/>
          <w:lang w:val="nl-BE"/>
        </w:rPr>
        <w:t>https://doi.org/10.1016/j.cell.2020.10.027</w:t>
      </w:r>
      <w:r w:rsidRPr="00ED04FE">
        <w:rPr>
          <w:rFonts w:ascii="Times New Roman" w:eastAsia="Times New Roman" w:hAnsi="Times New Roman" w:cs="Times New Roman"/>
          <w:sz w:val="24"/>
          <w:szCs w:val="24"/>
          <w:lang w:val="en-US"/>
        </w:rPr>
        <w:fldChar w:fldCharType="end"/>
      </w:r>
    </w:p>
    <w:p w14:paraId="4B4DD587"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nl-BE"/>
        </w:rPr>
        <w:t xml:space="preserve">Shibue, T., &amp; Weinberg, R. A. (2017). </w:t>
      </w:r>
      <w:r w:rsidRPr="00ED04FE">
        <w:rPr>
          <w:rFonts w:ascii="Times New Roman" w:eastAsia="Times New Roman" w:hAnsi="Times New Roman" w:cs="Times New Roman"/>
          <w:sz w:val="24"/>
          <w:szCs w:val="24"/>
          <w:lang w:val="en-US"/>
        </w:rPr>
        <w:t xml:space="preserve">EMT, CSCs, and drug resistance: The mechanistic link and clinical implications. </w:t>
      </w:r>
      <w:r w:rsidRPr="00ED04FE">
        <w:rPr>
          <w:rFonts w:ascii="Times New Roman" w:eastAsia="Times New Roman" w:hAnsi="Times New Roman" w:cs="Times New Roman"/>
          <w:i/>
          <w:iCs/>
          <w:sz w:val="24"/>
          <w:szCs w:val="24"/>
          <w:lang w:val="en-US"/>
        </w:rPr>
        <w:t>Nature Reviews Clinical Oncology, 14</w:t>
      </w:r>
      <w:r w:rsidRPr="00ED04FE">
        <w:rPr>
          <w:rFonts w:ascii="Times New Roman" w:eastAsia="Times New Roman" w:hAnsi="Times New Roman" w:cs="Times New Roman"/>
          <w:sz w:val="24"/>
          <w:szCs w:val="24"/>
          <w:lang w:val="en-US"/>
        </w:rPr>
        <w:t xml:space="preserve">(10), 611–629. </w:t>
      </w:r>
      <w:hyperlink r:id="rId47" w:tgtFrame="_new" w:history="1">
        <w:r w:rsidRPr="00ED04FE">
          <w:rPr>
            <w:rFonts w:ascii="Times New Roman" w:eastAsia="Times New Roman" w:hAnsi="Times New Roman" w:cs="Times New Roman"/>
            <w:color w:val="0000FF"/>
            <w:sz w:val="24"/>
            <w:szCs w:val="24"/>
            <w:u w:val="single"/>
            <w:lang w:val="en-US"/>
          </w:rPr>
          <w:t>https://doi.org/10.1038/nrclinonc.2017.44</w:t>
        </w:r>
      </w:hyperlink>
    </w:p>
    <w:p w14:paraId="040580D3"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Singh, S. K., Hawkins, C., Clarke, I. D., Squire, J. A., Bayani, J., Hide, T., Henkelman, R. M., Cusimano, M. D., &amp; Dirks, P. B. (2004). Identification of human brain </w:t>
      </w:r>
      <w:proofErr w:type="spellStart"/>
      <w:r w:rsidRPr="00ED04FE">
        <w:rPr>
          <w:rFonts w:ascii="Times New Roman" w:eastAsia="Times New Roman" w:hAnsi="Times New Roman" w:cs="Times New Roman"/>
          <w:sz w:val="24"/>
          <w:szCs w:val="24"/>
          <w:lang w:val="en-US"/>
        </w:rPr>
        <w:t>tumour</w:t>
      </w:r>
      <w:proofErr w:type="spellEnd"/>
      <w:r w:rsidRPr="00ED04FE">
        <w:rPr>
          <w:rFonts w:ascii="Times New Roman" w:eastAsia="Times New Roman" w:hAnsi="Times New Roman" w:cs="Times New Roman"/>
          <w:sz w:val="24"/>
          <w:szCs w:val="24"/>
          <w:lang w:val="en-US"/>
        </w:rPr>
        <w:t xml:space="preserve"> initiating cells. </w:t>
      </w:r>
      <w:r w:rsidRPr="00ED04FE">
        <w:rPr>
          <w:rFonts w:ascii="Times New Roman" w:eastAsia="Times New Roman" w:hAnsi="Times New Roman" w:cs="Times New Roman"/>
          <w:i/>
          <w:iCs/>
          <w:sz w:val="24"/>
          <w:szCs w:val="24"/>
          <w:lang w:val="en-US"/>
        </w:rPr>
        <w:t>Nature, 432</w:t>
      </w:r>
      <w:r w:rsidRPr="00ED04FE">
        <w:rPr>
          <w:rFonts w:ascii="Times New Roman" w:eastAsia="Times New Roman" w:hAnsi="Times New Roman" w:cs="Times New Roman"/>
          <w:sz w:val="24"/>
          <w:szCs w:val="24"/>
          <w:lang w:val="en-US"/>
        </w:rPr>
        <w:t xml:space="preserve">(7015), 396–401. </w:t>
      </w:r>
      <w:hyperlink r:id="rId48" w:tgtFrame="_new" w:history="1">
        <w:r w:rsidRPr="00ED04FE">
          <w:rPr>
            <w:rFonts w:ascii="Times New Roman" w:eastAsia="Times New Roman" w:hAnsi="Times New Roman" w:cs="Times New Roman"/>
            <w:color w:val="0000FF"/>
            <w:sz w:val="24"/>
            <w:szCs w:val="24"/>
            <w:u w:val="single"/>
            <w:lang w:val="en-US"/>
          </w:rPr>
          <w:t>https://doi.org/10.1038/nature03128</w:t>
        </w:r>
      </w:hyperlink>
    </w:p>
    <w:p w14:paraId="622BDDE4"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Takebe, N., Harris, P. J., Warren, R. Q., &amp; Ivy, S. P. (2011). Targeting cancer stem cells by inhibiting </w:t>
      </w:r>
      <w:proofErr w:type="spellStart"/>
      <w:r w:rsidRPr="00ED04FE">
        <w:rPr>
          <w:rFonts w:ascii="Times New Roman" w:eastAsia="Times New Roman" w:hAnsi="Times New Roman" w:cs="Times New Roman"/>
          <w:sz w:val="24"/>
          <w:szCs w:val="24"/>
          <w:lang w:val="en-US"/>
        </w:rPr>
        <w:t>Wnt</w:t>
      </w:r>
      <w:proofErr w:type="spellEnd"/>
      <w:r w:rsidRPr="00ED04FE">
        <w:rPr>
          <w:rFonts w:ascii="Times New Roman" w:eastAsia="Times New Roman" w:hAnsi="Times New Roman" w:cs="Times New Roman"/>
          <w:sz w:val="24"/>
          <w:szCs w:val="24"/>
          <w:lang w:val="en-US"/>
        </w:rPr>
        <w:t xml:space="preserve">, Notch, and Hedgehog pathways. </w:t>
      </w:r>
      <w:r w:rsidRPr="00ED04FE">
        <w:rPr>
          <w:rFonts w:ascii="Times New Roman" w:eastAsia="Times New Roman" w:hAnsi="Times New Roman" w:cs="Times New Roman"/>
          <w:i/>
          <w:iCs/>
          <w:sz w:val="24"/>
          <w:szCs w:val="24"/>
          <w:lang w:val="en-US"/>
        </w:rPr>
        <w:t>Nature Reviews Clinical Oncology, 8</w:t>
      </w:r>
      <w:r w:rsidRPr="00ED04FE">
        <w:rPr>
          <w:rFonts w:ascii="Times New Roman" w:eastAsia="Times New Roman" w:hAnsi="Times New Roman" w:cs="Times New Roman"/>
          <w:sz w:val="24"/>
          <w:szCs w:val="24"/>
          <w:lang w:val="en-US"/>
        </w:rPr>
        <w:t xml:space="preserve">(2), 97–106. </w:t>
      </w:r>
      <w:hyperlink r:id="rId49" w:tgtFrame="_new" w:history="1">
        <w:r w:rsidRPr="00ED04FE">
          <w:rPr>
            <w:rFonts w:ascii="Times New Roman" w:eastAsia="Times New Roman" w:hAnsi="Times New Roman" w:cs="Times New Roman"/>
            <w:color w:val="0000FF"/>
            <w:sz w:val="24"/>
            <w:szCs w:val="24"/>
            <w:u w:val="single"/>
            <w:lang w:val="en-US"/>
          </w:rPr>
          <w:t>https://doi.org/10.1038/nrclinonc.2010.196</w:t>
        </w:r>
      </w:hyperlink>
    </w:p>
    <w:p w14:paraId="47EC595B"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lastRenderedPageBreak/>
        <w:t xml:space="preserve">Toh, T. B., Lim, J. J., &amp; Chow, E. K. H. (2017). Epigenetics in cancer stem cells. </w:t>
      </w:r>
      <w:r w:rsidRPr="00ED04FE">
        <w:rPr>
          <w:rFonts w:ascii="Times New Roman" w:eastAsia="Times New Roman" w:hAnsi="Times New Roman" w:cs="Times New Roman"/>
          <w:i/>
          <w:iCs/>
          <w:sz w:val="24"/>
          <w:szCs w:val="24"/>
          <w:lang w:val="en-US"/>
        </w:rPr>
        <w:t>Molecular Cancer, 16</w:t>
      </w:r>
      <w:r w:rsidRPr="00ED04FE">
        <w:rPr>
          <w:rFonts w:ascii="Times New Roman" w:eastAsia="Times New Roman" w:hAnsi="Times New Roman" w:cs="Times New Roman"/>
          <w:sz w:val="24"/>
          <w:szCs w:val="24"/>
          <w:lang w:val="en-US"/>
        </w:rPr>
        <w:t xml:space="preserve">, Article 29. </w:t>
      </w:r>
      <w:hyperlink r:id="rId50" w:tgtFrame="_new" w:history="1">
        <w:r w:rsidRPr="00ED04FE">
          <w:rPr>
            <w:rFonts w:ascii="Times New Roman" w:eastAsia="Times New Roman" w:hAnsi="Times New Roman" w:cs="Times New Roman"/>
            <w:color w:val="0000FF"/>
            <w:sz w:val="24"/>
            <w:szCs w:val="24"/>
            <w:u w:val="single"/>
            <w:lang w:val="en-US"/>
          </w:rPr>
          <w:t>https://doi.org/10.1186/s12943-017-0596-9</w:t>
        </w:r>
      </w:hyperlink>
    </w:p>
    <w:p w14:paraId="512CD69E"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nl-BE"/>
        </w:rPr>
      </w:pPr>
      <w:r w:rsidRPr="00ED04FE">
        <w:rPr>
          <w:rFonts w:ascii="Times New Roman" w:eastAsia="Times New Roman" w:hAnsi="Times New Roman" w:cs="Times New Roman"/>
          <w:sz w:val="24"/>
          <w:szCs w:val="24"/>
          <w:lang w:val="en-US"/>
        </w:rPr>
        <w:t xml:space="preserve">Turdo, A., </w:t>
      </w:r>
      <w:proofErr w:type="spellStart"/>
      <w:r w:rsidRPr="00ED04FE">
        <w:rPr>
          <w:rFonts w:ascii="Times New Roman" w:eastAsia="Times New Roman" w:hAnsi="Times New Roman" w:cs="Times New Roman"/>
          <w:sz w:val="24"/>
          <w:szCs w:val="24"/>
          <w:lang w:val="en-US"/>
        </w:rPr>
        <w:t>Veschi</w:t>
      </w:r>
      <w:proofErr w:type="spellEnd"/>
      <w:r w:rsidRPr="00ED04FE">
        <w:rPr>
          <w:rFonts w:ascii="Times New Roman" w:eastAsia="Times New Roman" w:hAnsi="Times New Roman" w:cs="Times New Roman"/>
          <w:sz w:val="24"/>
          <w:szCs w:val="24"/>
          <w:lang w:val="en-US"/>
        </w:rPr>
        <w:t xml:space="preserve">, V., Gaggianesi, M., Chinnici, A., Bianca, P., Todaro, M., &amp; Stassi, G. (2019). Meeting the challenge of targeting cancer stem cells. </w:t>
      </w:r>
      <w:r w:rsidRPr="00ED04FE">
        <w:rPr>
          <w:rFonts w:ascii="Times New Roman" w:eastAsia="Times New Roman" w:hAnsi="Times New Roman" w:cs="Times New Roman"/>
          <w:i/>
          <w:iCs/>
          <w:sz w:val="24"/>
          <w:szCs w:val="24"/>
          <w:lang w:val="en-US"/>
        </w:rPr>
        <w:t>Frontiers in Cell and Developmental Biology, 7</w:t>
      </w:r>
      <w:r w:rsidRPr="00ED04FE">
        <w:rPr>
          <w:rFonts w:ascii="Times New Roman" w:eastAsia="Times New Roman" w:hAnsi="Times New Roman" w:cs="Times New Roman"/>
          <w:sz w:val="24"/>
          <w:szCs w:val="24"/>
          <w:lang w:val="en-US"/>
        </w:rPr>
        <w:t xml:space="preserve">, Article 16. </w:t>
      </w:r>
      <w:hyperlink r:id="rId51" w:tgtFrame="_new" w:history="1">
        <w:r w:rsidRPr="00ED04FE">
          <w:rPr>
            <w:rFonts w:ascii="Times New Roman" w:eastAsia="Times New Roman" w:hAnsi="Times New Roman" w:cs="Times New Roman"/>
            <w:color w:val="0000FF"/>
            <w:sz w:val="24"/>
            <w:szCs w:val="24"/>
            <w:u w:val="single"/>
            <w:lang w:val="nl-BE"/>
          </w:rPr>
          <w:t>https://doi.org/10.3389/fcell.2019.00016</w:t>
        </w:r>
      </w:hyperlink>
    </w:p>
    <w:p w14:paraId="40324E14"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nl-BE"/>
        </w:rPr>
        <w:t xml:space="preserve">Visvader, J. E., &amp; Lindeman, G. J. (2008). </w:t>
      </w:r>
      <w:r w:rsidRPr="00ED04FE">
        <w:rPr>
          <w:rFonts w:ascii="Times New Roman" w:eastAsia="Times New Roman" w:hAnsi="Times New Roman" w:cs="Times New Roman"/>
          <w:sz w:val="24"/>
          <w:szCs w:val="24"/>
          <w:lang w:val="en-US"/>
        </w:rPr>
        <w:t xml:space="preserve">Cancer stem cells in solid </w:t>
      </w:r>
      <w:proofErr w:type="spellStart"/>
      <w:r w:rsidRPr="00ED04FE">
        <w:rPr>
          <w:rFonts w:ascii="Times New Roman" w:eastAsia="Times New Roman" w:hAnsi="Times New Roman" w:cs="Times New Roman"/>
          <w:sz w:val="24"/>
          <w:szCs w:val="24"/>
          <w:lang w:val="en-US"/>
        </w:rPr>
        <w:t>tumours</w:t>
      </w:r>
      <w:proofErr w:type="spellEnd"/>
      <w:r w:rsidRPr="00ED04FE">
        <w:rPr>
          <w:rFonts w:ascii="Times New Roman" w:eastAsia="Times New Roman" w:hAnsi="Times New Roman" w:cs="Times New Roman"/>
          <w:sz w:val="24"/>
          <w:szCs w:val="24"/>
          <w:lang w:val="en-US"/>
        </w:rPr>
        <w:t xml:space="preserve">: Accumulating evidence and unresolved questions. </w:t>
      </w:r>
      <w:r w:rsidRPr="00ED04FE">
        <w:rPr>
          <w:rFonts w:ascii="Times New Roman" w:eastAsia="Times New Roman" w:hAnsi="Times New Roman" w:cs="Times New Roman"/>
          <w:i/>
          <w:iCs/>
          <w:sz w:val="24"/>
          <w:szCs w:val="24"/>
          <w:lang w:val="en-US"/>
        </w:rPr>
        <w:t>Nature Reviews Cancer, 8</w:t>
      </w:r>
      <w:r w:rsidRPr="00ED04FE">
        <w:rPr>
          <w:rFonts w:ascii="Times New Roman" w:eastAsia="Times New Roman" w:hAnsi="Times New Roman" w:cs="Times New Roman"/>
          <w:sz w:val="24"/>
          <w:szCs w:val="24"/>
          <w:lang w:val="en-US"/>
        </w:rPr>
        <w:t xml:space="preserve">(10), 755–768. </w:t>
      </w:r>
      <w:hyperlink r:id="rId52" w:tgtFrame="_new" w:history="1">
        <w:r w:rsidRPr="00ED04FE">
          <w:rPr>
            <w:rFonts w:ascii="Times New Roman" w:eastAsia="Times New Roman" w:hAnsi="Times New Roman" w:cs="Times New Roman"/>
            <w:color w:val="0000FF"/>
            <w:sz w:val="24"/>
            <w:szCs w:val="24"/>
            <w:u w:val="single"/>
            <w:lang w:val="en-US"/>
          </w:rPr>
          <w:t>https://doi.org/10.1038/nrc2499</w:t>
        </w:r>
      </w:hyperlink>
    </w:p>
    <w:p w14:paraId="64EA3792"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Yu, H., Lee, H., Herrmann, A., Buettner, R., &amp; Jove, R. (2014). Revisiting STAT3 </w:t>
      </w:r>
      <w:proofErr w:type="spellStart"/>
      <w:r w:rsidRPr="00ED04FE">
        <w:rPr>
          <w:rFonts w:ascii="Times New Roman" w:eastAsia="Times New Roman" w:hAnsi="Times New Roman" w:cs="Times New Roman"/>
          <w:sz w:val="24"/>
          <w:szCs w:val="24"/>
          <w:lang w:val="en-US"/>
        </w:rPr>
        <w:t>signalling</w:t>
      </w:r>
      <w:proofErr w:type="spellEnd"/>
      <w:r w:rsidRPr="00ED04FE">
        <w:rPr>
          <w:rFonts w:ascii="Times New Roman" w:eastAsia="Times New Roman" w:hAnsi="Times New Roman" w:cs="Times New Roman"/>
          <w:sz w:val="24"/>
          <w:szCs w:val="24"/>
          <w:lang w:val="en-US"/>
        </w:rPr>
        <w:t xml:space="preserve"> in cancer: New and unexpected biological functions. </w:t>
      </w:r>
      <w:r w:rsidRPr="00ED04FE">
        <w:rPr>
          <w:rFonts w:ascii="Times New Roman" w:eastAsia="Times New Roman" w:hAnsi="Times New Roman" w:cs="Times New Roman"/>
          <w:i/>
          <w:iCs/>
          <w:sz w:val="24"/>
          <w:szCs w:val="24"/>
          <w:lang w:val="en-US"/>
        </w:rPr>
        <w:t>Nature Reviews Cancer, 14</w:t>
      </w:r>
      <w:r w:rsidRPr="00ED04FE">
        <w:rPr>
          <w:rFonts w:ascii="Times New Roman" w:eastAsia="Times New Roman" w:hAnsi="Times New Roman" w:cs="Times New Roman"/>
          <w:sz w:val="24"/>
          <w:szCs w:val="24"/>
          <w:lang w:val="en-US"/>
        </w:rPr>
        <w:t xml:space="preserve">(11), 736–746. </w:t>
      </w:r>
      <w:hyperlink r:id="rId53" w:tgtFrame="_new" w:history="1">
        <w:r w:rsidRPr="00ED04FE">
          <w:rPr>
            <w:rFonts w:ascii="Times New Roman" w:eastAsia="Times New Roman" w:hAnsi="Times New Roman" w:cs="Times New Roman"/>
            <w:color w:val="0000FF"/>
            <w:sz w:val="24"/>
            <w:szCs w:val="24"/>
            <w:u w:val="single"/>
            <w:lang w:val="en-US"/>
          </w:rPr>
          <w:t>https://doi.org/10.1038/nrc3818</w:t>
        </w:r>
      </w:hyperlink>
    </w:p>
    <w:p w14:paraId="0862C1DF"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Zeng, Z., Fu, M., Hu, Y., Wei, Y., Wei, X., &amp; Luo, M. (2023). Regulation and signaling pathways in cancer stem cells: Implications for targeted therapy for cancer. </w:t>
      </w:r>
      <w:r w:rsidRPr="00ED04FE">
        <w:rPr>
          <w:rFonts w:ascii="Times New Roman" w:eastAsia="Times New Roman" w:hAnsi="Times New Roman" w:cs="Times New Roman"/>
          <w:i/>
          <w:iCs/>
          <w:sz w:val="24"/>
          <w:szCs w:val="24"/>
          <w:lang w:val="en-US"/>
        </w:rPr>
        <w:t>Molecular Cancer, 22</w:t>
      </w:r>
      <w:r w:rsidRPr="00ED04FE">
        <w:rPr>
          <w:rFonts w:ascii="Times New Roman" w:eastAsia="Times New Roman" w:hAnsi="Times New Roman" w:cs="Times New Roman"/>
          <w:sz w:val="24"/>
          <w:szCs w:val="24"/>
          <w:lang w:val="en-US"/>
        </w:rPr>
        <w:t xml:space="preserve">, Article 172. </w:t>
      </w:r>
      <w:hyperlink r:id="rId54" w:tgtFrame="_new" w:history="1">
        <w:r w:rsidRPr="00ED04FE">
          <w:rPr>
            <w:rFonts w:ascii="Times New Roman" w:eastAsia="Times New Roman" w:hAnsi="Times New Roman" w:cs="Times New Roman"/>
            <w:color w:val="0000FF"/>
            <w:sz w:val="24"/>
            <w:szCs w:val="24"/>
            <w:u w:val="single"/>
            <w:lang w:val="en-US"/>
          </w:rPr>
          <w:t>https://doi.org/10.1186/s12943-023-01877-w</w:t>
        </w:r>
      </w:hyperlink>
    </w:p>
    <w:p w14:paraId="4FB435B8"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Zhan, T., Rindtorff, N., &amp; Boutros, M. (2017). </w:t>
      </w:r>
      <w:proofErr w:type="spellStart"/>
      <w:r w:rsidRPr="00ED04FE">
        <w:rPr>
          <w:rFonts w:ascii="Times New Roman" w:eastAsia="Times New Roman" w:hAnsi="Times New Roman" w:cs="Times New Roman"/>
          <w:sz w:val="24"/>
          <w:szCs w:val="24"/>
          <w:lang w:val="en-US"/>
        </w:rPr>
        <w:t>Wnt</w:t>
      </w:r>
      <w:proofErr w:type="spellEnd"/>
      <w:r w:rsidRPr="00ED04FE">
        <w:rPr>
          <w:rFonts w:ascii="Times New Roman" w:eastAsia="Times New Roman" w:hAnsi="Times New Roman" w:cs="Times New Roman"/>
          <w:sz w:val="24"/>
          <w:szCs w:val="24"/>
          <w:lang w:val="en-US"/>
        </w:rPr>
        <w:t xml:space="preserve"> signaling in cancer. </w:t>
      </w:r>
      <w:r w:rsidRPr="00ED04FE">
        <w:rPr>
          <w:rFonts w:ascii="Times New Roman" w:eastAsia="Times New Roman" w:hAnsi="Times New Roman" w:cs="Times New Roman"/>
          <w:i/>
          <w:iCs/>
          <w:sz w:val="24"/>
          <w:szCs w:val="24"/>
          <w:lang w:val="en-US"/>
        </w:rPr>
        <w:t>Oncogene, 36</w:t>
      </w:r>
      <w:r w:rsidRPr="00ED04FE">
        <w:rPr>
          <w:rFonts w:ascii="Times New Roman" w:eastAsia="Times New Roman" w:hAnsi="Times New Roman" w:cs="Times New Roman"/>
          <w:sz w:val="24"/>
          <w:szCs w:val="24"/>
          <w:lang w:val="en-US"/>
        </w:rPr>
        <w:t xml:space="preserve">(11), 1461–1473. </w:t>
      </w:r>
      <w:hyperlink r:id="rId55" w:tgtFrame="_new" w:history="1">
        <w:r w:rsidRPr="00ED04FE">
          <w:rPr>
            <w:rFonts w:ascii="Times New Roman" w:eastAsia="Times New Roman" w:hAnsi="Times New Roman" w:cs="Times New Roman"/>
            <w:color w:val="0000FF"/>
            <w:sz w:val="24"/>
            <w:szCs w:val="24"/>
            <w:u w:val="single"/>
            <w:lang w:val="en-US"/>
          </w:rPr>
          <w:t>https://doi.org/10.1038/onc.2016.304</w:t>
        </w:r>
      </w:hyperlink>
    </w:p>
    <w:p w14:paraId="4F7DA60A"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Zhou, B., Lin, W., Long, Y., Yang, Y., Zhang, H., Wu, K., &amp; Chu, Q. (2022). Notch signaling pathway: Architecture, disease, and therapeutics. </w:t>
      </w:r>
      <w:r w:rsidRPr="00ED04FE">
        <w:rPr>
          <w:rFonts w:ascii="Times New Roman" w:eastAsia="Times New Roman" w:hAnsi="Times New Roman" w:cs="Times New Roman"/>
          <w:i/>
          <w:iCs/>
          <w:sz w:val="24"/>
          <w:szCs w:val="24"/>
          <w:lang w:val="en-US"/>
        </w:rPr>
        <w:t>Signal Transduction and Targeted Therapy, 7</w:t>
      </w:r>
      <w:r w:rsidRPr="00ED04FE">
        <w:rPr>
          <w:rFonts w:ascii="Times New Roman" w:eastAsia="Times New Roman" w:hAnsi="Times New Roman" w:cs="Times New Roman"/>
          <w:sz w:val="24"/>
          <w:szCs w:val="24"/>
          <w:lang w:val="en-US"/>
        </w:rPr>
        <w:t xml:space="preserve">, Article 95. </w:t>
      </w:r>
      <w:hyperlink r:id="rId56" w:tgtFrame="_new" w:history="1">
        <w:r w:rsidRPr="00ED04FE">
          <w:rPr>
            <w:rFonts w:ascii="Times New Roman" w:eastAsia="Times New Roman" w:hAnsi="Times New Roman" w:cs="Times New Roman"/>
            <w:color w:val="0000FF"/>
            <w:sz w:val="24"/>
            <w:szCs w:val="24"/>
            <w:u w:val="single"/>
            <w:lang w:val="en-US"/>
          </w:rPr>
          <w:t>https://doi.org/10.1038/s41392-022-00934-y</w:t>
        </w:r>
      </w:hyperlink>
    </w:p>
    <w:p w14:paraId="2257B170" w14:textId="77777777" w:rsidR="00ED04FE" w:rsidRPr="00ED04FE" w:rsidRDefault="00ED04FE" w:rsidP="00ED04FE">
      <w:pPr>
        <w:spacing w:before="100" w:beforeAutospacing="1" w:after="100" w:afterAutospacing="1" w:line="240" w:lineRule="auto"/>
        <w:ind w:left="540" w:hanging="540"/>
        <w:jc w:val="both"/>
        <w:rPr>
          <w:rFonts w:ascii="Times New Roman" w:eastAsia="Times New Roman" w:hAnsi="Times New Roman" w:cs="Times New Roman"/>
          <w:sz w:val="24"/>
          <w:szCs w:val="24"/>
          <w:lang w:val="en-US"/>
        </w:rPr>
      </w:pPr>
      <w:r w:rsidRPr="00ED04FE">
        <w:rPr>
          <w:rFonts w:ascii="Times New Roman" w:eastAsia="Times New Roman" w:hAnsi="Times New Roman" w:cs="Times New Roman"/>
          <w:sz w:val="24"/>
          <w:szCs w:val="24"/>
          <w:lang w:val="en-US"/>
        </w:rPr>
        <w:t xml:space="preserve">Zöller, M. (2011). CD44: Can a cancer-initiating cell profit from an abundantly expressed molecule? </w:t>
      </w:r>
      <w:r w:rsidRPr="00ED04FE">
        <w:rPr>
          <w:rFonts w:ascii="Times New Roman" w:eastAsia="Times New Roman" w:hAnsi="Times New Roman" w:cs="Times New Roman"/>
          <w:i/>
          <w:iCs/>
          <w:sz w:val="24"/>
          <w:szCs w:val="24"/>
          <w:lang w:val="en-US"/>
        </w:rPr>
        <w:t>Nature Reviews Cancer, 11</w:t>
      </w:r>
      <w:r w:rsidRPr="00ED04FE">
        <w:rPr>
          <w:rFonts w:ascii="Times New Roman" w:eastAsia="Times New Roman" w:hAnsi="Times New Roman" w:cs="Times New Roman"/>
          <w:sz w:val="24"/>
          <w:szCs w:val="24"/>
          <w:lang w:val="en-US"/>
        </w:rPr>
        <w:t xml:space="preserve">(4), 254–267. </w:t>
      </w:r>
      <w:hyperlink r:id="rId57" w:tgtFrame="_new" w:history="1">
        <w:r w:rsidRPr="00ED04FE">
          <w:rPr>
            <w:rFonts w:ascii="Times New Roman" w:eastAsia="Times New Roman" w:hAnsi="Times New Roman" w:cs="Times New Roman"/>
            <w:color w:val="0000FF"/>
            <w:sz w:val="24"/>
            <w:szCs w:val="24"/>
            <w:u w:val="single"/>
            <w:lang w:val="en-US"/>
          </w:rPr>
          <w:t>https://doi.org/10.1038/nrc3023</w:t>
        </w:r>
      </w:hyperlink>
    </w:p>
    <w:p w14:paraId="00C7705F" w14:textId="2A37CDA1" w:rsidR="0030192C" w:rsidRPr="00157BD5" w:rsidRDefault="0030192C" w:rsidP="00ED04FE">
      <w:pPr>
        <w:spacing w:before="100" w:beforeAutospacing="1" w:after="100" w:afterAutospacing="1" w:line="240" w:lineRule="auto"/>
        <w:jc w:val="both"/>
        <w:outlineLvl w:val="2"/>
        <w:rPr>
          <w:rFonts w:ascii="Times New Roman" w:eastAsia="Times New Roman" w:hAnsi="Times New Roman" w:cs="Times New Roman"/>
          <w:bCs/>
          <w:sz w:val="24"/>
          <w:szCs w:val="27"/>
          <w:lang w:eastAsia="en-GB"/>
        </w:rPr>
      </w:pPr>
    </w:p>
    <w:sectPr w:rsidR="0030192C" w:rsidRPr="00157BD5" w:rsidSect="004841B3">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9246" w14:textId="77777777" w:rsidR="009276C9" w:rsidRDefault="009276C9" w:rsidP="00475A27">
      <w:pPr>
        <w:spacing w:after="0" w:line="240" w:lineRule="auto"/>
      </w:pPr>
      <w:r>
        <w:separator/>
      </w:r>
    </w:p>
  </w:endnote>
  <w:endnote w:type="continuationSeparator" w:id="0">
    <w:p w14:paraId="0ADB6D11" w14:textId="77777777" w:rsidR="009276C9" w:rsidRDefault="009276C9" w:rsidP="0047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D6AD" w14:textId="77777777" w:rsidR="00475A27" w:rsidRDefault="00475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2484" w14:textId="77777777" w:rsidR="00475A27" w:rsidRDefault="00475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6917" w14:textId="77777777" w:rsidR="00475A27" w:rsidRDefault="00475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5A0C" w14:textId="77777777" w:rsidR="009276C9" w:rsidRDefault="009276C9" w:rsidP="00475A27">
      <w:pPr>
        <w:spacing w:after="0" w:line="240" w:lineRule="auto"/>
      </w:pPr>
      <w:r>
        <w:separator/>
      </w:r>
    </w:p>
  </w:footnote>
  <w:footnote w:type="continuationSeparator" w:id="0">
    <w:p w14:paraId="2DF3EA94" w14:textId="77777777" w:rsidR="009276C9" w:rsidRDefault="009276C9" w:rsidP="00475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4A" w14:textId="77777777" w:rsidR="00475A27" w:rsidRDefault="00000000">
    <w:pPr>
      <w:pStyle w:val="Header"/>
    </w:pPr>
    <w:r>
      <w:rPr>
        <w:noProof/>
      </w:rPr>
      <w:pict w14:anchorId="3C907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35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7319" w14:textId="77777777" w:rsidR="00475A27" w:rsidRDefault="00000000">
    <w:pPr>
      <w:pStyle w:val="Header"/>
    </w:pPr>
    <w:r>
      <w:rPr>
        <w:noProof/>
      </w:rPr>
      <w:pict w14:anchorId="35A62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35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72BA" w14:textId="77777777" w:rsidR="00475A27" w:rsidRDefault="00000000">
    <w:pPr>
      <w:pStyle w:val="Header"/>
    </w:pPr>
    <w:r>
      <w:rPr>
        <w:noProof/>
      </w:rPr>
      <w:pict w14:anchorId="5E160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35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3518D"/>
    <w:multiLevelType w:val="hybridMultilevel"/>
    <w:tmpl w:val="B76EA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55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M0MTe3sLAwNjIytzBQ0lEKTi0uzszPAykwrAUAWHM5YywAAAA="/>
  </w:docVars>
  <w:rsids>
    <w:rsidRoot w:val="00DC271A"/>
    <w:rsid w:val="0015031C"/>
    <w:rsid w:val="00157BD5"/>
    <w:rsid w:val="001D4BB1"/>
    <w:rsid w:val="0027521E"/>
    <w:rsid w:val="002A0C52"/>
    <w:rsid w:val="0030192C"/>
    <w:rsid w:val="00364C0E"/>
    <w:rsid w:val="00475A27"/>
    <w:rsid w:val="004841B3"/>
    <w:rsid w:val="005604FD"/>
    <w:rsid w:val="006A349C"/>
    <w:rsid w:val="009276C9"/>
    <w:rsid w:val="00974B9C"/>
    <w:rsid w:val="00B54B4B"/>
    <w:rsid w:val="00CA7276"/>
    <w:rsid w:val="00DC271A"/>
    <w:rsid w:val="00E07923"/>
    <w:rsid w:val="00E346C8"/>
    <w:rsid w:val="00EA004C"/>
    <w:rsid w:val="00ED0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3C541"/>
  <w15:docId w15:val="{05EC7148-2B65-4E58-BE75-4DE2CDED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DC27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C27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C271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271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C271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C271A"/>
    <w:rPr>
      <w:rFonts w:ascii="Times New Roman" w:eastAsia="Times New Roman" w:hAnsi="Times New Roman" w:cs="Times New Roman"/>
      <w:b/>
      <w:bCs/>
      <w:sz w:val="24"/>
      <w:szCs w:val="24"/>
      <w:lang w:eastAsia="en-GB"/>
    </w:rPr>
  </w:style>
  <w:style w:type="paragraph" w:customStyle="1" w:styleId="font-claude-response-body">
    <w:name w:val="font-claude-response-body"/>
    <w:basedOn w:val="Normal"/>
    <w:rsid w:val="00DC27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271A"/>
    <w:rPr>
      <w:b/>
      <w:bCs/>
    </w:rPr>
  </w:style>
  <w:style w:type="character" w:styleId="Emphasis">
    <w:name w:val="Emphasis"/>
    <w:basedOn w:val="DefaultParagraphFont"/>
    <w:uiPriority w:val="20"/>
    <w:qFormat/>
    <w:rsid w:val="00DC271A"/>
    <w:rPr>
      <w:i/>
      <w:iCs/>
    </w:rPr>
  </w:style>
  <w:style w:type="character" w:styleId="Hyperlink">
    <w:name w:val="Hyperlink"/>
    <w:basedOn w:val="DefaultParagraphFont"/>
    <w:uiPriority w:val="99"/>
    <w:semiHidden/>
    <w:unhideWhenUsed/>
    <w:rsid w:val="00DC271A"/>
    <w:rPr>
      <w:color w:val="0000FF"/>
      <w:u w:val="single"/>
    </w:rPr>
  </w:style>
  <w:style w:type="paragraph" w:styleId="ListParagraph">
    <w:name w:val="List Paragraph"/>
    <w:basedOn w:val="Normal"/>
    <w:uiPriority w:val="34"/>
    <w:qFormat/>
    <w:rsid w:val="0027521E"/>
    <w:pPr>
      <w:ind w:left="720"/>
      <w:contextualSpacing/>
    </w:pPr>
  </w:style>
  <w:style w:type="paragraph" w:customStyle="1" w:styleId="pdq2pgselectionanchorcontainer">
    <w:name w:val="pdq2pg_selectionanchorcontainer"/>
    <w:basedOn w:val="Normal"/>
    <w:rsid w:val="002752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7521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0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5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A27"/>
  </w:style>
  <w:style w:type="paragraph" w:styleId="Footer">
    <w:name w:val="footer"/>
    <w:basedOn w:val="Normal"/>
    <w:link w:val="FooterChar"/>
    <w:uiPriority w:val="99"/>
    <w:unhideWhenUsed/>
    <w:rsid w:val="00475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0378">
      <w:bodyDiv w:val="1"/>
      <w:marLeft w:val="0"/>
      <w:marRight w:val="0"/>
      <w:marTop w:val="0"/>
      <w:marBottom w:val="0"/>
      <w:divBdr>
        <w:top w:val="none" w:sz="0" w:space="0" w:color="auto"/>
        <w:left w:val="none" w:sz="0" w:space="0" w:color="auto"/>
        <w:bottom w:val="none" w:sz="0" w:space="0" w:color="auto"/>
        <w:right w:val="none" w:sz="0" w:space="0" w:color="auto"/>
      </w:divBdr>
      <w:divsChild>
        <w:div w:id="1624144601">
          <w:marLeft w:val="0"/>
          <w:marRight w:val="0"/>
          <w:marTop w:val="0"/>
          <w:marBottom w:val="0"/>
          <w:divBdr>
            <w:top w:val="none" w:sz="0" w:space="0" w:color="auto"/>
            <w:left w:val="none" w:sz="0" w:space="0" w:color="auto"/>
            <w:bottom w:val="none" w:sz="0" w:space="0" w:color="auto"/>
            <w:right w:val="none" w:sz="0" w:space="0" w:color="auto"/>
          </w:divBdr>
          <w:divsChild>
            <w:div w:id="987827800">
              <w:marLeft w:val="0"/>
              <w:marRight w:val="0"/>
              <w:marTop w:val="0"/>
              <w:marBottom w:val="0"/>
              <w:divBdr>
                <w:top w:val="none" w:sz="0" w:space="0" w:color="auto"/>
                <w:left w:val="none" w:sz="0" w:space="0" w:color="auto"/>
                <w:bottom w:val="none" w:sz="0" w:space="0" w:color="auto"/>
                <w:right w:val="none" w:sz="0" w:space="0" w:color="auto"/>
              </w:divBdr>
              <w:divsChild>
                <w:div w:id="792404575">
                  <w:marLeft w:val="0"/>
                  <w:marRight w:val="0"/>
                  <w:marTop w:val="0"/>
                  <w:marBottom w:val="0"/>
                  <w:divBdr>
                    <w:top w:val="none" w:sz="0" w:space="0" w:color="auto"/>
                    <w:left w:val="none" w:sz="0" w:space="0" w:color="auto"/>
                    <w:bottom w:val="none" w:sz="0" w:space="0" w:color="auto"/>
                    <w:right w:val="none" w:sz="0" w:space="0" w:color="auto"/>
                  </w:divBdr>
                  <w:divsChild>
                    <w:div w:id="1993366686">
                      <w:marLeft w:val="0"/>
                      <w:marRight w:val="0"/>
                      <w:marTop w:val="0"/>
                      <w:marBottom w:val="0"/>
                      <w:divBdr>
                        <w:top w:val="none" w:sz="0" w:space="0" w:color="auto"/>
                        <w:left w:val="none" w:sz="0" w:space="0" w:color="auto"/>
                        <w:bottom w:val="none" w:sz="0" w:space="0" w:color="auto"/>
                        <w:right w:val="none" w:sz="0" w:space="0" w:color="auto"/>
                      </w:divBdr>
                      <w:divsChild>
                        <w:div w:id="450511436">
                          <w:marLeft w:val="0"/>
                          <w:marRight w:val="0"/>
                          <w:marTop w:val="0"/>
                          <w:marBottom w:val="0"/>
                          <w:divBdr>
                            <w:top w:val="none" w:sz="0" w:space="0" w:color="auto"/>
                            <w:left w:val="none" w:sz="0" w:space="0" w:color="auto"/>
                            <w:bottom w:val="none" w:sz="0" w:space="0" w:color="auto"/>
                            <w:right w:val="none" w:sz="0" w:space="0" w:color="auto"/>
                          </w:divBdr>
                          <w:divsChild>
                            <w:div w:id="1271475164">
                              <w:marLeft w:val="0"/>
                              <w:marRight w:val="0"/>
                              <w:marTop w:val="0"/>
                              <w:marBottom w:val="0"/>
                              <w:divBdr>
                                <w:top w:val="none" w:sz="0" w:space="0" w:color="auto"/>
                                <w:left w:val="none" w:sz="0" w:space="0" w:color="auto"/>
                                <w:bottom w:val="none" w:sz="0" w:space="0" w:color="auto"/>
                                <w:right w:val="none" w:sz="0" w:space="0" w:color="auto"/>
                              </w:divBdr>
                              <w:divsChild>
                                <w:div w:id="798453523">
                                  <w:marLeft w:val="0"/>
                                  <w:marRight w:val="0"/>
                                  <w:marTop w:val="0"/>
                                  <w:marBottom w:val="0"/>
                                  <w:divBdr>
                                    <w:top w:val="none" w:sz="0" w:space="0" w:color="auto"/>
                                    <w:left w:val="none" w:sz="0" w:space="0" w:color="auto"/>
                                    <w:bottom w:val="none" w:sz="0" w:space="0" w:color="auto"/>
                                    <w:right w:val="none" w:sz="0" w:space="0" w:color="auto"/>
                                  </w:divBdr>
                                  <w:divsChild>
                                    <w:div w:id="17840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849442">
      <w:bodyDiv w:val="1"/>
      <w:marLeft w:val="0"/>
      <w:marRight w:val="0"/>
      <w:marTop w:val="0"/>
      <w:marBottom w:val="0"/>
      <w:divBdr>
        <w:top w:val="none" w:sz="0" w:space="0" w:color="auto"/>
        <w:left w:val="none" w:sz="0" w:space="0" w:color="auto"/>
        <w:bottom w:val="none" w:sz="0" w:space="0" w:color="auto"/>
        <w:right w:val="none" w:sz="0" w:space="0" w:color="auto"/>
      </w:divBdr>
      <w:divsChild>
        <w:div w:id="87511537">
          <w:marLeft w:val="0"/>
          <w:marRight w:val="0"/>
          <w:marTop w:val="0"/>
          <w:marBottom w:val="0"/>
          <w:divBdr>
            <w:top w:val="none" w:sz="0" w:space="0" w:color="auto"/>
            <w:left w:val="none" w:sz="0" w:space="0" w:color="auto"/>
            <w:bottom w:val="none" w:sz="0" w:space="0" w:color="auto"/>
            <w:right w:val="none" w:sz="0" w:space="0" w:color="auto"/>
          </w:divBdr>
        </w:div>
        <w:div w:id="529613943">
          <w:marLeft w:val="0"/>
          <w:marRight w:val="0"/>
          <w:marTop w:val="0"/>
          <w:marBottom w:val="0"/>
          <w:divBdr>
            <w:top w:val="none" w:sz="0" w:space="0" w:color="auto"/>
            <w:left w:val="none" w:sz="0" w:space="0" w:color="auto"/>
            <w:bottom w:val="none" w:sz="0" w:space="0" w:color="auto"/>
            <w:right w:val="none" w:sz="0" w:space="0" w:color="auto"/>
          </w:divBdr>
        </w:div>
        <w:div w:id="404571669">
          <w:marLeft w:val="0"/>
          <w:marRight w:val="0"/>
          <w:marTop w:val="0"/>
          <w:marBottom w:val="0"/>
          <w:divBdr>
            <w:top w:val="none" w:sz="0" w:space="0" w:color="auto"/>
            <w:left w:val="none" w:sz="0" w:space="0" w:color="auto"/>
            <w:bottom w:val="none" w:sz="0" w:space="0" w:color="auto"/>
            <w:right w:val="none" w:sz="0" w:space="0" w:color="auto"/>
          </w:divBdr>
        </w:div>
        <w:div w:id="796794668">
          <w:marLeft w:val="0"/>
          <w:marRight w:val="0"/>
          <w:marTop w:val="0"/>
          <w:marBottom w:val="0"/>
          <w:divBdr>
            <w:top w:val="none" w:sz="0" w:space="0" w:color="auto"/>
            <w:left w:val="none" w:sz="0" w:space="0" w:color="auto"/>
            <w:bottom w:val="none" w:sz="0" w:space="0" w:color="auto"/>
            <w:right w:val="none" w:sz="0" w:space="0" w:color="auto"/>
          </w:divBdr>
        </w:div>
        <w:div w:id="1845319937">
          <w:marLeft w:val="0"/>
          <w:marRight w:val="0"/>
          <w:marTop w:val="0"/>
          <w:marBottom w:val="0"/>
          <w:divBdr>
            <w:top w:val="none" w:sz="0" w:space="0" w:color="auto"/>
            <w:left w:val="none" w:sz="0" w:space="0" w:color="auto"/>
            <w:bottom w:val="none" w:sz="0" w:space="0" w:color="auto"/>
            <w:right w:val="none" w:sz="0" w:space="0" w:color="auto"/>
          </w:divBdr>
        </w:div>
      </w:divsChild>
    </w:div>
    <w:div w:id="1494445154">
      <w:bodyDiv w:val="1"/>
      <w:marLeft w:val="0"/>
      <w:marRight w:val="0"/>
      <w:marTop w:val="0"/>
      <w:marBottom w:val="0"/>
      <w:divBdr>
        <w:top w:val="none" w:sz="0" w:space="0" w:color="auto"/>
        <w:left w:val="none" w:sz="0" w:space="0" w:color="auto"/>
        <w:bottom w:val="none" w:sz="0" w:space="0" w:color="auto"/>
        <w:right w:val="none" w:sz="0" w:space="0" w:color="auto"/>
      </w:divBdr>
      <w:divsChild>
        <w:div w:id="1466199207">
          <w:marLeft w:val="0"/>
          <w:marRight w:val="0"/>
          <w:marTop w:val="0"/>
          <w:marBottom w:val="0"/>
          <w:divBdr>
            <w:top w:val="none" w:sz="0" w:space="0" w:color="auto"/>
            <w:left w:val="none" w:sz="0" w:space="0" w:color="auto"/>
            <w:bottom w:val="none" w:sz="0" w:space="0" w:color="auto"/>
            <w:right w:val="none" w:sz="0" w:space="0" w:color="auto"/>
          </w:divBdr>
          <w:divsChild>
            <w:div w:id="918908174">
              <w:marLeft w:val="0"/>
              <w:marRight w:val="0"/>
              <w:marTop w:val="0"/>
              <w:marBottom w:val="0"/>
              <w:divBdr>
                <w:top w:val="none" w:sz="0" w:space="0" w:color="auto"/>
                <w:left w:val="none" w:sz="0" w:space="0" w:color="auto"/>
                <w:bottom w:val="none" w:sz="0" w:space="0" w:color="auto"/>
                <w:right w:val="none" w:sz="0" w:space="0" w:color="auto"/>
              </w:divBdr>
              <w:divsChild>
                <w:div w:id="511603077">
                  <w:marLeft w:val="0"/>
                  <w:marRight w:val="0"/>
                  <w:marTop w:val="0"/>
                  <w:marBottom w:val="0"/>
                  <w:divBdr>
                    <w:top w:val="none" w:sz="0" w:space="0" w:color="auto"/>
                    <w:left w:val="none" w:sz="0" w:space="0" w:color="auto"/>
                    <w:bottom w:val="none" w:sz="0" w:space="0" w:color="auto"/>
                    <w:right w:val="none" w:sz="0" w:space="0" w:color="auto"/>
                  </w:divBdr>
                  <w:divsChild>
                    <w:div w:id="1566259945">
                      <w:marLeft w:val="0"/>
                      <w:marRight w:val="0"/>
                      <w:marTop w:val="0"/>
                      <w:marBottom w:val="0"/>
                      <w:divBdr>
                        <w:top w:val="none" w:sz="0" w:space="0" w:color="auto"/>
                        <w:left w:val="none" w:sz="0" w:space="0" w:color="auto"/>
                        <w:bottom w:val="none" w:sz="0" w:space="0" w:color="auto"/>
                        <w:right w:val="none" w:sz="0" w:space="0" w:color="auto"/>
                      </w:divBdr>
                      <w:divsChild>
                        <w:div w:id="668678157">
                          <w:marLeft w:val="0"/>
                          <w:marRight w:val="0"/>
                          <w:marTop w:val="0"/>
                          <w:marBottom w:val="0"/>
                          <w:divBdr>
                            <w:top w:val="none" w:sz="0" w:space="0" w:color="auto"/>
                            <w:left w:val="none" w:sz="0" w:space="0" w:color="auto"/>
                            <w:bottom w:val="none" w:sz="0" w:space="0" w:color="auto"/>
                            <w:right w:val="none" w:sz="0" w:space="0" w:color="auto"/>
                          </w:divBdr>
                          <w:divsChild>
                            <w:div w:id="1145396475">
                              <w:marLeft w:val="0"/>
                              <w:marRight w:val="0"/>
                              <w:marTop w:val="0"/>
                              <w:marBottom w:val="0"/>
                              <w:divBdr>
                                <w:top w:val="none" w:sz="0" w:space="0" w:color="auto"/>
                                <w:left w:val="none" w:sz="0" w:space="0" w:color="auto"/>
                                <w:bottom w:val="none" w:sz="0" w:space="0" w:color="auto"/>
                                <w:right w:val="none" w:sz="0" w:space="0" w:color="auto"/>
                              </w:divBdr>
                              <w:divsChild>
                                <w:div w:id="720402969">
                                  <w:marLeft w:val="0"/>
                                  <w:marRight w:val="0"/>
                                  <w:marTop w:val="0"/>
                                  <w:marBottom w:val="0"/>
                                  <w:divBdr>
                                    <w:top w:val="none" w:sz="0" w:space="0" w:color="auto"/>
                                    <w:left w:val="none" w:sz="0" w:space="0" w:color="auto"/>
                                    <w:bottom w:val="none" w:sz="0" w:space="0" w:color="auto"/>
                                    <w:right w:val="none" w:sz="0" w:space="0" w:color="auto"/>
                                  </w:divBdr>
                                  <w:divsChild>
                                    <w:div w:id="160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ell.2007.04.019" TargetMode="External"/><Relationship Id="rId21" Type="http://schemas.openxmlformats.org/officeDocument/2006/relationships/hyperlink" Target="https://doi.org/10.1016/j.cell.2017.07.029" TargetMode="External"/><Relationship Id="rId34" Type="http://schemas.openxmlformats.org/officeDocument/2006/relationships/hyperlink" Target="https://doi.org/10.1016/j.cell.2008.03.027" TargetMode="External"/><Relationship Id="rId42" Type="http://schemas.openxmlformats.org/officeDocument/2006/relationships/hyperlink" Target="https://doi.org/10.1155/2018/5416923" TargetMode="External"/><Relationship Id="rId47" Type="http://schemas.openxmlformats.org/officeDocument/2006/relationships/hyperlink" Target="https://doi.org/10.1038/nrclinonc.2017.44" TargetMode="External"/><Relationship Id="rId50" Type="http://schemas.openxmlformats.org/officeDocument/2006/relationships/hyperlink" Target="https://doi.org/10.1186/s12943-017-0596-9" TargetMode="External"/><Relationship Id="rId55" Type="http://schemas.openxmlformats.org/officeDocument/2006/relationships/hyperlink" Target="https://doi.org/10.1038/onc.2016.304" TargetMode="External"/><Relationship Id="rId63" Type="http://schemas.openxmlformats.org/officeDocument/2006/relationships/footer" Target="footer3.xml"/><Relationship Id="rId7" Type="http://schemas.openxmlformats.org/officeDocument/2006/relationships/hyperlink" Target="https://doi.org/10.1073/pnas.0530291100" TargetMode="External"/><Relationship Id="rId2" Type="http://schemas.openxmlformats.org/officeDocument/2006/relationships/styles" Target="styles.xml"/><Relationship Id="rId16" Type="http://schemas.openxmlformats.org/officeDocument/2006/relationships/hyperlink" Target="https://doi.org/10.1016/j.semcancer.2014.06.004" TargetMode="External"/><Relationship Id="rId29" Type="http://schemas.openxmlformats.org/officeDocument/2006/relationships/hyperlink" Target="https://doi.org/10.1101/gad.261982.115" TargetMode="External"/><Relationship Id="rId11" Type="http://schemas.openxmlformats.org/officeDocument/2006/relationships/hyperlink" Target="https://doi.org/10.1038/nm0797-730" TargetMode="External"/><Relationship Id="rId24" Type="http://schemas.openxmlformats.org/officeDocument/2006/relationships/hyperlink" Target="https://doi.org/10.1016/j.stem.2007.08.014" TargetMode="External"/><Relationship Id="rId32" Type="http://schemas.openxmlformats.org/officeDocument/2006/relationships/hyperlink" Target="https://doi.org/10.1016/j.stem.2024.04.004" TargetMode="External"/><Relationship Id="rId37" Type="http://schemas.openxmlformats.org/officeDocument/2006/relationships/hyperlink" Target="https://doi.org/10.1016/j.lfs.2019.116781" TargetMode="External"/><Relationship Id="rId40" Type="http://schemas.openxmlformats.org/officeDocument/2006/relationships/hyperlink" Target="https://doi.org/10.1038/nrd4253" TargetMode="External"/><Relationship Id="rId45" Type="http://schemas.openxmlformats.org/officeDocument/2006/relationships/hyperlink" Target="https://doi.org/10.1038/nrc3035" TargetMode="External"/><Relationship Id="rId53" Type="http://schemas.openxmlformats.org/officeDocument/2006/relationships/hyperlink" Target="https://doi.org/10.1038/nrc3818"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1016/j.molcel.2014.05.015" TargetMode="External"/><Relationship Id="rId14" Type="http://schemas.openxmlformats.org/officeDocument/2006/relationships/hyperlink" Target="https://doi.org/10.1038/nm.2304" TargetMode="External"/><Relationship Id="rId22" Type="http://schemas.openxmlformats.org/officeDocument/2006/relationships/hyperlink" Target="https://doi.org/10.3390/cells9071693" TargetMode="External"/><Relationship Id="rId27" Type="http://schemas.openxmlformats.org/officeDocument/2006/relationships/hyperlink" Target="https://doi.org/10.1016/j.stem.2014.02.006" TargetMode="External"/><Relationship Id="rId30" Type="http://schemas.openxmlformats.org/officeDocument/2006/relationships/hyperlink" Target="https://doi.org/10.1038/s41392-025-02360-2" TargetMode="External"/><Relationship Id="rId35" Type="http://schemas.openxmlformats.org/officeDocument/2006/relationships/hyperlink" Target="https://doi.org/10.1038/nature12624" TargetMode="External"/><Relationship Id="rId43" Type="http://schemas.openxmlformats.org/officeDocument/2006/relationships/hyperlink" Target="https://doi.org/10.1016/j.stem.2015.02.015" TargetMode="External"/><Relationship Id="rId48" Type="http://schemas.openxmlformats.org/officeDocument/2006/relationships/hyperlink" Target="https://doi.org/10.1038/nature03128" TargetMode="External"/><Relationship Id="rId56" Type="http://schemas.openxmlformats.org/officeDocument/2006/relationships/hyperlink" Target="https://doi.org/10.1038/s41392-022-00934-y" TargetMode="External"/><Relationship Id="rId64" Type="http://schemas.openxmlformats.org/officeDocument/2006/relationships/fontTable" Target="fontTable.xml"/><Relationship Id="rId8" Type="http://schemas.openxmlformats.org/officeDocument/2006/relationships/hyperlink" Target="https://doi.org/10.1038/nature06196" TargetMode="External"/><Relationship Id="rId51" Type="http://schemas.openxmlformats.org/officeDocument/2006/relationships/hyperlink" Target="https://doi.org/10.3389/fcell.2019.00016" TargetMode="External"/><Relationship Id="rId3" Type="http://schemas.openxmlformats.org/officeDocument/2006/relationships/settings" Target="settings.xml"/><Relationship Id="rId12" Type="http://schemas.openxmlformats.org/officeDocument/2006/relationships/hyperlink" Target="https://doi.org/10.1038/s41573-019-0044-1" TargetMode="External"/><Relationship Id="rId17" Type="http://schemas.openxmlformats.org/officeDocument/2006/relationships/hyperlink" Target="https://doi.org/10.1038/nrclinonc.2017.166" TargetMode="External"/><Relationship Id="rId25" Type="http://schemas.openxmlformats.org/officeDocument/2006/relationships/hyperlink" Target="https://doi.org/10.1158/2159-8290.CD-21-1059" TargetMode="External"/><Relationship Id="rId33" Type="http://schemas.openxmlformats.org/officeDocument/2006/relationships/hyperlink" Target="https://doi.org/10.1038/s41568-018-0056-x" TargetMode="External"/><Relationship Id="rId38" Type="http://schemas.openxmlformats.org/officeDocument/2006/relationships/hyperlink" Target="https://doi.org/10.1038/nrc3184" TargetMode="External"/><Relationship Id="rId46" Type="http://schemas.openxmlformats.org/officeDocument/2006/relationships/hyperlink" Target="https://doi.org/10.1038/bjc.2016.152" TargetMode="External"/><Relationship Id="rId59" Type="http://schemas.openxmlformats.org/officeDocument/2006/relationships/header" Target="header2.xml"/><Relationship Id="rId20" Type="http://schemas.openxmlformats.org/officeDocument/2006/relationships/hyperlink" Target="https://doi.org/10.1172/JCI41004" TargetMode="External"/><Relationship Id="rId41" Type="http://schemas.openxmlformats.org/officeDocument/2006/relationships/hyperlink" Target="https://doi.org/10.1016/j.semcancer.2017.02.011" TargetMode="External"/><Relationship Id="rId54" Type="http://schemas.openxmlformats.org/officeDocument/2006/relationships/hyperlink" Target="https://doi.org/10.1186/s12943-023-01877-w"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38/s41392-024-01851-y" TargetMode="External"/><Relationship Id="rId23" Type="http://schemas.openxmlformats.org/officeDocument/2006/relationships/hyperlink" Target="https://doi.org/10.1007/s00296-011-1999-3" TargetMode="External"/><Relationship Id="rId28" Type="http://schemas.openxmlformats.org/officeDocument/2006/relationships/hyperlink" Target="https://doi.org/10.1038/367645a0" TargetMode="External"/><Relationship Id="rId36" Type="http://schemas.openxmlformats.org/officeDocument/2006/relationships/hyperlink" Target="https://doi.org/10.1016/j.cell.2008.01.038" TargetMode="External"/><Relationship Id="rId49" Type="http://schemas.openxmlformats.org/officeDocument/2006/relationships/hyperlink" Target="https://doi.org/10.1038/nrclinonc.2010.196" TargetMode="External"/><Relationship Id="rId57" Type="http://schemas.openxmlformats.org/officeDocument/2006/relationships/hyperlink" Target="https://doi.org/10.1038/nrc3023" TargetMode="External"/><Relationship Id="rId10" Type="http://schemas.openxmlformats.org/officeDocument/2006/relationships/hyperlink" Target="https://doi.org/10.1038/s41568-021-00366-w" TargetMode="External"/><Relationship Id="rId31" Type="http://schemas.openxmlformats.org/officeDocument/2006/relationships/hyperlink" Target="https://doi.org/10.1158/0008-5472.CAN-06-2030" TargetMode="External"/><Relationship Id="rId44" Type="http://schemas.openxmlformats.org/officeDocument/2006/relationships/hyperlink" Target="https://doi.org/10.1016/j.stem.2019.03.009" TargetMode="External"/><Relationship Id="rId52" Type="http://schemas.openxmlformats.org/officeDocument/2006/relationships/hyperlink" Target="https://doi.org/10.1038/nrc2499"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38/nm.4409" TargetMode="External"/><Relationship Id="rId13" Type="http://schemas.openxmlformats.org/officeDocument/2006/relationships/hyperlink" Target="https://doi.org/10.1038/nrc.2017.118" TargetMode="External"/><Relationship Id="rId18" Type="http://schemas.openxmlformats.org/officeDocument/2006/relationships/hyperlink" Target="https://doi.org/10.3390/cancers8070060" TargetMode="External"/><Relationship Id="rId39" Type="http://schemas.openxmlformats.org/officeDocument/2006/relationships/hyperlink" Target="https://doi.org/10.1016/j.cell.2017.05.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24</Pages>
  <Words>11497</Words>
  <Characters>65537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Editor-90</cp:lastModifiedBy>
  <cp:revision>15</cp:revision>
  <dcterms:created xsi:type="dcterms:W3CDTF">2026-06-21T13:03:00Z</dcterms:created>
  <dcterms:modified xsi:type="dcterms:W3CDTF">2026-06-27T08:27:00Z</dcterms:modified>
</cp:coreProperties>
</file>