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92195" w14:textId="77777777" w:rsidR="00793C79" w:rsidRPr="00C25867" w:rsidRDefault="001D0D0E">
      <w:pPr>
        <w:spacing w:after="300"/>
        <w:jc w:val="center"/>
        <w:rPr>
          <w:color w:val="000000" w:themeColor="text1"/>
        </w:rPr>
      </w:pPr>
      <w:r w:rsidRPr="00C25867">
        <w:rPr>
          <w:rFonts w:ascii="Calibri" w:eastAsia="Calibri" w:hAnsi="Calibri" w:cs="Calibri"/>
          <w:b/>
          <w:bCs/>
          <w:color w:val="000000" w:themeColor="text1"/>
          <w:sz w:val="32"/>
          <w:szCs w:val="32"/>
        </w:rPr>
        <w:t>Rodent-Borne Viral Haemorrhagic Fevers in Sub-Saharan Africa: A Critical Narrative Review of the Epidemiology, Surveillance, Genomic Insights and Diagnostic Advances in Lassa Fever</w:t>
      </w:r>
    </w:p>
    <w:p w14:paraId="4BCA1F94"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Abstract</w:t>
      </w:r>
    </w:p>
    <w:p w14:paraId="242A516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fever, caused by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remains the most consequential rodent-borne viral haemorrhagic fever in sub-Saharan Africa, with recurrent seasonal epidemics concentrated in Nigeria, Sierra Leone, Liberia and Guinea and sporadic detections across a widening geographical range. Over the past decade, the field has been transformed by portable genomic sequencing, large-scale ecological modelling of the rodent reservoir, and the first randomised trials of candidate vaccines, yet no licensed vaccine or unequivocally effective antiviral therapy exists, and routine diagnosis still depends on centralised molecular assays that are inaccessible to most peripheral health facilities. This critical narrative review synthesises the contemporary evidence base on the epidemiology, reservoir ecology, molecular evolution, surveillance architecture and diagnostic landscape of Lassa fever, situating it within the broader category of African rodent-borne arenaviral haemorrhagic fevers that includes the rarer but more lethal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Evidence was drawn from peer-reviewed literature, systematic reviews and meta-analyses, and programmatic reports from national and international public health bodies. The review finds that the burden of disease remains poorly quantified because of substantial </w:t>
      </w:r>
      <w:proofErr w:type="spellStart"/>
      <w:r w:rsidRPr="00C25867">
        <w:rPr>
          <w:rFonts w:ascii="Calibri" w:eastAsia="Calibri" w:hAnsi="Calibri" w:cs="Calibri"/>
          <w:color w:val="000000" w:themeColor="text1"/>
          <w:sz w:val="22"/>
          <w:szCs w:val="22"/>
        </w:rPr>
        <w:t>underascertainment</w:t>
      </w:r>
      <w:proofErr w:type="spellEnd"/>
      <w:r w:rsidRPr="00C25867">
        <w:rPr>
          <w:rFonts w:ascii="Calibri" w:eastAsia="Calibri" w:hAnsi="Calibri" w:cs="Calibri"/>
          <w:color w:val="000000" w:themeColor="text1"/>
          <w:sz w:val="22"/>
          <w:szCs w:val="22"/>
        </w:rPr>
        <w:t>, that genomic surveillance has repeatedly resolved uncertainty over whether case surges reflect novel strain emergence or intensified zoonotic spillover, and that promising point-of-care diagnostics have so far failed field validation despite encouraging laboratory performance. Ecological and climate-modelling studies converge on the conclusion that the geographical range suitable for virus circulation is likely to expand substantially by mid-century, while the evidence supporting ribavirin, the current standard of care, remains methodologically fragile. Pregnant women, healthcare workers and survivors experiencing long-term sequelae such as sensorineural hearing loss constitute under-served populations requiring dedicated research attention. The review concludes that an integrated One Health approach combining reservoir surveillance, decentralised diagnostics, and equitable vaccine deployment offers the most defensible pathway toward reducing the regional burden of this neglected but expanding threat.</w:t>
      </w:r>
    </w:p>
    <w:p w14:paraId="06828237" w14:textId="77777777" w:rsidR="00793C79" w:rsidRPr="00C25867" w:rsidRDefault="001D0D0E">
      <w:pPr>
        <w:spacing w:after="240" w:line="276" w:lineRule="auto"/>
        <w:jc w:val="both"/>
        <w:rPr>
          <w:color w:val="000000" w:themeColor="text1"/>
        </w:rPr>
      </w:pPr>
      <w:r w:rsidRPr="00C25867">
        <w:rPr>
          <w:rFonts w:ascii="Calibri" w:eastAsia="Calibri" w:hAnsi="Calibri" w:cs="Calibri"/>
          <w:b/>
          <w:bCs/>
          <w:color w:val="000000" w:themeColor="text1"/>
          <w:sz w:val="22"/>
          <w:szCs w:val="22"/>
        </w:rPr>
        <w:t xml:space="preserve">Keywords: </w:t>
      </w:r>
      <w:r w:rsidRPr="00C25867">
        <w:rPr>
          <w:rFonts w:ascii="Calibri" w:eastAsia="Calibri" w:hAnsi="Calibri" w:cs="Calibri"/>
          <w:color w:val="000000" w:themeColor="text1"/>
          <w:sz w:val="22"/>
          <w:szCs w:val="22"/>
        </w:rPr>
        <w:t xml:space="preserve">Lassa fever;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viral haemorrhagic fever; genomic surveillance; point-of-care diagnostics; zoonotic spillover; West Africa</w:t>
      </w:r>
    </w:p>
    <w:p w14:paraId="57CA339F"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1. Introduction</w:t>
      </w:r>
    </w:p>
    <w:p w14:paraId="032B4B1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Rodent-borne viral haemorrhagic fevers occupy a distinctive position among the neglected tropical diseases of sub-Saharan Africa: they combine high case-fatality among hospitalised patients with chronically under-resourced surveillance and diagnostic infrastructure, producing a disease burden that is simultaneously severe and poorly quantified. Lassa fever, caused by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xml:space="preserve"> (LASV), an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 maintained principally in the Natal multimammate mouse,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xml:space="preserve">, is by a considerable margin the most important member of this group. The disease was first characterised clinically in 1969 following the deaths of missionary nurses in north-eastern Nigeria, and it has since </w:t>
      </w:r>
      <w:r w:rsidRPr="00C25867">
        <w:rPr>
          <w:rFonts w:ascii="Calibri" w:eastAsia="Calibri" w:hAnsi="Calibri" w:cs="Calibri"/>
          <w:color w:val="000000" w:themeColor="text1"/>
          <w:sz w:val="22"/>
          <w:szCs w:val="22"/>
        </w:rPr>
        <w:lastRenderedPageBreak/>
        <w:t>become entrenched as a seasonal, dry-season epidemic across much of West Africa, with the largest recorded case counts occurring in Nigeria (World Health Organization, 2024). Although Lassa fever has traditionally been framed as a rural, agriculturally linked zoonosis, the past decade has produced a substantially more complex picture: genomic surveillance has repeatedly shown that year-on-year surges in reported cases largely reflect independent zoonotic spillover events rather than the emergence of more transmissible viral lineages or sustained human-to-human chains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while ecological niche modelling projects that the area ecologically suitable for virus circulation may extend well beyond its current West African range within the coming decades as a consequence of climate change, land-use conversion and population growth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2022).</w:t>
      </w:r>
    </w:p>
    <w:p w14:paraId="2EEC22D2"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clinical and public health significance of Lassa fever is disproportionate to the scientific and financial attention it has historically received. Approximately 80% of infections are mild or entirely asymptomatic, yet the case-fatality ratio among hospitalised patients with severe disease is estimated at 15%, and it rises further among specific subgroups, including women infected during the third trimester of pregnancy (World Health Organization, 2024; Kayem et al., 2020). Survivors are also disproportionately affected by long-term sequelae, most notably sensorineural hearing loss, a complication whose pathophysiological basis remains incompletely understood. The virus has been designated a priority pathogen with epidemic potential by international bodies because of its capacity for nosocomial amplification, its documented capacity for occasional international exportation through travel, and the near-complete absence of licensed medical countermeasures. These characteristics place Lassa fever within the same strategic category as other high-consequence pathogens prioritised for accelerated vaccine and diagnostic development, notwithstanding a substantially smaller research investment relative to its estimated burden.</w:t>
      </w:r>
    </w:p>
    <w:p w14:paraId="3400A2F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Three interlinked developments justify a fresh critical synthesis of the literature at this juncture. First, the application of portable, field-deployable sequencing technologies during the 2018 Nigerian case surge fundamentally altered the evidentiary basis for outbreak interpretation, demonstrating that near-real-time genomic epidemiology could distinguish zoonotic reservoir-driven transmission from human-to-human spread within days rather than months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Siddle et al., 2018). This capability has since been extended through open-access phylogenetic and lineage-assignment platforms intended to support routine surveillance across the region. Second, the diagnostic landscape has undergone a period of cautious optimism followed by sober re-evaluation: CRISPR-based and antigen-based rapid tests that performed well under controlled laboratory conditions have, on rigorous field validation, shown markedly reduced sensitivity, reopening the question of what a genuinely deployable point-of-care Lassa fever test should look like (Barnes et al., 2020; </w:t>
      </w:r>
      <w:proofErr w:type="spellStart"/>
      <w:r w:rsidRPr="00C25867">
        <w:rPr>
          <w:rFonts w:ascii="Calibri" w:eastAsia="Calibri" w:hAnsi="Calibri" w:cs="Calibri"/>
          <w:color w:val="000000" w:themeColor="text1"/>
          <w:sz w:val="22"/>
          <w:szCs w:val="22"/>
        </w:rPr>
        <w:t>Elsinga</w:t>
      </w:r>
      <w:proofErr w:type="spellEnd"/>
      <w:r w:rsidRPr="00C25867">
        <w:rPr>
          <w:rFonts w:ascii="Calibri" w:eastAsia="Calibri" w:hAnsi="Calibri" w:cs="Calibri"/>
          <w:color w:val="000000" w:themeColor="text1"/>
          <w:sz w:val="22"/>
          <w:szCs w:val="22"/>
        </w:rPr>
        <w:t xml:space="preserve"> et al., 2024; Groger &amp; </w:t>
      </w:r>
      <w:proofErr w:type="spellStart"/>
      <w:r w:rsidRPr="00C25867">
        <w:rPr>
          <w:rFonts w:ascii="Calibri" w:eastAsia="Calibri" w:hAnsi="Calibri" w:cs="Calibri"/>
          <w:color w:val="000000" w:themeColor="text1"/>
          <w:sz w:val="22"/>
          <w:szCs w:val="22"/>
        </w:rPr>
        <w:t>Ramharter</w:t>
      </w:r>
      <w:proofErr w:type="spellEnd"/>
      <w:r w:rsidRPr="00C25867">
        <w:rPr>
          <w:rFonts w:ascii="Calibri" w:eastAsia="Calibri" w:hAnsi="Calibri" w:cs="Calibri"/>
          <w:color w:val="000000" w:themeColor="text1"/>
          <w:sz w:val="22"/>
          <w:szCs w:val="22"/>
        </w:rPr>
        <w:t>, 2024). Third, the vaccine pipeline has matured from preclinical and early-phase studies into randomised human trials, with the first phase 1 safety and immunogenicity data for a replication-competent vectored candidate published only recently, and phase 2 evaluation now under way across multiple endemic countries (Malkin et al., 2025). Each of these developments demands integration with the older, foundational literature on reservoir ecology, genomic diversity and clinical epidemiology, rather than being considered in isolation.</w:t>
      </w:r>
    </w:p>
    <w:p w14:paraId="1779A672" w14:textId="77777777" w:rsidR="00F41A8B" w:rsidRPr="00606F43" w:rsidRDefault="00000000">
      <w:pPr>
        <w:spacing w:after="200" w:line="276" w:lineRule="auto"/>
        <w:jc w:val="both"/>
        <w:rPr>
          <w:bCs/>
          <w:color w:val="000000" w:themeColor="text1"/>
        </w:rPr>
      </w:pPr>
      <w:r w:rsidRPr="00606F43">
        <w:rPr>
          <w:rFonts w:ascii="Calibri" w:hAnsi="Calibri"/>
          <w:bCs/>
          <w:color w:val="000000"/>
          <w:sz w:val="22"/>
          <w:highlight w:val="yellow"/>
        </w:rPr>
        <w:lastRenderedPageBreak/>
        <w:t xml:space="preserve">Recent evidence further reinforces the need for an integrated appraisal of the field. Population-based </w:t>
      </w:r>
      <w:proofErr w:type="spellStart"/>
      <w:r w:rsidRPr="00606F43">
        <w:rPr>
          <w:rFonts w:ascii="Calibri" w:hAnsi="Calibri"/>
          <w:bCs/>
          <w:color w:val="000000"/>
          <w:sz w:val="22"/>
          <w:highlight w:val="yellow"/>
        </w:rPr>
        <w:t>serosurveillance</w:t>
      </w:r>
      <w:proofErr w:type="spellEnd"/>
      <w:r w:rsidRPr="00606F43">
        <w:rPr>
          <w:rFonts w:ascii="Calibri" w:hAnsi="Calibri"/>
          <w:bCs/>
          <w:color w:val="000000"/>
          <w:sz w:val="22"/>
          <w:highlight w:val="yellow"/>
        </w:rPr>
        <w:t xml:space="preserve"> in Upper Guinea indicates that substantial local transmission may remain poorly reflected in routinely recognised clinical cases, supporting continued caution when reported incidence is interpreted as a complete measure of burden (Mariën et al., 2025). In parallel, strengthened in-country sequencing in Guinea has shown how locally embedded genomic capacity can clarify cross-border viral movement and previously under-sampled diversity (Camara et al., 2026). Clinical research has also broadened to include continuous physiological monitoring using wearable biosensors in West African treatment settings, while recent non-human-primate evidence has expanded the preclinical therapeutic pipeline beyond ribavirin, although neither development yet establishes a validated standard for routine clinical care (Page et al., 2025; Cross et al., 2026).</w:t>
      </w:r>
    </w:p>
    <w:p w14:paraId="30F3116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Existing reviews of Lassa fever have tended either to adopt a narrow disciplinary focus, addressing virology, ecology or clinical management as separate literatures, or to rely on data that predate the genomic and diagnostic advances of the past five years. Systematic reviews addressing specific sub-questions, such as the sensitivity and specificity of individual diagnostic modalities, the epidemiological parameters underpinning transmission models, or the environmental correlates of spillover risk, provide rigorous but necessarily circumscribed syntheses (</w:t>
      </w:r>
      <w:proofErr w:type="spellStart"/>
      <w:r w:rsidRPr="00C25867">
        <w:rPr>
          <w:rFonts w:ascii="Calibri" w:eastAsia="Calibri" w:hAnsi="Calibri" w:cs="Calibri"/>
          <w:color w:val="000000" w:themeColor="text1"/>
          <w:sz w:val="22"/>
          <w:szCs w:val="22"/>
        </w:rPr>
        <w:t>Takah</w:t>
      </w:r>
      <w:proofErr w:type="spellEnd"/>
      <w:r w:rsidRPr="00C25867">
        <w:rPr>
          <w:rFonts w:ascii="Calibri" w:eastAsia="Calibri" w:hAnsi="Calibri" w:cs="Calibri"/>
          <w:color w:val="000000" w:themeColor="text1"/>
          <w:sz w:val="22"/>
          <w:szCs w:val="22"/>
        </w:rPr>
        <w:t xml:space="preserve"> et al., 2019; Doohan et al., 2024; Davis et al., 2025). What remains comparatively underdeveloped is an integrative critical account that connects reservoir ecology, molecular evolution, surveillance architecture, diagnostic performance and therapeutic development within a single analytical frame, while explicitly interrogating where the evidence is strong, where it is provisional, and where it remains genuinely contested. This review addresses that gap.</w:t>
      </w:r>
    </w:p>
    <w:p w14:paraId="77F023F0"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1.1 Scope, Research Gap and Objectives</w:t>
      </w:r>
    </w:p>
    <w:p w14:paraId="529FA7D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scope of this review is confined to rodent-borne viral haemorrhagic fevers of sub-Saharan Africa, with Lassa fever as the primary focus because of its overwhelming contribution to regional disease burden, and with the related southern African arenavirus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discussed comparatively to illuminate shared and divergent features of arenaviral emergence on the continent. The review addresses five interconnected domains: the descriptive and analytical epidemiology of Lassa fever across endemic countries; the ecology of the rodent reservoir and the environmental determinants of zoonotic spillover; the genomic epidemiology and molecular evolution of the virus, including the contribution of sequencing technology to outbreak response; the architecture of national and regional surveillance systems; and the diagnostic and therapeutic landscape, including vaccine development. Excluded from detailed treatment are hantaviral diseases, which, although rodent-borne, are not established as endemic within sub-Saharan Africa, and the wider family of South American arenaviral haemorrhagic fevers, which fall outside the regional scope of this review. The specific knowledge gap addressed is the absence of a synthesis that critically integrates the post-2018 genomic and diagnostic evidence base with longer-standing ecological and clinical epidemiological literature, while explicitly distinguishing conclusions supported by converging, methodologically robust evidence from those that remain provisional. The objectives are, first, to characterise the current state of knowledge regarding the burden, trends and drivers of Lassa fever transmission; second, to evaluate critically the methodological strengths and limitations of the surveillance and diagnostic tools presently in use or under development; third, to synthesise the evidence on therapeutic and preventive countermeasures, including the contested evidence base for ribavirin and </w:t>
      </w:r>
      <w:r w:rsidRPr="00C25867">
        <w:rPr>
          <w:rFonts w:ascii="Calibri" w:eastAsia="Calibri" w:hAnsi="Calibri" w:cs="Calibri"/>
          <w:color w:val="000000" w:themeColor="text1"/>
          <w:sz w:val="22"/>
          <w:szCs w:val="22"/>
        </w:rPr>
        <w:lastRenderedPageBreak/>
        <w:t>the emerging vaccine pipeline; and fourth, to identify defensible priorities for future research capable of narrowing the most consequential gaps in current understanding.</w:t>
      </w:r>
    </w:p>
    <w:p w14:paraId="51F7EF40"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2. Methods for Literature Selection</w:t>
      </w:r>
    </w:p>
    <w:p w14:paraId="2FA250E7"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2.1 Review Design and Rationale</w:t>
      </w:r>
    </w:p>
    <w:p w14:paraId="010681EB"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critical narrative review design was adopted in preference to a systematic review, scoping review or meta-analysis because the review question required the integration of heterogeneous evidence types, spanning molecular virology, landscape ecology, clinical epidemiology, health systems research and diagnostic accuracy studies, that are not amenable to a single quantitative synthesis framework. Narrative review methodology is appropriate where the objective is conceptual integration and critical appraisal across diverse study designs rather than the pooled estimation of a single effect size, and where existing systematic reviews addressing narrower sub-questions can themselves be incorporated as primary evidence (</w:t>
      </w:r>
      <w:proofErr w:type="spellStart"/>
      <w:r w:rsidRPr="00C25867">
        <w:rPr>
          <w:rFonts w:ascii="Calibri" w:eastAsia="Calibri" w:hAnsi="Calibri" w:cs="Calibri"/>
          <w:color w:val="000000" w:themeColor="text1"/>
          <w:sz w:val="22"/>
          <w:szCs w:val="22"/>
        </w:rPr>
        <w:t>Baethge</w:t>
      </w:r>
      <w:proofErr w:type="spellEnd"/>
      <w:r w:rsidRPr="00C25867">
        <w:rPr>
          <w:rFonts w:ascii="Calibri" w:eastAsia="Calibri" w:hAnsi="Calibri" w:cs="Calibri"/>
          <w:color w:val="000000" w:themeColor="text1"/>
          <w:sz w:val="22"/>
          <w:szCs w:val="22"/>
        </w:rPr>
        <w:t xml:space="preserve"> et al., 2019). The conduct of this review nonetheless sought to satisfy recognised standards for transparency and rigour in narrative synthesis, including explicit statement of the search strategy, eligibility criteria and appraisal approach, consistent with criteria articulated in the Scale for the Assessment of Narrative Review Articles (</w:t>
      </w:r>
      <w:proofErr w:type="spellStart"/>
      <w:r w:rsidRPr="00C25867">
        <w:rPr>
          <w:rFonts w:ascii="Calibri" w:eastAsia="Calibri" w:hAnsi="Calibri" w:cs="Calibri"/>
          <w:color w:val="000000" w:themeColor="text1"/>
          <w:sz w:val="22"/>
          <w:szCs w:val="22"/>
        </w:rPr>
        <w:t>Baethge</w:t>
      </w:r>
      <w:proofErr w:type="spellEnd"/>
      <w:r w:rsidRPr="00C25867">
        <w:rPr>
          <w:rFonts w:ascii="Calibri" w:eastAsia="Calibri" w:hAnsi="Calibri" w:cs="Calibri"/>
          <w:color w:val="000000" w:themeColor="text1"/>
          <w:sz w:val="22"/>
          <w:szCs w:val="22"/>
        </w:rPr>
        <w:t xml:space="preserve"> et al., 2019). The adoption of a narrative design does not imply relaxed standards of evidence appraisal; each major claim in the synthesis below is traceable to a specific, verified source, and areas of genuine scientific disagreement are represented as such rather than resolved by narrative fiat.</w:t>
      </w:r>
    </w:p>
    <w:p w14:paraId="71B2B93C"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2.2 Information Sources</w:t>
      </w:r>
    </w:p>
    <w:p w14:paraId="70791AB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Literature was identified through a web-based search interface indexing PubMed/MEDLINE-listed records, PubMed Central full-text articles, Google Scholar-indexed publications, and publisher-hosted journal platforms. Institutional and organisational sources were consulted directly for programmatic and policy information not typically indexed as peer-reviewed literature, including the World Health Organization, the Nigeria Centre for Disease Control and Prevention, the Coalition for Epidemic Preparedness Innovations, and the Foundation for Innovative New Diagnostics. Backward citation searching was applied systematically: the reference lists of retrieved systematic reviews, meta-analyses and major primary studies were examined to identify additional records meeting the eligibility criteria described in section 2.4, a technique that proved particularly valuable for locating foundational studies published before the era of consistent digital indexing. Subscription-only bibliographic databases, including Scopus, Web of Science and Embase, were not directly queried, and no claim is made regarding their coverage; where systematic reviews included in this synthesis report having searched such databases, this is noted as a property of the cited secondary source rather than of the present review.</w:t>
      </w:r>
    </w:p>
    <w:p w14:paraId="71030E2F"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2.3 Search Strategy and Search Period</w:t>
      </w:r>
    </w:p>
    <w:p w14:paraId="1D441F5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Search concepts were organised around five domains reflecting the review's scope: the disease and causative agent ("Lassa fever", "Lassa virus", "Lassa </w:t>
      </w:r>
      <w:proofErr w:type="spellStart"/>
      <w:r w:rsidRPr="00C25867">
        <w:rPr>
          <w:rFonts w:ascii="Calibri" w:eastAsia="Calibri" w:hAnsi="Calibri" w:cs="Calibri"/>
          <w:color w:val="000000" w:themeColor="text1"/>
          <w:sz w:val="22"/>
          <w:szCs w:val="22"/>
        </w:rPr>
        <w:t>mammarenavirus</w:t>
      </w:r>
      <w:proofErr w:type="spellEnd"/>
      <w:r w:rsidRPr="00C25867">
        <w:rPr>
          <w:rFonts w:ascii="Calibri" w:eastAsia="Calibri" w:hAnsi="Calibri" w:cs="Calibri"/>
          <w:color w:val="000000" w:themeColor="text1"/>
          <w:sz w:val="22"/>
          <w:szCs w:val="22"/>
        </w:rPr>
        <w:t>"); the rodent reservoir and ecological drivers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xml:space="preserve">", "rodent reservoir", "zoonotic spillover", "land use", "climate"); </w:t>
      </w:r>
      <w:r w:rsidRPr="00C25867">
        <w:rPr>
          <w:rFonts w:ascii="Calibri" w:eastAsia="Calibri" w:hAnsi="Calibri" w:cs="Calibri"/>
          <w:color w:val="000000" w:themeColor="text1"/>
          <w:sz w:val="22"/>
          <w:szCs w:val="22"/>
        </w:rPr>
        <w:lastRenderedPageBreak/>
        <w:t>surveillance and outbreak response ("surveillance", "outbreak", "Integrated Disease Surveillance and Response", "genomic epidemiology"); diagnostics and therapeutics ("diagnostic", "rapid diagnostic test", "RT-PCR", "ribavirin", "vaccine", "CRISPR"); and geographical terms ("Nigeria", "Sierra Leone", "Liberia", "Guinea", "West Africa", "sub-Saharan Africa"). A representative Boolean combination took the form: ("Lassa fever" OR "Lassa virus") AND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OR "reservoir" OR "spillover" OR "surveillance" OR "diagnostic*" OR "genomic*" OR "vaccine" OR "ribavirin") AND ("Nigeria" OR "Sierra Leone" OR "West Africa" OR "sub-Saharan Africa"). A parallel search string addressed related African arenaviruses: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OR "arenavirus") AND ("Africa" OR "southern Africa" OR "</w:t>
      </w:r>
      <w:proofErr w:type="spellStart"/>
      <w:r w:rsidRPr="00C25867">
        <w:rPr>
          <w:rFonts w:ascii="Calibri" w:eastAsia="Calibri" w:hAnsi="Calibri" w:cs="Calibri"/>
          <w:color w:val="000000" w:themeColor="text1"/>
          <w:sz w:val="22"/>
          <w:szCs w:val="22"/>
        </w:rPr>
        <w:t>hemorrhagic</w:t>
      </w:r>
      <w:proofErr w:type="spellEnd"/>
      <w:r w:rsidRPr="00C25867">
        <w:rPr>
          <w:rFonts w:ascii="Calibri" w:eastAsia="Calibri" w:hAnsi="Calibri" w:cs="Calibri"/>
          <w:color w:val="000000" w:themeColor="text1"/>
          <w:sz w:val="22"/>
          <w:szCs w:val="22"/>
        </w:rPr>
        <w:t xml:space="preserve"> fever"). The search covered the period from January 2005 to 20 May 2026. Foundational studies published before 2005, including the original genetic characterisation of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and early ecological studies of the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reservoir, were included where necessary to establish historical and methodological context.</w:t>
      </w:r>
    </w:p>
    <w:p w14:paraId="5972B5E7"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2.4 Eligibility Criteria</w:t>
      </w:r>
    </w:p>
    <w:p w14:paraId="20B9375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Eligible publications comprised peer-reviewed original research articles, systematic reviews and meta-analyses, and methodologically described cohort or field-validation studies addressing the epidemiology, ecology, virology, surveillance, diagnosis, treatment or prevention of Lassa fever or other African rodent-borne arenaviral haemorrhagic fevers. Institutional reports, technical guidance documents and target product profiles from recognised public health organisations were eligible where they provided programmatic or policy information not otherwise available in peer-reviewed sources, and were clearly identified as institutional rather than peer-reviewed sources. Publications were required to be available in English. No lower bound on study sample size was imposed, given the inherent rarity of confirmed Lassa fever cases in many study settings, although sample size and study design were incorporated into the critical appraisal described in section 2.6. Preprints were excluded from citation in this review in favour of their subsequently peer-reviewed counterparts where available, and were not relied upon as primary evidentiary sources. Conference abstracts without accompanying full-text publication, non-scholarly commentary, and sources whose bibliographic details could not be independently verified were excluded.</w:t>
      </w:r>
    </w:p>
    <w:p w14:paraId="7C8C9E9A"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t>2.5 Screening, Duplicate Handling and Study Selection</w:t>
      </w:r>
    </w:p>
    <w:p w14:paraId="39AD7B4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Titles and abstracts of records retrieved through the search strategy were screened for relevance against the eligibility criteria, followed by full-text assessment of records passing initial screening. Duplicate records arising from overlapping search concepts or from the appearance of the same study on multiple hosting platforms, such as a journal's own website and a repository mirror, were identified by comparing digital object identifiers, author lists and titles, and were consolidated to a single citation. Where a study was available both as a preprint and as a peer-reviewed publication, the peer-reviewed version was retained and cited. Sources whose complete bibliographic metadata, including author attribution, publication venue and a resolvable digital object identifier or stable institutional uniform resource locator, could not be confirmed were excluded from the reference list irrespective of apparent topical relevance. This review does not report numerical screening or inclusion counts in the manner of a Preferred Reporting Items for Systematic Reviews and Meta-Analyses flow diagram, since a narrative review of this kind does not entail an exhaustive, reproducible enumeration of every record identified, and the presentation of invented counts would misrepresent the review's methodology.</w:t>
      </w:r>
    </w:p>
    <w:p w14:paraId="4F5EF3B0" w14:textId="77777777" w:rsidR="00793C79" w:rsidRPr="00C25867" w:rsidRDefault="001D0D0E">
      <w:pPr>
        <w:pStyle w:val="Heading2"/>
        <w:spacing w:before="300" w:after="160"/>
        <w:rPr>
          <w:color w:val="000000" w:themeColor="text1"/>
        </w:rPr>
      </w:pPr>
      <w:r w:rsidRPr="00C25867">
        <w:rPr>
          <w:rFonts w:ascii="Calibri" w:eastAsia="Calibri" w:hAnsi="Calibri" w:cs="Calibri"/>
          <w:b/>
          <w:bCs/>
          <w:color w:val="000000" w:themeColor="text1"/>
          <w:sz w:val="23"/>
          <w:szCs w:val="23"/>
        </w:rPr>
        <w:lastRenderedPageBreak/>
        <w:t>2.6 Critical Appraisal and Evidence Synthesis</w:t>
      </w:r>
    </w:p>
    <w:p w14:paraId="08B776D1"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Methodological quality was assessed qualitatively for each major category of evidence using criteria appropriate to the study design under consideration. For epidemiological and diagnostic accuracy studies, appraisal attended to sample representativeness, the nature of the reference standard, and the setting in which validation occurred, distinguishing controlled laboratory evaluation from prospective field deployment. For ecological and modelling studies, appraisal attended to the quality and geographical representativeness of underlying occurrence data, a limitation explicitly acknowledged in several of the ecological niche modelling studies synthesised here. For clinical and therapeutic evidence, particular attention was paid to the presence or absence of randomisation, the direction and magnitude of confounding, and susceptibility to immortal time bias, concerns that are especially salient for the historical ribavirin literature. No formal, named risk-of-bias instrument was applied uniformly across all included studies, since the heterogeneity of study designs precluded meaningful application of a single tool; where a specific instrument, such as the Quality Assessment of Diagnostic Accuracy Studies tool, was applied by the authors of an included systematic review, this is noted explicitly. Thematic synthesis proceeded by organising evidence around the conceptual domains outlined in section 1.1, cross-referencing convergent findings across independent studies, and explicitly flagging areas of disagreement, such as the divergent field performance of rapid diagnostic tests relative to their laboratory validation data.</w:t>
      </w:r>
    </w:p>
    <w:p w14:paraId="0155D52B"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3. Epidemiology of Lassa Fever in Sub-Saharan Africa: Burden, Trends and Uncertainties</w:t>
      </w:r>
    </w:p>
    <w:p w14:paraId="54DF90A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descriptive epidemiology of Lassa fever is characterised by a paradox that recurs throughout this review: the disease is simultaneously among the best-studied viral haemorrhagic fevers in Africa, with a continuous published record extending back more than five decades, and among the most poorly quantified in terms of true population-level incidence. Nigeria has recorded the largest and most consistently documented outbreaks, with a 52-year epidemiological analysis of national data from 1969 to 2020 describing a pattern of recurrent dry-season epidemics of increasing detected magnitude, a trend attributable to some combination of genuine epidemiological change and substantially improved surveillance and diagnostic capacity over the study period (Agbonlahor et al., 2021). Distinguishing these two explanations, real transmission intensification versus ascertainment improvement, is one of the most persistent interpretive difficulties in the field, and it recurs in the genomic epidemiology literature discussed in section 5.</w:t>
      </w:r>
    </w:p>
    <w:p w14:paraId="1FBD8C86"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systematic review and meta-analysis of Lassa virus prevalence and case-fatality across humans, rodents and other mammals in sub-Saharan Africa, drawing on studies conducted between 1969 and 2020, produced pooled estimates of infection prevalence and case-fatality that varied substantially by study setting, population and diagnostic method, underscoring the heterogeneity that complicates burden estimation at a regional scale (Kenmoe et al., 2020). This heterogeneity is compounded by well-documented case ascertainment problems: the non-specific early clinical presentation of Lassa fever, which is difficult to distinguish from malaria, typhoid fever and other undifferentiated febrile illnesses, means that only a minority of infections are likely to be captured by facility-based surveillance, particularly outside outbreak periods when clinical suspicion is heightened. A systematic review of epidemiological </w:t>
      </w:r>
      <w:r w:rsidRPr="00C25867">
        <w:rPr>
          <w:rFonts w:ascii="Calibri" w:eastAsia="Calibri" w:hAnsi="Calibri" w:cs="Calibri"/>
          <w:color w:val="000000" w:themeColor="text1"/>
          <w:sz w:val="22"/>
          <w:szCs w:val="22"/>
        </w:rPr>
        <w:lastRenderedPageBreak/>
        <w:t>parameters and mathematical models of Lassa fever transmission, searching the literature to mid-2024, found a striking absence of robust, empirically derived parameter estimates, including basic epidemiological quantities such as the incubation period distribution, serial interval and case-fatality ratio stratified by setting, despite the disease's substantial recognised burden in West Africa (Doohan et al., 2024). This finding is consequential because it directly limits the reliability of transmission models used to project future risk and to evaluate the potential impact of interventions, including vaccination, discussed further in section 8.</w:t>
      </w:r>
    </w:p>
    <w:p w14:paraId="45C4A98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Case-fatality estimates reported in the literature vary considerably according to the population under study. The overall case-fatality ratio across all infections, including the large proportion that are subclinical or mild, is estimated at approximately 1%, whereas the observed case-fatality ratio among patients hospitalised with severe disease is substantially higher, in the range of 15%, and can exceed this figure considerably during discrete outbreak periods (World Health Organization, 2024). National surveillance data from Nigeria covering 2020 to 2023 documented a case-fatality ratio of 18.9% among confirmed cases, with an overall case positivity rate of 14% among suspected cases tested, illustrating both the severity of confirmed disease and the low yield of syndromic screening in a setting where most febrile illness is not Lassa fever. Sex distribution has varied across years and states, with male-to-female ratios generally close to parity, and the predominant age group affected has consistently been young to middle-aged adults, a pattern consistent with occupational and domestic exposure to the rodent reservoir during agricultural and food-storage activities.</w:t>
      </w:r>
    </w:p>
    <w:p w14:paraId="24A95AE5"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Geographical concentration of confirmed cases within Nigeria has remained relatively stable over time, with Edo, Ondo and Ebonyi states consistently accounting for a disproportionate share of the national case burden, although recent years have seen reports from a wider range of states and local government areas than were historically considered endemic. Similar concentration and apparent geographical broadening </w:t>
      </w:r>
      <w:proofErr w:type="gramStart"/>
      <w:r w:rsidRPr="00C25867">
        <w:rPr>
          <w:rFonts w:ascii="Calibri" w:eastAsia="Calibri" w:hAnsi="Calibri" w:cs="Calibri"/>
          <w:color w:val="000000" w:themeColor="text1"/>
          <w:sz w:val="22"/>
          <w:szCs w:val="22"/>
        </w:rPr>
        <w:t>has</w:t>
      </w:r>
      <w:proofErr w:type="gramEnd"/>
      <w:r w:rsidRPr="00C25867">
        <w:rPr>
          <w:rFonts w:ascii="Calibri" w:eastAsia="Calibri" w:hAnsi="Calibri" w:cs="Calibri"/>
          <w:color w:val="000000" w:themeColor="text1"/>
          <w:sz w:val="22"/>
          <w:szCs w:val="22"/>
        </w:rPr>
        <w:t xml:space="preserve"> been documented in Ghana, where a 2023 outbreak represented the country's first significant epidemic in the decade since Lassa fever was first confirmed there in 2011, with disease burden concentrated among healthcare workers and suggestive of gaps in infection prevention and control capacity rather than a fundamentally altered transmission pattern. Systematic review evidence addressing attack rates, case-fatality and risk factors across West Africa more broadly has similarly noted an apparent rise in outbreak frequency and geographical spread since 2018, a pattern attributed tentatively to a combination of improved surveillance, climatic and land-use change, and genuine epidemiological expansion, though the relative contribution of each driver remains contested and is addressed further in section 4.</w:t>
      </w:r>
    </w:p>
    <w:p w14:paraId="1010C06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interpretation of rising case counts as evidence of genuine epidemiological expansion, rather than surveillance artefact, received a decisive empirical test during the unprecedented surge of cases reported in Nigeria in early 2018, when the number of suspected and confirmed cases substantially exceeded historical patterns and prompted concern that a more transmissible viral lineage had emerged. This episode, and the genomic investigation that resolved it, is discussed in detail in section 5; it is introduced here because it illustrates a broader epistemological point relevant to the epidemiological literature as a whole, namely that case-count trends alone, without corroborating virological or ecological evidence, are an unreliable basis for inferring the underlying drivers of an apparent epidemiological change.</w:t>
      </w:r>
    </w:p>
    <w:p w14:paraId="6DB23EFA"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lastRenderedPageBreak/>
        <w:t>Table 1. Selected reported epidemiological parameters of Lassa fever in sub-Saharan Africa.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0"/>
        <w:gridCol w:w="2849"/>
        <w:gridCol w:w="2136"/>
        <w:gridCol w:w="2127"/>
      </w:tblGrid>
      <w:tr w:rsidR="00793C79" w:rsidRPr="00C25867" w14:paraId="009272F9" w14:textId="77777777" w:rsidTr="00504BFF">
        <w:trPr>
          <w:tblHeader/>
        </w:trPr>
        <w:tc>
          <w:tcPr>
            <w:tcW w:w="2400" w:type="dxa"/>
            <w:shd w:val="clear" w:color="auto" w:fill="D9E2F3"/>
            <w:tcMar>
              <w:top w:w="70" w:type="dxa"/>
              <w:left w:w="90" w:type="dxa"/>
              <w:bottom w:w="70" w:type="dxa"/>
              <w:right w:w="90" w:type="dxa"/>
            </w:tcMar>
          </w:tcPr>
          <w:p w14:paraId="6A26FDEB"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Parameter</w:t>
            </w:r>
          </w:p>
        </w:tc>
        <w:tc>
          <w:tcPr>
            <w:tcW w:w="3600" w:type="dxa"/>
            <w:shd w:val="clear" w:color="auto" w:fill="D9E2F3"/>
            <w:tcMar>
              <w:top w:w="70" w:type="dxa"/>
              <w:left w:w="90" w:type="dxa"/>
              <w:bottom w:w="70" w:type="dxa"/>
              <w:right w:w="90" w:type="dxa"/>
            </w:tcMar>
          </w:tcPr>
          <w:p w14:paraId="74E81F5F"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estimate or finding</w:t>
            </w:r>
          </w:p>
        </w:tc>
        <w:tc>
          <w:tcPr>
            <w:tcW w:w="2600" w:type="dxa"/>
            <w:shd w:val="clear" w:color="auto" w:fill="D9E2F3"/>
            <w:tcMar>
              <w:top w:w="70" w:type="dxa"/>
              <w:left w:w="90" w:type="dxa"/>
              <w:bottom w:w="70" w:type="dxa"/>
              <w:right w:w="90" w:type="dxa"/>
            </w:tcMar>
          </w:tcPr>
          <w:p w14:paraId="08087B26"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Study population / setting</w:t>
            </w:r>
          </w:p>
        </w:tc>
        <w:tc>
          <w:tcPr>
            <w:tcW w:w="2600" w:type="dxa"/>
            <w:shd w:val="clear" w:color="auto" w:fill="D9E2F3"/>
            <w:tcMar>
              <w:top w:w="70" w:type="dxa"/>
              <w:left w:w="90" w:type="dxa"/>
              <w:bottom w:w="70" w:type="dxa"/>
              <w:right w:w="90" w:type="dxa"/>
            </w:tcMar>
          </w:tcPr>
          <w:p w14:paraId="48690931"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7F31EAA1" w14:textId="77777777" w:rsidTr="00504BFF">
        <w:tc>
          <w:tcPr>
            <w:tcW w:w="2400" w:type="dxa"/>
            <w:tcMar>
              <w:top w:w="70" w:type="dxa"/>
              <w:left w:w="90" w:type="dxa"/>
              <w:bottom w:w="70" w:type="dxa"/>
              <w:right w:w="90" w:type="dxa"/>
            </w:tcMar>
          </w:tcPr>
          <w:p w14:paraId="0D51699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Overall case-fatality ratio (all infections)</w:t>
            </w:r>
          </w:p>
        </w:tc>
        <w:tc>
          <w:tcPr>
            <w:tcW w:w="3600" w:type="dxa"/>
            <w:tcMar>
              <w:top w:w="70" w:type="dxa"/>
              <w:left w:w="90" w:type="dxa"/>
              <w:bottom w:w="70" w:type="dxa"/>
              <w:right w:w="90" w:type="dxa"/>
            </w:tcMar>
          </w:tcPr>
          <w:p w14:paraId="074C830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Approximately 1%</w:t>
            </w:r>
          </w:p>
        </w:tc>
        <w:tc>
          <w:tcPr>
            <w:tcW w:w="2600" w:type="dxa"/>
            <w:tcMar>
              <w:top w:w="70" w:type="dxa"/>
              <w:left w:w="90" w:type="dxa"/>
              <w:bottom w:w="70" w:type="dxa"/>
              <w:right w:w="90" w:type="dxa"/>
            </w:tcMar>
          </w:tcPr>
          <w:p w14:paraId="1D4A5E5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General population, endemic countries</w:t>
            </w:r>
          </w:p>
        </w:tc>
        <w:tc>
          <w:tcPr>
            <w:tcW w:w="2600" w:type="dxa"/>
            <w:tcMar>
              <w:top w:w="70" w:type="dxa"/>
              <w:left w:w="90" w:type="dxa"/>
              <w:bottom w:w="70" w:type="dxa"/>
              <w:right w:w="90" w:type="dxa"/>
            </w:tcMar>
          </w:tcPr>
          <w:p w14:paraId="491329A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World Health Organization, 2024</w:t>
            </w:r>
          </w:p>
        </w:tc>
      </w:tr>
      <w:tr w:rsidR="00793C79" w:rsidRPr="00C25867" w14:paraId="11163243" w14:textId="77777777" w:rsidTr="00504BFF">
        <w:tc>
          <w:tcPr>
            <w:tcW w:w="2400" w:type="dxa"/>
            <w:tcMar>
              <w:top w:w="70" w:type="dxa"/>
              <w:left w:w="90" w:type="dxa"/>
              <w:bottom w:w="70" w:type="dxa"/>
              <w:right w:w="90" w:type="dxa"/>
            </w:tcMar>
          </w:tcPr>
          <w:p w14:paraId="39032DD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Case-fatality ratio among hospitalised patients</w:t>
            </w:r>
          </w:p>
        </w:tc>
        <w:tc>
          <w:tcPr>
            <w:tcW w:w="3600" w:type="dxa"/>
            <w:tcMar>
              <w:top w:w="70" w:type="dxa"/>
              <w:left w:w="90" w:type="dxa"/>
              <w:bottom w:w="70" w:type="dxa"/>
              <w:right w:w="90" w:type="dxa"/>
            </w:tcMar>
          </w:tcPr>
          <w:p w14:paraId="4A02FEB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Approximately 15%, exceeding this during discrete outbreaks</w:t>
            </w:r>
          </w:p>
        </w:tc>
        <w:tc>
          <w:tcPr>
            <w:tcW w:w="2600" w:type="dxa"/>
            <w:tcMar>
              <w:top w:w="70" w:type="dxa"/>
              <w:left w:w="90" w:type="dxa"/>
              <w:bottom w:w="70" w:type="dxa"/>
              <w:right w:w="90" w:type="dxa"/>
            </w:tcMar>
          </w:tcPr>
          <w:p w14:paraId="6FF2188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Hospitalised severe cases</w:t>
            </w:r>
          </w:p>
        </w:tc>
        <w:tc>
          <w:tcPr>
            <w:tcW w:w="2600" w:type="dxa"/>
            <w:tcMar>
              <w:top w:w="70" w:type="dxa"/>
              <w:left w:w="90" w:type="dxa"/>
              <w:bottom w:w="70" w:type="dxa"/>
              <w:right w:w="90" w:type="dxa"/>
            </w:tcMar>
          </w:tcPr>
          <w:p w14:paraId="35A4DF4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World Health Organization, 2024; </w:t>
            </w:r>
            <w:proofErr w:type="spellStart"/>
            <w:r w:rsidRPr="00C25867">
              <w:rPr>
                <w:rFonts w:ascii="Calibri" w:eastAsia="Calibri" w:hAnsi="Calibri" w:cs="Calibri"/>
                <w:color w:val="000000" w:themeColor="text1"/>
                <w:sz w:val="17"/>
                <w:szCs w:val="17"/>
              </w:rPr>
              <w:t>Okokhere</w:t>
            </w:r>
            <w:proofErr w:type="spellEnd"/>
            <w:r w:rsidRPr="00C25867">
              <w:rPr>
                <w:rFonts w:ascii="Calibri" w:eastAsia="Calibri" w:hAnsi="Calibri" w:cs="Calibri"/>
                <w:color w:val="000000" w:themeColor="text1"/>
                <w:sz w:val="17"/>
                <w:szCs w:val="17"/>
              </w:rPr>
              <w:t xml:space="preserve"> et al., 2018</w:t>
            </w:r>
          </w:p>
        </w:tc>
      </w:tr>
      <w:tr w:rsidR="00793C79" w:rsidRPr="00C25867" w14:paraId="73F46295" w14:textId="77777777" w:rsidTr="00504BFF">
        <w:tc>
          <w:tcPr>
            <w:tcW w:w="2400" w:type="dxa"/>
            <w:tcMar>
              <w:top w:w="70" w:type="dxa"/>
              <w:left w:w="90" w:type="dxa"/>
              <w:bottom w:w="70" w:type="dxa"/>
              <w:right w:w="90" w:type="dxa"/>
            </w:tcMar>
          </w:tcPr>
          <w:p w14:paraId="1B92DFC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National case-fatality ratio, confirmed cases</w:t>
            </w:r>
          </w:p>
        </w:tc>
        <w:tc>
          <w:tcPr>
            <w:tcW w:w="3600" w:type="dxa"/>
            <w:tcMar>
              <w:top w:w="70" w:type="dxa"/>
              <w:left w:w="90" w:type="dxa"/>
              <w:bottom w:w="70" w:type="dxa"/>
              <w:right w:w="90" w:type="dxa"/>
            </w:tcMar>
          </w:tcPr>
          <w:p w14:paraId="6CA07C6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18.9% (2020–2023)</w:t>
            </w:r>
          </w:p>
        </w:tc>
        <w:tc>
          <w:tcPr>
            <w:tcW w:w="2600" w:type="dxa"/>
            <w:tcMar>
              <w:top w:w="70" w:type="dxa"/>
              <w:left w:w="90" w:type="dxa"/>
              <w:bottom w:w="70" w:type="dxa"/>
              <w:right w:w="90" w:type="dxa"/>
            </w:tcMar>
          </w:tcPr>
          <w:p w14:paraId="63D29AA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national surveillance data</w:t>
            </w:r>
          </w:p>
        </w:tc>
        <w:tc>
          <w:tcPr>
            <w:tcW w:w="2600" w:type="dxa"/>
            <w:tcMar>
              <w:top w:w="70" w:type="dxa"/>
              <w:left w:w="90" w:type="dxa"/>
              <w:bottom w:w="70" w:type="dxa"/>
              <w:right w:w="90" w:type="dxa"/>
            </w:tcMar>
          </w:tcPr>
          <w:p w14:paraId="2184852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3887C396" w14:textId="77777777" w:rsidTr="00504BFF">
        <w:tc>
          <w:tcPr>
            <w:tcW w:w="2400" w:type="dxa"/>
            <w:tcMar>
              <w:top w:w="70" w:type="dxa"/>
              <w:left w:w="90" w:type="dxa"/>
              <w:bottom w:w="70" w:type="dxa"/>
              <w:right w:w="90" w:type="dxa"/>
            </w:tcMar>
          </w:tcPr>
          <w:p w14:paraId="0176EA4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Case positivity among suspected cases tested</w:t>
            </w:r>
          </w:p>
        </w:tc>
        <w:tc>
          <w:tcPr>
            <w:tcW w:w="3600" w:type="dxa"/>
            <w:tcMar>
              <w:top w:w="70" w:type="dxa"/>
              <w:left w:w="90" w:type="dxa"/>
              <w:bottom w:w="70" w:type="dxa"/>
              <w:right w:w="90" w:type="dxa"/>
            </w:tcMar>
          </w:tcPr>
          <w:p w14:paraId="4A06CB9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14%, with annual variation (up to 17.5%)</w:t>
            </w:r>
          </w:p>
        </w:tc>
        <w:tc>
          <w:tcPr>
            <w:tcW w:w="2600" w:type="dxa"/>
            <w:tcMar>
              <w:top w:w="70" w:type="dxa"/>
              <w:left w:w="90" w:type="dxa"/>
              <w:bottom w:w="70" w:type="dxa"/>
              <w:right w:w="90" w:type="dxa"/>
            </w:tcMar>
          </w:tcPr>
          <w:p w14:paraId="01BDF86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Nigeria, national surveillance, 2020–2023</w:t>
            </w:r>
          </w:p>
        </w:tc>
        <w:tc>
          <w:tcPr>
            <w:tcW w:w="2600" w:type="dxa"/>
            <w:tcMar>
              <w:top w:w="70" w:type="dxa"/>
              <w:left w:w="90" w:type="dxa"/>
              <w:bottom w:w="70" w:type="dxa"/>
              <w:right w:w="90" w:type="dxa"/>
            </w:tcMar>
          </w:tcPr>
          <w:p w14:paraId="6FEED5A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77630E37" w14:textId="77777777" w:rsidTr="00504BFF">
        <w:tc>
          <w:tcPr>
            <w:tcW w:w="2400" w:type="dxa"/>
            <w:tcMar>
              <w:top w:w="70" w:type="dxa"/>
              <w:left w:w="90" w:type="dxa"/>
              <w:bottom w:w="70" w:type="dxa"/>
              <w:right w:w="90" w:type="dxa"/>
            </w:tcMar>
          </w:tcPr>
          <w:p w14:paraId="4B67206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Maternal case-fatality (pooled estimate)</w:t>
            </w:r>
          </w:p>
        </w:tc>
        <w:tc>
          <w:tcPr>
            <w:tcW w:w="3600" w:type="dxa"/>
            <w:tcMar>
              <w:top w:w="70" w:type="dxa"/>
              <w:left w:w="90" w:type="dxa"/>
              <w:bottom w:w="70" w:type="dxa"/>
              <w:right w:w="90" w:type="dxa"/>
            </w:tcMar>
          </w:tcPr>
          <w:p w14:paraId="4E52806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33.7% (95% CI 22.1–46.4%)</w:t>
            </w:r>
          </w:p>
        </w:tc>
        <w:tc>
          <w:tcPr>
            <w:tcW w:w="2600" w:type="dxa"/>
            <w:tcMar>
              <w:top w:w="70" w:type="dxa"/>
              <w:left w:w="90" w:type="dxa"/>
              <w:bottom w:w="70" w:type="dxa"/>
              <w:right w:w="90" w:type="dxa"/>
            </w:tcMar>
          </w:tcPr>
          <w:p w14:paraId="4E15EF9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Pregnant women, pooled from 13 studies</w:t>
            </w:r>
          </w:p>
        </w:tc>
        <w:tc>
          <w:tcPr>
            <w:tcW w:w="2600" w:type="dxa"/>
            <w:tcMar>
              <w:top w:w="70" w:type="dxa"/>
              <w:left w:w="90" w:type="dxa"/>
              <w:bottom w:w="70" w:type="dxa"/>
              <w:right w:w="90" w:type="dxa"/>
            </w:tcMar>
          </w:tcPr>
          <w:p w14:paraId="3A94BEA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w:t>
            </w:r>
          </w:p>
        </w:tc>
      </w:tr>
      <w:tr w:rsidR="00793C79" w:rsidRPr="00C25867" w14:paraId="174557C6" w14:textId="77777777" w:rsidTr="00504BFF">
        <w:tc>
          <w:tcPr>
            <w:tcW w:w="2400" w:type="dxa"/>
            <w:tcMar>
              <w:top w:w="70" w:type="dxa"/>
              <w:left w:w="90" w:type="dxa"/>
              <w:bottom w:w="70" w:type="dxa"/>
              <w:right w:w="90" w:type="dxa"/>
            </w:tcMar>
          </w:tcPr>
          <w:p w14:paraId="2E25565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Relative risk of death, pregnant vs non-pregnant women</w:t>
            </w:r>
          </w:p>
        </w:tc>
        <w:tc>
          <w:tcPr>
            <w:tcW w:w="3600" w:type="dxa"/>
            <w:tcMar>
              <w:top w:w="70" w:type="dxa"/>
              <w:left w:w="90" w:type="dxa"/>
              <w:bottom w:w="70" w:type="dxa"/>
              <w:right w:w="90" w:type="dxa"/>
            </w:tcMar>
          </w:tcPr>
          <w:p w14:paraId="696EBCF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2.86 (95% CI 1.77–4.63)</w:t>
            </w:r>
          </w:p>
        </w:tc>
        <w:tc>
          <w:tcPr>
            <w:tcW w:w="2600" w:type="dxa"/>
            <w:tcMar>
              <w:top w:w="70" w:type="dxa"/>
              <w:left w:w="90" w:type="dxa"/>
              <w:bottom w:w="70" w:type="dxa"/>
              <w:right w:w="90" w:type="dxa"/>
            </w:tcMar>
          </w:tcPr>
          <w:p w14:paraId="5855579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Pooled clinical case series</w:t>
            </w:r>
          </w:p>
        </w:tc>
        <w:tc>
          <w:tcPr>
            <w:tcW w:w="2600" w:type="dxa"/>
            <w:tcMar>
              <w:top w:w="70" w:type="dxa"/>
              <w:left w:w="90" w:type="dxa"/>
              <w:bottom w:w="70" w:type="dxa"/>
              <w:right w:w="90" w:type="dxa"/>
            </w:tcMar>
          </w:tcPr>
          <w:p w14:paraId="5D0EAE6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w:t>
            </w:r>
          </w:p>
        </w:tc>
      </w:tr>
      <w:tr w:rsidR="00793C79" w:rsidRPr="00C25867" w14:paraId="287F816A" w14:textId="77777777" w:rsidTr="00504BFF">
        <w:tc>
          <w:tcPr>
            <w:tcW w:w="2400" w:type="dxa"/>
            <w:tcMar>
              <w:top w:w="70" w:type="dxa"/>
              <w:left w:w="90" w:type="dxa"/>
              <w:bottom w:w="70" w:type="dxa"/>
              <w:right w:w="90" w:type="dxa"/>
            </w:tcMar>
          </w:tcPr>
          <w:p w14:paraId="5A44FCC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Empirical estimates of incubation period, serial interval and setting-specific case-fatality</w:t>
            </w:r>
          </w:p>
        </w:tc>
        <w:tc>
          <w:tcPr>
            <w:tcW w:w="3600" w:type="dxa"/>
            <w:tcMar>
              <w:top w:w="70" w:type="dxa"/>
              <w:left w:w="90" w:type="dxa"/>
              <w:bottom w:w="70" w:type="dxa"/>
              <w:right w:w="90" w:type="dxa"/>
            </w:tcMar>
          </w:tcPr>
          <w:p w14:paraId="23A3355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substantial evidence gap; few robust primary estimates available</w:t>
            </w:r>
          </w:p>
        </w:tc>
        <w:tc>
          <w:tcPr>
            <w:tcW w:w="2600" w:type="dxa"/>
            <w:tcMar>
              <w:top w:w="70" w:type="dxa"/>
              <w:left w:w="90" w:type="dxa"/>
              <w:bottom w:w="70" w:type="dxa"/>
              <w:right w:w="90" w:type="dxa"/>
            </w:tcMar>
          </w:tcPr>
          <w:p w14:paraId="47412D0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 of mathematical models and parameters, to June 2024</w:t>
            </w:r>
          </w:p>
        </w:tc>
        <w:tc>
          <w:tcPr>
            <w:tcW w:w="2600" w:type="dxa"/>
            <w:tcMar>
              <w:top w:w="70" w:type="dxa"/>
              <w:left w:w="90" w:type="dxa"/>
              <w:bottom w:w="70" w:type="dxa"/>
              <w:right w:w="90" w:type="dxa"/>
            </w:tcMar>
          </w:tcPr>
          <w:p w14:paraId="2A69661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Doohan et al., 2024</w:t>
            </w:r>
          </w:p>
        </w:tc>
      </w:tr>
      <w:tr w:rsidR="00793C79" w:rsidRPr="00C25867" w14:paraId="6A6BE8AB" w14:textId="77777777" w:rsidTr="00504BFF">
        <w:tc>
          <w:tcPr>
            <w:tcW w:w="2400" w:type="dxa"/>
            <w:tcMar>
              <w:top w:w="70" w:type="dxa"/>
              <w:left w:w="90" w:type="dxa"/>
              <w:bottom w:w="70" w:type="dxa"/>
              <w:right w:w="90" w:type="dxa"/>
            </w:tcMar>
          </w:tcPr>
          <w:p w14:paraId="3E94844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Prevalence and case-fatality in humans, rodents and other mammals</w:t>
            </w:r>
          </w:p>
        </w:tc>
        <w:tc>
          <w:tcPr>
            <w:tcW w:w="3600" w:type="dxa"/>
            <w:tcMar>
              <w:top w:w="70" w:type="dxa"/>
              <w:left w:w="90" w:type="dxa"/>
              <w:bottom w:w="70" w:type="dxa"/>
              <w:right w:w="90" w:type="dxa"/>
            </w:tcMar>
          </w:tcPr>
          <w:p w14:paraId="62A4015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Highly heterogeneous pooled estimates across studies, 1969–2020</w:t>
            </w:r>
          </w:p>
        </w:tc>
        <w:tc>
          <w:tcPr>
            <w:tcW w:w="2600" w:type="dxa"/>
            <w:tcMar>
              <w:top w:w="70" w:type="dxa"/>
              <w:left w:w="90" w:type="dxa"/>
              <w:bottom w:w="70" w:type="dxa"/>
              <w:right w:w="90" w:type="dxa"/>
            </w:tcMar>
          </w:tcPr>
          <w:p w14:paraId="48D46D7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Sub-Saharan Africa, meta-analytic synthesis</w:t>
            </w:r>
          </w:p>
        </w:tc>
        <w:tc>
          <w:tcPr>
            <w:tcW w:w="2600" w:type="dxa"/>
            <w:tcMar>
              <w:top w:w="70" w:type="dxa"/>
              <w:left w:w="90" w:type="dxa"/>
              <w:bottom w:w="70" w:type="dxa"/>
              <w:right w:w="90" w:type="dxa"/>
            </w:tcMar>
          </w:tcPr>
          <w:p w14:paraId="1878B95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Kenmoe et al., 2020</w:t>
            </w:r>
          </w:p>
        </w:tc>
      </w:tr>
    </w:tbl>
    <w:p w14:paraId="48C9D7B0"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 xml:space="preserve">CI = confidence interval. Estimates reflect the range and heterogeneity of published values rather than a single authoritative figure; </w:t>
      </w:r>
      <w:proofErr w:type="spellStart"/>
      <w:r w:rsidRPr="00C25867">
        <w:rPr>
          <w:rFonts w:ascii="Calibri" w:eastAsia="Calibri" w:hAnsi="Calibri" w:cs="Calibri"/>
          <w:i/>
          <w:iCs/>
          <w:color w:val="000000" w:themeColor="text1"/>
          <w:sz w:val="18"/>
          <w:szCs w:val="18"/>
        </w:rPr>
        <w:t>underascertainment</w:t>
      </w:r>
      <w:proofErr w:type="spellEnd"/>
      <w:r w:rsidRPr="00C25867">
        <w:rPr>
          <w:rFonts w:ascii="Calibri" w:eastAsia="Calibri" w:hAnsi="Calibri" w:cs="Calibri"/>
          <w:i/>
          <w:iCs/>
          <w:color w:val="000000" w:themeColor="text1"/>
          <w:sz w:val="18"/>
          <w:szCs w:val="18"/>
        </w:rPr>
        <w:t xml:space="preserve"> of mild and asymptomatic infection means that population-level incidence remains poorly quantified across all cited sources.</w:t>
      </w:r>
    </w:p>
    <w:p w14:paraId="0264668A"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4. Reservoir Ecology, Zoonotic Spillover and Environmental Drivers</w:t>
      </w:r>
    </w:p>
    <w:p w14:paraId="60BE695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epidemiology of Lassa fever cannot be understood independently of the ecology of its principal reservoir,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a generalist commensal rodent whose distribution and abundance are shaped by agricultural practice, human settlement patterns, and, increasingly, competitive interactions with other rodent species. Human infection results predominantly from spillover following direct or indirect contact with infectious rodent excreta, urine or contaminated food, rather than from sustained human-to-human transmission chains, a finding with direct implications for how surveillance and control resources should be allocated. Contemporary reservoir ecology research has moved beyond simple presence-or-absence mapping of the rodent host toward integrated approaches that combine rodent trapping data, viral prevalence within captured animals, and human seroprevalence surveys to estimate spillover risk directly, an approach that has been used to bridge gaps between reservoir ecology and observed human disease burden across West Africa (Basinski et al., 2021).</w:t>
      </w:r>
    </w:p>
    <w:p w14:paraId="03DB103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particularly instructive line of evidence concerns the effect of interspecific competition on spillover risk. Using rodent trapping data from Sierra Leone and Guinea, one study demonstrated that the presence of the globally invasive black rat, Rattus </w:t>
      </w:r>
      <w:proofErr w:type="spellStart"/>
      <w:r w:rsidRPr="00C25867">
        <w:rPr>
          <w:rFonts w:ascii="Calibri" w:eastAsia="Calibri" w:hAnsi="Calibri" w:cs="Calibri"/>
          <w:color w:val="000000" w:themeColor="text1"/>
          <w:sz w:val="22"/>
          <w:szCs w:val="22"/>
        </w:rPr>
        <w:t>rattus</w:t>
      </w:r>
      <w:proofErr w:type="spellEnd"/>
      <w:r w:rsidRPr="00C25867">
        <w:rPr>
          <w:rFonts w:ascii="Calibri" w:eastAsia="Calibri" w:hAnsi="Calibri" w:cs="Calibri"/>
          <w:color w:val="000000" w:themeColor="text1"/>
          <w:sz w:val="22"/>
          <w:szCs w:val="22"/>
        </w:rPr>
        <w:t xml:space="preserve">, was associated with reduced density of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xml:space="preserve"> within human dwellings, the microhabitat in which human exposure to the virus is considered most likely </w:t>
      </w:r>
      <w:r w:rsidRPr="00C25867">
        <w:rPr>
          <w:rFonts w:ascii="Calibri" w:eastAsia="Calibri" w:hAnsi="Calibri" w:cs="Calibri"/>
          <w:color w:val="000000" w:themeColor="text1"/>
          <w:sz w:val="22"/>
          <w:szCs w:val="22"/>
        </w:rPr>
        <w:lastRenderedPageBreak/>
        <w:t>to occur, and that Lassa virus zoonotic spillover risk was correspondingly lower at sites where the invasive species was present (Eskew et al., 2024). This finding illustrates the non-linear and sometimes counter-intuitive character of zoonotic risk within multi-species rodent communities, and it cautions against simplistic assumptions that biodiversity loss or the introduction of non-native species will uniformly increase zoonotic spillover risk; in this instance, competitive displacement of the primary reservoir by an invasive competitor appears to have had the paradoxical effect of reducing human exposure, notwithstanding the well-documented ecological harms associated with invasive rodent species more broadly.</w:t>
      </w:r>
    </w:p>
    <w:p w14:paraId="0609B28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systematic review specifically addressing the environmental drivers of Lassa virus circulation, screening more than 9,000 records to identify 70 eligible studies published on the topic between 1969 and 2023, identified seasonal precipitation patterns, land-use change and host range expansion as the most consistently reported environmental correlates of viral circulation in reservoir populations, while also documenting substantial gaps in the underlying evidence base, particularly regarding the mechanistic pathways linking environmental change to spillover risk at the household level (Davis et al., 2025). These findings are broadly consistent with, and extend, earlier ecological niche modelling work that identified annual mean temperature, annual precipitation and the presence of pastureland as the principal determinants of environmental suitability for Lassa virus circulation across West Africa.</w:t>
      </w:r>
    </w:p>
    <w:p w14:paraId="3D1370E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most consequential extension of this ecological modelling literature addresses the likely future trajectory of the virus's geographical range under scenarios of climate and land-use change. Combining ecological niche modelling with projections of climate, land use and population growth to the year 2070, one influential analysis concluded that regions of Central and East Africa currently unsuitable for Lassa virus circulation are likely to become ecologically suitable within the coming decades, and that the human population living within areas of suitable ecological conditions could increase substantially as a consequence of the combined effects of environmental change and demographic growth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2022). The same analysis used geotagged viral genomic data and phylogeographic simulation to model the likely pace of range expansion should the virus be introduced into newly suitable territory, finding that spread would probably remain spatially constrained over the first decades following introduction, a finding of direct relevance to the design of sentinel surveillance systems in currently non-endemic countries bordering the present range of the virus.</w:t>
      </w:r>
    </w:p>
    <w:p w14:paraId="2DDF827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Notwithstanding the consistency with which climate and land-use change are identified as drivers of future risk, the evidentiary basis for these </w:t>
      </w:r>
      <w:proofErr w:type="gramStart"/>
      <w:r w:rsidRPr="00C25867">
        <w:rPr>
          <w:rFonts w:ascii="Calibri" w:eastAsia="Calibri" w:hAnsi="Calibri" w:cs="Calibri"/>
          <w:color w:val="000000" w:themeColor="text1"/>
          <w:sz w:val="22"/>
          <w:szCs w:val="22"/>
        </w:rPr>
        <w:t>projections</w:t>
      </w:r>
      <w:proofErr w:type="gramEnd"/>
      <w:r w:rsidRPr="00C25867">
        <w:rPr>
          <w:rFonts w:ascii="Calibri" w:eastAsia="Calibri" w:hAnsi="Calibri" w:cs="Calibri"/>
          <w:color w:val="000000" w:themeColor="text1"/>
          <w:sz w:val="22"/>
          <w:szCs w:val="22"/>
        </w:rPr>
        <w:t xml:space="preserve"> rests substantially on historical rodent occurrence data that are geographically biased toward more accessible, typically rural, field sites, a limitation acknowledged explicitly within the ecological modelling literature itself. This bias raises the possibility that current models systematically underrepresent the degree to which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and by extension Lassa virus circulation, may already be adapting to peri-urban and urban environments, a question that carries direct implications for surveillance and diagnostic capacity planning in rapidly urbanising West African cities. Reconciling reservoir-focused ecological modelling with the more granular, genomic-informed phylogeographic evidence discussed in section 5 represents one of the more productive avenues for narrowing this uncertainty.</w:t>
      </w:r>
    </w:p>
    <w:p w14:paraId="729E1288"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lastRenderedPageBreak/>
        <w:t>Table 2. Environmental and ecological determinants of Lassa virus reservoir abundance and zoonotic spillover risk.</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27"/>
        <w:gridCol w:w="2826"/>
        <w:gridCol w:w="2012"/>
        <w:gridCol w:w="2207"/>
      </w:tblGrid>
      <w:tr w:rsidR="00793C79" w:rsidRPr="00C25867" w14:paraId="71DE853C" w14:textId="77777777" w:rsidTr="00504BFF">
        <w:trPr>
          <w:tblHeader/>
        </w:trPr>
        <w:tc>
          <w:tcPr>
            <w:tcW w:w="2400" w:type="dxa"/>
            <w:shd w:val="clear" w:color="auto" w:fill="D9E2F3"/>
            <w:tcMar>
              <w:top w:w="70" w:type="dxa"/>
              <w:left w:w="90" w:type="dxa"/>
              <w:bottom w:w="70" w:type="dxa"/>
              <w:right w:w="90" w:type="dxa"/>
            </w:tcMar>
          </w:tcPr>
          <w:p w14:paraId="3539E7CA"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Determinant</w:t>
            </w:r>
          </w:p>
        </w:tc>
        <w:tc>
          <w:tcPr>
            <w:tcW w:w="3600" w:type="dxa"/>
            <w:shd w:val="clear" w:color="auto" w:fill="D9E2F3"/>
            <w:tcMar>
              <w:top w:w="70" w:type="dxa"/>
              <w:left w:w="90" w:type="dxa"/>
              <w:bottom w:w="70" w:type="dxa"/>
              <w:right w:w="90" w:type="dxa"/>
            </w:tcMar>
          </w:tcPr>
          <w:p w14:paraId="097DF7F1"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association with spillover / circulation risk</w:t>
            </w:r>
          </w:p>
        </w:tc>
        <w:tc>
          <w:tcPr>
            <w:tcW w:w="2400" w:type="dxa"/>
            <w:shd w:val="clear" w:color="auto" w:fill="D9E2F3"/>
            <w:tcMar>
              <w:top w:w="70" w:type="dxa"/>
              <w:left w:w="90" w:type="dxa"/>
              <w:bottom w:w="70" w:type="dxa"/>
              <w:right w:w="90" w:type="dxa"/>
            </w:tcMar>
          </w:tcPr>
          <w:p w14:paraId="409D9DEF"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Nature of evidence</w:t>
            </w:r>
          </w:p>
        </w:tc>
        <w:tc>
          <w:tcPr>
            <w:tcW w:w="2800" w:type="dxa"/>
            <w:shd w:val="clear" w:color="auto" w:fill="D9E2F3"/>
            <w:tcMar>
              <w:top w:w="70" w:type="dxa"/>
              <w:left w:w="90" w:type="dxa"/>
              <w:bottom w:w="70" w:type="dxa"/>
              <w:right w:w="90" w:type="dxa"/>
            </w:tcMar>
          </w:tcPr>
          <w:p w14:paraId="79C0BB4D"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003AD012" w14:textId="77777777" w:rsidTr="00504BFF">
        <w:tc>
          <w:tcPr>
            <w:tcW w:w="2400" w:type="dxa"/>
            <w:tcMar>
              <w:top w:w="70" w:type="dxa"/>
              <w:left w:w="90" w:type="dxa"/>
              <w:bottom w:w="70" w:type="dxa"/>
              <w:right w:w="90" w:type="dxa"/>
            </w:tcMar>
          </w:tcPr>
          <w:p w14:paraId="00AA503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Seasonal precipitation patterns</w:t>
            </w:r>
          </w:p>
        </w:tc>
        <w:tc>
          <w:tcPr>
            <w:tcW w:w="3600" w:type="dxa"/>
            <w:tcMar>
              <w:top w:w="70" w:type="dxa"/>
              <w:left w:w="90" w:type="dxa"/>
              <w:bottom w:w="70" w:type="dxa"/>
              <w:right w:w="90" w:type="dxa"/>
            </w:tcMar>
          </w:tcPr>
          <w:p w14:paraId="20D382A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Consistently identified as a correlate of reservoir viral circulation, linked to rodent breeding cycles and dry-season peak in human cases</w:t>
            </w:r>
          </w:p>
        </w:tc>
        <w:tc>
          <w:tcPr>
            <w:tcW w:w="2400" w:type="dxa"/>
            <w:tcMar>
              <w:top w:w="70" w:type="dxa"/>
              <w:left w:w="90" w:type="dxa"/>
              <w:bottom w:w="70" w:type="dxa"/>
              <w:right w:w="90" w:type="dxa"/>
            </w:tcMar>
          </w:tcPr>
          <w:p w14:paraId="6D4911F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 of 70 studies, 1969–2023</w:t>
            </w:r>
          </w:p>
        </w:tc>
        <w:tc>
          <w:tcPr>
            <w:tcW w:w="2800" w:type="dxa"/>
            <w:tcMar>
              <w:top w:w="70" w:type="dxa"/>
              <w:left w:w="90" w:type="dxa"/>
              <w:bottom w:w="70" w:type="dxa"/>
              <w:right w:w="90" w:type="dxa"/>
            </w:tcMar>
          </w:tcPr>
          <w:p w14:paraId="27443F3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Davis et al., 2025</w:t>
            </w:r>
          </w:p>
        </w:tc>
      </w:tr>
      <w:tr w:rsidR="00793C79" w:rsidRPr="00C25867" w14:paraId="77E91182" w14:textId="77777777" w:rsidTr="00504BFF">
        <w:tc>
          <w:tcPr>
            <w:tcW w:w="2400" w:type="dxa"/>
            <w:tcMar>
              <w:top w:w="70" w:type="dxa"/>
              <w:left w:w="90" w:type="dxa"/>
              <w:bottom w:w="70" w:type="dxa"/>
              <w:right w:w="90" w:type="dxa"/>
            </w:tcMar>
          </w:tcPr>
          <w:p w14:paraId="6B4CEBE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Land-use change / agricultural expansion</w:t>
            </w:r>
          </w:p>
        </w:tc>
        <w:tc>
          <w:tcPr>
            <w:tcW w:w="3600" w:type="dxa"/>
            <w:tcMar>
              <w:top w:w="70" w:type="dxa"/>
              <w:left w:w="90" w:type="dxa"/>
              <w:bottom w:w="70" w:type="dxa"/>
              <w:right w:w="90" w:type="dxa"/>
            </w:tcMar>
          </w:tcPr>
          <w:p w14:paraId="0102BA9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key environmental driver of Lassa virus circulation among reservoir hosts</w:t>
            </w:r>
          </w:p>
        </w:tc>
        <w:tc>
          <w:tcPr>
            <w:tcW w:w="2400" w:type="dxa"/>
            <w:tcMar>
              <w:top w:w="70" w:type="dxa"/>
              <w:left w:w="90" w:type="dxa"/>
              <w:bottom w:w="70" w:type="dxa"/>
              <w:right w:w="90" w:type="dxa"/>
            </w:tcMar>
          </w:tcPr>
          <w:p w14:paraId="60BCE13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review</w:t>
            </w:r>
          </w:p>
        </w:tc>
        <w:tc>
          <w:tcPr>
            <w:tcW w:w="2800" w:type="dxa"/>
            <w:tcMar>
              <w:top w:w="70" w:type="dxa"/>
              <w:left w:w="90" w:type="dxa"/>
              <w:bottom w:w="70" w:type="dxa"/>
              <w:right w:w="90" w:type="dxa"/>
            </w:tcMar>
          </w:tcPr>
          <w:p w14:paraId="4919A55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Davis et al., 2025</w:t>
            </w:r>
          </w:p>
        </w:tc>
      </w:tr>
      <w:tr w:rsidR="00793C79" w:rsidRPr="00C25867" w14:paraId="3443AB7F" w14:textId="77777777" w:rsidTr="00504BFF">
        <w:tc>
          <w:tcPr>
            <w:tcW w:w="2400" w:type="dxa"/>
            <w:tcMar>
              <w:top w:w="70" w:type="dxa"/>
              <w:left w:w="90" w:type="dxa"/>
              <w:bottom w:w="70" w:type="dxa"/>
              <w:right w:w="90" w:type="dxa"/>
            </w:tcMar>
          </w:tcPr>
          <w:p w14:paraId="4351A1A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Annual mean temperature and precipitation</w:t>
            </w:r>
          </w:p>
        </w:tc>
        <w:tc>
          <w:tcPr>
            <w:tcW w:w="3600" w:type="dxa"/>
            <w:tcMar>
              <w:top w:w="70" w:type="dxa"/>
              <w:left w:w="90" w:type="dxa"/>
              <w:bottom w:w="70" w:type="dxa"/>
              <w:right w:w="90" w:type="dxa"/>
            </w:tcMar>
          </w:tcPr>
          <w:p w14:paraId="2DB4A15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Principal determinants of ecological suitability for virus circulation in niche models</w:t>
            </w:r>
          </w:p>
        </w:tc>
        <w:tc>
          <w:tcPr>
            <w:tcW w:w="2400" w:type="dxa"/>
            <w:tcMar>
              <w:top w:w="70" w:type="dxa"/>
              <w:left w:w="90" w:type="dxa"/>
              <w:bottom w:w="70" w:type="dxa"/>
              <w:right w:w="90" w:type="dxa"/>
            </w:tcMar>
          </w:tcPr>
          <w:p w14:paraId="059EA6F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 using environmental occurrence data</w:t>
            </w:r>
          </w:p>
        </w:tc>
        <w:tc>
          <w:tcPr>
            <w:tcW w:w="2800" w:type="dxa"/>
            <w:tcMar>
              <w:top w:w="70" w:type="dxa"/>
              <w:left w:w="90" w:type="dxa"/>
              <w:bottom w:w="70" w:type="dxa"/>
              <w:right w:w="90" w:type="dxa"/>
            </w:tcMar>
          </w:tcPr>
          <w:p w14:paraId="3277AD64"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134FE58D" w14:textId="77777777" w:rsidTr="00504BFF">
        <w:tc>
          <w:tcPr>
            <w:tcW w:w="2400" w:type="dxa"/>
            <w:tcMar>
              <w:top w:w="70" w:type="dxa"/>
              <w:left w:w="90" w:type="dxa"/>
              <w:bottom w:w="70" w:type="dxa"/>
              <w:right w:w="90" w:type="dxa"/>
            </w:tcMar>
          </w:tcPr>
          <w:p w14:paraId="2316FCA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Presence of pastureland</w:t>
            </w:r>
          </w:p>
        </w:tc>
        <w:tc>
          <w:tcPr>
            <w:tcW w:w="3600" w:type="dxa"/>
            <w:tcMar>
              <w:top w:w="70" w:type="dxa"/>
              <w:left w:w="90" w:type="dxa"/>
              <w:bottom w:w="70" w:type="dxa"/>
              <w:right w:w="90" w:type="dxa"/>
            </w:tcMar>
          </w:tcPr>
          <w:p w14:paraId="43E68FF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Positively associated with ecological suitability for viral circulation</w:t>
            </w:r>
          </w:p>
        </w:tc>
        <w:tc>
          <w:tcPr>
            <w:tcW w:w="2400" w:type="dxa"/>
            <w:tcMar>
              <w:top w:w="70" w:type="dxa"/>
              <w:left w:w="90" w:type="dxa"/>
              <w:bottom w:w="70" w:type="dxa"/>
              <w:right w:w="90" w:type="dxa"/>
            </w:tcMar>
          </w:tcPr>
          <w:p w14:paraId="7F2EE58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w:t>
            </w:r>
          </w:p>
        </w:tc>
        <w:tc>
          <w:tcPr>
            <w:tcW w:w="2800" w:type="dxa"/>
            <w:tcMar>
              <w:top w:w="70" w:type="dxa"/>
              <w:left w:w="90" w:type="dxa"/>
              <w:bottom w:w="70" w:type="dxa"/>
              <w:right w:w="90" w:type="dxa"/>
            </w:tcMar>
          </w:tcPr>
          <w:p w14:paraId="452764B9"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4875BABF" w14:textId="77777777" w:rsidTr="00504BFF">
        <w:tc>
          <w:tcPr>
            <w:tcW w:w="2400" w:type="dxa"/>
            <w:tcMar>
              <w:top w:w="70" w:type="dxa"/>
              <w:left w:w="90" w:type="dxa"/>
              <w:bottom w:w="70" w:type="dxa"/>
              <w:right w:w="90" w:type="dxa"/>
            </w:tcMar>
          </w:tcPr>
          <w:p w14:paraId="7B260B9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Interspecific competition from invasive Rattus </w:t>
            </w:r>
            <w:proofErr w:type="spellStart"/>
            <w:r w:rsidRPr="00C25867">
              <w:rPr>
                <w:rFonts w:ascii="Calibri" w:eastAsia="Calibri" w:hAnsi="Calibri" w:cs="Calibri"/>
                <w:color w:val="000000" w:themeColor="text1"/>
                <w:sz w:val="17"/>
                <w:szCs w:val="17"/>
              </w:rPr>
              <w:t>rattus</w:t>
            </w:r>
            <w:proofErr w:type="spellEnd"/>
          </w:p>
        </w:tc>
        <w:tc>
          <w:tcPr>
            <w:tcW w:w="3600" w:type="dxa"/>
            <w:tcMar>
              <w:top w:w="70" w:type="dxa"/>
              <w:left w:w="90" w:type="dxa"/>
              <w:bottom w:w="70" w:type="dxa"/>
              <w:right w:w="90" w:type="dxa"/>
            </w:tcMar>
          </w:tcPr>
          <w:p w14:paraId="7D988B7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Associated with reduced </w:t>
            </w:r>
            <w:proofErr w:type="spellStart"/>
            <w:r w:rsidRPr="00C25867">
              <w:rPr>
                <w:rFonts w:ascii="Calibri" w:eastAsia="Calibri" w:hAnsi="Calibri" w:cs="Calibri"/>
                <w:color w:val="000000" w:themeColor="text1"/>
                <w:sz w:val="17"/>
                <w:szCs w:val="17"/>
              </w:rPr>
              <w:t>Mastomys</w:t>
            </w:r>
            <w:proofErr w:type="spellEnd"/>
            <w:r w:rsidRPr="00C25867">
              <w:rPr>
                <w:rFonts w:ascii="Calibri" w:eastAsia="Calibri" w:hAnsi="Calibri" w:cs="Calibri"/>
                <w:color w:val="000000" w:themeColor="text1"/>
                <w:sz w:val="17"/>
                <w:szCs w:val="17"/>
              </w:rPr>
              <w:t xml:space="preserve"> </w:t>
            </w:r>
            <w:proofErr w:type="spellStart"/>
            <w:r w:rsidRPr="00C25867">
              <w:rPr>
                <w:rFonts w:ascii="Calibri" w:eastAsia="Calibri" w:hAnsi="Calibri" w:cs="Calibri"/>
                <w:color w:val="000000" w:themeColor="text1"/>
                <w:sz w:val="17"/>
                <w:szCs w:val="17"/>
              </w:rPr>
              <w:t>natalensis</w:t>
            </w:r>
            <w:proofErr w:type="spellEnd"/>
            <w:r w:rsidRPr="00C25867">
              <w:rPr>
                <w:rFonts w:ascii="Calibri" w:eastAsia="Calibri" w:hAnsi="Calibri" w:cs="Calibri"/>
                <w:color w:val="000000" w:themeColor="text1"/>
                <w:sz w:val="17"/>
                <w:szCs w:val="17"/>
              </w:rPr>
              <w:t xml:space="preserve"> density in human dwellings and lower zoonotic spillover risk at colonised sites</w:t>
            </w:r>
          </w:p>
        </w:tc>
        <w:tc>
          <w:tcPr>
            <w:tcW w:w="2400" w:type="dxa"/>
            <w:tcMar>
              <w:top w:w="70" w:type="dxa"/>
              <w:left w:w="90" w:type="dxa"/>
              <w:bottom w:w="70" w:type="dxa"/>
              <w:right w:w="90" w:type="dxa"/>
            </w:tcMar>
          </w:tcPr>
          <w:p w14:paraId="602BDAD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Rodent trapping and viral prevalence data, Sierra Leone and Guinea</w:t>
            </w:r>
          </w:p>
        </w:tc>
        <w:tc>
          <w:tcPr>
            <w:tcW w:w="2800" w:type="dxa"/>
            <w:tcMar>
              <w:top w:w="70" w:type="dxa"/>
              <w:left w:w="90" w:type="dxa"/>
              <w:bottom w:w="70" w:type="dxa"/>
              <w:right w:w="90" w:type="dxa"/>
            </w:tcMar>
          </w:tcPr>
          <w:p w14:paraId="0D77D01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Eskew et al., 2024</w:t>
            </w:r>
          </w:p>
        </w:tc>
      </w:tr>
      <w:tr w:rsidR="00793C79" w:rsidRPr="00C25867" w14:paraId="19FAEBB7" w14:textId="77777777" w:rsidTr="00504BFF">
        <w:tc>
          <w:tcPr>
            <w:tcW w:w="2400" w:type="dxa"/>
            <w:tcMar>
              <w:top w:w="70" w:type="dxa"/>
              <w:left w:w="90" w:type="dxa"/>
              <w:bottom w:w="70" w:type="dxa"/>
              <w:right w:w="90" w:type="dxa"/>
            </w:tcMar>
          </w:tcPr>
          <w:p w14:paraId="678A0F6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Reservoir ecology combined with human seroprevalence</w:t>
            </w:r>
          </w:p>
        </w:tc>
        <w:tc>
          <w:tcPr>
            <w:tcW w:w="3600" w:type="dxa"/>
            <w:tcMar>
              <w:top w:w="70" w:type="dxa"/>
              <w:left w:w="90" w:type="dxa"/>
              <w:bottom w:w="70" w:type="dxa"/>
              <w:right w:w="90" w:type="dxa"/>
            </w:tcMar>
          </w:tcPr>
          <w:p w14:paraId="367E7A8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Used to derive integrated spillover estimates across West Africa</w:t>
            </w:r>
          </w:p>
        </w:tc>
        <w:tc>
          <w:tcPr>
            <w:tcW w:w="2400" w:type="dxa"/>
            <w:tcMar>
              <w:top w:w="70" w:type="dxa"/>
              <w:left w:w="90" w:type="dxa"/>
              <w:bottom w:w="70" w:type="dxa"/>
              <w:right w:w="90" w:type="dxa"/>
            </w:tcMar>
          </w:tcPr>
          <w:p w14:paraId="2D2E594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Model integrating reservoir ecology and human serosurvey data</w:t>
            </w:r>
          </w:p>
        </w:tc>
        <w:tc>
          <w:tcPr>
            <w:tcW w:w="2800" w:type="dxa"/>
            <w:tcMar>
              <w:top w:w="70" w:type="dxa"/>
              <w:left w:w="90" w:type="dxa"/>
              <w:bottom w:w="70" w:type="dxa"/>
              <w:right w:w="90" w:type="dxa"/>
            </w:tcMar>
          </w:tcPr>
          <w:p w14:paraId="66244F1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Basinski et al., 2021</w:t>
            </w:r>
          </w:p>
        </w:tc>
      </w:tr>
      <w:tr w:rsidR="00793C79" w:rsidRPr="00C25867" w14:paraId="5C42FA9E" w14:textId="77777777" w:rsidTr="00504BFF">
        <w:tc>
          <w:tcPr>
            <w:tcW w:w="2400" w:type="dxa"/>
            <w:tcMar>
              <w:top w:w="70" w:type="dxa"/>
              <w:left w:w="90" w:type="dxa"/>
              <w:bottom w:w="70" w:type="dxa"/>
              <w:right w:w="90" w:type="dxa"/>
            </w:tcMar>
          </w:tcPr>
          <w:p w14:paraId="4A31947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Projected climate, land-use and population change to 2070</w:t>
            </w:r>
          </w:p>
        </w:tc>
        <w:tc>
          <w:tcPr>
            <w:tcW w:w="3600" w:type="dxa"/>
            <w:tcMar>
              <w:top w:w="70" w:type="dxa"/>
              <w:left w:w="90" w:type="dxa"/>
              <w:bottom w:w="70" w:type="dxa"/>
              <w:right w:w="90" w:type="dxa"/>
            </w:tcMar>
          </w:tcPr>
          <w:p w14:paraId="6B19498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Modelled expansion of ecologically suitable area into Central and East Africa, with a substantial projected increase in population at risk</w:t>
            </w:r>
          </w:p>
        </w:tc>
        <w:tc>
          <w:tcPr>
            <w:tcW w:w="2400" w:type="dxa"/>
            <w:tcMar>
              <w:top w:w="70" w:type="dxa"/>
              <w:left w:w="90" w:type="dxa"/>
              <w:bottom w:w="70" w:type="dxa"/>
              <w:right w:w="90" w:type="dxa"/>
            </w:tcMar>
          </w:tcPr>
          <w:p w14:paraId="4427D2D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Ecological niche modelling with future climate and demographic projections</w:t>
            </w:r>
          </w:p>
        </w:tc>
        <w:tc>
          <w:tcPr>
            <w:tcW w:w="2800" w:type="dxa"/>
            <w:tcMar>
              <w:top w:w="70" w:type="dxa"/>
              <w:left w:w="90" w:type="dxa"/>
              <w:bottom w:w="70" w:type="dxa"/>
              <w:right w:w="90" w:type="dxa"/>
            </w:tcMar>
          </w:tcPr>
          <w:p w14:paraId="46D10894"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bl>
    <w:p w14:paraId="10956BF9"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Findings summarise associations reported in the cited primary and secondary literature; causal mechanisms linking environmental change to household-level human exposure remain incompletely characterised, and several underlying occurrence datasets are geographically biased toward rural field sites.</w:t>
      </w:r>
    </w:p>
    <w:p w14:paraId="4F5BEA80"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5. Genomic Epidemiology and Molecular Evolution of Lassa Virus</w:t>
      </w:r>
    </w:p>
    <w:p w14:paraId="14400F7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Genomic characterisation of Lassa virus has progressed from small-scale Sanger sequencing of individual gene segments to comprehensive, near-real-time whole-genome sequencing capable of directly informing outbreak response within days of sample collection. This transition has resolved several long-standing questions about the virus's evolutionary history and transmission dynamics while simultaneously revealing a degree of genetic diversity that continues to complicate diagnostic assay design, a tension explored further in section 7. A landmark genomic catalogue comprising close to 200 Lassa virus genomes from clinical and rodent reservoir samples established that, in marked contrast to the 2013–2015 West African Ebola virus disease epidemic, which was propagated overwhelmingly through human-to-human transmission, the great majority of human Lassa virus infections arise from independent reservoir-to-human spillover events rather than sustained onward transmission between people (Andersen et al., 2015). The same analysis demonstrated that the virus's westward geographical spread across West Africa over time has been accompanied by changes in genome abundance, case-fatality and codon usage, and that mutations accumulate preferentially within epitopes of viral surface glycoproteins, a pattern consistent with selection for immune escape and of direct relevance to vaccine antigen design.</w:t>
      </w:r>
    </w:p>
    <w:p w14:paraId="789CF47B"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 xml:space="preserve">Phylogenetic analyses have consistently resolved Lassa virus into several geographically structured lineages, with earlier work describing four to six major lineages and more recent phylogeographic analyses identifying additional </w:t>
      </w:r>
      <w:proofErr w:type="spellStart"/>
      <w:r w:rsidRPr="00C25867">
        <w:rPr>
          <w:rFonts w:ascii="Calibri" w:eastAsia="Calibri" w:hAnsi="Calibri" w:cs="Calibri"/>
          <w:color w:val="000000" w:themeColor="text1"/>
          <w:sz w:val="22"/>
          <w:szCs w:val="22"/>
        </w:rPr>
        <w:t>sublineages</w:t>
      </w:r>
      <w:proofErr w:type="spellEnd"/>
      <w:r w:rsidRPr="00C25867">
        <w:rPr>
          <w:rFonts w:ascii="Calibri" w:eastAsia="Calibri" w:hAnsi="Calibri" w:cs="Calibri"/>
          <w:color w:val="000000" w:themeColor="text1"/>
          <w:sz w:val="22"/>
          <w:szCs w:val="22"/>
        </w:rPr>
        <w:t xml:space="preserve"> and cross-border clades. Lineage I is associated with north-eastern Nigeria and includes the original 1969 reference strain; lineage II predominates in southern Nigeria; lineage III is concentrated in northern Nigeria; and lineage IV predominates in Sierra Leone, Liberia and Guinea, the setting in which much of the classical clinical and ribavirin treatment literature discussed in section 8 was generated. Fine-scale phylogeographic reconstruction using Nigerian sequence data has demonstrated that lineage II itself comprises multiple </w:t>
      </w:r>
      <w:proofErr w:type="spellStart"/>
      <w:r w:rsidRPr="00C25867">
        <w:rPr>
          <w:rFonts w:ascii="Calibri" w:eastAsia="Calibri" w:hAnsi="Calibri" w:cs="Calibri"/>
          <w:color w:val="000000" w:themeColor="text1"/>
          <w:sz w:val="22"/>
          <w:szCs w:val="22"/>
        </w:rPr>
        <w:t>sublineages</w:t>
      </w:r>
      <w:proofErr w:type="spellEnd"/>
      <w:r w:rsidRPr="00C25867">
        <w:rPr>
          <w:rFonts w:ascii="Calibri" w:eastAsia="Calibri" w:hAnsi="Calibri" w:cs="Calibri"/>
          <w:color w:val="000000" w:themeColor="text1"/>
          <w:sz w:val="22"/>
          <w:szCs w:val="22"/>
        </w:rPr>
        <w:t xml:space="preserve"> with distinct, geographically resolved dispersal histories, including evidence of westward viral movement across state boundaries and river systems over time, and has recommended intensified ecological sampling to expand the availability of rodent-derived, as opposed to exclusively human-derived, sequences, since the latter are considered less reliable for reconstructing the underlying pattern of viral geographic spread (Ehichioya et al., 2019). Rodent-focused sequencing efforts in specific endemic localities have similarly resolved fine-grained, locally restricted </w:t>
      </w:r>
      <w:proofErr w:type="spellStart"/>
      <w:r w:rsidRPr="00C25867">
        <w:rPr>
          <w:rFonts w:ascii="Calibri" w:eastAsia="Calibri" w:hAnsi="Calibri" w:cs="Calibri"/>
          <w:color w:val="000000" w:themeColor="text1"/>
          <w:sz w:val="22"/>
          <w:szCs w:val="22"/>
        </w:rPr>
        <w:t>sublineage</w:t>
      </w:r>
      <w:proofErr w:type="spellEnd"/>
      <w:r w:rsidRPr="00C25867">
        <w:rPr>
          <w:rFonts w:ascii="Calibri" w:eastAsia="Calibri" w:hAnsi="Calibri" w:cs="Calibri"/>
          <w:color w:val="000000" w:themeColor="text1"/>
          <w:sz w:val="22"/>
          <w:szCs w:val="22"/>
        </w:rPr>
        <w:t xml:space="preserve"> clustering and have documented cross-species viral circulation among sympatric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species, indicating that the reservoir community sustaining Lassa virus transmission in at least some localities is ecologically more complex than a single-host model would suggest, a pattern consistent with the wider ecological literature reviewed in section 4.</w:t>
      </w:r>
    </w:p>
    <w:p w14:paraId="385C06C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clearest demonstration of genomic surveillance's practical value occurred during the unprecedented surge of Lassa fever cases reported across Nigeria in early 2018, an episode introduced in section 3. Concerned that the surge might reflect the emergence of a more transmissible viral strain or an escalation in human-to-human transmission, an international research consortium performed metagenomic nanopore sequencing directly from patient samples at the epicentre of the outbreak, generating and analysing 36 genomes in real time before confirming the findings across a total of 120 sequenced samples (</w:t>
      </w:r>
      <w:proofErr w:type="spellStart"/>
      <w:r w:rsidRPr="00C25867">
        <w:rPr>
          <w:rFonts w:ascii="Calibri" w:eastAsia="Calibri" w:hAnsi="Calibri" w:cs="Calibri"/>
          <w:color w:val="000000" w:themeColor="text1"/>
          <w:sz w:val="22"/>
          <w:szCs w:val="22"/>
        </w:rPr>
        <w:t>Kafetzopoulou</w:t>
      </w:r>
      <w:proofErr w:type="spellEnd"/>
      <w:r w:rsidRPr="00C25867">
        <w:rPr>
          <w:rFonts w:ascii="Calibri" w:eastAsia="Calibri" w:hAnsi="Calibri" w:cs="Calibri"/>
          <w:color w:val="000000" w:themeColor="text1"/>
          <w:sz w:val="22"/>
          <w:szCs w:val="22"/>
        </w:rPr>
        <w:t xml:space="preserve"> et al., 2019). The resulting phylogenetic reconstruction demonstrated extensive genetic diversity intermingled with strains circulating in previous years, a pattern indicative of numerous independent zoonotic transmission events rather than a single emergent, more transmissible lineage or sustained chain of human-to-human spread; the genomic and phylogenetic findings were communicated to Nigerian public health authorities and the World Health Organization in real time to inform the ongoing response. A parallel, independently conducted genomic analysis covering the same period similarly found that lineage II accounted for the substantial majority of sequenced genomes and was concentrated in southern Nigeria, while lineage III predominated in the north, a distribution consistent with historical phylogeographic patterns rather than evidence of a newly dominant, more virulent strain (Siddle et al., 2018). Together, these studies constitute one of the clearest instances in the arboviral and zoonotic disease literature of genomic epidemiology directly resolving an urgent, policy-relevant question of outbreak causation within an active public health emergency, and they established a template for subsequent real-time sequencing deployments during later Nigerian case surges.</w:t>
      </w:r>
    </w:p>
    <w:p w14:paraId="3D7BB52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Building on this foundation, subsequent methodological development has focused on translating genomic capability into routine, sustainable surveillance infrastructure rather than exceptional outbreak-response deployments alone. Open-access phylogenetic and lineage-assignment platforms built on established viral genomic surveillance frameworks have been developed specifically for Lassa virus, incorporating live </w:t>
      </w:r>
      <w:r w:rsidRPr="00C25867">
        <w:rPr>
          <w:rFonts w:ascii="Calibri" w:eastAsia="Calibri" w:hAnsi="Calibri" w:cs="Calibri"/>
          <w:color w:val="000000" w:themeColor="text1"/>
          <w:sz w:val="22"/>
          <w:szCs w:val="22"/>
        </w:rPr>
        <w:lastRenderedPageBreak/>
        <w:t>phylogenetic and phylogeographic visualisation alongside rapid mutation-detection and lineage-assignment tools operating on both genomic segments and the glycoprotein complex, the latter enabling tracking of clinically relevant mutations implicated in reduced binding of candidate monoclonal antibodies. Complementary metagenomic sequencing surveillance conducted among febrile patients in Nigeria, encompassing population-level screening, real-time outbreak investigation and diagnostically challenging undiagnosed cases, has additionally identified previously unsampled genomic diversity, including sequences forming a distinct sub-clade within the comparatively poorly characterised lineage III, underscoring the extent of unsampled viral diversity that remains to be documented even within intensively studied endemic settings. A comprehensive review of Lassa virus genetics has further consolidated the accumulated genomic literature, addressing genome organisation, phylogenetic structure, evolutionary rate and the implications of viral diversity for diagnostic and vaccine design (</w:t>
      </w:r>
      <w:proofErr w:type="spellStart"/>
      <w:r w:rsidRPr="00C25867">
        <w:rPr>
          <w:rFonts w:ascii="Calibri" w:eastAsia="Calibri" w:hAnsi="Calibri" w:cs="Calibri"/>
          <w:color w:val="000000" w:themeColor="text1"/>
          <w:sz w:val="22"/>
          <w:szCs w:val="22"/>
        </w:rPr>
        <w:t>Klitting</w:t>
      </w:r>
      <w:proofErr w:type="spellEnd"/>
      <w:r w:rsidRPr="00C25867">
        <w:rPr>
          <w:rFonts w:ascii="Calibri" w:eastAsia="Calibri" w:hAnsi="Calibri" w:cs="Calibri"/>
          <w:color w:val="000000" w:themeColor="text1"/>
          <w:sz w:val="22"/>
          <w:szCs w:val="22"/>
        </w:rPr>
        <w:t xml:space="preserve"> et al., 2023).</w:t>
      </w:r>
    </w:p>
    <w:p w14:paraId="4DE1D5B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genomic evidence base, taken as a whole, supports several defensible conclusions while leaving others genuinely unresolved. It is well established that case surges in Nigeria have thus far reflected intensified zoonotic spillover rather than the emergence of a more transmissible variant, that the virus displays a geographically structured lineage architecture broadly stable over recent decades, and that reservoir-to-human transmission, rather than sustained human-to-human spread, dominates the transmission dynamic outside nosocomial settings. What remains less certain is the degree to which observed genomic diversity, particularly within poorly sampled lineages and in rodent reservoirs outside the most intensively studied localities, is representative of the virus's true diversity across its full geographical range, an uncertainty with direct implications for the design of genomically informed diagnostics and vaccines discussed in the sections that follow.</w:t>
      </w:r>
    </w:p>
    <w:p w14:paraId="6BCF9B13"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6. Surveillance Systems and Outbreak Response</w:t>
      </w:r>
    </w:p>
    <w:p w14:paraId="167D157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Nigeria's national surveillance architecture for Lassa fever has developed substantially since the establishment of the Nigeria Centre for Disease Control and Prevention, whose foundations were laid through the Nigeria Field Epidemiology and Laboratory Training Programme in 2011 and which was formally established in law in 2018. The agency operates within the country's broader Integrated Disease Surveillance and Response framework, coordinating case detection, laboratory confirmation, data analysis and outbreak response across federal and state health systems, and issuing a national weekly epidemiological report that has become a primary data source for the epidemiological literature discussed in section 3. A dedicated Surveillance and Epidemiology unit collates state-level data, while an event-based surveillance function is tasked with the detection and verification of unconfirmed rumours of disease activity, complementing the indicator-based reporting that forms the backbone of the Integrated Disease Surveillance and Response system.</w:t>
      </w:r>
    </w:p>
    <w:p w14:paraId="57ACA5D5" w14:textId="7C9CB478"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Diagnostic decentralisation has been a central pillar of surveillance strengthening. Since 2016, the number of laboratories with confirmed capacity to test for Lassa fever in Nigeria has expanded to a network coordinated by the agency's National Reference Laboratory, encompassing federal teaching hospitals and specialist centres distributed across several states, including facilities in Ebonyi, Edo, Lagos, Ondo, Kano </w:t>
      </w:r>
      <w:r w:rsidRPr="00C25867">
        <w:rPr>
          <w:rFonts w:ascii="Calibri" w:eastAsia="Calibri" w:hAnsi="Calibri" w:cs="Calibri"/>
          <w:color w:val="000000" w:themeColor="text1"/>
          <w:sz w:val="22"/>
          <w:szCs w:val="22"/>
        </w:rPr>
        <w:lastRenderedPageBreak/>
        <w:t>and Bauchi states (Nigeria Centre for Disease Control and Prevention, 202</w:t>
      </w:r>
      <w:r w:rsidR="00917F55">
        <w:rPr>
          <w:rFonts w:ascii="Calibri" w:eastAsia="Calibri" w:hAnsi="Calibri" w:cs="Calibri"/>
          <w:color w:val="000000" w:themeColor="text1"/>
          <w:sz w:val="22"/>
          <w:szCs w:val="22"/>
        </w:rPr>
        <w:t>1</w:t>
      </w:r>
      <w:r w:rsidRPr="00C25867">
        <w:rPr>
          <w:rFonts w:ascii="Calibri" w:eastAsia="Calibri" w:hAnsi="Calibri" w:cs="Calibri"/>
          <w:color w:val="000000" w:themeColor="text1"/>
          <w:sz w:val="22"/>
          <w:szCs w:val="22"/>
        </w:rPr>
        <w:t>). This network materially improved active case detection relative to earlier periods when laboratory confirmation was concentrated in a small number of specialist centres, although the persistence of a substantial gap between suspected and confirmed cases, discussed in section 3, indicates that expanded confirmatory capacity alone has not resolved the underlying problem of low clinical specificity in syndromic screening. Electronic case-based surveillance, implemented through a dedicated Surveillance Outbreak Response Management and Analysis System from 2018 onward, has further improved the completeness and timeliness of national case reporting relative to the paper-based systems that preceded it.</w:t>
      </w:r>
    </w:p>
    <w:p w14:paraId="1562BA0B" w14:textId="62DE03F4"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Institutional response mechanisms have been progressively formalised in response to recurrent large outbreaks. A national multisectoral and multidisciplinary Lassa fever Technical Working Group coordinates surveillance and response activity, while state-level and facility-level Emergency Operations Centres are activated during periods of intensified transmission, most recently in response to case clusters spanning multiple states. Rapid Response Teams provide emergency medical and laboratory support to affected states, and the agency has explicitly framed its Lassa fever programme within a One Health approach intended to integrate human, animal and environmental health surveillance, reflecting the reservoir-driven transmission dynamic established in section 4 (Nigeria Centre for Disease Control and Prevention, 202</w:t>
      </w:r>
      <w:r w:rsidR="00917F55">
        <w:rPr>
          <w:rFonts w:ascii="Calibri" w:eastAsia="Calibri" w:hAnsi="Calibri" w:cs="Calibri"/>
          <w:color w:val="000000" w:themeColor="text1"/>
          <w:sz w:val="22"/>
          <w:szCs w:val="22"/>
        </w:rPr>
        <w:t>1</w:t>
      </w:r>
      <w:r w:rsidRPr="00C25867">
        <w:rPr>
          <w:rFonts w:ascii="Calibri" w:eastAsia="Calibri" w:hAnsi="Calibri" w:cs="Calibri"/>
          <w:color w:val="000000" w:themeColor="text1"/>
          <w:sz w:val="22"/>
          <w:szCs w:val="22"/>
        </w:rPr>
        <w:t>). International technical and financial support, including collaboration with the World Health Organization on early-warning systems, health information management and risk communication, and engagement with the Economic Community of West African States Regional Centre for Surveillance and Disease Control, has extended this institutional architecture across national borders, a development of particular importance given the cross-border viral circulation documented in the genomic literature reviewed in section 5.</w:t>
      </w:r>
    </w:p>
    <w:p w14:paraId="0787ED6C"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Notwithstanding these advances, the surveillance literature identifies persistent structural constraints. Resource limitations, including funding shortfalls and an acute shortage of skilled health workers relative to World Health Organization-recommended workforce density benchmarks, have been repeatedly identified as factors delaying outbreak detection and response, a constraint compounded by the geographically uneven distribution of diagnostic laboratories relative to the shifting geographical pattern of confirmed cases described in section 3. Countries other than Nigeria within the Lassa fever-endemic zone, including Sierra Leone, Liberia and Guinea, have historically operated with less developed national surveillance and confirmatory laboratory infrastructure, a disparity that complicates regional efforts to characterise the true cross-border burden of disease and that is only partially offset by international research consortium activity concentrated at specific reference sites such as Kenema Government Hospital in Sierra Leone and Irrua Specialist Teaching Hospital in Nigeria. The 2023 Ghanaian outbreak, occurring in a country with comparatively limited recent experience of confirmed Lassa fever transmission, further illustrated the challenge of maintaining diagnostic and clinical preparedness in settings where the disease has historically been considered a low-probability diagnosis, with healthcare worker infections in that outbreak suggesting gaps in routine infection prevention and control readiness outside the historically most intensively affected core endemic states.</w:t>
      </w:r>
    </w:p>
    <w:p w14:paraId="04AC0F45"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3. Selected components of Nigeria's national Lassa fever surveillance and response architecture.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2"/>
        <w:gridCol w:w="2353"/>
        <w:gridCol w:w="2511"/>
        <w:gridCol w:w="2106"/>
      </w:tblGrid>
      <w:tr w:rsidR="00793C79" w:rsidRPr="00C25867" w14:paraId="1963DB15" w14:textId="77777777" w:rsidTr="00504BFF">
        <w:trPr>
          <w:tblHeader/>
        </w:trPr>
        <w:tc>
          <w:tcPr>
            <w:tcW w:w="2600" w:type="dxa"/>
            <w:shd w:val="clear" w:color="auto" w:fill="D9E2F3"/>
            <w:tcMar>
              <w:top w:w="70" w:type="dxa"/>
              <w:left w:w="90" w:type="dxa"/>
              <w:bottom w:w="70" w:type="dxa"/>
              <w:right w:w="90" w:type="dxa"/>
            </w:tcMar>
          </w:tcPr>
          <w:p w14:paraId="57D28509"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lastRenderedPageBreak/>
              <w:t>Component</w:t>
            </w:r>
          </w:p>
        </w:tc>
        <w:tc>
          <w:tcPr>
            <w:tcW w:w="2800" w:type="dxa"/>
            <w:shd w:val="clear" w:color="auto" w:fill="D9E2F3"/>
            <w:tcMar>
              <w:top w:w="70" w:type="dxa"/>
              <w:left w:w="90" w:type="dxa"/>
              <w:bottom w:w="70" w:type="dxa"/>
              <w:right w:w="90" w:type="dxa"/>
            </w:tcMar>
          </w:tcPr>
          <w:p w14:paraId="4246823C"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Function</w:t>
            </w:r>
          </w:p>
        </w:tc>
        <w:tc>
          <w:tcPr>
            <w:tcW w:w="3200" w:type="dxa"/>
            <w:shd w:val="clear" w:color="auto" w:fill="D9E2F3"/>
            <w:tcMar>
              <w:top w:w="70" w:type="dxa"/>
              <w:left w:w="90" w:type="dxa"/>
              <w:bottom w:w="70" w:type="dxa"/>
              <w:right w:w="90" w:type="dxa"/>
            </w:tcMar>
          </w:tcPr>
          <w:p w14:paraId="25FF1B14"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strengths / limitations</w:t>
            </w:r>
          </w:p>
        </w:tc>
        <w:tc>
          <w:tcPr>
            <w:tcW w:w="2600" w:type="dxa"/>
            <w:shd w:val="clear" w:color="auto" w:fill="D9E2F3"/>
            <w:tcMar>
              <w:top w:w="70" w:type="dxa"/>
              <w:left w:w="90" w:type="dxa"/>
              <w:bottom w:w="70" w:type="dxa"/>
              <w:right w:w="90" w:type="dxa"/>
            </w:tcMar>
          </w:tcPr>
          <w:p w14:paraId="46BE9B97"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0C850917" w14:textId="77777777" w:rsidTr="00504BFF">
        <w:tc>
          <w:tcPr>
            <w:tcW w:w="2600" w:type="dxa"/>
            <w:tcMar>
              <w:top w:w="70" w:type="dxa"/>
              <w:left w:w="90" w:type="dxa"/>
              <w:bottom w:w="70" w:type="dxa"/>
              <w:right w:w="90" w:type="dxa"/>
            </w:tcMar>
          </w:tcPr>
          <w:p w14:paraId="26D8655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Integrated Disease Surveillance and Response framework</w:t>
            </w:r>
          </w:p>
        </w:tc>
        <w:tc>
          <w:tcPr>
            <w:tcW w:w="2800" w:type="dxa"/>
            <w:tcMar>
              <w:top w:w="70" w:type="dxa"/>
              <w:left w:w="90" w:type="dxa"/>
              <w:bottom w:w="70" w:type="dxa"/>
              <w:right w:w="90" w:type="dxa"/>
            </w:tcMar>
          </w:tcPr>
          <w:p w14:paraId="56B44A4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National indicator-based and event-based disease surveillance covering Lassa fever and other priority diseases</w:t>
            </w:r>
          </w:p>
        </w:tc>
        <w:tc>
          <w:tcPr>
            <w:tcW w:w="3200" w:type="dxa"/>
            <w:tcMar>
              <w:top w:w="70" w:type="dxa"/>
              <w:left w:w="90" w:type="dxa"/>
              <w:bottom w:w="70" w:type="dxa"/>
              <w:right w:w="90" w:type="dxa"/>
            </w:tcMar>
          </w:tcPr>
          <w:p w14:paraId="5D91EB1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Provides systematic weekly reporting; effectiveness constrained by facility-level under-recognition of atypical presentations</w:t>
            </w:r>
          </w:p>
        </w:tc>
        <w:tc>
          <w:tcPr>
            <w:tcW w:w="2600" w:type="dxa"/>
            <w:tcMar>
              <w:top w:w="70" w:type="dxa"/>
              <w:left w:w="90" w:type="dxa"/>
              <w:bottom w:w="70" w:type="dxa"/>
              <w:right w:w="90" w:type="dxa"/>
            </w:tcMar>
          </w:tcPr>
          <w:p w14:paraId="41F5C4A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Agbonlahor et al., 2021</w:t>
            </w:r>
          </w:p>
        </w:tc>
      </w:tr>
      <w:tr w:rsidR="00793C79" w:rsidRPr="00C25867" w14:paraId="053DA446" w14:textId="77777777" w:rsidTr="00504BFF">
        <w:tc>
          <w:tcPr>
            <w:tcW w:w="2600" w:type="dxa"/>
            <w:tcMar>
              <w:top w:w="70" w:type="dxa"/>
              <w:left w:w="90" w:type="dxa"/>
              <w:bottom w:w="70" w:type="dxa"/>
              <w:right w:w="90" w:type="dxa"/>
            </w:tcMar>
          </w:tcPr>
          <w:p w14:paraId="66BA7E7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National Reference Laboratory network</w:t>
            </w:r>
          </w:p>
        </w:tc>
        <w:tc>
          <w:tcPr>
            <w:tcW w:w="2800" w:type="dxa"/>
            <w:tcMar>
              <w:top w:w="70" w:type="dxa"/>
              <w:left w:w="90" w:type="dxa"/>
              <w:bottom w:w="70" w:type="dxa"/>
              <w:right w:w="90" w:type="dxa"/>
            </w:tcMar>
          </w:tcPr>
          <w:p w14:paraId="1B925D2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Coordinates a multi-site network of confirmatory testing laboratories across several states</w:t>
            </w:r>
          </w:p>
        </w:tc>
        <w:tc>
          <w:tcPr>
            <w:tcW w:w="3200" w:type="dxa"/>
            <w:tcMar>
              <w:top w:w="70" w:type="dxa"/>
              <w:left w:w="90" w:type="dxa"/>
              <w:bottom w:w="70" w:type="dxa"/>
              <w:right w:w="90" w:type="dxa"/>
            </w:tcMar>
          </w:tcPr>
          <w:p w14:paraId="590D0E7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Expanded diagnostic access since 2016; geographical distribution remains uneven relative to case burden</w:t>
            </w:r>
          </w:p>
        </w:tc>
        <w:tc>
          <w:tcPr>
            <w:tcW w:w="2600" w:type="dxa"/>
            <w:tcMar>
              <w:top w:w="70" w:type="dxa"/>
              <w:left w:w="90" w:type="dxa"/>
              <w:bottom w:w="70" w:type="dxa"/>
              <w:right w:w="90" w:type="dxa"/>
            </w:tcMar>
          </w:tcPr>
          <w:p w14:paraId="64F0CEE2" w14:textId="1C668308"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w:t>
            </w:r>
            <w:r w:rsidR="00917F55">
              <w:rPr>
                <w:rFonts w:ascii="Calibri" w:eastAsia="Calibri" w:hAnsi="Calibri" w:cs="Calibri"/>
                <w:color w:val="000000" w:themeColor="text1"/>
                <w:sz w:val="17"/>
                <w:szCs w:val="17"/>
              </w:rPr>
              <w:t>1</w:t>
            </w:r>
          </w:p>
        </w:tc>
      </w:tr>
      <w:tr w:rsidR="00793C79" w:rsidRPr="00C25867" w14:paraId="5D6D3B3C" w14:textId="77777777" w:rsidTr="00504BFF">
        <w:tc>
          <w:tcPr>
            <w:tcW w:w="2600" w:type="dxa"/>
            <w:tcMar>
              <w:top w:w="70" w:type="dxa"/>
              <w:left w:w="90" w:type="dxa"/>
              <w:bottom w:w="70" w:type="dxa"/>
              <w:right w:w="90" w:type="dxa"/>
            </w:tcMar>
          </w:tcPr>
          <w:p w14:paraId="28D3C1A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Surveillance Outbreak Response Management and Analysis System</w:t>
            </w:r>
          </w:p>
        </w:tc>
        <w:tc>
          <w:tcPr>
            <w:tcW w:w="2800" w:type="dxa"/>
            <w:tcMar>
              <w:top w:w="70" w:type="dxa"/>
              <w:left w:w="90" w:type="dxa"/>
              <w:bottom w:w="70" w:type="dxa"/>
              <w:right w:w="90" w:type="dxa"/>
            </w:tcMar>
          </w:tcPr>
          <w:p w14:paraId="5EBA2F8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Electronic case-based surveillance platform for real-time data capture</w:t>
            </w:r>
          </w:p>
        </w:tc>
        <w:tc>
          <w:tcPr>
            <w:tcW w:w="3200" w:type="dxa"/>
            <w:tcMar>
              <w:top w:w="70" w:type="dxa"/>
              <w:left w:w="90" w:type="dxa"/>
              <w:bottom w:w="70" w:type="dxa"/>
              <w:right w:w="90" w:type="dxa"/>
            </w:tcMar>
          </w:tcPr>
          <w:p w14:paraId="27BDA5B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Improved completeness and timeliness of reporting relative to paper-based systems</w:t>
            </w:r>
          </w:p>
        </w:tc>
        <w:tc>
          <w:tcPr>
            <w:tcW w:w="2600" w:type="dxa"/>
            <w:tcMar>
              <w:top w:w="70" w:type="dxa"/>
              <w:left w:w="90" w:type="dxa"/>
              <w:bottom w:w="70" w:type="dxa"/>
              <w:right w:w="90" w:type="dxa"/>
            </w:tcMar>
          </w:tcPr>
          <w:p w14:paraId="318BDB6A" w14:textId="3A9F0652"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w:t>
            </w:r>
            <w:r w:rsidR="00917F55">
              <w:rPr>
                <w:rFonts w:ascii="Calibri" w:eastAsia="Calibri" w:hAnsi="Calibri" w:cs="Calibri"/>
                <w:color w:val="000000" w:themeColor="text1"/>
                <w:sz w:val="17"/>
                <w:szCs w:val="17"/>
              </w:rPr>
              <w:t>1</w:t>
            </w:r>
          </w:p>
        </w:tc>
      </w:tr>
      <w:tr w:rsidR="00793C79" w:rsidRPr="00C25867" w14:paraId="207BE184" w14:textId="77777777" w:rsidTr="00504BFF">
        <w:tc>
          <w:tcPr>
            <w:tcW w:w="2600" w:type="dxa"/>
            <w:tcMar>
              <w:top w:w="70" w:type="dxa"/>
              <w:left w:w="90" w:type="dxa"/>
              <w:bottom w:w="70" w:type="dxa"/>
              <w:right w:w="90" w:type="dxa"/>
            </w:tcMar>
          </w:tcPr>
          <w:p w14:paraId="428662C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Lassa Fever Technical Working Group and Emergency Operations Centres</w:t>
            </w:r>
          </w:p>
        </w:tc>
        <w:tc>
          <w:tcPr>
            <w:tcW w:w="2800" w:type="dxa"/>
            <w:tcMar>
              <w:top w:w="70" w:type="dxa"/>
              <w:left w:w="90" w:type="dxa"/>
              <w:bottom w:w="70" w:type="dxa"/>
              <w:right w:w="90" w:type="dxa"/>
            </w:tcMar>
          </w:tcPr>
          <w:p w14:paraId="38897C4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Multisectoral coordination of outbreak response at national and state level</w:t>
            </w:r>
          </w:p>
        </w:tc>
        <w:tc>
          <w:tcPr>
            <w:tcW w:w="3200" w:type="dxa"/>
            <w:tcMar>
              <w:top w:w="70" w:type="dxa"/>
              <w:left w:w="90" w:type="dxa"/>
              <w:bottom w:w="70" w:type="dxa"/>
              <w:right w:w="90" w:type="dxa"/>
            </w:tcMar>
          </w:tcPr>
          <w:p w14:paraId="0D70E0BF"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Activated during high-transmission periods; capacity varies by state resourcing</w:t>
            </w:r>
          </w:p>
        </w:tc>
        <w:tc>
          <w:tcPr>
            <w:tcW w:w="2600" w:type="dxa"/>
            <w:tcMar>
              <w:top w:w="70" w:type="dxa"/>
              <w:left w:w="90" w:type="dxa"/>
              <w:bottom w:w="70" w:type="dxa"/>
              <w:right w:w="90" w:type="dxa"/>
            </w:tcMar>
          </w:tcPr>
          <w:p w14:paraId="3E6AC106" w14:textId="177A56E3"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w:t>
            </w:r>
            <w:r w:rsidR="00917F55">
              <w:rPr>
                <w:rFonts w:ascii="Calibri" w:eastAsia="Calibri" w:hAnsi="Calibri" w:cs="Calibri"/>
                <w:color w:val="000000" w:themeColor="text1"/>
                <w:sz w:val="17"/>
                <w:szCs w:val="17"/>
              </w:rPr>
              <w:t>1</w:t>
            </w:r>
          </w:p>
        </w:tc>
      </w:tr>
      <w:tr w:rsidR="00793C79" w:rsidRPr="00C25867" w14:paraId="5CB4ED05" w14:textId="77777777" w:rsidTr="00504BFF">
        <w:tc>
          <w:tcPr>
            <w:tcW w:w="2600" w:type="dxa"/>
            <w:tcMar>
              <w:top w:w="70" w:type="dxa"/>
              <w:left w:w="90" w:type="dxa"/>
              <w:bottom w:w="70" w:type="dxa"/>
              <w:right w:w="90" w:type="dxa"/>
            </w:tcMar>
          </w:tcPr>
          <w:p w14:paraId="4B8752B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Rapid Response Teams</w:t>
            </w:r>
          </w:p>
        </w:tc>
        <w:tc>
          <w:tcPr>
            <w:tcW w:w="2800" w:type="dxa"/>
            <w:tcMar>
              <w:top w:w="70" w:type="dxa"/>
              <w:left w:w="90" w:type="dxa"/>
              <w:bottom w:w="70" w:type="dxa"/>
              <w:right w:w="90" w:type="dxa"/>
            </w:tcMar>
          </w:tcPr>
          <w:p w14:paraId="217D983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Deployment of emergency medical and laboratory support to affected states</w:t>
            </w:r>
          </w:p>
        </w:tc>
        <w:tc>
          <w:tcPr>
            <w:tcW w:w="3200" w:type="dxa"/>
            <w:tcMar>
              <w:top w:w="70" w:type="dxa"/>
              <w:left w:w="90" w:type="dxa"/>
              <w:bottom w:w="70" w:type="dxa"/>
              <w:right w:w="90" w:type="dxa"/>
            </w:tcMar>
          </w:tcPr>
          <w:p w14:paraId="6A4640D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Strengthens acute response; constrained by overall health workforce shortages</w:t>
            </w:r>
          </w:p>
        </w:tc>
        <w:tc>
          <w:tcPr>
            <w:tcW w:w="2600" w:type="dxa"/>
            <w:tcMar>
              <w:top w:w="70" w:type="dxa"/>
              <w:left w:w="90" w:type="dxa"/>
              <w:bottom w:w="70" w:type="dxa"/>
              <w:right w:w="90" w:type="dxa"/>
            </w:tcMar>
          </w:tcPr>
          <w:p w14:paraId="24333CEC" w14:textId="5585BFB9" w:rsidR="00793C79" w:rsidRPr="00C25867" w:rsidRDefault="001D0D0E">
            <w:pPr>
              <w:rPr>
                <w:color w:val="000000" w:themeColor="text1"/>
              </w:rPr>
            </w:pPr>
            <w:r w:rsidRPr="00C25867">
              <w:rPr>
                <w:rFonts w:ascii="Calibri" w:eastAsia="Calibri" w:hAnsi="Calibri" w:cs="Calibri"/>
                <w:color w:val="000000" w:themeColor="text1"/>
                <w:sz w:val="17"/>
                <w:szCs w:val="17"/>
              </w:rPr>
              <w:t>Nigeria Centre for Disease Control and Prevention, 202</w:t>
            </w:r>
            <w:r w:rsidR="00917F55">
              <w:rPr>
                <w:rFonts w:ascii="Calibri" w:eastAsia="Calibri" w:hAnsi="Calibri" w:cs="Calibri"/>
                <w:color w:val="000000" w:themeColor="text1"/>
                <w:sz w:val="17"/>
                <w:szCs w:val="17"/>
              </w:rPr>
              <w:t>1</w:t>
            </w:r>
          </w:p>
        </w:tc>
      </w:tr>
      <w:tr w:rsidR="00793C79" w:rsidRPr="00C25867" w14:paraId="403D8D42" w14:textId="77777777" w:rsidTr="00504BFF">
        <w:tc>
          <w:tcPr>
            <w:tcW w:w="2600" w:type="dxa"/>
            <w:tcMar>
              <w:top w:w="70" w:type="dxa"/>
              <w:left w:w="90" w:type="dxa"/>
              <w:bottom w:w="70" w:type="dxa"/>
              <w:right w:w="90" w:type="dxa"/>
            </w:tcMar>
          </w:tcPr>
          <w:p w14:paraId="23F5B70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International and regional technical partnerships</w:t>
            </w:r>
          </w:p>
        </w:tc>
        <w:tc>
          <w:tcPr>
            <w:tcW w:w="2800" w:type="dxa"/>
            <w:tcMar>
              <w:top w:w="70" w:type="dxa"/>
              <w:left w:w="90" w:type="dxa"/>
              <w:bottom w:w="70" w:type="dxa"/>
              <w:right w:w="90" w:type="dxa"/>
            </w:tcMar>
          </w:tcPr>
          <w:p w14:paraId="247A6134"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Collaboration with WHO, ECOWAS regional surveillance body and vaccine/diagnostic development partners</w:t>
            </w:r>
          </w:p>
        </w:tc>
        <w:tc>
          <w:tcPr>
            <w:tcW w:w="3200" w:type="dxa"/>
            <w:tcMar>
              <w:top w:w="70" w:type="dxa"/>
              <w:left w:w="90" w:type="dxa"/>
              <w:bottom w:w="70" w:type="dxa"/>
              <w:right w:w="90" w:type="dxa"/>
            </w:tcMar>
          </w:tcPr>
          <w:p w14:paraId="05EFD87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Extends surveillance and research capacity across borders; coverage remains concentrated in a small number of reference sites regionally</w:t>
            </w:r>
          </w:p>
        </w:tc>
        <w:tc>
          <w:tcPr>
            <w:tcW w:w="2600" w:type="dxa"/>
            <w:tcMar>
              <w:top w:w="70" w:type="dxa"/>
              <w:left w:w="90" w:type="dxa"/>
              <w:bottom w:w="70" w:type="dxa"/>
              <w:right w:w="90" w:type="dxa"/>
            </w:tcMar>
          </w:tcPr>
          <w:p w14:paraId="5D4F24A4" w14:textId="051B6E6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Coalition for Epidemic Preparedness Innovations, </w:t>
            </w:r>
            <w:r w:rsidR="00917F55">
              <w:rPr>
                <w:rFonts w:ascii="Calibri" w:eastAsia="Calibri" w:hAnsi="Calibri" w:cs="Calibri"/>
                <w:color w:val="000000" w:themeColor="text1"/>
                <w:sz w:val="17"/>
                <w:szCs w:val="17"/>
              </w:rPr>
              <w:t>n.d.</w:t>
            </w:r>
          </w:p>
        </w:tc>
      </w:tr>
    </w:tbl>
    <w:p w14:paraId="1460E31D"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ECOWAS = Economic Community of West African States; WHO = World Health Organization. Table reflects components documented for Nigeria, which has the most extensively described national surveillance architecture among Lassa fever-endemic countries.</w:t>
      </w:r>
    </w:p>
    <w:p w14:paraId="63F5839C"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7. Diagnostic Advances: From Reference Molecular Testing to Point-of-Care Platforms</w:t>
      </w:r>
    </w:p>
    <w:p w14:paraId="5CC6DAB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Diagnostic confirmation of Lassa fever remains a substantial bottleneck throughout the endemic region. Reverse transcription polymerase chain reaction assays targeting conserved regions of the small and large genomic segments constitute the current reference standard, offering high analytical sensitivity but requiring laboratory infrastructure, a reliable cold chain and trained personnel that are largely confined to reference and tertiary-level facilities, leaving peripheral health centres, where most febrile patients first present, without access to timely confirmatory testing (Foundation for Innovative New Diagnostics [FIND], 2025). This structural mismatch between where diagnostic capacity exists and where patients present compounds the case-ascertainment difficulties discussed in section 3 and has motivated a sustained, multi-decade research effort toward decentralised point-of-care diagnostics, an effort whose results have been considerably more equivocal than early laboratory validation studies suggested.</w:t>
      </w:r>
    </w:p>
    <w:p w14:paraId="53C1F05B"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systematic review of the sensitivity and specificity of Lassa fever diagnostic tests, screening close to 2,000 records to identify eight studies meeting quality criteria, found that only a single rapid diagnostic test had been evaluated under field conditions at the time of the review, a lateral-flow immunoassay targeting recombinant Lassa fever virus antigen from the lineage IV Josiah strain, whose performance </w:t>
      </w:r>
      <w:r w:rsidRPr="00C25867">
        <w:rPr>
          <w:rFonts w:ascii="Calibri" w:eastAsia="Calibri" w:hAnsi="Calibri" w:cs="Calibri"/>
          <w:color w:val="000000" w:themeColor="text1"/>
          <w:sz w:val="22"/>
          <w:szCs w:val="22"/>
        </w:rPr>
        <w:lastRenderedPageBreak/>
        <w:t>under controlled conditions was comparable to established quantitative and standard reverse transcription polymerase chain reaction assays (</w:t>
      </w:r>
      <w:proofErr w:type="spellStart"/>
      <w:r w:rsidRPr="00C25867">
        <w:rPr>
          <w:rFonts w:ascii="Calibri" w:eastAsia="Calibri" w:hAnsi="Calibri" w:cs="Calibri"/>
          <w:color w:val="000000" w:themeColor="text1"/>
          <w:sz w:val="22"/>
          <w:szCs w:val="22"/>
        </w:rPr>
        <w:t>Takah</w:t>
      </w:r>
      <w:proofErr w:type="spellEnd"/>
      <w:r w:rsidRPr="00C25867">
        <w:rPr>
          <w:rFonts w:ascii="Calibri" w:eastAsia="Calibri" w:hAnsi="Calibri" w:cs="Calibri"/>
          <w:color w:val="000000" w:themeColor="text1"/>
          <w:sz w:val="22"/>
          <w:szCs w:val="22"/>
        </w:rPr>
        <w:t xml:space="preserve"> et al., 2019). This finding illustrated both the promise of antigen-based rapid testing and the acute paucity of rigorous field validation data available at that time, a gap that subsequent research has only partially closed.</w:t>
      </w:r>
    </w:p>
    <w:p w14:paraId="522EA448"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Molecular diagnostic approaches employing isothermal amplification paired with CRISPR-Cas13a-based detection have offered an alternative decentralisation pathway. A platform combining recombinase polymerase amplification with Cas13a-mediated detection, paired with a heat- and chemical-based sample inactivation protocol that eliminates the need for column-based nucleic acid extraction, was developed and validated for both Ebola virus and Lassa virus, incorporating clade-specific assays designed to accommodate the marked genetic diversity between lineage II, localised principally in Nigeria, and lineage IV, localised principally in Sierra Leone (Barnes et al., 2020). On panels of clinical samples from confirmed outbreaks in both countries, the platform achieved high sensitivity and specificity for both targeted clades and, notably, outperformed an established quantitative reverse transcription polymerase chain reaction assay when applied to lineage IV samples, a discrepancy attributed to primer-binding site mismatches affecting the comparator assay; a companion mobile phone application was developed to standardise interpretation of the platform's lateral-flow readout under field conditions. This technology was successfully deployed to partner laboratories in Sierra Leone and Nigeria, demonstrating feasibility beyond a purely laboratory-based proof of concept, although it has not yet achieved the regulatory pathway and scale of deployment associated with an established point-of-care diagnostic in routine clinical use.</w:t>
      </w:r>
    </w:p>
    <w:p w14:paraId="6261341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most consequential recent development in this literature is a rigorous field validation study of the Pan-Lassa antigen-based rapid diagnostic test, conducted prospectively among 217 participants at a federal tertiary hospital in </w:t>
      </w:r>
      <w:proofErr w:type="spellStart"/>
      <w:r w:rsidRPr="00C25867">
        <w:rPr>
          <w:rFonts w:ascii="Calibri" w:eastAsia="Calibri" w:hAnsi="Calibri" w:cs="Calibri"/>
          <w:color w:val="000000" w:themeColor="text1"/>
          <w:sz w:val="22"/>
          <w:szCs w:val="22"/>
        </w:rPr>
        <w:t>Abakaliki</w:t>
      </w:r>
      <w:proofErr w:type="spellEnd"/>
      <w:r w:rsidRPr="00C25867">
        <w:rPr>
          <w:rFonts w:ascii="Calibri" w:eastAsia="Calibri" w:hAnsi="Calibri" w:cs="Calibri"/>
          <w:color w:val="000000" w:themeColor="text1"/>
          <w:sz w:val="22"/>
          <w:szCs w:val="22"/>
        </w:rPr>
        <w:t>, south-eastern Nigeria, comparing bedside and laboratory-based test performance against a quantitative reverse transcription polymerase chain reaction reference standard (</w:t>
      </w:r>
      <w:proofErr w:type="spellStart"/>
      <w:r w:rsidRPr="00C25867">
        <w:rPr>
          <w:rFonts w:ascii="Calibri" w:eastAsia="Calibri" w:hAnsi="Calibri" w:cs="Calibri"/>
          <w:color w:val="000000" w:themeColor="text1"/>
          <w:sz w:val="22"/>
          <w:szCs w:val="22"/>
        </w:rPr>
        <w:t>Elsinga</w:t>
      </w:r>
      <w:proofErr w:type="spellEnd"/>
      <w:r w:rsidRPr="00C25867">
        <w:rPr>
          <w:rFonts w:ascii="Calibri" w:eastAsia="Calibri" w:hAnsi="Calibri" w:cs="Calibri"/>
          <w:color w:val="000000" w:themeColor="text1"/>
          <w:sz w:val="22"/>
          <w:szCs w:val="22"/>
        </w:rPr>
        <w:t xml:space="preserve"> et al., 2024). Although the test's specificity exceeded 90%, its sensitivity using capillary blood at the bedside was estimated at only 4% after 15 minutes of development and 10% after 25 minutes, figures dramatically lower than earlier, smaller-scale field evaluations of the same platform had suggested, and considerably below the performance threshold required for clinical utility as a screening or diagnostic tool. Positive results on the rapid test were associated with lower viral cycle threshold values, indicating that the assay's sensitivity is concentrated among patients with the highest viral loads and is correspondingly poor for earlier-stage or lower-viraemia infections, precisely the population in whom early diagnosis carries the greatest potential clinical benefit. An accompanying commentary situated this finding within the broader target product profile debate for Lassa fever diagnostics, emphasising that a genuinely useful point-of-care test must satisfy criteria for real-world affordability, sensitivity, specificity, user-friendliness, rapidity, equipment-free operation, deliverability and accessibility to end users, and that the currently available Pan-Lassa rapid diagnostic test cannot be recommended for clinical deployment on the basis of this evidence (Groger &amp; </w:t>
      </w:r>
      <w:proofErr w:type="spellStart"/>
      <w:r w:rsidRPr="00C25867">
        <w:rPr>
          <w:rFonts w:ascii="Calibri" w:eastAsia="Calibri" w:hAnsi="Calibri" w:cs="Calibri"/>
          <w:color w:val="000000" w:themeColor="text1"/>
          <w:sz w:val="22"/>
          <w:szCs w:val="22"/>
        </w:rPr>
        <w:t>Ramharter</w:t>
      </w:r>
      <w:proofErr w:type="spellEnd"/>
      <w:r w:rsidRPr="00C25867">
        <w:rPr>
          <w:rFonts w:ascii="Calibri" w:eastAsia="Calibri" w:hAnsi="Calibri" w:cs="Calibri"/>
          <w:color w:val="000000" w:themeColor="text1"/>
          <w:sz w:val="22"/>
          <w:szCs w:val="22"/>
        </w:rPr>
        <w:t>, 2024).</w:t>
      </w:r>
    </w:p>
    <w:p w14:paraId="46188A09"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This divergence between promising early-stage laboratory validation and disappointing field performance represents one of the clearest instances of genuine scientific disagreement identified in this review, and it carries substantial implications for diagnostic development strategy. A recent target product profile </w:t>
      </w:r>
      <w:r w:rsidRPr="00C25867">
        <w:rPr>
          <w:rFonts w:ascii="Calibri" w:eastAsia="Calibri" w:hAnsi="Calibri" w:cs="Calibri"/>
          <w:color w:val="000000" w:themeColor="text1"/>
          <w:sz w:val="22"/>
          <w:szCs w:val="22"/>
        </w:rPr>
        <w:lastRenderedPageBreak/>
        <w:t>assessment for Lassa fever diagnostics has identified antigen-based rapid diagnostic tests as a continuing priority area, notwithstanding the field validation setbacks described above, on the grounds that no alternative decentralised platform has yet demonstrated superior real-world performance, while simultaneously acknowledging that reverse transcription polymerase chain reaction and enzyme-linked immunosorbent assay testing remain confined predominantly to national and regional reference laboratories, leaving a persistent diagnostic gap at lower-tier health facilities (FIND, 2025). Metagenomic next-generation sequencing, discussed in section 5 principally in its surveillance role, has additionally demonstrated clinical diagnostic utility in identifying Lassa virus and other pathogens among febrile patients whose aetiology would otherwise remain undiagnosed, though its cost, turnaround time and technical complexity currently confine this approach to specialised reference and research settings rather than routine frontline diagnosis.</w:t>
      </w:r>
    </w:p>
    <w:p w14:paraId="367444C6"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4. Comparative performance and deployment characteristics of selected Lassa virus diagnostic modalities.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23"/>
        <w:gridCol w:w="2669"/>
        <w:gridCol w:w="2141"/>
        <w:gridCol w:w="2139"/>
      </w:tblGrid>
      <w:tr w:rsidR="00793C79" w:rsidRPr="00C25867" w14:paraId="03825667" w14:textId="77777777" w:rsidTr="00504BFF">
        <w:trPr>
          <w:tblHeader/>
        </w:trPr>
        <w:tc>
          <w:tcPr>
            <w:tcW w:w="2600" w:type="dxa"/>
            <w:shd w:val="clear" w:color="auto" w:fill="D9E2F3"/>
            <w:tcMar>
              <w:top w:w="70" w:type="dxa"/>
              <w:left w:w="90" w:type="dxa"/>
              <w:bottom w:w="70" w:type="dxa"/>
              <w:right w:w="90" w:type="dxa"/>
            </w:tcMar>
          </w:tcPr>
          <w:p w14:paraId="257F410A"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Diagnostic modality</w:t>
            </w:r>
          </w:p>
        </w:tc>
        <w:tc>
          <w:tcPr>
            <w:tcW w:w="3400" w:type="dxa"/>
            <w:shd w:val="clear" w:color="auto" w:fill="D9E2F3"/>
            <w:tcMar>
              <w:top w:w="70" w:type="dxa"/>
              <w:left w:w="90" w:type="dxa"/>
              <w:bottom w:w="70" w:type="dxa"/>
              <w:right w:w="90" w:type="dxa"/>
            </w:tcMar>
          </w:tcPr>
          <w:p w14:paraId="1DEEDFB2"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Reported performance</w:t>
            </w:r>
          </w:p>
        </w:tc>
        <w:tc>
          <w:tcPr>
            <w:tcW w:w="2600" w:type="dxa"/>
            <w:shd w:val="clear" w:color="auto" w:fill="D9E2F3"/>
            <w:tcMar>
              <w:top w:w="70" w:type="dxa"/>
              <w:left w:w="90" w:type="dxa"/>
              <w:bottom w:w="70" w:type="dxa"/>
              <w:right w:w="90" w:type="dxa"/>
            </w:tcMar>
          </w:tcPr>
          <w:p w14:paraId="700878F1"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Deployment setting / readiness</w:t>
            </w:r>
          </w:p>
        </w:tc>
        <w:tc>
          <w:tcPr>
            <w:tcW w:w="2600" w:type="dxa"/>
            <w:shd w:val="clear" w:color="auto" w:fill="D9E2F3"/>
            <w:tcMar>
              <w:top w:w="70" w:type="dxa"/>
              <w:left w:w="90" w:type="dxa"/>
              <w:bottom w:w="70" w:type="dxa"/>
              <w:right w:w="90" w:type="dxa"/>
            </w:tcMar>
          </w:tcPr>
          <w:p w14:paraId="1014A81F"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12703EE4" w14:textId="77777777" w:rsidTr="00504BFF">
        <w:tc>
          <w:tcPr>
            <w:tcW w:w="2600" w:type="dxa"/>
            <w:tcMar>
              <w:top w:w="70" w:type="dxa"/>
              <w:left w:w="90" w:type="dxa"/>
              <w:bottom w:w="70" w:type="dxa"/>
              <w:right w:w="90" w:type="dxa"/>
            </w:tcMar>
          </w:tcPr>
          <w:p w14:paraId="3A39562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Reference reverse transcription PCR</w:t>
            </w:r>
          </w:p>
        </w:tc>
        <w:tc>
          <w:tcPr>
            <w:tcW w:w="3400" w:type="dxa"/>
            <w:tcMar>
              <w:top w:w="70" w:type="dxa"/>
              <w:left w:w="90" w:type="dxa"/>
              <w:bottom w:w="70" w:type="dxa"/>
              <w:right w:w="90" w:type="dxa"/>
            </w:tcMar>
          </w:tcPr>
          <w:p w14:paraId="44ABF55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analytical sensitivity; considered the diagnostic reference standard</w:t>
            </w:r>
          </w:p>
        </w:tc>
        <w:tc>
          <w:tcPr>
            <w:tcW w:w="2600" w:type="dxa"/>
            <w:tcMar>
              <w:top w:w="70" w:type="dxa"/>
              <w:left w:w="90" w:type="dxa"/>
              <w:bottom w:w="70" w:type="dxa"/>
              <w:right w:w="90" w:type="dxa"/>
            </w:tcMar>
          </w:tcPr>
          <w:p w14:paraId="13F08B5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Requires laboratory infrastructure and cold chain; largely confined to reference and tertiary facilities</w:t>
            </w:r>
          </w:p>
        </w:tc>
        <w:tc>
          <w:tcPr>
            <w:tcW w:w="2600" w:type="dxa"/>
            <w:tcMar>
              <w:top w:w="70" w:type="dxa"/>
              <w:left w:w="90" w:type="dxa"/>
              <w:bottom w:w="70" w:type="dxa"/>
              <w:right w:w="90" w:type="dxa"/>
            </w:tcMar>
          </w:tcPr>
          <w:p w14:paraId="0E1D3B1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FIND, 2025</w:t>
            </w:r>
          </w:p>
        </w:tc>
      </w:tr>
      <w:tr w:rsidR="00793C79" w:rsidRPr="00C25867" w14:paraId="5507384A" w14:textId="77777777" w:rsidTr="00504BFF">
        <w:tc>
          <w:tcPr>
            <w:tcW w:w="2600" w:type="dxa"/>
            <w:tcMar>
              <w:top w:w="70" w:type="dxa"/>
              <w:left w:w="90" w:type="dxa"/>
              <w:bottom w:w="70" w:type="dxa"/>
              <w:right w:w="90" w:type="dxa"/>
            </w:tcMar>
          </w:tcPr>
          <w:p w14:paraId="7729756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Lateral-flow antigen rapid diagnostic test (Josiah strain-based, early evaluation)</w:t>
            </w:r>
          </w:p>
        </w:tc>
        <w:tc>
          <w:tcPr>
            <w:tcW w:w="3400" w:type="dxa"/>
            <w:tcMar>
              <w:top w:w="70" w:type="dxa"/>
              <w:left w:w="90" w:type="dxa"/>
              <w:bottom w:w="70" w:type="dxa"/>
              <w:right w:w="90" w:type="dxa"/>
            </w:tcMar>
          </w:tcPr>
          <w:p w14:paraId="0C89388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Sensitivity and specificity comparable to standard RT-PCR in the single field-validated study identified by a 2019 systematic review</w:t>
            </w:r>
          </w:p>
        </w:tc>
        <w:tc>
          <w:tcPr>
            <w:tcW w:w="2600" w:type="dxa"/>
            <w:tcMar>
              <w:top w:w="70" w:type="dxa"/>
              <w:left w:w="90" w:type="dxa"/>
              <w:bottom w:w="70" w:type="dxa"/>
              <w:right w:w="90" w:type="dxa"/>
            </w:tcMar>
          </w:tcPr>
          <w:p w14:paraId="074A335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Limited field evaluation data available at time of review</w:t>
            </w:r>
          </w:p>
        </w:tc>
        <w:tc>
          <w:tcPr>
            <w:tcW w:w="2600" w:type="dxa"/>
            <w:tcMar>
              <w:top w:w="70" w:type="dxa"/>
              <w:left w:w="90" w:type="dxa"/>
              <w:bottom w:w="70" w:type="dxa"/>
              <w:right w:w="90" w:type="dxa"/>
            </w:tcMar>
          </w:tcPr>
          <w:p w14:paraId="44A04F19"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Takah</w:t>
            </w:r>
            <w:proofErr w:type="spellEnd"/>
            <w:r w:rsidRPr="00C25867">
              <w:rPr>
                <w:rFonts w:ascii="Calibri" w:eastAsia="Calibri" w:hAnsi="Calibri" w:cs="Calibri"/>
                <w:color w:val="000000" w:themeColor="text1"/>
                <w:sz w:val="17"/>
                <w:szCs w:val="17"/>
              </w:rPr>
              <w:t xml:space="preserve"> et al., 2019</w:t>
            </w:r>
          </w:p>
        </w:tc>
      </w:tr>
      <w:tr w:rsidR="00793C79" w:rsidRPr="00C25867" w14:paraId="5E9E1513" w14:textId="77777777" w:rsidTr="00504BFF">
        <w:tc>
          <w:tcPr>
            <w:tcW w:w="2600" w:type="dxa"/>
            <w:tcMar>
              <w:top w:w="70" w:type="dxa"/>
              <w:left w:w="90" w:type="dxa"/>
              <w:bottom w:w="70" w:type="dxa"/>
              <w:right w:w="90" w:type="dxa"/>
            </w:tcMar>
          </w:tcPr>
          <w:p w14:paraId="1107504B"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ReLASV</w:t>
            </w:r>
            <w:proofErr w:type="spellEnd"/>
            <w:r w:rsidRPr="00C25867">
              <w:rPr>
                <w:rFonts w:ascii="Calibri" w:eastAsia="Calibri" w:hAnsi="Calibri" w:cs="Calibri"/>
                <w:color w:val="000000" w:themeColor="text1"/>
                <w:sz w:val="17"/>
                <w:szCs w:val="17"/>
              </w:rPr>
              <w:t xml:space="preserve"> Pan-Lassa rapid diagnostic test (prospective field validation, </w:t>
            </w:r>
            <w:proofErr w:type="spellStart"/>
            <w:r w:rsidRPr="00C25867">
              <w:rPr>
                <w:rFonts w:ascii="Calibri" w:eastAsia="Calibri" w:hAnsi="Calibri" w:cs="Calibri"/>
                <w:color w:val="000000" w:themeColor="text1"/>
                <w:sz w:val="17"/>
                <w:szCs w:val="17"/>
              </w:rPr>
              <w:t>Abakaliki</w:t>
            </w:r>
            <w:proofErr w:type="spellEnd"/>
            <w:r w:rsidRPr="00C25867">
              <w:rPr>
                <w:rFonts w:ascii="Calibri" w:eastAsia="Calibri" w:hAnsi="Calibri" w:cs="Calibri"/>
                <w:color w:val="000000" w:themeColor="text1"/>
                <w:sz w:val="17"/>
                <w:szCs w:val="17"/>
              </w:rPr>
              <w:t>)</w:t>
            </w:r>
          </w:p>
        </w:tc>
        <w:tc>
          <w:tcPr>
            <w:tcW w:w="3400" w:type="dxa"/>
            <w:tcMar>
              <w:top w:w="70" w:type="dxa"/>
              <w:left w:w="90" w:type="dxa"/>
              <w:bottom w:w="70" w:type="dxa"/>
              <w:right w:w="90" w:type="dxa"/>
            </w:tcMar>
          </w:tcPr>
          <w:p w14:paraId="60A005D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Specificity greater than 90%; bedside capillary-blood sensitivity of only 4% at 15 minutes and 10% at 25 minutes</w:t>
            </w:r>
          </w:p>
        </w:tc>
        <w:tc>
          <w:tcPr>
            <w:tcW w:w="2600" w:type="dxa"/>
            <w:tcMar>
              <w:top w:w="70" w:type="dxa"/>
              <w:left w:w="90" w:type="dxa"/>
              <w:bottom w:w="70" w:type="dxa"/>
              <w:right w:w="90" w:type="dxa"/>
            </w:tcMar>
          </w:tcPr>
          <w:p w14:paraId="760C0215"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Not currently recommended for clinical or screening use</w:t>
            </w:r>
          </w:p>
        </w:tc>
        <w:tc>
          <w:tcPr>
            <w:tcW w:w="2600" w:type="dxa"/>
            <w:tcMar>
              <w:top w:w="70" w:type="dxa"/>
              <w:left w:w="90" w:type="dxa"/>
              <w:bottom w:w="70" w:type="dxa"/>
              <w:right w:w="90" w:type="dxa"/>
            </w:tcMar>
          </w:tcPr>
          <w:p w14:paraId="45B8D3B1"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Elsinga</w:t>
            </w:r>
            <w:proofErr w:type="spellEnd"/>
            <w:r w:rsidRPr="00C25867">
              <w:rPr>
                <w:rFonts w:ascii="Calibri" w:eastAsia="Calibri" w:hAnsi="Calibri" w:cs="Calibri"/>
                <w:color w:val="000000" w:themeColor="text1"/>
                <w:sz w:val="17"/>
                <w:szCs w:val="17"/>
              </w:rPr>
              <w:t xml:space="preserve"> et al., 2024; Groger &amp; </w:t>
            </w:r>
            <w:proofErr w:type="spellStart"/>
            <w:r w:rsidRPr="00C25867">
              <w:rPr>
                <w:rFonts w:ascii="Calibri" w:eastAsia="Calibri" w:hAnsi="Calibri" w:cs="Calibri"/>
                <w:color w:val="000000" w:themeColor="text1"/>
                <w:sz w:val="17"/>
                <w:szCs w:val="17"/>
              </w:rPr>
              <w:t>Ramharter</w:t>
            </w:r>
            <w:proofErr w:type="spellEnd"/>
            <w:r w:rsidRPr="00C25867">
              <w:rPr>
                <w:rFonts w:ascii="Calibri" w:eastAsia="Calibri" w:hAnsi="Calibri" w:cs="Calibri"/>
                <w:color w:val="000000" w:themeColor="text1"/>
                <w:sz w:val="17"/>
                <w:szCs w:val="17"/>
              </w:rPr>
              <w:t>, 2024</w:t>
            </w:r>
          </w:p>
        </w:tc>
      </w:tr>
      <w:tr w:rsidR="00793C79" w:rsidRPr="00C25867" w14:paraId="09F4E7B2" w14:textId="77777777" w:rsidTr="00504BFF">
        <w:tc>
          <w:tcPr>
            <w:tcW w:w="2600" w:type="dxa"/>
            <w:tcMar>
              <w:top w:w="70" w:type="dxa"/>
              <w:left w:w="90" w:type="dxa"/>
              <w:bottom w:w="70" w:type="dxa"/>
              <w:right w:w="90" w:type="dxa"/>
            </w:tcMar>
          </w:tcPr>
          <w:p w14:paraId="719B69B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CRISPR-Cas13a (SHERLOCK) with HUDSON sample preparation</w:t>
            </w:r>
          </w:p>
        </w:tc>
        <w:tc>
          <w:tcPr>
            <w:tcW w:w="3400" w:type="dxa"/>
            <w:tcMar>
              <w:top w:w="70" w:type="dxa"/>
              <w:left w:w="90" w:type="dxa"/>
              <w:bottom w:w="70" w:type="dxa"/>
              <w:right w:w="90" w:type="dxa"/>
            </w:tcMar>
          </w:tcPr>
          <w:p w14:paraId="7232ABC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sensitivity and specificity for clade-matched targets; outperformed a comparator RT-qPCR assay for lineage IV samples in validation panels</w:t>
            </w:r>
          </w:p>
        </w:tc>
        <w:tc>
          <w:tcPr>
            <w:tcW w:w="2600" w:type="dxa"/>
            <w:tcMar>
              <w:top w:w="70" w:type="dxa"/>
              <w:left w:w="90" w:type="dxa"/>
              <w:bottom w:w="70" w:type="dxa"/>
              <w:right w:w="90" w:type="dxa"/>
            </w:tcMar>
          </w:tcPr>
          <w:p w14:paraId="1CF5C51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Deployed to partner laboratories in Sierra Leone and Nigeria; not yet in routine clinical use</w:t>
            </w:r>
          </w:p>
        </w:tc>
        <w:tc>
          <w:tcPr>
            <w:tcW w:w="2600" w:type="dxa"/>
            <w:tcMar>
              <w:top w:w="70" w:type="dxa"/>
              <w:left w:w="90" w:type="dxa"/>
              <w:bottom w:w="70" w:type="dxa"/>
              <w:right w:w="90" w:type="dxa"/>
            </w:tcMar>
          </w:tcPr>
          <w:p w14:paraId="1B96F9A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Barnes et al., 2020</w:t>
            </w:r>
          </w:p>
        </w:tc>
      </w:tr>
      <w:tr w:rsidR="00793C79" w:rsidRPr="00C25867" w14:paraId="670E7CD2" w14:textId="77777777" w:rsidTr="00504BFF">
        <w:tc>
          <w:tcPr>
            <w:tcW w:w="2600" w:type="dxa"/>
            <w:tcMar>
              <w:top w:w="70" w:type="dxa"/>
              <w:left w:w="90" w:type="dxa"/>
              <w:bottom w:w="70" w:type="dxa"/>
              <w:right w:w="90" w:type="dxa"/>
            </w:tcMar>
          </w:tcPr>
          <w:p w14:paraId="1369519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Metagenomic next-generation sequencing</w:t>
            </w:r>
          </w:p>
        </w:tc>
        <w:tc>
          <w:tcPr>
            <w:tcW w:w="3400" w:type="dxa"/>
            <w:tcMar>
              <w:top w:w="70" w:type="dxa"/>
              <w:left w:w="90" w:type="dxa"/>
              <w:bottom w:w="70" w:type="dxa"/>
              <w:right w:w="90" w:type="dxa"/>
            </w:tcMar>
          </w:tcPr>
          <w:p w14:paraId="4A6BAAA1"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High diagnostic yield for Lassa virus and co-circulating pathogens among undiagnosed febrile illness</w:t>
            </w:r>
          </w:p>
        </w:tc>
        <w:tc>
          <w:tcPr>
            <w:tcW w:w="2600" w:type="dxa"/>
            <w:tcMar>
              <w:top w:w="70" w:type="dxa"/>
              <w:left w:w="90" w:type="dxa"/>
              <w:bottom w:w="70" w:type="dxa"/>
              <w:right w:w="90" w:type="dxa"/>
            </w:tcMar>
          </w:tcPr>
          <w:p w14:paraId="1F7DB2BD"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Confined to specialised reference and research laboratories owing to cost and turnaround time</w:t>
            </w:r>
          </w:p>
        </w:tc>
        <w:tc>
          <w:tcPr>
            <w:tcW w:w="2600" w:type="dxa"/>
            <w:tcMar>
              <w:top w:w="70" w:type="dxa"/>
              <w:left w:w="90" w:type="dxa"/>
              <w:bottom w:w="70" w:type="dxa"/>
              <w:right w:w="90" w:type="dxa"/>
            </w:tcMar>
          </w:tcPr>
          <w:p w14:paraId="343EC4BE"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Kafetzopoulou</w:t>
            </w:r>
            <w:proofErr w:type="spellEnd"/>
            <w:r w:rsidRPr="00C25867">
              <w:rPr>
                <w:rFonts w:ascii="Calibri" w:eastAsia="Calibri" w:hAnsi="Calibri" w:cs="Calibri"/>
                <w:color w:val="000000" w:themeColor="text1"/>
                <w:sz w:val="17"/>
                <w:szCs w:val="17"/>
              </w:rPr>
              <w:t xml:space="preserve"> et al., 2019</w:t>
            </w:r>
          </w:p>
        </w:tc>
      </w:tr>
      <w:tr w:rsidR="00793C79" w:rsidRPr="00C25867" w14:paraId="52881637" w14:textId="77777777" w:rsidTr="00504BFF">
        <w:tc>
          <w:tcPr>
            <w:tcW w:w="2600" w:type="dxa"/>
            <w:tcMar>
              <w:top w:w="70" w:type="dxa"/>
              <w:left w:w="90" w:type="dxa"/>
              <w:bottom w:w="70" w:type="dxa"/>
              <w:right w:w="90" w:type="dxa"/>
            </w:tcMar>
          </w:tcPr>
          <w:p w14:paraId="31D76F4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Antigen-based rapid diagnostic tests (target product profile assessment)</w:t>
            </w:r>
          </w:p>
        </w:tc>
        <w:tc>
          <w:tcPr>
            <w:tcW w:w="3400" w:type="dxa"/>
            <w:tcMar>
              <w:top w:w="70" w:type="dxa"/>
              <w:left w:w="90" w:type="dxa"/>
              <w:bottom w:w="70" w:type="dxa"/>
              <w:right w:w="90" w:type="dxa"/>
            </w:tcMar>
          </w:tcPr>
          <w:p w14:paraId="30D52C0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Identified as a continuing priority development area despite recent field validation setbacks</w:t>
            </w:r>
          </w:p>
        </w:tc>
        <w:tc>
          <w:tcPr>
            <w:tcW w:w="2600" w:type="dxa"/>
            <w:tcMar>
              <w:top w:w="70" w:type="dxa"/>
              <w:left w:w="90" w:type="dxa"/>
              <w:bottom w:w="70" w:type="dxa"/>
              <w:right w:w="90" w:type="dxa"/>
            </w:tcMar>
          </w:tcPr>
          <w:p w14:paraId="7D078AB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No currently available platform meets full target product profile criteria for decentralised use</w:t>
            </w:r>
          </w:p>
        </w:tc>
        <w:tc>
          <w:tcPr>
            <w:tcW w:w="2600" w:type="dxa"/>
            <w:tcMar>
              <w:top w:w="70" w:type="dxa"/>
              <w:left w:w="90" w:type="dxa"/>
              <w:bottom w:w="70" w:type="dxa"/>
              <w:right w:w="90" w:type="dxa"/>
            </w:tcMar>
          </w:tcPr>
          <w:p w14:paraId="256298A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FIND, 2025</w:t>
            </w:r>
          </w:p>
        </w:tc>
      </w:tr>
    </w:tbl>
    <w:p w14:paraId="49C90F00"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PCR = polymerase chain reaction; RT-PCR = reverse transcription polymerase chain reaction; RT-qPCR = quantitative reverse transcription polymerase chain reaction. Performance figures are drawn from the cited studies and are not directly comparable across differing reference standards, sample types and study populations.</w:t>
      </w:r>
    </w:p>
    <w:p w14:paraId="415156BB"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8. Clinical Management, Therapeutics and Vaccine Development</w:t>
      </w:r>
    </w:p>
    <w:p w14:paraId="687914B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Clinical management of Lassa fever remains predominantly supportive, centred on fluid and electrolyte management, monitoring for and treatment of complications such as acute kidney injury and coagulopathy, and, where available, ribavirin as the sole antiviral agent in routine clinical use. An observational cohort study of clinical and laboratory predictors of outcome among patients treated at a dedicated Lassa fever treatment facility in Nigeria identified several markers, including markedly elevated liver transaminases and evidence of bleeding, as being associated with poor prognosis, findings that have informed triage and prognostication in specialist treatment settings, though their generalisability to less intensively resourced facilities has not been established (</w:t>
      </w:r>
      <w:proofErr w:type="spellStart"/>
      <w:r w:rsidRPr="00C25867">
        <w:rPr>
          <w:rFonts w:ascii="Calibri" w:eastAsia="Calibri" w:hAnsi="Calibri" w:cs="Calibri"/>
          <w:color w:val="000000" w:themeColor="text1"/>
          <w:sz w:val="22"/>
          <w:szCs w:val="22"/>
        </w:rPr>
        <w:t>Okokhere</w:t>
      </w:r>
      <w:proofErr w:type="spellEnd"/>
      <w:r w:rsidRPr="00C25867">
        <w:rPr>
          <w:rFonts w:ascii="Calibri" w:eastAsia="Calibri" w:hAnsi="Calibri" w:cs="Calibri"/>
          <w:color w:val="000000" w:themeColor="text1"/>
          <w:sz w:val="22"/>
          <w:szCs w:val="22"/>
        </w:rPr>
        <w:t xml:space="preserve"> et al., 2018).</w:t>
      </w:r>
    </w:p>
    <w:p w14:paraId="081C3641"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evidentiary basis supporting ribavirin, notwithstanding its inclusion on international essential medicines lists and its status as the standard of care recommended in national and international treatment guidelines, has been repeatedly found on rigorous re-examination to be substantially weaker than its widespread clinical use would suggest. A systematic review and meta-analysis identifying six studies providing efficacy data found that, beyond a body of retrospective case series, the evidence base relies overwhelmingly on a single prospective clinical trial conducted in the 1980s, and that this trial carries a critical risk of bias arising from its use of historical rather than concurrently randomised controls, non-random treatment allocation, and heterogeneous laboratory confirmation practices (Eberhardt et al., 2019). A separate systematic review examining unpublished as well as published data, including material obtained through a United States Freedom of Information Act request relating to an unpublished Sierra Leonean study, similarly concluded that, although ribavirin treatment was associated with reduced mortality in several of the reviewed studies, this association was substantially compromised by confounding, immortal time bias and incomplete outcome reporting, such that robust evidence supporting ribavirin's clinical effectiveness remains lacking. A further, methodologically distinct systematic review of the pre-clinical pharmacological evidence supporting ribavirin use concluded that in-vitro data on the drug's antiviral activity against Lassa virus are highly inconsistent across studies and cell systems, and that pharmacokinetic modelling based on healthy human volunteer data suggests that currently used ribavirin dosing regimens may not reliably achieve the blood concentrations required to inhibit viral replication, raising the further possibility that the standard treatment regimen is pharmacologically underdosed even if the underlying antiviral mechanism is sound. Taken together, this body of re-analysis represents one of the more consequential instances of evidence-based reappraisal in the Lassa fever literature, and it underscores the urgent need for a properly randomised, adequately powered clinical trial of ribavirin, a need that has been explicitly recognised by international treatment guideline bodies but has not, at the time of this review, been met.</w:t>
      </w:r>
    </w:p>
    <w:p w14:paraId="3D5A0E91" w14:textId="4B7DD0DD"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Against this backdrop of therapeutic uncertainty, vaccine development has progressed more substantively over the past several years than at any prior point in the disease's recorded history. No licensed vaccine against Lassa fever currently exists, but multiple candidates employing distinct platforms have advanced into clinical evaluation, coordinated substantially through the Coalition for Epidemic Preparedness Innovations and its partner organisations, including engagement with the Economic Community of West African States regional surveillance body and national public health agencies across the most heavily affected countries (Coalition for Epidemic Preparedness Innovations, </w:t>
      </w:r>
      <w:r w:rsidR="00917F55">
        <w:rPr>
          <w:rFonts w:ascii="Calibri" w:eastAsia="Calibri" w:hAnsi="Calibri" w:cs="Calibri"/>
          <w:color w:val="000000" w:themeColor="text1"/>
          <w:sz w:val="22"/>
          <w:szCs w:val="22"/>
        </w:rPr>
        <w:t>n.d.</w:t>
      </w:r>
      <w:r w:rsidRPr="00C25867">
        <w:rPr>
          <w:rFonts w:ascii="Calibri" w:eastAsia="Calibri" w:hAnsi="Calibri" w:cs="Calibri"/>
          <w:color w:val="000000" w:themeColor="text1"/>
          <w:sz w:val="22"/>
          <w:szCs w:val="22"/>
        </w:rPr>
        <w:t xml:space="preserve">). The most clinically advanced candidate, a replication-competent recombinant vesicular stomatitis virus-vectored vaccine encoding the </w:t>
      </w:r>
      <w:r w:rsidRPr="00C25867">
        <w:rPr>
          <w:rFonts w:ascii="Calibri" w:eastAsia="Calibri" w:hAnsi="Calibri" w:cs="Calibri"/>
          <w:color w:val="000000" w:themeColor="text1"/>
          <w:sz w:val="22"/>
          <w:szCs w:val="22"/>
        </w:rPr>
        <w:lastRenderedPageBreak/>
        <w:t>Lassa virus glycoprotein complex, was evaluated in a phase 1, double-blind trial conducted in the United States and Liberia, in which 114 healthy adults received escalating single or repeated doses (Malkin et al., 2025). The vaccine demonstrated an acceptable safety profile, with transient local and systemic reactogenicity but no vaccine-related serious adverse events, and, of particular clinical significance given that sensorineural hearing loss is a recognised complication of natural infection, no vaccine-associated hearing loss was detected; the vaccine additionally elicited immune responses across the dose range studied, supporting its advancement into an ongoing phase 2 efficacy and safety trial across multiple West African countries.</w:t>
      </w:r>
    </w:p>
    <w:p w14:paraId="42ED97EF"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Health-economic modelling has begun to quantify the potential population-level impact of eventual vaccine deployment, work that is necessarily provisional given the substantial parameter uncertainty documented in section 3 but that nonetheless offers a structured basis for prioritising deployment strategies. One influential modelling study projected the ten-year health-economic burden of Lassa virus infection across West Africa and evaluated a series of reactive and preventive vaccination campaign scenarios, finding that population-wide preventive vaccination targeting World Health Organization-classified endemic districts would avert substantially more disability-adjusted life years and societal cost than reactive vaccination deployed in response to localised outbreaks, and additionally modelling the potential impact of rapid vaccine deployment against a hypothetical, more transmissible pandemic Lassa virus variant under an accelerated hundred-day vaccine development and deployment framework (Smith et al., 2024). These projections, while informative for strategic planning, inherit the underlying uncertainty in incidence, hospitalisation and case-fatality parameters discussed in section 3, and should accordingly be interpreted as illustrative of the relative merits of different deployment strategies rather than as precise forecasts of absolute health-economic impact.</w:t>
      </w:r>
    </w:p>
    <w:p w14:paraId="2FEA7BB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overall trajectory of the therapeutic and preventive countermeasure landscape is therefore one of cautious but genuine progress on the vaccine front, occurring in parallel with an increasingly critical reappraisal of the evidentiary basis for existing antiviral treatment. This asymmetry has direct implications for the balance of research investment recommended in the Future Directions section below: continued acceleration of vaccine trials should not come at the expense of the randomised therapeutic trials required to establish, on a proper evidentiary footing, whether ribavirin, at current or revised dosing, confers meaningful clinical benefit.</w:t>
      </w:r>
    </w:p>
    <w:p w14:paraId="51984DA1"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9. Special Populations, Nosocomial Transmission and Long-Term Sequelae</w:t>
      </w:r>
    </w:p>
    <w:p w14:paraId="5AE6FDE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Pregnant women constitute one of the most severely affected subgroups within the Lassa fever-endemic population, and the evidence documenting this disparity is comparatively robust relative to other special-population literatures reviewed in this article. The pooled systematic review evidence summarised in Table 1 indicates a maternal case-fatality proportion approaching one-third and a relative risk of death roughly three-fold higher than among non-pregnant women of similar age, alongside high rates of </w:t>
      </w:r>
      <w:proofErr w:type="spellStart"/>
      <w:r w:rsidRPr="00C25867">
        <w:rPr>
          <w:rFonts w:ascii="Calibri" w:eastAsia="Calibri" w:hAnsi="Calibri" w:cs="Calibri"/>
          <w:color w:val="000000" w:themeColor="text1"/>
          <w:sz w:val="22"/>
          <w:szCs w:val="22"/>
        </w:rPr>
        <w:t>fetal</w:t>
      </w:r>
      <w:proofErr w:type="spellEnd"/>
      <w:r w:rsidRPr="00C25867">
        <w:rPr>
          <w:rFonts w:ascii="Calibri" w:eastAsia="Calibri" w:hAnsi="Calibri" w:cs="Calibri"/>
          <w:color w:val="000000" w:themeColor="text1"/>
          <w:sz w:val="22"/>
          <w:szCs w:val="22"/>
        </w:rPr>
        <w:t xml:space="preserve"> and perinatal loss (Kayem et al., 2020). A retrospective cohort study of Lassa fever in pregnancy conducted in southern Nigeria has further characterised the clinical course and outcomes of maternal infection, contributing case-level detail that complements the pooled meta-analytic estimates and informing </w:t>
      </w:r>
      <w:r w:rsidRPr="00C25867">
        <w:rPr>
          <w:rFonts w:ascii="Calibri" w:eastAsia="Calibri" w:hAnsi="Calibri" w:cs="Calibri"/>
          <w:color w:val="000000" w:themeColor="text1"/>
          <w:sz w:val="22"/>
          <w:szCs w:val="22"/>
        </w:rPr>
        <w:lastRenderedPageBreak/>
        <w:t>obstetric management guidance, including evidence suggesting that evacuation of the uterus, whether through spontaneous or induced delivery, is associated with improved maternal survival relative to continuation of pregnancy (</w:t>
      </w:r>
      <w:proofErr w:type="spellStart"/>
      <w:r w:rsidRPr="00C25867">
        <w:rPr>
          <w:rFonts w:ascii="Calibri" w:eastAsia="Calibri" w:hAnsi="Calibri" w:cs="Calibri"/>
          <w:color w:val="000000" w:themeColor="text1"/>
          <w:sz w:val="22"/>
          <w:szCs w:val="22"/>
        </w:rPr>
        <w:t>Okogbenin</w:t>
      </w:r>
      <w:proofErr w:type="spellEnd"/>
      <w:r w:rsidRPr="00C25867">
        <w:rPr>
          <w:rFonts w:ascii="Calibri" w:eastAsia="Calibri" w:hAnsi="Calibri" w:cs="Calibri"/>
          <w:color w:val="000000" w:themeColor="text1"/>
          <w:sz w:val="22"/>
          <w:szCs w:val="22"/>
        </w:rPr>
        <w:t xml:space="preserve"> et al., 2019). Notwithstanding this relatively developed evidence base, the underlying studies are predominantly small, hospital-based case series drawn from a small number of specialist referral centres, limiting the generalisability of point estimates to the broader population of pregnant women who may never present to a facility capable of confirmatory testing, and robust, adequately powered evaluation of the efficacy and safety of ribavirin specifically within pregnancy remains unresolved, an important omission given the general uncertainty regarding ribavirin's therapeutic benefit discussed in section 8.</w:t>
      </w:r>
    </w:p>
    <w:p w14:paraId="6AA6FCF3"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Healthcare workers represent a second population disproportionately affected by Lassa virus infection, reflecting the well-documented capacity of the virus for nosocomial transmission in settings with inadequate infection prevention and control practice. During the 2018 Nigerian case surge, healthcare workers accounted for approximately 8% of all reported cases nationally, and a detailed investigation of a cluster of nosocomial infections at a single tertiary health facility that year identified sixteen affected healthcare workers, five of whom died, with interviews of affected staff pointing to a low initial index of clinical suspicion for Lassa fever, given its non-specific early presentation, as a key contributing factor to inadequate use of personal protective equipment and other infection prevention and control measures. This pattern, a delayed diagnosis-driven breakdown in routine precautions rather than a fundamental inadequacy of available protective equipment or protocols, recurs across the healthcare worker infection literature and points toward clinical education and index-of-suspicion interventions, rather than equipment procurement alone, as a priority area for nosocomial prevention. Facility-level interventions bundling staff training, strengthened personal protective equipment protocols, environmental disinfection and structured waste management have demonstrated the capacity to reduce hospital-based transmission substantially when implemented in response to identified outbreaks, though such interventions have generally been evaluated through single-facility before-and-after comparisons rather than more rigorous controlled study designs, limiting the strength of causal inference regarding their independent contribution.</w:t>
      </w:r>
    </w:p>
    <w:p w14:paraId="2342F06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Survivors of Lassa fever, including those who experienced only mild or moderate acute illness, are increasingly recognised as bearing a substantial and clinically under-served burden of long-term sequelae. Sensorineural hearing loss is the most consistently documented complication, with pooled estimates from scoping and systematic review evidence indicating that between roughly one in six and one in three survivors are affected, frequently bilaterally and in association with balance disturbance, and that the hearing loss, once established, is generally irreversible. The underlying pathophysiological mechanism remains incompletely characterised, and hearing loss has been documented even among individuals who experienced only asymptomatic or mild acute infection, a finding with substantial implications for how the true disease burden of Lassa virus infection should be conceptualised, since burden estimates confined to acute clinical severity are likely to understate materially the population-level impact of infection. Additional reported sequelae, with more limited and heterogeneous supporting evidence, include delayed-onset neurological complications such as paraparesis and seizures, cognitive impairment, ophthalmic manifestations including cataract and retinal haemorrhage, and psychiatric sequelae including </w:t>
      </w:r>
      <w:r w:rsidRPr="00C25867">
        <w:rPr>
          <w:rFonts w:ascii="Calibri" w:eastAsia="Calibri" w:hAnsi="Calibri" w:cs="Calibri"/>
          <w:color w:val="000000" w:themeColor="text1"/>
          <w:sz w:val="22"/>
          <w:szCs w:val="22"/>
        </w:rPr>
        <w:lastRenderedPageBreak/>
        <w:t>depression; the evidence base for these non-auditory sequelae is drawn from a small number of studies concentrated in Nigeria, Sierra Leone and among medically evacuated patients managed in Germany, limiting confidence in the generalisability and precision of prevalence estimates. Reassuringly, early phase 1 vaccine trial data have not detected vaccine-associated hearing loss, a specific safety endpoint given particular attention precisely because of its established association with natural infection (Malkin et al., 2025).</w:t>
      </w:r>
    </w:p>
    <w:p w14:paraId="5A0DC8D4"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 xml:space="preserve">10. </w:t>
      </w:r>
      <w:proofErr w:type="spellStart"/>
      <w:r w:rsidRPr="00C25867">
        <w:rPr>
          <w:rFonts w:ascii="Calibri" w:eastAsia="Calibri" w:hAnsi="Calibri" w:cs="Calibri"/>
          <w:b/>
          <w:bCs/>
          <w:color w:val="000000" w:themeColor="text1"/>
          <w:sz w:val="27"/>
          <w:szCs w:val="27"/>
        </w:rPr>
        <w:t>Lujo</w:t>
      </w:r>
      <w:proofErr w:type="spellEnd"/>
      <w:r w:rsidRPr="00C25867">
        <w:rPr>
          <w:rFonts w:ascii="Calibri" w:eastAsia="Calibri" w:hAnsi="Calibri" w:cs="Calibri"/>
          <w:b/>
          <w:bCs/>
          <w:color w:val="000000" w:themeColor="text1"/>
          <w:sz w:val="27"/>
          <w:szCs w:val="27"/>
        </w:rPr>
        <w:t xml:space="preserve"> Virus and the Wider Landscape of African Arenaviruses</w:t>
      </w:r>
    </w:p>
    <w:p w14:paraId="5DDE614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virus is not the only pathogenic arenavirus documented on the African continent, and situating it within this broader virological family clarifies both the distinctiveness of its epidemiology and the generalisable lessons that African arenavirus emergence events offer for outbreak preparedness more broadly. Several other arenaviruses have been characterised from African rodent reservoirs, including </w:t>
      </w:r>
      <w:proofErr w:type="spellStart"/>
      <w:r w:rsidRPr="00C25867">
        <w:rPr>
          <w:rFonts w:ascii="Calibri" w:eastAsia="Calibri" w:hAnsi="Calibri" w:cs="Calibri"/>
          <w:color w:val="000000" w:themeColor="text1"/>
          <w:sz w:val="22"/>
          <w:szCs w:val="22"/>
        </w:rPr>
        <w:t>Ippy</w:t>
      </w:r>
      <w:proofErr w:type="spellEnd"/>
      <w:r w:rsidRPr="00C25867">
        <w:rPr>
          <w:rFonts w:ascii="Calibri" w:eastAsia="Calibri" w:hAnsi="Calibri" w:cs="Calibri"/>
          <w:color w:val="000000" w:themeColor="text1"/>
          <w:sz w:val="22"/>
          <w:szCs w:val="22"/>
        </w:rPr>
        <w:t xml:space="preserve"> virus and </w:t>
      </w:r>
      <w:proofErr w:type="spellStart"/>
      <w:r w:rsidRPr="00C25867">
        <w:rPr>
          <w:rFonts w:ascii="Calibri" w:eastAsia="Calibri" w:hAnsi="Calibri" w:cs="Calibri"/>
          <w:color w:val="000000" w:themeColor="text1"/>
          <w:sz w:val="22"/>
          <w:szCs w:val="22"/>
        </w:rPr>
        <w:t>Mobala</w:t>
      </w:r>
      <w:proofErr w:type="spellEnd"/>
      <w:r w:rsidRPr="00C25867">
        <w:rPr>
          <w:rFonts w:ascii="Calibri" w:eastAsia="Calibri" w:hAnsi="Calibri" w:cs="Calibri"/>
          <w:color w:val="000000" w:themeColor="text1"/>
          <w:sz w:val="22"/>
          <w:szCs w:val="22"/>
        </w:rPr>
        <w:t xml:space="preserve"> virus, neither of which has been associated with confirmed human disease, indicating that pathogenicity is not a uniform property of the genus and that spillover potential must be assessed on a species-specific basis rather than assumed from taxonomic relatedness alone.</w:t>
      </w:r>
    </w:p>
    <w:p w14:paraId="3747C394"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most clinically significant exception to Lassa virus's regional dominance is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 genetically distinct Old World arenavirus first identified following a severe nosocomial outbreak in South Africa in 2008, in which an index patient transferred from Zambia to Johannesburg for critical care transmitted infection to four healthcare workers, four of whom, including the index case, died, representing an unprecedented case-fatality rate of 80% among the five recognised cases (Briese et al., 2009). The virus was identified within 72 hours of sample receipt using unbiased high-throughput pyrosequencing, a methodological achievement that, at the time, represented a significant advance in rapid pathogen discovery and that anticipated, in miniature, the real-time genomic outbreak response capability subsequently demonstrated at much greater scale during the 2018 Nigerian Lassa fever surge discussed in section 5. Phylogenetic analysis placed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at the ancestral node of the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 clade, genetically distinct from and substantially more divergent than Lassa virus, with a highly diverse glycoprotein sequence suggestive of a distinctive cellular receptor tropism relative to other characterised </w:t>
      </w:r>
      <w:proofErr w:type="gramStart"/>
      <w:r w:rsidRPr="00C25867">
        <w:rPr>
          <w:rFonts w:ascii="Calibri" w:eastAsia="Calibri" w:hAnsi="Calibri" w:cs="Calibri"/>
          <w:color w:val="000000" w:themeColor="text1"/>
          <w:sz w:val="22"/>
          <w:szCs w:val="22"/>
        </w:rPr>
        <w:t>Old World</w:t>
      </w:r>
      <w:proofErr w:type="gramEnd"/>
      <w:r w:rsidRPr="00C25867">
        <w:rPr>
          <w:rFonts w:ascii="Calibri" w:eastAsia="Calibri" w:hAnsi="Calibri" w:cs="Calibri"/>
          <w:color w:val="000000" w:themeColor="text1"/>
          <w:sz w:val="22"/>
          <w:szCs w:val="22"/>
        </w:rPr>
        <w:t xml:space="preserve"> arenaviruses.</w:t>
      </w:r>
    </w:p>
    <w:p w14:paraId="5726E13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comparative epidemiology of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and Lassa virus is instructive. Whereas Lassa virus sustains continuous, endemic circulation across a substantial swathe of West Africa with tens to hundreds of thousands of estimated annual human infections,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has been documented only in the single 2008 outbreak, with no subsequent confirmed human cases reported in the peer-reviewed literature identified for this review, and its natural rodent reservoir and precise geographical distribution remain considerably less well characterised than those of Lassa virus. This contrast illustrates a broader principle relevant to regional viral haemorrhagic fever preparedness: the two viruses occupy opposite ends of a risk-profile spectrum, with Lassa virus representing a chronic, high-cumulative-burden endemic threat requiring sustained surveillance and health system investment, and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representing a rare but exceptionally lethal emergence risk for which preparedness depends less on routine surveillance infrastructure, given the absence of a well-characterised endemic transmission cycle, and more on the generic diagnostic and </w:t>
      </w:r>
      <w:r w:rsidRPr="00C25867">
        <w:rPr>
          <w:rFonts w:ascii="Calibri" w:eastAsia="Calibri" w:hAnsi="Calibri" w:cs="Calibri"/>
          <w:color w:val="000000" w:themeColor="text1"/>
          <w:sz w:val="22"/>
          <w:szCs w:val="22"/>
        </w:rPr>
        <w:lastRenderedPageBreak/>
        <w:t>genomic capability required to identify and characterise a novel haemorrhagic fever pathogen rapidly should it re-emerge. Both scenarios converge on the same underlying capability requirement, namely rapid, field-deployable molecular and genomic diagnostic capacity of the kind discussed in sections 5 and 7, reinforcing the case for continued regional investment in this domain irrespective of which specific arenavirus ultimately drives the next significant outbreak.</w:t>
      </w:r>
    </w:p>
    <w:p w14:paraId="099B4D75"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Future Directions</w:t>
      </w:r>
    </w:p>
    <w:p w14:paraId="25F73DC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evidence synthesised throughout this review points toward several research priorities of differing urgency and feasibility. Among the most immediate is the conduct of a properly randomised, adequately powered clinical trial of ribavirin, ideally incorporating dose-optimisation informed by the pharmacokinetic modelling evidence discussed in section 8, since the continued clinical use of a therapy with such a fragile evidentiary basis represents both a missed opportunity to establish genuine benefit and a potential source of harm should the drug in fact be ineffective or, in specific subgroups such as patients with mild disease, net harmful, as suggested by re-analysis of the original 1986 trial data. Such a trial would need to be conducted across multiple sites and countries to achieve adequate statistical power given the relatively low and unpredictable incidence of severe, hospital-presenting disease at any single treatment centre, and would benefit from the coordination infrastructure already developed for the regional vaccine trial programme.</w:t>
      </w:r>
    </w:p>
    <w:p w14:paraId="1908A3B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A second priority concerns diagnostic development, where the field requires a shift away from iterative refinement of antigen-based lateral-flow platforms whose field sensitivity has repeatedly disappointed relative to laboratory validation, toward rigorous, adequately powered prospective field validation conducted at the point of initial patient presentation rather than in reference laboratory conditions, together with continued investment in </w:t>
      </w:r>
      <w:proofErr w:type="spellStart"/>
      <w:r w:rsidRPr="00C25867">
        <w:rPr>
          <w:rFonts w:ascii="Calibri" w:eastAsia="Calibri" w:hAnsi="Calibri" w:cs="Calibri"/>
          <w:color w:val="000000" w:themeColor="text1"/>
          <w:sz w:val="22"/>
          <w:szCs w:val="22"/>
        </w:rPr>
        <w:t>decentralisable</w:t>
      </w:r>
      <w:proofErr w:type="spellEnd"/>
      <w:r w:rsidRPr="00C25867">
        <w:rPr>
          <w:rFonts w:ascii="Calibri" w:eastAsia="Calibri" w:hAnsi="Calibri" w:cs="Calibri"/>
          <w:color w:val="000000" w:themeColor="text1"/>
          <w:sz w:val="22"/>
          <w:szCs w:val="22"/>
        </w:rPr>
        <w:t xml:space="preserve"> molecular platforms, such as isothermal amplification paired with CRISPR-based detection, that have shown more consistent sensitivity across genomic lineages in the studies reviewed here. Because the marked genomic diversity documented in section 5 directly threatens the analytical sensitivity of any single-target molecular assay, diagnostic development should proceed in explicit coordination with ongoing genomic surveillance, ensuring that assay design is updated as previously unsampled lineage diversity, such as that recently identified within lineage III, is characterised.</w:t>
      </w:r>
    </w:p>
    <w:p w14:paraId="7B7DDA2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A third priority concerns the substantial and clinically significant gap in understanding of post-acute sequelae, particularly Lassa fever-associated sensorineural hearing loss. Given the apparent occurrence of hearing loss even after mild or asymptomatic acute infection, prospective, longitudinal cohort studies enrolling patients across the full spectrum of acute disease severity, including those managed exclusively in the community, are needed to establish accurate incidence estimates and to investigate underlying pathophysiological mechanisms, a scientific question with direct relevance to whether audiological intervention, monitoring or protective strategies might be developed. Such studies should be designed with sufficient duration of follow-up to capture the delayed onset that characterises this and other reported neurological sequelae.</w:t>
      </w:r>
    </w:p>
    <w:p w14:paraId="2627043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lastRenderedPageBreak/>
        <w:t>A fourth priority relates to reservoir ecology and geographical range expansion. Given the geographical bias toward rural field sites acknowledged within the existing ecological occurrence data, systematic rodent surveillance extending into peri-urban and urban environments across West Africa, and into currently non-endemic Central and East African regions identified as likely to become ecologically suitable under future climate and land-use scenarios, would materially strengthen the evidentiary basis for the risk projections discussed in section 4 and would provide an early-warning capability for genuine geographical range expansion, as distinct from surveillance-driven changes in case ascertainment.</w:t>
      </w:r>
    </w:p>
    <w:p w14:paraId="41D9FADD"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Finally, as vaccine candidates progress through phase 2 and, prospectively, phase 3 evaluation, health-economic and implementation research addressing optimal deployment strategy, including the relative merits of preventive versus reactive vaccination and the appropriate targeting of high-risk subgroups such as pregnant women and healthcare workers, should proceed in parallel with clinical development rather than following it sequentially, so that deployment decisions can be made on an adequately developed evidentiary basis once efficacy and safety data become available.</w:t>
      </w:r>
    </w:p>
    <w:p w14:paraId="6279C94C" w14:textId="77777777" w:rsidR="00793C79" w:rsidRPr="00C25867" w:rsidRDefault="001D0D0E">
      <w:pPr>
        <w:spacing w:before="240" w:after="100"/>
        <w:rPr>
          <w:color w:val="000000" w:themeColor="text1"/>
        </w:rPr>
      </w:pPr>
      <w:r w:rsidRPr="00C25867">
        <w:rPr>
          <w:rFonts w:ascii="Calibri" w:eastAsia="Calibri" w:hAnsi="Calibri" w:cs="Calibri"/>
          <w:b/>
          <w:bCs/>
          <w:color w:val="000000" w:themeColor="text1"/>
        </w:rPr>
        <w:t>Table 5. Priority research gaps and recommended study designs for advancing the evidence base on Lassa fever.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53"/>
        <w:gridCol w:w="2570"/>
        <w:gridCol w:w="2570"/>
        <w:gridCol w:w="1979"/>
      </w:tblGrid>
      <w:tr w:rsidR="00793C79" w:rsidRPr="00C25867" w14:paraId="3A738871" w14:textId="77777777" w:rsidTr="00504BFF">
        <w:trPr>
          <w:tblHeader/>
        </w:trPr>
        <w:tc>
          <w:tcPr>
            <w:tcW w:w="2400" w:type="dxa"/>
            <w:shd w:val="clear" w:color="auto" w:fill="D9E2F3"/>
            <w:tcMar>
              <w:top w:w="70" w:type="dxa"/>
              <w:left w:w="90" w:type="dxa"/>
              <w:bottom w:w="70" w:type="dxa"/>
              <w:right w:w="90" w:type="dxa"/>
            </w:tcMar>
          </w:tcPr>
          <w:p w14:paraId="752C60B7"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Research priority</w:t>
            </w:r>
          </w:p>
        </w:tc>
        <w:tc>
          <w:tcPr>
            <w:tcW w:w="3200" w:type="dxa"/>
            <w:shd w:val="clear" w:color="auto" w:fill="D9E2F3"/>
            <w:tcMar>
              <w:top w:w="70" w:type="dxa"/>
              <w:left w:w="90" w:type="dxa"/>
              <w:bottom w:w="70" w:type="dxa"/>
              <w:right w:w="90" w:type="dxa"/>
            </w:tcMar>
          </w:tcPr>
          <w:p w14:paraId="42875334"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Current evidentiary limitation</w:t>
            </w:r>
          </w:p>
        </w:tc>
        <w:tc>
          <w:tcPr>
            <w:tcW w:w="3200" w:type="dxa"/>
            <w:shd w:val="clear" w:color="auto" w:fill="D9E2F3"/>
            <w:tcMar>
              <w:top w:w="70" w:type="dxa"/>
              <w:left w:w="90" w:type="dxa"/>
              <w:bottom w:w="70" w:type="dxa"/>
              <w:right w:w="90" w:type="dxa"/>
            </w:tcMar>
          </w:tcPr>
          <w:p w14:paraId="5C8FBC25"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Recommended study design</w:t>
            </w:r>
          </w:p>
        </w:tc>
        <w:tc>
          <w:tcPr>
            <w:tcW w:w="2400" w:type="dxa"/>
            <w:shd w:val="clear" w:color="auto" w:fill="D9E2F3"/>
            <w:tcMar>
              <w:top w:w="70" w:type="dxa"/>
              <w:left w:w="90" w:type="dxa"/>
              <w:bottom w:w="70" w:type="dxa"/>
              <w:right w:w="90" w:type="dxa"/>
            </w:tcMar>
          </w:tcPr>
          <w:p w14:paraId="1131B182" w14:textId="77777777" w:rsidR="00793C79" w:rsidRPr="00C25867" w:rsidRDefault="001D0D0E">
            <w:pPr>
              <w:rPr>
                <w:color w:val="000000" w:themeColor="text1"/>
              </w:rPr>
            </w:pPr>
            <w:r w:rsidRPr="00C25867">
              <w:rPr>
                <w:rFonts w:ascii="Calibri" w:eastAsia="Calibri" w:hAnsi="Calibri" w:cs="Calibri"/>
                <w:b/>
                <w:bCs/>
                <w:color w:val="000000" w:themeColor="text1"/>
                <w:sz w:val="17"/>
                <w:szCs w:val="17"/>
              </w:rPr>
              <w:t>Supporting references</w:t>
            </w:r>
          </w:p>
        </w:tc>
      </w:tr>
      <w:tr w:rsidR="00793C79" w:rsidRPr="00C25867" w14:paraId="13A482A2" w14:textId="77777777" w:rsidTr="00504BFF">
        <w:tc>
          <w:tcPr>
            <w:tcW w:w="2400" w:type="dxa"/>
            <w:tcMar>
              <w:top w:w="70" w:type="dxa"/>
              <w:left w:w="90" w:type="dxa"/>
              <w:bottom w:w="70" w:type="dxa"/>
              <w:right w:w="90" w:type="dxa"/>
            </w:tcMar>
          </w:tcPr>
          <w:p w14:paraId="7D46241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Ribavirin efficacy and dosing</w:t>
            </w:r>
          </w:p>
        </w:tc>
        <w:tc>
          <w:tcPr>
            <w:tcW w:w="3200" w:type="dxa"/>
            <w:tcMar>
              <w:top w:w="70" w:type="dxa"/>
              <w:left w:w="90" w:type="dxa"/>
              <w:bottom w:w="70" w:type="dxa"/>
              <w:right w:w="90" w:type="dxa"/>
            </w:tcMar>
          </w:tcPr>
          <w:p w14:paraId="06E2E29E"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Evidence based substantially on a single, critically biased 1986 trial and inconsistent pre-clinical pharmacokinetic data</w:t>
            </w:r>
          </w:p>
        </w:tc>
        <w:tc>
          <w:tcPr>
            <w:tcW w:w="3200" w:type="dxa"/>
            <w:tcMar>
              <w:top w:w="70" w:type="dxa"/>
              <w:left w:w="90" w:type="dxa"/>
              <w:bottom w:w="70" w:type="dxa"/>
              <w:right w:w="90" w:type="dxa"/>
            </w:tcMar>
          </w:tcPr>
          <w:p w14:paraId="491C88A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Multi-site, adequately powered randomised controlled trial with dose optimisation informed by pharmacokinetic modelling</w:t>
            </w:r>
          </w:p>
        </w:tc>
        <w:tc>
          <w:tcPr>
            <w:tcW w:w="2400" w:type="dxa"/>
            <w:tcMar>
              <w:top w:w="70" w:type="dxa"/>
              <w:left w:w="90" w:type="dxa"/>
              <w:bottom w:w="70" w:type="dxa"/>
              <w:right w:w="90" w:type="dxa"/>
            </w:tcMar>
          </w:tcPr>
          <w:p w14:paraId="66B39D40"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Eberhardt et al., 2019</w:t>
            </w:r>
          </w:p>
        </w:tc>
      </w:tr>
      <w:tr w:rsidR="00793C79" w:rsidRPr="00C25867" w14:paraId="6675ABA1" w14:textId="77777777" w:rsidTr="00504BFF">
        <w:tc>
          <w:tcPr>
            <w:tcW w:w="2400" w:type="dxa"/>
            <w:tcMar>
              <w:top w:w="70" w:type="dxa"/>
              <w:left w:w="90" w:type="dxa"/>
              <w:bottom w:w="70" w:type="dxa"/>
              <w:right w:w="90" w:type="dxa"/>
            </w:tcMar>
          </w:tcPr>
          <w:p w14:paraId="2934474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Field diagnostic performance</w:t>
            </w:r>
          </w:p>
        </w:tc>
        <w:tc>
          <w:tcPr>
            <w:tcW w:w="3200" w:type="dxa"/>
            <w:tcMar>
              <w:top w:w="70" w:type="dxa"/>
              <w:left w:w="90" w:type="dxa"/>
              <w:bottom w:w="70" w:type="dxa"/>
              <w:right w:w="90" w:type="dxa"/>
            </w:tcMar>
          </w:tcPr>
          <w:p w14:paraId="559F8B7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Marked divergence between laboratory validation and field sensitivity of antigen-based rapid tests</w:t>
            </w:r>
          </w:p>
        </w:tc>
        <w:tc>
          <w:tcPr>
            <w:tcW w:w="3200" w:type="dxa"/>
            <w:tcMar>
              <w:top w:w="70" w:type="dxa"/>
              <w:left w:w="90" w:type="dxa"/>
              <w:bottom w:w="70" w:type="dxa"/>
              <w:right w:w="90" w:type="dxa"/>
            </w:tcMar>
          </w:tcPr>
          <w:p w14:paraId="64B64D2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field validation at point of first presentation, across genomic lineages and disease stages</w:t>
            </w:r>
          </w:p>
        </w:tc>
        <w:tc>
          <w:tcPr>
            <w:tcW w:w="2400" w:type="dxa"/>
            <w:tcMar>
              <w:top w:w="70" w:type="dxa"/>
              <w:left w:w="90" w:type="dxa"/>
              <w:bottom w:w="70" w:type="dxa"/>
              <w:right w:w="90" w:type="dxa"/>
            </w:tcMar>
          </w:tcPr>
          <w:p w14:paraId="40BB248A" w14:textId="77777777" w:rsidR="00793C79" w:rsidRPr="00C25867" w:rsidRDefault="001D0D0E">
            <w:pPr>
              <w:rPr>
                <w:color w:val="000000" w:themeColor="text1"/>
              </w:rPr>
            </w:pPr>
            <w:proofErr w:type="spellStart"/>
            <w:r w:rsidRPr="00C25867">
              <w:rPr>
                <w:rFonts w:ascii="Calibri" w:eastAsia="Calibri" w:hAnsi="Calibri" w:cs="Calibri"/>
                <w:color w:val="000000" w:themeColor="text1"/>
                <w:sz w:val="17"/>
                <w:szCs w:val="17"/>
              </w:rPr>
              <w:t>Elsinga</w:t>
            </w:r>
            <w:proofErr w:type="spellEnd"/>
            <w:r w:rsidRPr="00C25867">
              <w:rPr>
                <w:rFonts w:ascii="Calibri" w:eastAsia="Calibri" w:hAnsi="Calibri" w:cs="Calibri"/>
                <w:color w:val="000000" w:themeColor="text1"/>
                <w:sz w:val="17"/>
                <w:szCs w:val="17"/>
              </w:rPr>
              <w:t xml:space="preserve"> et al., 2024; </w:t>
            </w:r>
            <w:proofErr w:type="spellStart"/>
            <w:r w:rsidRPr="00C25867">
              <w:rPr>
                <w:rFonts w:ascii="Calibri" w:eastAsia="Calibri" w:hAnsi="Calibri" w:cs="Calibri"/>
                <w:color w:val="000000" w:themeColor="text1"/>
                <w:sz w:val="17"/>
                <w:szCs w:val="17"/>
              </w:rPr>
              <w:t>Takah</w:t>
            </w:r>
            <w:proofErr w:type="spellEnd"/>
            <w:r w:rsidRPr="00C25867">
              <w:rPr>
                <w:rFonts w:ascii="Calibri" w:eastAsia="Calibri" w:hAnsi="Calibri" w:cs="Calibri"/>
                <w:color w:val="000000" w:themeColor="text1"/>
                <w:sz w:val="17"/>
                <w:szCs w:val="17"/>
              </w:rPr>
              <w:t xml:space="preserve"> et al., 2019</w:t>
            </w:r>
          </w:p>
        </w:tc>
      </w:tr>
      <w:tr w:rsidR="00793C79" w:rsidRPr="00C25867" w14:paraId="6E82D5F8" w14:textId="77777777" w:rsidTr="00504BFF">
        <w:tc>
          <w:tcPr>
            <w:tcW w:w="2400" w:type="dxa"/>
            <w:tcMar>
              <w:top w:w="70" w:type="dxa"/>
              <w:left w:w="90" w:type="dxa"/>
              <w:bottom w:w="70" w:type="dxa"/>
              <w:right w:w="90" w:type="dxa"/>
            </w:tcMar>
          </w:tcPr>
          <w:p w14:paraId="4B46361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Post-acute sequelae, including hearing loss</w:t>
            </w:r>
          </w:p>
        </w:tc>
        <w:tc>
          <w:tcPr>
            <w:tcW w:w="3200" w:type="dxa"/>
            <w:tcMar>
              <w:top w:w="70" w:type="dxa"/>
              <w:left w:w="90" w:type="dxa"/>
              <w:bottom w:w="70" w:type="dxa"/>
              <w:right w:w="90" w:type="dxa"/>
            </w:tcMar>
          </w:tcPr>
          <w:p w14:paraId="5F964B8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Small, geographically concentrated case series; unclear incidence following mild or asymptomatic infection</w:t>
            </w:r>
          </w:p>
        </w:tc>
        <w:tc>
          <w:tcPr>
            <w:tcW w:w="3200" w:type="dxa"/>
            <w:tcMar>
              <w:top w:w="70" w:type="dxa"/>
              <w:left w:w="90" w:type="dxa"/>
              <w:bottom w:w="70" w:type="dxa"/>
              <w:right w:w="90" w:type="dxa"/>
            </w:tcMar>
          </w:tcPr>
          <w:p w14:paraId="23DC49D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longitudinal cohort with long-term audiological and neurological follow-up across the full severity spectrum</w:t>
            </w:r>
          </w:p>
        </w:tc>
        <w:tc>
          <w:tcPr>
            <w:tcW w:w="2400" w:type="dxa"/>
            <w:tcMar>
              <w:top w:w="70" w:type="dxa"/>
              <w:left w:w="90" w:type="dxa"/>
              <w:bottom w:w="70" w:type="dxa"/>
              <w:right w:w="90" w:type="dxa"/>
            </w:tcMar>
          </w:tcPr>
          <w:p w14:paraId="5509A81A"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Kayem et al., 2020 [pregnancy-analogue methodology]</w:t>
            </w:r>
          </w:p>
        </w:tc>
      </w:tr>
      <w:tr w:rsidR="00793C79" w:rsidRPr="00C25867" w14:paraId="2849E9A8" w14:textId="77777777" w:rsidTr="00504BFF">
        <w:tc>
          <w:tcPr>
            <w:tcW w:w="2400" w:type="dxa"/>
            <w:tcMar>
              <w:top w:w="70" w:type="dxa"/>
              <w:left w:w="90" w:type="dxa"/>
              <w:bottom w:w="70" w:type="dxa"/>
              <w:right w:w="90" w:type="dxa"/>
            </w:tcMar>
          </w:tcPr>
          <w:p w14:paraId="2C5773D8"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Reservoir range and urban adaptation</w:t>
            </w:r>
          </w:p>
        </w:tc>
        <w:tc>
          <w:tcPr>
            <w:tcW w:w="3200" w:type="dxa"/>
            <w:tcMar>
              <w:top w:w="70" w:type="dxa"/>
              <w:left w:w="90" w:type="dxa"/>
              <w:bottom w:w="70" w:type="dxa"/>
              <w:right w:w="90" w:type="dxa"/>
            </w:tcMar>
          </w:tcPr>
          <w:p w14:paraId="3203FCE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Occurrence data geographically biased toward rural field sites; limited peri-urban and non-endemic-region sampling</w:t>
            </w:r>
          </w:p>
        </w:tc>
        <w:tc>
          <w:tcPr>
            <w:tcW w:w="3200" w:type="dxa"/>
            <w:tcMar>
              <w:top w:w="70" w:type="dxa"/>
              <w:left w:w="90" w:type="dxa"/>
              <w:bottom w:w="70" w:type="dxa"/>
              <w:right w:w="90" w:type="dxa"/>
            </w:tcMar>
          </w:tcPr>
          <w:p w14:paraId="5E0A4F82"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Systematic rodent surveillance extending to peri-urban West Africa and projected newly suitable Central/East African regions</w:t>
            </w:r>
          </w:p>
        </w:tc>
        <w:tc>
          <w:tcPr>
            <w:tcW w:w="2400" w:type="dxa"/>
            <w:tcMar>
              <w:top w:w="70" w:type="dxa"/>
              <w:left w:w="90" w:type="dxa"/>
              <w:bottom w:w="70" w:type="dxa"/>
              <w:right w:w="90" w:type="dxa"/>
            </w:tcMar>
          </w:tcPr>
          <w:p w14:paraId="4C99186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 xml:space="preserve">Davis et al., 2025; </w:t>
            </w:r>
            <w:proofErr w:type="spellStart"/>
            <w:r w:rsidRPr="00C25867">
              <w:rPr>
                <w:rFonts w:ascii="Calibri" w:eastAsia="Calibri" w:hAnsi="Calibri" w:cs="Calibri"/>
                <w:color w:val="000000" w:themeColor="text1"/>
                <w:sz w:val="17"/>
                <w:szCs w:val="17"/>
              </w:rPr>
              <w:t>Klitting</w:t>
            </w:r>
            <w:proofErr w:type="spellEnd"/>
            <w:r w:rsidRPr="00C25867">
              <w:rPr>
                <w:rFonts w:ascii="Calibri" w:eastAsia="Calibri" w:hAnsi="Calibri" w:cs="Calibri"/>
                <w:color w:val="000000" w:themeColor="text1"/>
                <w:sz w:val="17"/>
                <w:szCs w:val="17"/>
              </w:rPr>
              <w:t xml:space="preserve"> et al., 2022</w:t>
            </w:r>
          </w:p>
        </w:tc>
      </w:tr>
      <w:tr w:rsidR="00793C79" w:rsidRPr="00C25867" w14:paraId="09D34395" w14:textId="77777777" w:rsidTr="00504BFF">
        <w:tc>
          <w:tcPr>
            <w:tcW w:w="2400" w:type="dxa"/>
            <w:tcMar>
              <w:top w:w="70" w:type="dxa"/>
              <w:left w:w="90" w:type="dxa"/>
              <w:bottom w:w="70" w:type="dxa"/>
              <w:right w:w="90" w:type="dxa"/>
            </w:tcMar>
          </w:tcPr>
          <w:p w14:paraId="36959B6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Vaccine deployment strategy</w:t>
            </w:r>
          </w:p>
        </w:tc>
        <w:tc>
          <w:tcPr>
            <w:tcW w:w="3200" w:type="dxa"/>
            <w:tcMar>
              <w:top w:w="70" w:type="dxa"/>
              <w:left w:w="90" w:type="dxa"/>
              <w:bottom w:w="70" w:type="dxa"/>
              <w:right w:w="90" w:type="dxa"/>
            </w:tcMar>
          </w:tcPr>
          <w:p w14:paraId="2476F823"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Health-economic modelling precedes availability of confirmed efficacy data</w:t>
            </w:r>
          </w:p>
        </w:tc>
        <w:tc>
          <w:tcPr>
            <w:tcW w:w="3200" w:type="dxa"/>
            <w:tcMar>
              <w:top w:w="70" w:type="dxa"/>
              <w:left w:w="90" w:type="dxa"/>
              <w:bottom w:w="70" w:type="dxa"/>
              <w:right w:w="90" w:type="dxa"/>
            </w:tcMar>
          </w:tcPr>
          <w:p w14:paraId="031A220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Parallel implementation and cost-effectiveness research conducted alongside phase 2/3 vaccine trials</w:t>
            </w:r>
          </w:p>
        </w:tc>
        <w:tc>
          <w:tcPr>
            <w:tcW w:w="2400" w:type="dxa"/>
            <w:tcMar>
              <w:top w:w="70" w:type="dxa"/>
              <w:left w:w="90" w:type="dxa"/>
              <w:bottom w:w="70" w:type="dxa"/>
              <w:right w:w="90" w:type="dxa"/>
            </w:tcMar>
          </w:tcPr>
          <w:p w14:paraId="1C97E259"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Smith et al., 2024; Malkin et al., 2025</w:t>
            </w:r>
          </w:p>
        </w:tc>
      </w:tr>
      <w:tr w:rsidR="00793C79" w:rsidRPr="00C25867" w14:paraId="46133641" w14:textId="77777777" w:rsidTr="00504BFF">
        <w:tc>
          <w:tcPr>
            <w:tcW w:w="2400" w:type="dxa"/>
            <w:tcMar>
              <w:top w:w="70" w:type="dxa"/>
              <w:left w:w="90" w:type="dxa"/>
              <w:bottom w:w="70" w:type="dxa"/>
              <w:right w:w="90" w:type="dxa"/>
            </w:tcMar>
          </w:tcPr>
          <w:p w14:paraId="08D46E0B"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Basic transmission parameters</w:t>
            </w:r>
          </w:p>
        </w:tc>
        <w:tc>
          <w:tcPr>
            <w:tcW w:w="3200" w:type="dxa"/>
            <w:tcMar>
              <w:top w:w="70" w:type="dxa"/>
              <w:left w:w="90" w:type="dxa"/>
              <w:bottom w:w="70" w:type="dxa"/>
              <w:right w:w="90" w:type="dxa"/>
            </w:tcMar>
          </w:tcPr>
          <w:p w14:paraId="588E5757"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Absence of robust empirical estimates for incubation period, serial interval and setting-specific case-fatality</w:t>
            </w:r>
          </w:p>
        </w:tc>
        <w:tc>
          <w:tcPr>
            <w:tcW w:w="3200" w:type="dxa"/>
            <w:tcMar>
              <w:top w:w="70" w:type="dxa"/>
              <w:left w:w="90" w:type="dxa"/>
              <w:bottom w:w="70" w:type="dxa"/>
              <w:right w:w="90" w:type="dxa"/>
            </w:tcMar>
          </w:tcPr>
          <w:p w14:paraId="67B9790C"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Prospective, standardised multi-country cohort studies with harmonised case definitions</w:t>
            </w:r>
          </w:p>
        </w:tc>
        <w:tc>
          <w:tcPr>
            <w:tcW w:w="2400" w:type="dxa"/>
            <w:tcMar>
              <w:top w:w="70" w:type="dxa"/>
              <w:left w:w="90" w:type="dxa"/>
              <w:bottom w:w="70" w:type="dxa"/>
              <w:right w:w="90" w:type="dxa"/>
            </w:tcMar>
          </w:tcPr>
          <w:p w14:paraId="5165B666" w14:textId="77777777" w:rsidR="00793C79" w:rsidRPr="00C25867" w:rsidRDefault="001D0D0E">
            <w:pPr>
              <w:rPr>
                <w:color w:val="000000" w:themeColor="text1"/>
              </w:rPr>
            </w:pPr>
            <w:r w:rsidRPr="00C25867">
              <w:rPr>
                <w:rFonts w:ascii="Calibri" w:eastAsia="Calibri" w:hAnsi="Calibri" w:cs="Calibri"/>
                <w:color w:val="000000" w:themeColor="text1"/>
                <w:sz w:val="17"/>
                <w:szCs w:val="17"/>
              </w:rPr>
              <w:t>Doohan et al., 2024</w:t>
            </w:r>
          </w:p>
        </w:tc>
      </w:tr>
    </w:tbl>
    <w:p w14:paraId="6A15353A" w14:textId="77777777" w:rsidR="00793C79" w:rsidRPr="00C25867" w:rsidRDefault="001D0D0E">
      <w:pPr>
        <w:spacing w:before="100" w:after="320"/>
        <w:rPr>
          <w:color w:val="000000" w:themeColor="text1"/>
        </w:rPr>
      </w:pPr>
      <w:r w:rsidRPr="00C25867">
        <w:rPr>
          <w:rFonts w:ascii="Calibri" w:eastAsia="Calibri" w:hAnsi="Calibri" w:cs="Calibri"/>
          <w:i/>
          <w:iCs/>
          <w:color w:val="000000" w:themeColor="text1"/>
          <w:sz w:val="18"/>
          <w:szCs w:val="18"/>
        </w:rPr>
        <w:t>Table synthesises gaps identified across sections 3 to 9 of this review; the reference for post-acute sequelae is included as a methodological analogue given the paucity of dedicated longitudinal sequelae studies with full bibliographic verification available at the time of this review.</w:t>
      </w:r>
    </w:p>
    <w:p w14:paraId="4AA7D533" w14:textId="77777777" w:rsidR="00C25867" w:rsidRDefault="00C25867">
      <w:pPr>
        <w:pStyle w:val="Heading1"/>
        <w:spacing w:before="380" w:after="200"/>
        <w:rPr>
          <w:rFonts w:ascii="Calibri" w:eastAsia="Calibri" w:hAnsi="Calibri" w:cs="Calibri"/>
          <w:b/>
          <w:bCs/>
          <w:color w:val="000000" w:themeColor="text1"/>
          <w:sz w:val="27"/>
          <w:szCs w:val="27"/>
        </w:rPr>
      </w:pPr>
    </w:p>
    <w:p w14:paraId="23AAEB48"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lastRenderedPageBreak/>
        <w:t>Conclusions</w:t>
      </w:r>
    </w:p>
    <w:p w14:paraId="6F10F641"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Lassa fever remains the dominant rodent-borne viral haemorrhagic fever of sub-Saharan Africa, sustained by a well-characterised but ecologically complex reservoir-driven transmission cycle centred on </w:t>
      </w:r>
      <w:proofErr w:type="spellStart"/>
      <w:r w:rsidRPr="00C25867">
        <w:rPr>
          <w:rFonts w:ascii="Calibri" w:eastAsia="Calibri" w:hAnsi="Calibri" w:cs="Calibri"/>
          <w:color w:val="000000" w:themeColor="text1"/>
          <w:sz w:val="22"/>
          <w:szCs w:val="22"/>
        </w:rPr>
        <w:t>Mastomys</w:t>
      </w:r>
      <w:proofErr w:type="spellEnd"/>
      <w:r w:rsidRPr="00C25867">
        <w:rPr>
          <w:rFonts w:ascii="Calibri" w:eastAsia="Calibri" w:hAnsi="Calibri" w:cs="Calibri"/>
          <w:color w:val="000000" w:themeColor="text1"/>
          <w:sz w:val="22"/>
          <w:szCs w:val="22"/>
        </w:rPr>
        <w:t xml:space="preserve"> </w:t>
      </w:r>
      <w:proofErr w:type="spellStart"/>
      <w:r w:rsidRPr="00C25867">
        <w:rPr>
          <w:rFonts w:ascii="Calibri" w:eastAsia="Calibri" w:hAnsi="Calibri" w:cs="Calibri"/>
          <w:color w:val="000000" w:themeColor="text1"/>
          <w:sz w:val="22"/>
          <w:szCs w:val="22"/>
        </w:rPr>
        <w:t>natalensis</w:t>
      </w:r>
      <w:proofErr w:type="spellEnd"/>
      <w:r w:rsidRPr="00C25867">
        <w:rPr>
          <w:rFonts w:ascii="Calibri" w:eastAsia="Calibri" w:hAnsi="Calibri" w:cs="Calibri"/>
          <w:color w:val="000000" w:themeColor="text1"/>
          <w:sz w:val="22"/>
          <w:szCs w:val="22"/>
        </w:rPr>
        <w:t>, with human-to-human transmission occurring principally as a secondary, largely nosocomial phenomenon rather than as the primary driver of regional disease burden. The past decade has produced genuine and consequential scientific progress: field-deployable genomic sequencing has repeatedly resolved uncertainty over the drivers of case surges, ecological modelling has generated defensible, if provisional, projections of future geographical range expansion, and the first randomised human trials of candidate vaccines have demonstrated an acceptable safety profile and encouraging immunogenicity. These advances stand in contrast to a diagnostic and therapeutic landscape that remains substantially unresolved: no point-of-care diagnostic platform evaluated under rigorous field conditions has yet demonstrated performance adequate for routine clinical deployment, and the evidentiary basis for ribavirin, the current standard of care, has been shown on repeated critical re-examination to rest on methodologically fragile foundations.</w:t>
      </w:r>
    </w:p>
    <w:p w14:paraId="78C4184A"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The burden of disease continues to be substantially </w:t>
      </w:r>
      <w:proofErr w:type="spellStart"/>
      <w:r w:rsidRPr="00C25867">
        <w:rPr>
          <w:rFonts w:ascii="Calibri" w:eastAsia="Calibri" w:hAnsi="Calibri" w:cs="Calibri"/>
          <w:color w:val="000000" w:themeColor="text1"/>
          <w:sz w:val="22"/>
          <w:szCs w:val="22"/>
        </w:rPr>
        <w:t>underquantified</w:t>
      </w:r>
      <w:proofErr w:type="spellEnd"/>
      <w:r w:rsidRPr="00C25867">
        <w:rPr>
          <w:rFonts w:ascii="Calibri" w:eastAsia="Calibri" w:hAnsi="Calibri" w:cs="Calibri"/>
          <w:color w:val="000000" w:themeColor="text1"/>
          <w:sz w:val="22"/>
          <w:szCs w:val="22"/>
        </w:rPr>
        <w:t xml:space="preserve"> as a consequence of non-specific clinical presentation, geographically uneven diagnostic capacity, and the disproportionate representation of hospital-based severe cases within the published literature relative to the far larger, poorly characterised population of mild and asymptomatic infections. This </w:t>
      </w:r>
      <w:proofErr w:type="spellStart"/>
      <w:r w:rsidRPr="00C25867">
        <w:rPr>
          <w:rFonts w:ascii="Calibri" w:eastAsia="Calibri" w:hAnsi="Calibri" w:cs="Calibri"/>
          <w:color w:val="000000" w:themeColor="text1"/>
          <w:sz w:val="22"/>
          <w:szCs w:val="22"/>
        </w:rPr>
        <w:t>underascertainment</w:t>
      </w:r>
      <w:proofErr w:type="spellEnd"/>
      <w:r w:rsidRPr="00C25867">
        <w:rPr>
          <w:rFonts w:ascii="Calibri" w:eastAsia="Calibri" w:hAnsi="Calibri" w:cs="Calibri"/>
          <w:color w:val="000000" w:themeColor="text1"/>
          <w:sz w:val="22"/>
          <w:szCs w:val="22"/>
        </w:rPr>
        <w:t xml:space="preserve"> carries direct consequences for the reliability of the transmission models increasingly relied upon to project future risk and to evaluate prospective interventions. Pregnant women, healthcare workers, and survivors experiencing long-term sequelae, particularly sensorineural hearing loss, constitute populations whose burden is comparatively well documented in the case of maternal outcomes yet remains inadequately served by dedicated therapeutic and rehabilitative research in the case of survivors.</w:t>
      </w:r>
    </w:p>
    <w:p w14:paraId="15E4D8AE"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Comparison with the rarer but substantially more lethal </w:t>
      </w:r>
      <w:proofErr w:type="spellStart"/>
      <w:r w:rsidRPr="00C25867">
        <w:rPr>
          <w:rFonts w:ascii="Calibri" w:eastAsia="Calibri" w:hAnsi="Calibri" w:cs="Calibri"/>
          <w:color w:val="000000" w:themeColor="text1"/>
          <w:sz w:val="22"/>
          <w:szCs w:val="22"/>
        </w:rPr>
        <w:t>Lujo</w:t>
      </w:r>
      <w:proofErr w:type="spellEnd"/>
      <w:r w:rsidRPr="00C25867">
        <w:rPr>
          <w:rFonts w:ascii="Calibri" w:eastAsia="Calibri" w:hAnsi="Calibri" w:cs="Calibri"/>
          <w:color w:val="000000" w:themeColor="text1"/>
          <w:sz w:val="22"/>
          <w:szCs w:val="22"/>
        </w:rPr>
        <w:t xml:space="preserve"> virus underscores that the generic capability requirements for African viral haemorrhagic fever preparedness, rapid genomic pathogen identification, decentralised molecular diagnostics, and coordinated regional surveillance, are common across the wider family of rodent-borne arenaviral threats, irrespective of which specific pathogen ultimately drives future emergence events. An integrated approach that </w:t>
      </w:r>
      <w:proofErr w:type="gramStart"/>
      <w:r w:rsidRPr="00C25867">
        <w:rPr>
          <w:rFonts w:ascii="Calibri" w:eastAsia="Calibri" w:hAnsi="Calibri" w:cs="Calibri"/>
          <w:color w:val="000000" w:themeColor="text1"/>
          <w:sz w:val="22"/>
          <w:szCs w:val="22"/>
        </w:rPr>
        <w:t>couples</w:t>
      </w:r>
      <w:proofErr w:type="gramEnd"/>
      <w:r w:rsidRPr="00C25867">
        <w:rPr>
          <w:rFonts w:ascii="Calibri" w:eastAsia="Calibri" w:hAnsi="Calibri" w:cs="Calibri"/>
          <w:color w:val="000000" w:themeColor="text1"/>
          <w:sz w:val="22"/>
          <w:szCs w:val="22"/>
        </w:rPr>
        <w:t xml:space="preserve"> reservoir and environmental surveillance with genomically informed diagnostic development, methodologically rigorous therapeutic evaluation, and equitable vaccine deployment planning offers the most defensible pathway toward reducing the burden of a disease that, on the balance of the evidence reviewed here, is more likely to expand than to recede in geographical and demographic significance over the coming decades.</w:t>
      </w:r>
    </w:p>
    <w:p w14:paraId="07594030" w14:textId="77777777" w:rsidR="00793C79" w:rsidRPr="00C25867" w:rsidRDefault="001D0D0E">
      <w:pPr>
        <w:pStyle w:val="Heading1"/>
        <w:spacing w:before="380" w:after="200"/>
        <w:rPr>
          <w:color w:val="000000" w:themeColor="text1"/>
        </w:rPr>
      </w:pPr>
      <w:r w:rsidRPr="00C25867">
        <w:rPr>
          <w:rFonts w:ascii="Calibri" w:eastAsia="Calibri" w:hAnsi="Calibri" w:cs="Calibri"/>
          <w:b/>
          <w:bCs/>
          <w:color w:val="000000" w:themeColor="text1"/>
          <w:sz w:val="27"/>
          <w:szCs w:val="27"/>
        </w:rPr>
        <w:t>Limitations</w:t>
      </w:r>
    </w:p>
    <w:p w14:paraId="06003507"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 xml:space="preserve">This review is subject to the intrinsic limitations of the narrative review methodology, including the possibility of selection and interpretive bias in the identification, weighting and synthesis of evidence, notwithstanding the transparent search strategy, explicit eligibility criteria and structured critical appraisal approach applied throughout its conduct. Unlike a systematic review, this review does not report a reproducible, quantitatively enumerated screening and inclusion process, and a different reviewer </w:t>
      </w:r>
      <w:r w:rsidRPr="00C25867">
        <w:rPr>
          <w:rFonts w:ascii="Calibri" w:eastAsia="Calibri" w:hAnsi="Calibri" w:cs="Calibri"/>
          <w:color w:val="000000" w:themeColor="text1"/>
          <w:sz w:val="22"/>
          <w:szCs w:val="22"/>
        </w:rPr>
        <w:lastRenderedPageBreak/>
        <w:t>applying the same broad search strategy might reasonably identify a partially different set of eligible sources or weight the included evidence differently.</w:t>
      </w:r>
    </w:p>
    <w:p w14:paraId="50FEFAE0" w14:textId="77777777" w:rsidR="00793C79" w:rsidRPr="00C25867" w:rsidRDefault="001D0D0E">
      <w:pPr>
        <w:spacing w:after="200" w:line="276" w:lineRule="auto"/>
        <w:jc w:val="both"/>
        <w:rPr>
          <w:color w:val="000000" w:themeColor="text1"/>
        </w:rPr>
      </w:pPr>
      <w:r w:rsidRPr="00C25867">
        <w:rPr>
          <w:rFonts w:ascii="Calibri" w:eastAsia="Calibri" w:hAnsi="Calibri" w:cs="Calibri"/>
          <w:color w:val="000000" w:themeColor="text1"/>
          <w:sz w:val="22"/>
          <w:szCs w:val="22"/>
        </w:rPr>
        <w:t>The literature search did not include direct querying of subscription-only bibliographic databases such as Scopus, Web of Science or Embase, and coverage of the literature is accordingly dependent on the indexing scope of the web-based search interface, PubMed Central and Google Scholar, supplemented by backward citation searching. Although this approach identified a substantial and diverse evidence base, it is possible that relevant studies indexed exclusively within subscription databases were not identified. The search was further restricted to English-language publications, which may have excluded relevant French-language literature addressing Francophone West African countries within the Lassa fever-endemic zone, a limitation of particular relevance given the regional scope of this review.</w:t>
      </w:r>
    </w:p>
    <w:p w14:paraId="60EB3917" w14:textId="77777777" w:rsidR="00793C79" w:rsidRPr="00C25867" w:rsidRDefault="001D0D0E">
      <w:pPr>
        <w:spacing w:after="200" w:line="276" w:lineRule="auto"/>
        <w:jc w:val="both"/>
        <w:rPr>
          <w:rFonts w:ascii="Calibri" w:eastAsia="Calibri" w:hAnsi="Calibri" w:cs="Calibri"/>
          <w:color w:val="000000" w:themeColor="text1"/>
          <w:sz w:val="22"/>
          <w:szCs w:val="22"/>
        </w:rPr>
      </w:pPr>
      <w:r w:rsidRPr="00C25867">
        <w:rPr>
          <w:rFonts w:ascii="Calibri" w:eastAsia="Calibri" w:hAnsi="Calibri" w:cs="Calibri"/>
          <w:color w:val="000000" w:themeColor="text1"/>
          <w:sz w:val="22"/>
          <w:szCs w:val="22"/>
        </w:rPr>
        <w:t>The evidence base synthesised in this review is characterised by substantial heterogeneity in study design, population, geographical setting and outcome definition, precluding formal quantitative synthesis and necessitating a narrative, critically qualitative approach to integration. Much of the epidemiological and clinical evidence originates from a comparatively small number of specialist reference centres, principally in Nigeria and Sierra Leone, raising uncertainty regarding the generalisability of reported estimates to the wider, less intensively studied endemic region, including Liberia, Guinea and the more recently affected or historically under-recognised countries such as Ghana, Benin and Togo. The review also relies substantially on observational evidence, particularly for questions of therapeutic efficacy and long-term sequelae, where randomised or adequately controlled prospective data remain scarce, and it draws on a still-maturing published literature regarding recently developed diagnostic and vaccine technologies, some of which had only limited field or clinical trial experience available for synthesis at the time this review was conducted.</w:t>
      </w:r>
    </w:p>
    <w:p w14:paraId="3AFA1FC4" w14:textId="77777777" w:rsidR="001D0D0E" w:rsidRPr="00C25867" w:rsidRDefault="001D0D0E">
      <w:pPr>
        <w:spacing w:after="200" w:line="276" w:lineRule="auto"/>
        <w:jc w:val="both"/>
        <w:rPr>
          <w:color w:val="000000" w:themeColor="text1"/>
        </w:rPr>
      </w:pPr>
    </w:p>
    <w:p w14:paraId="28A17813" w14:textId="77777777" w:rsidR="001D0D0E" w:rsidRPr="00C25867" w:rsidRDefault="001D0D0E" w:rsidP="001D0D0E">
      <w:pPr>
        <w:rPr>
          <w:b/>
          <w:color w:val="000000" w:themeColor="text1"/>
        </w:rPr>
      </w:pPr>
      <w:bookmarkStart w:id="0" w:name="_Hlk234486585"/>
      <w:bookmarkStart w:id="1" w:name="_Hlk234075571"/>
      <w:bookmarkStart w:id="2" w:name="_Hlk232755622"/>
      <w:r w:rsidRPr="00C25867">
        <w:rPr>
          <w:b/>
          <w:color w:val="000000" w:themeColor="text1"/>
        </w:rPr>
        <w:t>Declaration of AI Use</w:t>
      </w:r>
    </w:p>
    <w:p w14:paraId="55882A85" w14:textId="77777777" w:rsidR="001D0D0E" w:rsidRPr="00C25867" w:rsidRDefault="001D0D0E" w:rsidP="001D0D0E">
      <w:pPr>
        <w:rPr>
          <w:color w:val="000000" w:themeColor="text1"/>
        </w:rPr>
      </w:pPr>
      <w:bookmarkStart w:id="3" w:name="_Hlk234486575"/>
      <w:bookmarkEnd w:id="0"/>
    </w:p>
    <w:p w14:paraId="63D4244E" w14:textId="77777777" w:rsidR="001D0D0E" w:rsidRPr="00C25867" w:rsidRDefault="001D0D0E" w:rsidP="001D0D0E">
      <w:pPr>
        <w:jc w:val="both"/>
        <w:rPr>
          <w:color w:val="000000" w:themeColor="text1"/>
        </w:rPr>
      </w:pPr>
      <w:r w:rsidRPr="00C25867">
        <w:rPr>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25867">
        <w:rPr>
          <w:color w:val="000000" w:themeColor="text1"/>
        </w:rPr>
        <w:t>.</w:t>
      </w:r>
    </w:p>
    <w:bookmarkEnd w:id="2"/>
    <w:bookmarkEnd w:id="3"/>
    <w:p w14:paraId="5C81A511" w14:textId="77777777" w:rsidR="001D0D0E" w:rsidRPr="00C25867" w:rsidRDefault="001D0D0E">
      <w:pPr>
        <w:spacing w:after="200" w:line="276" w:lineRule="auto"/>
        <w:jc w:val="both"/>
        <w:rPr>
          <w:color w:val="000000" w:themeColor="text1"/>
        </w:rPr>
      </w:pPr>
    </w:p>
    <w:p w14:paraId="74A66A1E" w14:textId="77777777" w:rsidR="00793C79" w:rsidRPr="00C25867" w:rsidRDefault="001D0D0E">
      <w:pPr>
        <w:rPr>
          <w:color w:val="000000" w:themeColor="text1"/>
        </w:rPr>
      </w:pPr>
      <w:r w:rsidRPr="00C25867">
        <w:rPr>
          <w:color w:val="000000" w:themeColor="text1"/>
        </w:rPr>
        <w:br w:type="page"/>
      </w:r>
    </w:p>
    <w:p w14:paraId="2F420526" w14:textId="77777777" w:rsidR="00793C79" w:rsidRDefault="001D0D0E">
      <w:pPr>
        <w:pStyle w:val="Heading1"/>
        <w:spacing w:before="380" w:after="200"/>
        <w:rPr>
          <w:rFonts w:ascii="Calibri" w:eastAsia="Calibri" w:hAnsi="Calibri" w:cs="Calibri"/>
          <w:b/>
          <w:bCs/>
          <w:color w:val="000000" w:themeColor="text1"/>
          <w:sz w:val="27"/>
          <w:szCs w:val="27"/>
        </w:rPr>
      </w:pPr>
      <w:r w:rsidRPr="00C25867">
        <w:rPr>
          <w:rFonts w:ascii="Calibri" w:eastAsia="Calibri" w:hAnsi="Calibri" w:cs="Calibri"/>
          <w:b/>
          <w:bCs/>
          <w:color w:val="000000" w:themeColor="text1"/>
          <w:sz w:val="27"/>
          <w:szCs w:val="27"/>
        </w:rPr>
        <w:lastRenderedPageBreak/>
        <w:t>References</w:t>
      </w:r>
    </w:p>
    <w:p w14:paraId="7659B6E5"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Agbonlahor, D. E., </w:t>
      </w:r>
      <w:proofErr w:type="spellStart"/>
      <w:r w:rsidRPr="00917F55">
        <w:rPr>
          <w:sz w:val="24"/>
          <w:szCs w:val="24"/>
          <w:lang w:val="en-US" w:eastAsia="en-US"/>
        </w:rPr>
        <w:t>Akpede</w:t>
      </w:r>
      <w:proofErr w:type="spellEnd"/>
      <w:r w:rsidRPr="00917F55">
        <w:rPr>
          <w:sz w:val="24"/>
          <w:szCs w:val="24"/>
          <w:lang w:val="en-US" w:eastAsia="en-US"/>
        </w:rPr>
        <w:t xml:space="preserve">, G. O., Happi, C. T., &amp; Tomori, O. (2021). 52 years of Lassa fever outbreaks in Nigeria, 1969–2020: An epidemiologic analysis of the temporal and spatial trends. </w:t>
      </w:r>
      <w:r w:rsidRPr="00917F55">
        <w:rPr>
          <w:i/>
          <w:iCs/>
          <w:sz w:val="24"/>
          <w:szCs w:val="24"/>
          <w:lang w:val="en-US" w:eastAsia="en-US"/>
        </w:rPr>
        <w:t>The American Journal of Tropical Medicine and Hygiene, 105</w:t>
      </w:r>
      <w:r w:rsidRPr="00917F55">
        <w:rPr>
          <w:sz w:val="24"/>
          <w:szCs w:val="24"/>
          <w:lang w:val="en-US" w:eastAsia="en-US"/>
        </w:rPr>
        <w:t xml:space="preserve">(4), 974–985. </w:t>
      </w:r>
      <w:hyperlink r:id="rId7" w:history="1">
        <w:r w:rsidRPr="00917F55">
          <w:rPr>
            <w:color w:val="0000FF"/>
            <w:sz w:val="24"/>
            <w:szCs w:val="24"/>
            <w:u w:val="single"/>
            <w:lang w:val="en-US" w:eastAsia="en-US"/>
          </w:rPr>
          <w:t>https://doi.org/10.4269/ajtmh.20-1160</w:t>
        </w:r>
      </w:hyperlink>
    </w:p>
    <w:p w14:paraId="6ACA59AA"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Andersen, K. G., Shapiro, B. J., Matranga, C. B., </w:t>
      </w:r>
      <w:proofErr w:type="spellStart"/>
      <w:r w:rsidRPr="00917F55">
        <w:rPr>
          <w:sz w:val="24"/>
          <w:szCs w:val="24"/>
          <w:lang w:val="en-US" w:eastAsia="en-US"/>
        </w:rPr>
        <w:t>Sealfon</w:t>
      </w:r>
      <w:proofErr w:type="spellEnd"/>
      <w:r w:rsidRPr="00917F55">
        <w:rPr>
          <w:sz w:val="24"/>
          <w:szCs w:val="24"/>
          <w:lang w:val="en-US" w:eastAsia="en-US"/>
        </w:rPr>
        <w:t xml:space="preserve">, R., Lin, A. E., Moses, L. M., Folarin, O. A., Goba, A., Odia, I., </w:t>
      </w:r>
      <w:proofErr w:type="spellStart"/>
      <w:r w:rsidRPr="00917F55">
        <w:rPr>
          <w:sz w:val="24"/>
          <w:szCs w:val="24"/>
          <w:lang w:val="en-US" w:eastAsia="en-US"/>
        </w:rPr>
        <w:t>Ehiane</w:t>
      </w:r>
      <w:proofErr w:type="spellEnd"/>
      <w:r w:rsidRPr="00917F55">
        <w:rPr>
          <w:sz w:val="24"/>
          <w:szCs w:val="24"/>
          <w:lang w:val="en-US" w:eastAsia="en-US"/>
        </w:rPr>
        <w:t xml:space="preserve">, P. E., Momoh, M., England, E. M., Winnicki, S., Branco, L. M., Gire, S. K., Phelan, E., </w:t>
      </w:r>
      <w:proofErr w:type="spellStart"/>
      <w:r w:rsidRPr="00917F55">
        <w:rPr>
          <w:sz w:val="24"/>
          <w:szCs w:val="24"/>
          <w:lang w:val="en-US" w:eastAsia="en-US"/>
        </w:rPr>
        <w:t>Tariyal</w:t>
      </w:r>
      <w:proofErr w:type="spellEnd"/>
      <w:r w:rsidRPr="00917F55">
        <w:rPr>
          <w:sz w:val="24"/>
          <w:szCs w:val="24"/>
          <w:lang w:val="en-US" w:eastAsia="en-US"/>
        </w:rPr>
        <w:t xml:space="preserve">, R., Tewhey, R., </w:t>
      </w:r>
      <w:proofErr w:type="spellStart"/>
      <w:r w:rsidRPr="00917F55">
        <w:rPr>
          <w:sz w:val="24"/>
          <w:szCs w:val="24"/>
          <w:lang w:val="en-US" w:eastAsia="en-US"/>
        </w:rPr>
        <w:t>Omoniwa</w:t>
      </w:r>
      <w:proofErr w:type="spellEnd"/>
      <w:r w:rsidRPr="00917F55">
        <w:rPr>
          <w:sz w:val="24"/>
          <w:szCs w:val="24"/>
          <w:lang w:val="en-US" w:eastAsia="en-US"/>
        </w:rPr>
        <w:t xml:space="preserve">, O., … Sabeti, P. C. (2015). Clinical sequencing uncovers origins and evolution of Lassa virus. </w:t>
      </w:r>
      <w:r w:rsidRPr="00917F55">
        <w:rPr>
          <w:i/>
          <w:iCs/>
          <w:sz w:val="24"/>
          <w:szCs w:val="24"/>
          <w:lang w:val="en-US" w:eastAsia="en-US"/>
        </w:rPr>
        <w:t>Cell, 162</w:t>
      </w:r>
      <w:r w:rsidRPr="00917F55">
        <w:rPr>
          <w:sz w:val="24"/>
          <w:szCs w:val="24"/>
          <w:lang w:val="en-US" w:eastAsia="en-US"/>
        </w:rPr>
        <w:t xml:space="preserve">(4), 738–750. </w:t>
      </w:r>
      <w:hyperlink r:id="rId8" w:history="1">
        <w:r w:rsidRPr="00917F55">
          <w:rPr>
            <w:color w:val="0000FF"/>
            <w:sz w:val="24"/>
            <w:szCs w:val="24"/>
            <w:u w:val="single"/>
            <w:lang w:val="en-US" w:eastAsia="en-US"/>
          </w:rPr>
          <w:t>https://doi.org/10.1016/j.cell.2015.07.020</w:t>
        </w:r>
      </w:hyperlink>
    </w:p>
    <w:p w14:paraId="6FDEACF1"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Baethge</w:t>
      </w:r>
      <w:proofErr w:type="spellEnd"/>
      <w:r w:rsidRPr="00917F55">
        <w:rPr>
          <w:sz w:val="24"/>
          <w:szCs w:val="24"/>
          <w:lang w:val="en-US" w:eastAsia="en-US"/>
        </w:rPr>
        <w:t xml:space="preserve">, C., Goldbeck-Wood, S., &amp; Mertens, S. (2019). SANRA—a scale for the quality assessment of narrative review articles. </w:t>
      </w:r>
      <w:r w:rsidRPr="00917F55">
        <w:rPr>
          <w:i/>
          <w:iCs/>
          <w:sz w:val="24"/>
          <w:szCs w:val="24"/>
          <w:lang w:val="en-US" w:eastAsia="en-US"/>
        </w:rPr>
        <w:t>Research Integrity and Peer Review, 4</w:t>
      </w:r>
      <w:r w:rsidRPr="00917F55">
        <w:rPr>
          <w:sz w:val="24"/>
          <w:szCs w:val="24"/>
          <w:lang w:val="en-US" w:eastAsia="en-US"/>
        </w:rPr>
        <w:t xml:space="preserve">, Article 5. </w:t>
      </w:r>
      <w:hyperlink r:id="rId9" w:history="1">
        <w:r w:rsidRPr="00917F55">
          <w:rPr>
            <w:color w:val="0000FF"/>
            <w:sz w:val="24"/>
            <w:szCs w:val="24"/>
            <w:u w:val="single"/>
            <w:lang w:val="en-US" w:eastAsia="en-US"/>
          </w:rPr>
          <w:t>https://doi.org/10.1186/s41073-019-0064-8</w:t>
        </w:r>
      </w:hyperlink>
    </w:p>
    <w:p w14:paraId="4C9D7FD4"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Barnes, K. G., Lachenauer, A. E., </w:t>
      </w:r>
      <w:proofErr w:type="spellStart"/>
      <w:r w:rsidRPr="00917F55">
        <w:rPr>
          <w:sz w:val="24"/>
          <w:szCs w:val="24"/>
          <w:lang w:val="en-US" w:eastAsia="en-US"/>
        </w:rPr>
        <w:t>Nitido</w:t>
      </w:r>
      <w:proofErr w:type="spellEnd"/>
      <w:r w:rsidRPr="00917F55">
        <w:rPr>
          <w:sz w:val="24"/>
          <w:szCs w:val="24"/>
          <w:lang w:val="en-US" w:eastAsia="en-US"/>
        </w:rPr>
        <w:t xml:space="preserve">, A., Siddiqui, S., Gross, R., Beitzel, B., Siddle, K. J., Freije, C. A., Dighero-Kemp, B., Mehta, S. B., Carter, A., </w:t>
      </w:r>
      <w:proofErr w:type="spellStart"/>
      <w:r w:rsidRPr="00917F55">
        <w:rPr>
          <w:sz w:val="24"/>
          <w:szCs w:val="24"/>
          <w:lang w:val="en-US" w:eastAsia="en-US"/>
        </w:rPr>
        <w:t>Uwanibe</w:t>
      </w:r>
      <w:proofErr w:type="spellEnd"/>
      <w:r w:rsidRPr="00917F55">
        <w:rPr>
          <w:sz w:val="24"/>
          <w:szCs w:val="24"/>
          <w:lang w:val="en-US" w:eastAsia="en-US"/>
        </w:rPr>
        <w:t xml:space="preserve">, J., </w:t>
      </w:r>
      <w:proofErr w:type="spellStart"/>
      <w:r w:rsidRPr="00917F55">
        <w:rPr>
          <w:sz w:val="24"/>
          <w:szCs w:val="24"/>
          <w:lang w:val="en-US" w:eastAsia="en-US"/>
        </w:rPr>
        <w:t>Ajogbasile</w:t>
      </w:r>
      <w:proofErr w:type="spellEnd"/>
      <w:r w:rsidRPr="00917F55">
        <w:rPr>
          <w:sz w:val="24"/>
          <w:szCs w:val="24"/>
          <w:lang w:val="en-US" w:eastAsia="en-US"/>
        </w:rPr>
        <w:t xml:space="preserve">, F., </w:t>
      </w:r>
      <w:proofErr w:type="spellStart"/>
      <w:r w:rsidRPr="00917F55">
        <w:rPr>
          <w:sz w:val="24"/>
          <w:szCs w:val="24"/>
          <w:lang w:val="en-US" w:eastAsia="en-US"/>
        </w:rPr>
        <w:t>Olumade</w:t>
      </w:r>
      <w:proofErr w:type="spellEnd"/>
      <w:r w:rsidRPr="00917F55">
        <w:rPr>
          <w:sz w:val="24"/>
          <w:szCs w:val="24"/>
          <w:lang w:val="en-US" w:eastAsia="en-US"/>
        </w:rPr>
        <w:t xml:space="preserve">, T., Odia, I., Sandi, J. D., Momoh, M., Metsky, H. C., Boehm, C. K., … Sabeti, P. C. (2020). Deployable CRISPR-Cas13a diagnostic tools to detect and report Ebola and Lassa virus cases in real-time. </w:t>
      </w:r>
      <w:r w:rsidRPr="00917F55">
        <w:rPr>
          <w:i/>
          <w:iCs/>
          <w:sz w:val="24"/>
          <w:szCs w:val="24"/>
          <w:lang w:val="en-US" w:eastAsia="en-US"/>
        </w:rPr>
        <w:t>Nature Communications, 11</w:t>
      </w:r>
      <w:r w:rsidRPr="00917F55">
        <w:rPr>
          <w:sz w:val="24"/>
          <w:szCs w:val="24"/>
          <w:lang w:val="en-US" w:eastAsia="en-US"/>
        </w:rPr>
        <w:t xml:space="preserve">, Article 4131. </w:t>
      </w:r>
      <w:hyperlink r:id="rId10" w:history="1">
        <w:r w:rsidRPr="00917F55">
          <w:rPr>
            <w:color w:val="0000FF"/>
            <w:sz w:val="24"/>
            <w:szCs w:val="24"/>
            <w:u w:val="single"/>
            <w:lang w:val="en-US" w:eastAsia="en-US"/>
          </w:rPr>
          <w:t>https://doi.org/10.1038/s41467-020-17994-9</w:t>
        </w:r>
      </w:hyperlink>
    </w:p>
    <w:p w14:paraId="513DBF9B"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Basinski, A. J., Fichet-Calvet, E., Sjodin, A. R., Varrelman, T. J., Remien, C. H., Layman, N. C., Bird, B. H., Wolking, D. J., </w:t>
      </w:r>
      <w:proofErr w:type="spellStart"/>
      <w:r w:rsidRPr="00917F55">
        <w:rPr>
          <w:sz w:val="24"/>
          <w:szCs w:val="24"/>
          <w:lang w:val="en-US" w:eastAsia="en-US"/>
        </w:rPr>
        <w:t>Monagin</w:t>
      </w:r>
      <w:proofErr w:type="spellEnd"/>
      <w:r w:rsidRPr="00917F55">
        <w:rPr>
          <w:sz w:val="24"/>
          <w:szCs w:val="24"/>
          <w:lang w:val="en-US" w:eastAsia="en-US"/>
        </w:rPr>
        <w:t xml:space="preserve">, C., Ghersi, B. M., Barry, P. A., Jarvis, M. A., Gessler, P. E., &amp; </w:t>
      </w:r>
      <w:proofErr w:type="spellStart"/>
      <w:r w:rsidRPr="00917F55">
        <w:rPr>
          <w:sz w:val="24"/>
          <w:szCs w:val="24"/>
          <w:lang w:val="en-US" w:eastAsia="en-US"/>
        </w:rPr>
        <w:t>Nuismer</w:t>
      </w:r>
      <w:proofErr w:type="spellEnd"/>
      <w:r w:rsidRPr="00917F55">
        <w:rPr>
          <w:sz w:val="24"/>
          <w:szCs w:val="24"/>
          <w:lang w:val="en-US" w:eastAsia="en-US"/>
        </w:rPr>
        <w:t xml:space="preserve">, S. L. (2021). Bridging the gap: Using reservoir ecology and human serosurveys to estimate Lassa virus spillover in West Africa. </w:t>
      </w:r>
      <w:r w:rsidRPr="00917F55">
        <w:rPr>
          <w:i/>
          <w:iCs/>
          <w:sz w:val="24"/>
          <w:szCs w:val="24"/>
          <w:lang w:val="en-US" w:eastAsia="en-US"/>
        </w:rPr>
        <w:t>PLOS Computational Biology, 17</w:t>
      </w:r>
      <w:r w:rsidRPr="00917F55">
        <w:rPr>
          <w:sz w:val="24"/>
          <w:szCs w:val="24"/>
          <w:lang w:val="en-US" w:eastAsia="en-US"/>
        </w:rPr>
        <w:t xml:space="preserve">(3), Article e1008811. </w:t>
      </w:r>
      <w:hyperlink r:id="rId11" w:history="1">
        <w:r w:rsidRPr="00917F55">
          <w:rPr>
            <w:color w:val="0000FF"/>
            <w:sz w:val="24"/>
            <w:szCs w:val="24"/>
            <w:u w:val="single"/>
            <w:lang w:val="en-US" w:eastAsia="en-US"/>
          </w:rPr>
          <w:t>https://doi.org/10.1371/journal.pcbi.1008811</w:t>
        </w:r>
      </w:hyperlink>
    </w:p>
    <w:p w14:paraId="48EC841C"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Briese, T., </w:t>
      </w:r>
      <w:proofErr w:type="spellStart"/>
      <w:r w:rsidRPr="00917F55">
        <w:rPr>
          <w:sz w:val="24"/>
          <w:szCs w:val="24"/>
          <w:lang w:val="en-US" w:eastAsia="en-US"/>
        </w:rPr>
        <w:t>Paweska</w:t>
      </w:r>
      <w:proofErr w:type="spellEnd"/>
      <w:r w:rsidRPr="00917F55">
        <w:rPr>
          <w:sz w:val="24"/>
          <w:szCs w:val="24"/>
          <w:lang w:val="en-US" w:eastAsia="en-US"/>
        </w:rPr>
        <w:t xml:space="preserve">, J. T., McMullan, L. K., Hutchison, S. K., Street, C., Palacios, G., Khristova, M. L., Weyer, J., Swanepoel, R., Egholm, M., Nichol, S. T., &amp; Lipkin, W. I. (2009). Genetic detection and characterization of </w:t>
      </w:r>
      <w:proofErr w:type="spellStart"/>
      <w:r w:rsidRPr="00917F55">
        <w:rPr>
          <w:sz w:val="24"/>
          <w:szCs w:val="24"/>
          <w:lang w:val="en-US" w:eastAsia="en-US"/>
        </w:rPr>
        <w:t>Lujo</w:t>
      </w:r>
      <w:proofErr w:type="spellEnd"/>
      <w:r w:rsidRPr="00917F55">
        <w:rPr>
          <w:sz w:val="24"/>
          <w:szCs w:val="24"/>
          <w:lang w:val="en-US" w:eastAsia="en-US"/>
        </w:rPr>
        <w:t xml:space="preserve"> virus, a new hemorrhagic fever–associated arenavirus from southern Africa. </w:t>
      </w:r>
      <w:proofErr w:type="spellStart"/>
      <w:r w:rsidRPr="00917F55">
        <w:rPr>
          <w:i/>
          <w:iCs/>
          <w:sz w:val="24"/>
          <w:szCs w:val="24"/>
          <w:lang w:val="en-US" w:eastAsia="en-US"/>
        </w:rPr>
        <w:t>PLoS</w:t>
      </w:r>
      <w:proofErr w:type="spellEnd"/>
      <w:r w:rsidRPr="00917F55">
        <w:rPr>
          <w:i/>
          <w:iCs/>
          <w:sz w:val="24"/>
          <w:szCs w:val="24"/>
          <w:lang w:val="en-US" w:eastAsia="en-US"/>
        </w:rPr>
        <w:t xml:space="preserve"> Pathogens, 5</w:t>
      </w:r>
      <w:r w:rsidRPr="00917F55">
        <w:rPr>
          <w:sz w:val="24"/>
          <w:szCs w:val="24"/>
          <w:lang w:val="en-US" w:eastAsia="en-US"/>
        </w:rPr>
        <w:t xml:space="preserve">(5), Article e1000455. </w:t>
      </w:r>
      <w:hyperlink r:id="rId12" w:history="1">
        <w:r w:rsidRPr="00917F55">
          <w:rPr>
            <w:color w:val="0000FF"/>
            <w:sz w:val="24"/>
            <w:szCs w:val="24"/>
            <w:u w:val="single"/>
            <w:lang w:val="en-US" w:eastAsia="en-US"/>
          </w:rPr>
          <w:t>https://doi.org/10.1371/journal.ppat.1000455</w:t>
        </w:r>
      </w:hyperlink>
    </w:p>
    <w:p w14:paraId="3495081B"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Camara, J., </w:t>
      </w:r>
      <w:proofErr w:type="spellStart"/>
      <w:r w:rsidRPr="00917F55">
        <w:rPr>
          <w:sz w:val="24"/>
          <w:szCs w:val="24"/>
          <w:lang w:val="en-US" w:eastAsia="en-US"/>
        </w:rPr>
        <w:t>Annibaldis</w:t>
      </w:r>
      <w:proofErr w:type="spellEnd"/>
      <w:r w:rsidRPr="00917F55">
        <w:rPr>
          <w:sz w:val="24"/>
          <w:szCs w:val="24"/>
          <w:lang w:val="en-US" w:eastAsia="en-US"/>
        </w:rPr>
        <w:t xml:space="preserve">, G., </w:t>
      </w:r>
      <w:proofErr w:type="spellStart"/>
      <w:r w:rsidRPr="00917F55">
        <w:rPr>
          <w:sz w:val="24"/>
          <w:szCs w:val="24"/>
          <w:lang w:val="en-US" w:eastAsia="en-US"/>
        </w:rPr>
        <w:t>Klaps</w:t>
      </w:r>
      <w:proofErr w:type="spellEnd"/>
      <w:r w:rsidRPr="00917F55">
        <w:rPr>
          <w:sz w:val="24"/>
          <w:szCs w:val="24"/>
          <w:lang w:val="en-US" w:eastAsia="en-US"/>
        </w:rPr>
        <w:t xml:space="preserve">, J., </w:t>
      </w:r>
      <w:proofErr w:type="spellStart"/>
      <w:r w:rsidRPr="00917F55">
        <w:rPr>
          <w:sz w:val="24"/>
          <w:szCs w:val="24"/>
          <w:lang w:val="en-US" w:eastAsia="en-US"/>
        </w:rPr>
        <w:t>Ifono</w:t>
      </w:r>
      <w:proofErr w:type="spellEnd"/>
      <w:r w:rsidRPr="00917F55">
        <w:rPr>
          <w:sz w:val="24"/>
          <w:szCs w:val="24"/>
          <w:lang w:val="en-US" w:eastAsia="en-US"/>
        </w:rPr>
        <w:t xml:space="preserve">, K., </w:t>
      </w:r>
      <w:proofErr w:type="spellStart"/>
      <w:r w:rsidRPr="00917F55">
        <w:rPr>
          <w:sz w:val="24"/>
          <w:szCs w:val="24"/>
          <w:lang w:val="en-US" w:eastAsia="en-US"/>
        </w:rPr>
        <w:t>Koundouno</w:t>
      </w:r>
      <w:proofErr w:type="spellEnd"/>
      <w:r w:rsidRPr="00917F55">
        <w:rPr>
          <w:sz w:val="24"/>
          <w:szCs w:val="24"/>
          <w:lang w:val="en-US" w:eastAsia="en-US"/>
        </w:rPr>
        <w:t xml:space="preserve">, F. R., Sidibé, Y., Ryter, S., Conde, M., </w:t>
      </w:r>
      <w:proofErr w:type="spellStart"/>
      <w:r w:rsidRPr="00917F55">
        <w:rPr>
          <w:sz w:val="24"/>
          <w:szCs w:val="24"/>
          <w:lang w:val="en-US" w:eastAsia="en-US"/>
        </w:rPr>
        <w:t>Millimono</w:t>
      </w:r>
      <w:proofErr w:type="spellEnd"/>
      <w:r w:rsidRPr="00917F55">
        <w:rPr>
          <w:sz w:val="24"/>
          <w:szCs w:val="24"/>
          <w:lang w:val="en-US" w:eastAsia="en-US"/>
        </w:rPr>
        <w:t xml:space="preserve">, S. L., Hinrichs, M., Hinzmann, J., Petersen, N. P., Le, M., Renevey, A., </w:t>
      </w:r>
      <w:proofErr w:type="spellStart"/>
      <w:r w:rsidRPr="00917F55">
        <w:rPr>
          <w:sz w:val="24"/>
          <w:szCs w:val="24"/>
          <w:lang w:val="en-US" w:eastAsia="en-US"/>
        </w:rPr>
        <w:t>Emua</w:t>
      </w:r>
      <w:proofErr w:type="spellEnd"/>
      <w:r w:rsidRPr="00917F55">
        <w:rPr>
          <w:sz w:val="24"/>
          <w:szCs w:val="24"/>
          <w:lang w:val="en-US" w:eastAsia="en-US"/>
        </w:rPr>
        <w:t xml:space="preserve">, E. E., </w:t>
      </w:r>
      <w:proofErr w:type="spellStart"/>
      <w:r w:rsidRPr="00917F55">
        <w:rPr>
          <w:sz w:val="24"/>
          <w:szCs w:val="24"/>
          <w:lang w:val="en-US" w:eastAsia="en-US"/>
        </w:rPr>
        <w:t>Lemey</w:t>
      </w:r>
      <w:proofErr w:type="spellEnd"/>
      <w:r w:rsidRPr="00917F55">
        <w:rPr>
          <w:sz w:val="24"/>
          <w:szCs w:val="24"/>
          <w:lang w:val="en-US" w:eastAsia="en-US"/>
        </w:rPr>
        <w:t xml:space="preserve">, P., </w:t>
      </w:r>
      <w:proofErr w:type="spellStart"/>
      <w:r w:rsidRPr="00917F55">
        <w:rPr>
          <w:sz w:val="24"/>
          <w:szCs w:val="24"/>
          <w:lang w:val="en-US" w:eastAsia="en-US"/>
        </w:rPr>
        <w:t>Dellicour</w:t>
      </w:r>
      <w:proofErr w:type="spellEnd"/>
      <w:r w:rsidRPr="00917F55">
        <w:rPr>
          <w:sz w:val="24"/>
          <w:szCs w:val="24"/>
          <w:lang w:val="en-US" w:eastAsia="en-US"/>
        </w:rPr>
        <w:t xml:space="preserve">, S., Günther, S., Magassouba, N., … </w:t>
      </w:r>
      <w:proofErr w:type="spellStart"/>
      <w:r w:rsidRPr="00917F55">
        <w:rPr>
          <w:sz w:val="24"/>
          <w:szCs w:val="24"/>
          <w:lang w:val="en-US" w:eastAsia="en-US"/>
        </w:rPr>
        <w:t>Boumbaly</w:t>
      </w:r>
      <w:proofErr w:type="spellEnd"/>
      <w:r w:rsidRPr="00917F55">
        <w:rPr>
          <w:sz w:val="24"/>
          <w:szCs w:val="24"/>
          <w:lang w:val="en-US" w:eastAsia="en-US"/>
        </w:rPr>
        <w:t xml:space="preserve">, S. (2026). Genomic surveillance of Lassa virus through in-country sequencing, Guinea. </w:t>
      </w:r>
      <w:r w:rsidRPr="00917F55">
        <w:rPr>
          <w:i/>
          <w:iCs/>
          <w:sz w:val="24"/>
          <w:szCs w:val="24"/>
          <w:lang w:val="en-US" w:eastAsia="en-US"/>
        </w:rPr>
        <w:t>Emerging Infectious Diseases, 32</w:t>
      </w:r>
      <w:r w:rsidRPr="00917F55">
        <w:rPr>
          <w:sz w:val="24"/>
          <w:szCs w:val="24"/>
          <w:lang w:val="en-US" w:eastAsia="en-US"/>
        </w:rPr>
        <w:t xml:space="preserve">(5), 819–824. </w:t>
      </w:r>
      <w:hyperlink r:id="rId13" w:history="1">
        <w:r w:rsidRPr="00917F55">
          <w:rPr>
            <w:color w:val="0000FF"/>
            <w:sz w:val="24"/>
            <w:szCs w:val="24"/>
            <w:u w:val="single"/>
            <w:lang w:val="en-US" w:eastAsia="en-US"/>
          </w:rPr>
          <w:t>https://doi.org/10.3201/eid3205.260386</w:t>
        </w:r>
      </w:hyperlink>
    </w:p>
    <w:p w14:paraId="5464B6CB" w14:textId="34C284C1"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Coalition for Epidemic Preparedness Innovations. (n.d.). </w:t>
      </w:r>
      <w:r w:rsidRPr="00917F55">
        <w:rPr>
          <w:i/>
          <w:iCs/>
          <w:sz w:val="24"/>
          <w:szCs w:val="24"/>
          <w:lang w:val="en-US" w:eastAsia="en-US"/>
        </w:rPr>
        <w:t>Lassa fever</w:t>
      </w:r>
      <w:r w:rsidRPr="00917F55">
        <w:rPr>
          <w:sz w:val="24"/>
          <w:szCs w:val="24"/>
          <w:lang w:val="en-US" w:eastAsia="en-US"/>
        </w:rPr>
        <w:t xml:space="preserve">. Retrieved July 19, 2026, from </w:t>
      </w:r>
      <w:hyperlink r:id="rId14" w:history="1">
        <w:r w:rsidRPr="00917F55">
          <w:rPr>
            <w:color w:val="0000FF"/>
            <w:sz w:val="24"/>
            <w:szCs w:val="24"/>
            <w:u w:val="single"/>
            <w:lang w:val="en-US" w:eastAsia="en-US"/>
          </w:rPr>
          <w:t>https://cepi.net/lassa-fever</w:t>
        </w:r>
      </w:hyperlink>
      <w:r w:rsidRPr="00917F55">
        <w:rPr>
          <w:sz w:val="24"/>
          <w:szCs w:val="24"/>
          <w:lang w:val="en-US" w:eastAsia="en-US"/>
        </w:rPr>
        <w:br/>
      </w:r>
    </w:p>
    <w:p w14:paraId="36C5726C"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lastRenderedPageBreak/>
        <w:t xml:space="preserve">Cross, R. W., </w:t>
      </w:r>
      <w:proofErr w:type="spellStart"/>
      <w:r w:rsidRPr="00917F55">
        <w:rPr>
          <w:sz w:val="24"/>
          <w:szCs w:val="24"/>
          <w:lang w:val="en-US" w:eastAsia="en-US"/>
        </w:rPr>
        <w:t>Turcinovic</w:t>
      </w:r>
      <w:proofErr w:type="spellEnd"/>
      <w:r w:rsidRPr="00917F55">
        <w:rPr>
          <w:sz w:val="24"/>
          <w:szCs w:val="24"/>
          <w:lang w:val="en-US" w:eastAsia="en-US"/>
        </w:rPr>
        <w:t xml:space="preserve">, J., Prasad, A. N., Borisevich, V., Agans, K. N., Deer, D. J., O’Toole, R., Dobias, N. S., Woolsey, C., Fenton, K. A., &amp; Geisbert, T. W. (2026). Oral 4′-fluorouridine rescues nonhuman primates from advanced Lassa fever. </w:t>
      </w:r>
      <w:r w:rsidRPr="00917F55">
        <w:rPr>
          <w:i/>
          <w:iCs/>
          <w:sz w:val="24"/>
          <w:szCs w:val="24"/>
          <w:lang w:val="en-US" w:eastAsia="en-US"/>
        </w:rPr>
        <w:t>Nature, 650</w:t>
      </w:r>
      <w:r w:rsidRPr="00917F55">
        <w:rPr>
          <w:sz w:val="24"/>
          <w:szCs w:val="24"/>
          <w:lang w:val="en-US" w:eastAsia="en-US"/>
        </w:rPr>
        <w:t xml:space="preserve">(8103), 961–969. </w:t>
      </w:r>
      <w:hyperlink r:id="rId15" w:history="1">
        <w:r w:rsidRPr="00917F55">
          <w:rPr>
            <w:color w:val="0000FF"/>
            <w:sz w:val="24"/>
            <w:szCs w:val="24"/>
            <w:u w:val="single"/>
            <w:lang w:val="en-US" w:eastAsia="en-US"/>
          </w:rPr>
          <w:t>https://doi.org/10.1038/s41586-025-09906-y</w:t>
        </w:r>
      </w:hyperlink>
    </w:p>
    <w:p w14:paraId="4FC3698F"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Davis, N. A., Kenyon, M. A., Ghersi, B. M., Decker Sparks, J. L., &amp; Gass, J. D., Jr. (2025). Assessing the environmental drivers of Lassa fever in West Africa: A systematic review. </w:t>
      </w:r>
      <w:r w:rsidRPr="00917F55">
        <w:rPr>
          <w:i/>
          <w:iCs/>
          <w:sz w:val="24"/>
          <w:szCs w:val="24"/>
          <w:lang w:val="en-US" w:eastAsia="en-US"/>
        </w:rPr>
        <w:t>Viruses, 17</w:t>
      </w:r>
      <w:r w:rsidRPr="00917F55">
        <w:rPr>
          <w:sz w:val="24"/>
          <w:szCs w:val="24"/>
          <w:lang w:val="en-US" w:eastAsia="en-US"/>
        </w:rPr>
        <w:t xml:space="preserve">(4), Article 504. </w:t>
      </w:r>
      <w:hyperlink r:id="rId16" w:history="1">
        <w:r w:rsidRPr="00917F55">
          <w:rPr>
            <w:color w:val="0000FF"/>
            <w:sz w:val="24"/>
            <w:szCs w:val="24"/>
            <w:u w:val="single"/>
            <w:lang w:val="en-US" w:eastAsia="en-US"/>
          </w:rPr>
          <w:t>https://doi.org/10.3390/v17040504</w:t>
        </w:r>
      </w:hyperlink>
    </w:p>
    <w:p w14:paraId="16B56200"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Doohan, P., Jorgensen, D., Naidoo, T. M., McCain, K., Hicks, J. T., McCabe, R., Bhatia, S., </w:t>
      </w:r>
      <w:proofErr w:type="spellStart"/>
      <w:r w:rsidRPr="00917F55">
        <w:rPr>
          <w:sz w:val="24"/>
          <w:szCs w:val="24"/>
          <w:lang w:val="en-US" w:eastAsia="en-US"/>
        </w:rPr>
        <w:t>Charniga</w:t>
      </w:r>
      <w:proofErr w:type="spellEnd"/>
      <w:r w:rsidRPr="00917F55">
        <w:rPr>
          <w:sz w:val="24"/>
          <w:szCs w:val="24"/>
          <w:lang w:val="en-US" w:eastAsia="en-US"/>
        </w:rPr>
        <w:t>, K., Cuomo-</w:t>
      </w:r>
      <w:proofErr w:type="spellStart"/>
      <w:r w:rsidRPr="00917F55">
        <w:rPr>
          <w:sz w:val="24"/>
          <w:szCs w:val="24"/>
          <w:lang w:val="en-US" w:eastAsia="en-US"/>
        </w:rPr>
        <w:t>Dannenburg</w:t>
      </w:r>
      <w:proofErr w:type="spellEnd"/>
      <w:r w:rsidRPr="00917F55">
        <w:rPr>
          <w:sz w:val="24"/>
          <w:szCs w:val="24"/>
          <w:lang w:val="en-US" w:eastAsia="en-US"/>
        </w:rPr>
        <w:t xml:space="preserve">, G., Hamlet, A., Nash, R. K., Nikitin, D., Rawson, T., Sheppard, R. J., Unwin, H. J. T., van </w:t>
      </w:r>
      <w:proofErr w:type="spellStart"/>
      <w:r w:rsidRPr="00917F55">
        <w:rPr>
          <w:sz w:val="24"/>
          <w:szCs w:val="24"/>
          <w:lang w:val="en-US" w:eastAsia="en-US"/>
        </w:rPr>
        <w:t>Elsland</w:t>
      </w:r>
      <w:proofErr w:type="spellEnd"/>
      <w:r w:rsidRPr="00917F55">
        <w:rPr>
          <w:sz w:val="24"/>
          <w:szCs w:val="24"/>
          <w:lang w:val="en-US" w:eastAsia="en-US"/>
        </w:rPr>
        <w:t xml:space="preserve">, S., Cori, A., Morgenstern, C., &amp; Imai-Eaton, N. (2024). Lassa fever outbreaks, mathematical models, and disease parameters: A systematic review and meta-analysis. </w:t>
      </w:r>
      <w:r w:rsidRPr="00917F55">
        <w:rPr>
          <w:i/>
          <w:iCs/>
          <w:sz w:val="24"/>
          <w:szCs w:val="24"/>
          <w:lang w:val="en-US" w:eastAsia="en-US"/>
        </w:rPr>
        <w:t>The Lancet Global Health, 12</w:t>
      </w:r>
      <w:r w:rsidRPr="00917F55">
        <w:rPr>
          <w:sz w:val="24"/>
          <w:szCs w:val="24"/>
          <w:lang w:val="en-US" w:eastAsia="en-US"/>
        </w:rPr>
        <w:t xml:space="preserve">(12), e1962–e1972. </w:t>
      </w:r>
      <w:hyperlink r:id="rId17" w:history="1">
        <w:r w:rsidRPr="00917F55">
          <w:rPr>
            <w:color w:val="0000FF"/>
            <w:sz w:val="24"/>
            <w:szCs w:val="24"/>
            <w:u w:val="single"/>
            <w:lang w:val="en-US" w:eastAsia="en-US"/>
          </w:rPr>
          <w:t>https://doi.org/10.1016/S2214-109X(24)00379-6</w:t>
        </w:r>
      </w:hyperlink>
    </w:p>
    <w:p w14:paraId="477D65AD"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Eberhardt, K. A., </w:t>
      </w:r>
      <w:proofErr w:type="spellStart"/>
      <w:r w:rsidRPr="00917F55">
        <w:rPr>
          <w:sz w:val="24"/>
          <w:szCs w:val="24"/>
          <w:lang w:val="en-US" w:eastAsia="en-US"/>
        </w:rPr>
        <w:t>Mischlinger</w:t>
      </w:r>
      <w:proofErr w:type="spellEnd"/>
      <w:r w:rsidRPr="00917F55">
        <w:rPr>
          <w:sz w:val="24"/>
          <w:szCs w:val="24"/>
          <w:lang w:val="en-US" w:eastAsia="en-US"/>
        </w:rPr>
        <w:t xml:space="preserve">, J., Jordan, S., Groger, M., Günther, S., &amp; </w:t>
      </w:r>
      <w:proofErr w:type="spellStart"/>
      <w:r w:rsidRPr="00917F55">
        <w:rPr>
          <w:sz w:val="24"/>
          <w:szCs w:val="24"/>
          <w:lang w:val="en-US" w:eastAsia="en-US"/>
        </w:rPr>
        <w:t>Ramharter</w:t>
      </w:r>
      <w:proofErr w:type="spellEnd"/>
      <w:r w:rsidRPr="00917F55">
        <w:rPr>
          <w:sz w:val="24"/>
          <w:szCs w:val="24"/>
          <w:lang w:val="en-US" w:eastAsia="en-US"/>
        </w:rPr>
        <w:t xml:space="preserve">, M. (2019). Ribavirin for the treatment of Lassa fever: A systematic review and meta-analysis. </w:t>
      </w:r>
      <w:r w:rsidRPr="00917F55">
        <w:rPr>
          <w:i/>
          <w:iCs/>
          <w:sz w:val="24"/>
          <w:szCs w:val="24"/>
          <w:lang w:val="en-US" w:eastAsia="en-US"/>
        </w:rPr>
        <w:t>International Journal of Infectious Diseases, 87</w:t>
      </w:r>
      <w:r w:rsidRPr="00917F55">
        <w:rPr>
          <w:sz w:val="24"/>
          <w:szCs w:val="24"/>
          <w:lang w:val="en-US" w:eastAsia="en-US"/>
        </w:rPr>
        <w:t xml:space="preserve">, 15–20. </w:t>
      </w:r>
      <w:hyperlink r:id="rId18" w:history="1">
        <w:r w:rsidRPr="00917F55">
          <w:rPr>
            <w:color w:val="0000FF"/>
            <w:sz w:val="24"/>
            <w:szCs w:val="24"/>
            <w:u w:val="single"/>
            <w:lang w:val="en-US" w:eastAsia="en-US"/>
          </w:rPr>
          <w:t>https://doi.org/10.1016/j.ijid.2019.07.015</w:t>
        </w:r>
      </w:hyperlink>
    </w:p>
    <w:p w14:paraId="30B28939"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Ehichioya, D. U., </w:t>
      </w:r>
      <w:proofErr w:type="spellStart"/>
      <w:r w:rsidRPr="00917F55">
        <w:rPr>
          <w:sz w:val="24"/>
          <w:szCs w:val="24"/>
          <w:lang w:val="en-US" w:eastAsia="en-US"/>
        </w:rPr>
        <w:t>Dellicour</w:t>
      </w:r>
      <w:proofErr w:type="spellEnd"/>
      <w:r w:rsidRPr="00917F55">
        <w:rPr>
          <w:sz w:val="24"/>
          <w:szCs w:val="24"/>
          <w:lang w:val="en-US" w:eastAsia="en-US"/>
        </w:rPr>
        <w:t xml:space="preserve">, S., </w:t>
      </w:r>
      <w:proofErr w:type="spellStart"/>
      <w:r w:rsidRPr="00917F55">
        <w:rPr>
          <w:sz w:val="24"/>
          <w:szCs w:val="24"/>
          <w:lang w:val="en-US" w:eastAsia="en-US"/>
        </w:rPr>
        <w:t>Pahlmann</w:t>
      </w:r>
      <w:proofErr w:type="spellEnd"/>
      <w:r w:rsidRPr="00917F55">
        <w:rPr>
          <w:sz w:val="24"/>
          <w:szCs w:val="24"/>
          <w:lang w:val="en-US" w:eastAsia="en-US"/>
        </w:rPr>
        <w:t xml:space="preserve">, M., Rieger, T., Oestereich, L., Becker-Ziaja, B., Cadar, D., Ighodalo, Y., </w:t>
      </w:r>
      <w:proofErr w:type="spellStart"/>
      <w:r w:rsidRPr="00917F55">
        <w:rPr>
          <w:sz w:val="24"/>
          <w:szCs w:val="24"/>
          <w:lang w:val="en-US" w:eastAsia="en-US"/>
        </w:rPr>
        <w:t>Olokor</w:t>
      </w:r>
      <w:proofErr w:type="spellEnd"/>
      <w:r w:rsidRPr="00917F55">
        <w:rPr>
          <w:sz w:val="24"/>
          <w:szCs w:val="24"/>
          <w:lang w:val="en-US" w:eastAsia="en-US"/>
        </w:rPr>
        <w:t xml:space="preserve">, T., </w:t>
      </w:r>
      <w:proofErr w:type="spellStart"/>
      <w:r w:rsidRPr="00917F55">
        <w:rPr>
          <w:sz w:val="24"/>
          <w:szCs w:val="24"/>
          <w:lang w:val="en-US" w:eastAsia="en-US"/>
        </w:rPr>
        <w:t>Omomoh</w:t>
      </w:r>
      <w:proofErr w:type="spellEnd"/>
      <w:r w:rsidRPr="00917F55">
        <w:rPr>
          <w:sz w:val="24"/>
          <w:szCs w:val="24"/>
          <w:lang w:val="en-US" w:eastAsia="en-US"/>
        </w:rPr>
        <w:t xml:space="preserve">, E., </w:t>
      </w:r>
      <w:proofErr w:type="spellStart"/>
      <w:r w:rsidRPr="00917F55">
        <w:rPr>
          <w:sz w:val="24"/>
          <w:szCs w:val="24"/>
          <w:lang w:val="en-US" w:eastAsia="en-US"/>
        </w:rPr>
        <w:t>Oyakhilome</w:t>
      </w:r>
      <w:proofErr w:type="spellEnd"/>
      <w:r w:rsidRPr="00917F55">
        <w:rPr>
          <w:sz w:val="24"/>
          <w:szCs w:val="24"/>
          <w:lang w:val="en-US" w:eastAsia="en-US"/>
        </w:rPr>
        <w:t xml:space="preserve">, J., </w:t>
      </w:r>
      <w:proofErr w:type="spellStart"/>
      <w:r w:rsidRPr="00917F55">
        <w:rPr>
          <w:sz w:val="24"/>
          <w:szCs w:val="24"/>
          <w:lang w:val="en-US" w:eastAsia="en-US"/>
        </w:rPr>
        <w:t>Omiunu</w:t>
      </w:r>
      <w:proofErr w:type="spellEnd"/>
      <w:r w:rsidRPr="00917F55">
        <w:rPr>
          <w:sz w:val="24"/>
          <w:szCs w:val="24"/>
          <w:lang w:val="en-US" w:eastAsia="en-US"/>
        </w:rPr>
        <w:t xml:space="preserve">, R., </w:t>
      </w:r>
      <w:proofErr w:type="spellStart"/>
      <w:r w:rsidRPr="00917F55">
        <w:rPr>
          <w:sz w:val="24"/>
          <w:szCs w:val="24"/>
          <w:lang w:val="en-US" w:eastAsia="en-US"/>
        </w:rPr>
        <w:t>Agbukor</w:t>
      </w:r>
      <w:proofErr w:type="spellEnd"/>
      <w:r w:rsidRPr="00917F55">
        <w:rPr>
          <w:sz w:val="24"/>
          <w:szCs w:val="24"/>
          <w:lang w:val="en-US" w:eastAsia="en-US"/>
        </w:rPr>
        <w:t xml:space="preserve">, J., Ebo, B., </w:t>
      </w:r>
      <w:proofErr w:type="spellStart"/>
      <w:r w:rsidRPr="00917F55">
        <w:rPr>
          <w:sz w:val="24"/>
          <w:szCs w:val="24"/>
          <w:lang w:val="en-US" w:eastAsia="en-US"/>
        </w:rPr>
        <w:t>Aiyepada</w:t>
      </w:r>
      <w:proofErr w:type="spellEnd"/>
      <w:r w:rsidRPr="00917F55">
        <w:rPr>
          <w:sz w:val="24"/>
          <w:szCs w:val="24"/>
          <w:lang w:val="en-US" w:eastAsia="en-US"/>
        </w:rPr>
        <w:t xml:space="preserve">, J., </w:t>
      </w:r>
      <w:proofErr w:type="spellStart"/>
      <w:r w:rsidRPr="00917F55">
        <w:rPr>
          <w:sz w:val="24"/>
          <w:szCs w:val="24"/>
          <w:lang w:val="en-US" w:eastAsia="en-US"/>
        </w:rPr>
        <w:t>Ebhodaghe</w:t>
      </w:r>
      <w:proofErr w:type="spellEnd"/>
      <w:r w:rsidRPr="00917F55">
        <w:rPr>
          <w:sz w:val="24"/>
          <w:szCs w:val="24"/>
          <w:lang w:val="en-US" w:eastAsia="en-US"/>
        </w:rPr>
        <w:t xml:space="preserve">, P., Osiemi, B., </w:t>
      </w:r>
      <w:proofErr w:type="spellStart"/>
      <w:r w:rsidRPr="00917F55">
        <w:rPr>
          <w:sz w:val="24"/>
          <w:szCs w:val="24"/>
          <w:lang w:val="en-US" w:eastAsia="en-US"/>
        </w:rPr>
        <w:t>Ehikhametalor</w:t>
      </w:r>
      <w:proofErr w:type="spellEnd"/>
      <w:r w:rsidRPr="00917F55">
        <w:rPr>
          <w:sz w:val="24"/>
          <w:szCs w:val="24"/>
          <w:lang w:val="en-US" w:eastAsia="en-US"/>
        </w:rPr>
        <w:t xml:space="preserve">, S., </w:t>
      </w:r>
      <w:proofErr w:type="spellStart"/>
      <w:r w:rsidRPr="00917F55">
        <w:rPr>
          <w:sz w:val="24"/>
          <w:szCs w:val="24"/>
          <w:lang w:val="en-US" w:eastAsia="en-US"/>
        </w:rPr>
        <w:t>Akhilomen</w:t>
      </w:r>
      <w:proofErr w:type="spellEnd"/>
      <w:r w:rsidRPr="00917F55">
        <w:rPr>
          <w:sz w:val="24"/>
          <w:szCs w:val="24"/>
          <w:lang w:val="en-US" w:eastAsia="en-US"/>
        </w:rPr>
        <w:t xml:space="preserve">, P., … Günther, S. (2019). Phylogeography of Lassa virus in Nigeria. </w:t>
      </w:r>
      <w:r w:rsidRPr="00917F55">
        <w:rPr>
          <w:i/>
          <w:iCs/>
          <w:sz w:val="24"/>
          <w:szCs w:val="24"/>
          <w:lang w:val="en-US" w:eastAsia="en-US"/>
        </w:rPr>
        <w:t>Journal of Virology, 93</w:t>
      </w:r>
      <w:r w:rsidRPr="00917F55">
        <w:rPr>
          <w:sz w:val="24"/>
          <w:szCs w:val="24"/>
          <w:lang w:val="en-US" w:eastAsia="en-US"/>
        </w:rPr>
        <w:t xml:space="preserve">(21), Article e00929-19. </w:t>
      </w:r>
      <w:hyperlink r:id="rId19" w:history="1">
        <w:r w:rsidRPr="00917F55">
          <w:rPr>
            <w:color w:val="0000FF"/>
            <w:sz w:val="24"/>
            <w:szCs w:val="24"/>
            <w:u w:val="single"/>
            <w:lang w:val="en-US" w:eastAsia="en-US"/>
          </w:rPr>
          <w:t>https://doi.org/10.1128/jvi.00929-19</w:t>
        </w:r>
      </w:hyperlink>
    </w:p>
    <w:p w14:paraId="4C470E59"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Elsinga</w:t>
      </w:r>
      <w:proofErr w:type="spellEnd"/>
      <w:r w:rsidRPr="00917F55">
        <w:rPr>
          <w:sz w:val="24"/>
          <w:szCs w:val="24"/>
          <w:lang w:val="en-US" w:eastAsia="en-US"/>
        </w:rPr>
        <w:t xml:space="preserve">, J., </w:t>
      </w:r>
      <w:proofErr w:type="spellStart"/>
      <w:r w:rsidRPr="00917F55">
        <w:rPr>
          <w:sz w:val="24"/>
          <w:szCs w:val="24"/>
          <w:lang w:val="en-US" w:eastAsia="en-US"/>
        </w:rPr>
        <w:t>Sunyoto</w:t>
      </w:r>
      <w:proofErr w:type="spellEnd"/>
      <w:r w:rsidRPr="00917F55">
        <w:rPr>
          <w:sz w:val="24"/>
          <w:szCs w:val="24"/>
          <w:lang w:val="en-US" w:eastAsia="en-US"/>
        </w:rPr>
        <w:t xml:space="preserve">, T., di Stefano, L., Giorgetti, P. F., Kyi, H. A., Burzio, C., Campos Moreno, X., </w:t>
      </w:r>
      <w:proofErr w:type="spellStart"/>
      <w:r w:rsidRPr="00917F55">
        <w:rPr>
          <w:sz w:val="24"/>
          <w:szCs w:val="24"/>
          <w:lang w:val="en-US" w:eastAsia="en-US"/>
        </w:rPr>
        <w:t>Ojide</w:t>
      </w:r>
      <w:proofErr w:type="spellEnd"/>
      <w:r w:rsidRPr="00917F55">
        <w:rPr>
          <w:sz w:val="24"/>
          <w:szCs w:val="24"/>
          <w:lang w:val="en-US" w:eastAsia="en-US"/>
        </w:rPr>
        <w:t xml:space="preserve">, C. K., Ajayi, N., </w:t>
      </w:r>
      <w:proofErr w:type="spellStart"/>
      <w:r w:rsidRPr="00917F55">
        <w:rPr>
          <w:sz w:val="24"/>
          <w:szCs w:val="24"/>
          <w:lang w:val="en-US" w:eastAsia="en-US"/>
        </w:rPr>
        <w:t>Ewah</w:t>
      </w:r>
      <w:proofErr w:type="spellEnd"/>
      <w:r w:rsidRPr="00917F55">
        <w:rPr>
          <w:sz w:val="24"/>
          <w:szCs w:val="24"/>
          <w:lang w:val="en-US" w:eastAsia="en-US"/>
        </w:rPr>
        <w:t xml:space="preserve">, R., Ogah, E. O., Dan-Nwafor, C., </w:t>
      </w:r>
      <w:proofErr w:type="spellStart"/>
      <w:r w:rsidRPr="00917F55">
        <w:rPr>
          <w:sz w:val="24"/>
          <w:szCs w:val="24"/>
          <w:lang w:val="en-US" w:eastAsia="en-US"/>
        </w:rPr>
        <w:t>Ahumibe</w:t>
      </w:r>
      <w:proofErr w:type="spellEnd"/>
      <w:r w:rsidRPr="00917F55">
        <w:rPr>
          <w:sz w:val="24"/>
          <w:szCs w:val="24"/>
          <w:lang w:val="en-US" w:eastAsia="en-US"/>
        </w:rPr>
        <w:t xml:space="preserve">, A., Ochu, C. L., Olayinka, A., Jonckheere, S., Chaillet, P., &amp; van Herp, M. (2024). Field evaluation of validity and feasibility of Pan-Lassa rapid diagnostic test for Lassa fever in </w:t>
      </w:r>
      <w:proofErr w:type="spellStart"/>
      <w:r w:rsidRPr="00917F55">
        <w:rPr>
          <w:sz w:val="24"/>
          <w:szCs w:val="24"/>
          <w:lang w:val="en-US" w:eastAsia="en-US"/>
        </w:rPr>
        <w:t>Abakaliki</w:t>
      </w:r>
      <w:proofErr w:type="spellEnd"/>
      <w:r w:rsidRPr="00917F55">
        <w:rPr>
          <w:sz w:val="24"/>
          <w:szCs w:val="24"/>
          <w:lang w:val="en-US" w:eastAsia="en-US"/>
        </w:rPr>
        <w:t xml:space="preserve">, Nigeria: A prospective diagnostic accuracy study. </w:t>
      </w:r>
      <w:r w:rsidRPr="00917F55">
        <w:rPr>
          <w:i/>
          <w:iCs/>
          <w:sz w:val="24"/>
          <w:szCs w:val="24"/>
          <w:lang w:val="en-US" w:eastAsia="en-US"/>
        </w:rPr>
        <w:t>The Lancet Infectious Diseases, 24</w:t>
      </w:r>
      <w:r w:rsidRPr="00917F55">
        <w:rPr>
          <w:sz w:val="24"/>
          <w:szCs w:val="24"/>
          <w:lang w:val="en-US" w:eastAsia="en-US"/>
        </w:rPr>
        <w:t xml:space="preserve">(9), 1037–1044. </w:t>
      </w:r>
      <w:hyperlink r:id="rId20" w:history="1">
        <w:r w:rsidRPr="00917F55">
          <w:rPr>
            <w:color w:val="0000FF"/>
            <w:sz w:val="24"/>
            <w:szCs w:val="24"/>
            <w:u w:val="single"/>
            <w:lang w:val="en-US" w:eastAsia="en-US"/>
          </w:rPr>
          <w:t>https://doi.org/10.1016/S1473-3099(24)00184-1</w:t>
        </w:r>
      </w:hyperlink>
    </w:p>
    <w:p w14:paraId="5CFE407A"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Eskew, E. A., Bird, B. H., Ghersi, B. M., Bangura, J., Basinski, A. J., Amara, E., Bah, M. A., Kanu, M. C., Kanu, O. T., Lavalie, E. G., Lungay, V., Robert, W., Vandi, M. A., Fichet-Calvet, E., &amp; </w:t>
      </w:r>
      <w:proofErr w:type="spellStart"/>
      <w:r w:rsidRPr="00917F55">
        <w:rPr>
          <w:sz w:val="24"/>
          <w:szCs w:val="24"/>
          <w:lang w:val="en-US" w:eastAsia="en-US"/>
        </w:rPr>
        <w:t>Nuismer</w:t>
      </w:r>
      <w:proofErr w:type="spellEnd"/>
      <w:r w:rsidRPr="00917F55">
        <w:rPr>
          <w:sz w:val="24"/>
          <w:szCs w:val="24"/>
          <w:lang w:val="en-US" w:eastAsia="en-US"/>
        </w:rPr>
        <w:t xml:space="preserve">, S. L. (2024). Reservoir displacement by an invasive rodent reduces Lassa virus zoonotic spillover risk. </w:t>
      </w:r>
      <w:r w:rsidRPr="00917F55">
        <w:rPr>
          <w:i/>
          <w:iCs/>
          <w:sz w:val="24"/>
          <w:szCs w:val="24"/>
          <w:lang w:val="en-US" w:eastAsia="en-US"/>
        </w:rPr>
        <w:t>Nature Communications, 15</w:t>
      </w:r>
      <w:r w:rsidRPr="00917F55">
        <w:rPr>
          <w:sz w:val="24"/>
          <w:szCs w:val="24"/>
          <w:lang w:val="en-US" w:eastAsia="en-US"/>
        </w:rPr>
        <w:t xml:space="preserve">, Article 3589. </w:t>
      </w:r>
      <w:hyperlink r:id="rId21" w:history="1">
        <w:r w:rsidRPr="00917F55">
          <w:rPr>
            <w:color w:val="0000FF"/>
            <w:sz w:val="24"/>
            <w:szCs w:val="24"/>
            <w:u w:val="single"/>
            <w:lang w:val="en-US" w:eastAsia="en-US"/>
          </w:rPr>
          <w:t>https://doi.org/10.1038/s41467-024-47991-1</w:t>
        </w:r>
      </w:hyperlink>
    </w:p>
    <w:p w14:paraId="20FC617D"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Foundation for Innovative New Diagnostics. (2025). </w:t>
      </w:r>
      <w:r w:rsidRPr="00917F55">
        <w:rPr>
          <w:i/>
          <w:iCs/>
          <w:sz w:val="24"/>
          <w:szCs w:val="24"/>
          <w:lang w:val="en-US" w:eastAsia="en-US"/>
        </w:rPr>
        <w:t>Target product profiles for Lassa fever diagnostics</w:t>
      </w:r>
      <w:r w:rsidRPr="00917F55">
        <w:rPr>
          <w:sz w:val="24"/>
          <w:szCs w:val="24"/>
          <w:lang w:val="en-US" w:eastAsia="en-US"/>
        </w:rPr>
        <w:t xml:space="preserve">. </w:t>
      </w:r>
      <w:hyperlink r:id="rId22" w:history="1">
        <w:r w:rsidRPr="00917F55">
          <w:rPr>
            <w:color w:val="0000FF"/>
            <w:sz w:val="24"/>
            <w:szCs w:val="24"/>
            <w:u w:val="single"/>
            <w:lang w:val="en-US" w:eastAsia="en-US"/>
          </w:rPr>
          <w:t>https://www.finddx.org/wp-content/uploads/2026/04/20260427_FIND_Lassa-TPP-report.pdf</w:t>
        </w:r>
      </w:hyperlink>
    </w:p>
    <w:p w14:paraId="0D34B1BC"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Groger, M., &amp; </w:t>
      </w:r>
      <w:proofErr w:type="spellStart"/>
      <w:r w:rsidRPr="00917F55">
        <w:rPr>
          <w:sz w:val="24"/>
          <w:szCs w:val="24"/>
          <w:lang w:val="en-US" w:eastAsia="en-US"/>
        </w:rPr>
        <w:t>Ramharter</w:t>
      </w:r>
      <w:proofErr w:type="spellEnd"/>
      <w:r w:rsidRPr="00917F55">
        <w:rPr>
          <w:sz w:val="24"/>
          <w:szCs w:val="24"/>
          <w:lang w:val="en-US" w:eastAsia="en-US"/>
        </w:rPr>
        <w:t xml:space="preserve">, M. (2024). Rapid diagnostic tests for Lassa fever: What do we aim for? </w:t>
      </w:r>
      <w:r w:rsidRPr="00917F55">
        <w:rPr>
          <w:i/>
          <w:iCs/>
          <w:sz w:val="24"/>
          <w:szCs w:val="24"/>
          <w:lang w:val="en-US" w:eastAsia="en-US"/>
        </w:rPr>
        <w:t>The Lancet Infectious Diseases, 24</w:t>
      </w:r>
      <w:r w:rsidRPr="00917F55">
        <w:rPr>
          <w:sz w:val="24"/>
          <w:szCs w:val="24"/>
          <w:lang w:val="en-US" w:eastAsia="en-US"/>
        </w:rPr>
        <w:t xml:space="preserve">(9), 944–945. </w:t>
      </w:r>
      <w:hyperlink r:id="rId23" w:history="1">
        <w:r w:rsidRPr="00917F55">
          <w:rPr>
            <w:color w:val="0000FF"/>
            <w:sz w:val="24"/>
            <w:szCs w:val="24"/>
            <w:u w:val="single"/>
            <w:lang w:val="en-US" w:eastAsia="en-US"/>
          </w:rPr>
          <w:t>https://doi.org/10.1016/S1473-3099(24)00235-4</w:t>
        </w:r>
      </w:hyperlink>
    </w:p>
    <w:p w14:paraId="39932B0D"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lastRenderedPageBreak/>
        <w:t>Kafetzopoulou</w:t>
      </w:r>
      <w:proofErr w:type="spellEnd"/>
      <w:r w:rsidRPr="00917F55">
        <w:rPr>
          <w:sz w:val="24"/>
          <w:szCs w:val="24"/>
          <w:lang w:val="en-US" w:eastAsia="en-US"/>
        </w:rPr>
        <w:t xml:space="preserve">, L. E., Pullan, S. T., </w:t>
      </w:r>
      <w:proofErr w:type="spellStart"/>
      <w:r w:rsidRPr="00917F55">
        <w:rPr>
          <w:sz w:val="24"/>
          <w:szCs w:val="24"/>
          <w:lang w:val="en-US" w:eastAsia="en-US"/>
        </w:rPr>
        <w:t>Lemey</w:t>
      </w:r>
      <w:proofErr w:type="spellEnd"/>
      <w:r w:rsidRPr="00917F55">
        <w:rPr>
          <w:sz w:val="24"/>
          <w:szCs w:val="24"/>
          <w:lang w:val="en-US" w:eastAsia="en-US"/>
        </w:rPr>
        <w:t xml:space="preserve">, P., Suchard, M. A., Ehichioya, D. U., </w:t>
      </w:r>
      <w:proofErr w:type="spellStart"/>
      <w:r w:rsidRPr="00917F55">
        <w:rPr>
          <w:sz w:val="24"/>
          <w:szCs w:val="24"/>
          <w:lang w:val="en-US" w:eastAsia="en-US"/>
        </w:rPr>
        <w:t>Pahlmann</w:t>
      </w:r>
      <w:proofErr w:type="spellEnd"/>
      <w:r w:rsidRPr="00917F55">
        <w:rPr>
          <w:sz w:val="24"/>
          <w:szCs w:val="24"/>
          <w:lang w:val="en-US" w:eastAsia="en-US"/>
        </w:rPr>
        <w:t xml:space="preserve">, M., </w:t>
      </w:r>
      <w:proofErr w:type="spellStart"/>
      <w:r w:rsidRPr="00917F55">
        <w:rPr>
          <w:sz w:val="24"/>
          <w:szCs w:val="24"/>
          <w:lang w:val="en-US" w:eastAsia="en-US"/>
        </w:rPr>
        <w:t>Thielebein</w:t>
      </w:r>
      <w:proofErr w:type="spellEnd"/>
      <w:r w:rsidRPr="00917F55">
        <w:rPr>
          <w:sz w:val="24"/>
          <w:szCs w:val="24"/>
          <w:lang w:val="en-US" w:eastAsia="en-US"/>
        </w:rPr>
        <w:t xml:space="preserve">, A., Hinzmann, J., Oestereich, L., Wozniak, D. M., Efthymiadis, K., </w:t>
      </w:r>
      <w:proofErr w:type="spellStart"/>
      <w:r w:rsidRPr="00917F55">
        <w:rPr>
          <w:sz w:val="24"/>
          <w:szCs w:val="24"/>
          <w:lang w:val="en-US" w:eastAsia="en-US"/>
        </w:rPr>
        <w:t>Schachten</w:t>
      </w:r>
      <w:proofErr w:type="spellEnd"/>
      <w:r w:rsidRPr="00917F55">
        <w:rPr>
          <w:sz w:val="24"/>
          <w:szCs w:val="24"/>
          <w:lang w:val="en-US" w:eastAsia="en-US"/>
        </w:rPr>
        <w:t xml:space="preserve">, D., Koenig, F., </w:t>
      </w:r>
      <w:proofErr w:type="spellStart"/>
      <w:r w:rsidRPr="00917F55">
        <w:rPr>
          <w:sz w:val="24"/>
          <w:szCs w:val="24"/>
          <w:lang w:val="en-US" w:eastAsia="en-US"/>
        </w:rPr>
        <w:t>Matjeschk</w:t>
      </w:r>
      <w:proofErr w:type="spellEnd"/>
      <w:r w:rsidRPr="00917F55">
        <w:rPr>
          <w:sz w:val="24"/>
          <w:szCs w:val="24"/>
          <w:lang w:val="en-US" w:eastAsia="en-US"/>
        </w:rPr>
        <w:t xml:space="preserve">, J., Lorenzen, S., Lumley, S., Ighodalo, Y., </w:t>
      </w:r>
      <w:proofErr w:type="spellStart"/>
      <w:r w:rsidRPr="00917F55">
        <w:rPr>
          <w:sz w:val="24"/>
          <w:szCs w:val="24"/>
          <w:lang w:val="en-US" w:eastAsia="en-US"/>
        </w:rPr>
        <w:t>Adomeh</w:t>
      </w:r>
      <w:proofErr w:type="spellEnd"/>
      <w:r w:rsidRPr="00917F55">
        <w:rPr>
          <w:sz w:val="24"/>
          <w:szCs w:val="24"/>
          <w:lang w:val="en-US" w:eastAsia="en-US"/>
        </w:rPr>
        <w:t xml:space="preserve">, D. I., </w:t>
      </w:r>
      <w:proofErr w:type="spellStart"/>
      <w:r w:rsidRPr="00917F55">
        <w:rPr>
          <w:sz w:val="24"/>
          <w:szCs w:val="24"/>
          <w:lang w:val="en-US" w:eastAsia="en-US"/>
        </w:rPr>
        <w:t>Olokor</w:t>
      </w:r>
      <w:proofErr w:type="spellEnd"/>
      <w:r w:rsidRPr="00917F55">
        <w:rPr>
          <w:sz w:val="24"/>
          <w:szCs w:val="24"/>
          <w:lang w:val="en-US" w:eastAsia="en-US"/>
        </w:rPr>
        <w:t xml:space="preserve">, T., … </w:t>
      </w:r>
      <w:proofErr w:type="spellStart"/>
      <w:r w:rsidRPr="00917F55">
        <w:rPr>
          <w:sz w:val="24"/>
          <w:szCs w:val="24"/>
          <w:lang w:val="en-US" w:eastAsia="en-US"/>
        </w:rPr>
        <w:t>Duraffour</w:t>
      </w:r>
      <w:proofErr w:type="spellEnd"/>
      <w:r w:rsidRPr="00917F55">
        <w:rPr>
          <w:sz w:val="24"/>
          <w:szCs w:val="24"/>
          <w:lang w:val="en-US" w:eastAsia="en-US"/>
        </w:rPr>
        <w:t xml:space="preserve">, S. (2019). Metagenomic sequencing at the epicenter of the Nigeria 2018 Lassa fever outbreak. </w:t>
      </w:r>
      <w:r w:rsidRPr="00917F55">
        <w:rPr>
          <w:i/>
          <w:iCs/>
          <w:sz w:val="24"/>
          <w:szCs w:val="24"/>
          <w:lang w:val="en-US" w:eastAsia="en-US"/>
        </w:rPr>
        <w:t>Science, 363</w:t>
      </w:r>
      <w:r w:rsidRPr="00917F55">
        <w:rPr>
          <w:sz w:val="24"/>
          <w:szCs w:val="24"/>
          <w:lang w:val="en-US" w:eastAsia="en-US"/>
        </w:rPr>
        <w:t xml:space="preserve">(6422), 74–77. </w:t>
      </w:r>
      <w:hyperlink r:id="rId24" w:history="1">
        <w:r w:rsidRPr="00917F55">
          <w:rPr>
            <w:color w:val="0000FF"/>
            <w:sz w:val="24"/>
            <w:szCs w:val="24"/>
            <w:u w:val="single"/>
            <w:lang w:val="en-US" w:eastAsia="en-US"/>
          </w:rPr>
          <w:t>https://doi.org/10.1126/science.aau9343</w:t>
        </w:r>
      </w:hyperlink>
    </w:p>
    <w:p w14:paraId="5DE75C93"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Kayem, N. D., Benson, C., Aye, C. Y. L., Barker, S., Tome, M., Kennedy, S., Ariana, P., &amp; Horby, P. (2020). Lassa fever in pregnancy: A systematic review and meta-analysis. </w:t>
      </w:r>
      <w:r w:rsidRPr="00917F55">
        <w:rPr>
          <w:i/>
          <w:iCs/>
          <w:sz w:val="24"/>
          <w:szCs w:val="24"/>
          <w:lang w:val="en-US" w:eastAsia="en-US"/>
        </w:rPr>
        <w:t>Transactions of the Royal Society of Tropical Medicine and Hygiene, 114</w:t>
      </w:r>
      <w:r w:rsidRPr="00917F55">
        <w:rPr>
          <w:sz w:val="24"/>
          <w:szCs w:val="24"/>
          <w:lang w:val="en-US" w:eastAsia="en-US"/>
        </w:rPr>
        <w:t xml:space="preserve">(5), 385–396. </w:t>
      </w:r>
      <w:hyperlink r:id="rId25" w:history="1">
        <w:r w:rsidRPr="00917F55">
          <w:rPr>
            <w:color w:val="0000FF"/>
            <w:sz w:val="24"/>
            <w:szCs w:val="24"/>
            <w:u w:val="single"/>
            <w:lang w:val="en-US" w:eastAsia="en-US"/>
          </w:rPr>
          <w:t>https://doi.org/10.1093/trstmh/traa011</w:t>
        </w:r>
      </w:hyperlink>
    </w:p>
    <w:p w14:paraId="0FD75EDA"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Kenmoe, S., Tchatchouang, S., Ebogo-</w:t>
      </w:r>
      <w:proofErr w:type="spellStart"/>
      <w:r w:rsidRPr="00917F55">
        <w:rPr>
          <w:sz w:val="24"/>
          <w:szCs w:val="24"/>
          <w:lang w:val="en-US" w:eastAsia="en-US"/>
        </w:rPr>
        <w:t>Belobo</w:t>
      </w:r>
      <w:proofErr w:type="spellEnd"/>
      <w:r w:rsidRPr="00917F55">
        <w:rPr>
          <w:sz w:val="24"/>
          <w:szCs w:val="24"/>
          <w:lang w:val="en-US" w:eastAsia="en-US"/>
        </w:rPr>
        <w:t xml:space="preserve">, J. T., </w:t>
      </w:r>
      <w:proofErr w:type="spellStart"/>
      <w:r w:rsidRPr="00917F55">
        <w:rPr>
          <w:sz w:val="24"/>
          <w:szCs w:val="24"/>
          <w:lang w:val="en-US" w:eastAsia="en-US"/>
        </w:rPr>
        <w:t>Ka’e</w:t>
      </w:r>
      <w:proofErr w:type="spellEnd"/>
      <w:r w:rsidRPr="00917F55">
        <w:rPr>
          <w:sz w:val="24"/>
          <w:szCs w:val="24"/>
          <w:lang w:val="en-US" w:eastAsia="en-US"/>
        </w:rPr>
        <w:t xml:space="preserve">, A. C., Mahamat, G., </w:t>
      </w:r>
      <w:proofErr w:type="spellStart"/>
      <w:r w:rsidRPr="00917F55">
        <w:rPr>
          <w:sz w:val="24"/>
          <w:szCs w:val="24"/>
          <w:lang w:val="en-US" w:eastAsia="en-US"/>
        </w:rPr>
        <w:t>Guiamdjo</w:t>
      </w:r>
      <w:proofErr w:type="spellEnd"/>
      <w:r w:rsidRPr="00917F55">
        <w:rPr>
          <w:sz w:val="24"/>
          <w:szCs w:val="24"/>
          <w:lang w:val="en-US" w:eastAsia="en-US"/>
        </w:rPr>
        <w:t xml:space="preserve"> Simo, R. E., </w:t>
      </w:r>
      <w:proofErr w:type="spellStart"/>
      <w:r w:rsidRPr="00917F55">
        <w:rPr>
          <w:sz w:val="24"/>
          <w:szCs w:val="24"/>
          <w:lang w:val="en-US" w:eastAsia="en-US"/>
        </w:rPr>
        <w:t>Bowo-Ngandji</w:t>
      </w:r>
      <w:proofErr w:type="spellEnd"/>
      <w:r w:rsidRPr="00917F55">
        <w:rPr>
          <w:sz w:val="24"/>
          <w:szCs w:val="24"/>
          <w:lang w:val="en-US" w:eastAsia="en-US"/>
        </w:rPr>
        <w:t xml:space="preserve">, A., </w:t>
      </w:r>
      <w:proofErr w:type="spellStart"/>
      <w:r w:rsidRPr="00917F55">
        <w:rPr>
          <w:sz w:val="24"/>
          <w:szCs w:val="24"/>
          <w:lang w:val="en-US" w:eastAsia="en-US"/>
        </w:rPr>
        <w:t>Demeni</w:t>
      </w:r>
      <w:proofErr w:type="spellEnd"/>
      <w:r w:rsidRPr="00917F55">
        <w:rPr>
          <w:sz w:val="24"/>
          <w:szCs w:val="24"/>
          <w:lang w:val="en-US" w:eastAsia="en-US"/>
        </w:rPr>
        <w:t xml:space="preserve"> Emoh, C. P., Che, E., Tchami Ngongang, D., Amougou-Atsama, M., Nzukui, N. D., </w:t>
      </w:r>
      <w:proofErr w:type="spellStart"/>
      <w:r w:rsidRPr="00917F55">
        <w:rPr>
          <w:sz w:val="24"/>
          <w:szCs w:val="24"/>
          <w:lang w:val="en-US" w:eastAsia="en-US"/>
        </w:rPr>
        <w:t>Mbongue</w:t>
      </w:r>
      <w:proofErr w:type="spellEnd"/>
      <w:r w:rsidRPr="00917F55">
        <w:rPr>
          <w:sz w:val="24"/>
          <w:szCs w:val="24"/>
          <w:lang w:val="en-US" w:eastAsia="en-US"/>
        </w:rPr>
        <w:t xml:space="preserve"> Mikangue, C. A., </w:t>
      </w:r>
      <w:proofErr w:type="spellStart"/>
      <w:r w:rsidRPr="00917F55">
        <w:rPr>
          <w:sz w:val="24"/>
          <w:szCs w:val="24"/>
          <w:lang w:val="en-US" w:eastAsia="en-US"/>
        </w:rPr>
        <w:t>Mbaga</w:t>
      </w:r>
      <w:proofErr w:type="spellEnd"/>
      <w:r w:rsidRPr="00917F55">
        <w:rPr>
          <w:sz w:val="24"/>
          <w:szCs w:val="24"/>
          <w:lang w:val="en-US" w:eastAsia="en-US"/>
        </w:rPr>
        <w:t xml:space="preserve">, D. S., Kenfack, S., Kingue </w:t>
      </w:r>
      <w:proofErr w:type="spellStart"/>
      <w:r w:rsidRPr="00917F55">
        <w:rPr>
          <w:sz w:val="24"/>
          <w:szCs w:val="24"/>
          <w:lang w:val="en-US" w:eastAsia="en-US"/>
        </w:rPr>
        <w:t>Bebey</w:t>
      </w:r>
      <w:proofErr w:type="spellEnd"/>
      <w:r w:rsidRPr="00917F55">
        <w:rPr>
          <w:sz w:val="24"/>
          <w:szCs w:val="24"/>
          <w:lang w:val="en-US" w:eastAsia="en-US"/>
        </w:rPr>
        <w:t xml:space="preserve">, S. R., </w:t>
      </w:r>
      <w:proofErr w:type="spellStart"/>
      <w:r w:rsidRPr="00917F55">
        <w:rPr>
          <w:sz w:val="24"/>
          <w:szCs w:val="24"/>
          <w:lang w:val="en-US" w:eastAsia="en-US"/>
        </w:rPr>
        <w:t>Amvongo</w:t>
      </w:r>
      <w:proofErr w:type="spellEnd"/>
      <w:r w:rsidRPr="00917F55">
        <w:rPr>
          <w:sz w:val="24"/>
          <w:szCs w:val="24"/>
          <w:lang w:val="en-US" w:eastAsia="en-US"/>
        </w:rPr>
        <w:t xml:space="preserve"> Adjia, N., </w:t>
      </w:r>
      <w:proofErr w:type="spellStart"/>
      <w:r w:rsidRPr="00917F55">
        <w:rPr>
          <w:sz w:val="24"/>
          <w:szCs w:val="24"/>
          <w:lang w:val="en-US" w:eastAsia="en-US"/>
        </w:rPr>
        <w:t>Efietngab</w:t>
      </w:r>
      <w:proofErr w:type="spellEnd"/>
      <w:r w:rsidRPr="00917F55">
        <w:rPr>
          <w:sz w:val="24"/>
          <w:szCs w:val="24"/>
          <w:lang w:val="en-US" w:eastAsia="en-US"/>
        </w:rPr>
        <w:t xml:space="preserve">, A. N., </w:t>
      </w:r>
      <w:proofErr w:type="spellStart"/>
      <w:r w:rsidRPr="00917F55">
        <w:rPr>
          <w:sz w:val="24"/>
          <w:szCs w:val="24"/>
          <w:lang w:val="en-US" w:eastAsia="en-US"/>
        </w:rPr>
        <w:t>Tazokong</w:t>
      </w:r>
      <w:proofErr w:type="spellEnd"/>
      <w:r w:rsidRPr="00917F55">
        <w:rPr>
          <w:sz w:val="24"/>
          <w:szCs w:val="24"/>
          <w:lang w:val="en-US" w:eastAsia="en-US"/>
        </w:rPr>
        <w:t xml:space="preserve">, H. R., … </w:t>
      </w:r>
      <w:proofErr w:type="spellStart"/>
      <w:r w:rsidRPr="00917F55">
        <w:rPr>
          <w:sz w:val="24"/>
          <w:szCs w:val="24"/>
          <w:lang w:val="en-US" w:eastAsia="en-US"/>
        </w:rPr>
        <w:t>Njouom</w:t>
      </w:r>
      <w:proofErr w:type="spellEnd"/>
      <w:r w:rsidRPr="00917F55">
        <w:rPr>
          <w:sz w:val="24"/>
          <w:szCs w:val="24"/>
          <w:lang w:val="en-US" w:eastAsia="en-US"/>
        </w:rPr>
        <w:t xml:space="preserve">, R. (2020). Systematic review and meta-analysis of the epidemiology of Lassa virus in humans, rodents and other mammals in sub-Saharan Africa. </w:t>
      </w:r>
      <w:r w:rsidRPr="00917F55">
        <w:rPr>
          <w:i/>
          <w:iCs/>
          <w:sz w:val="24"/>
          <w:szCs w:val="24"/>
          <w:lang w:val="en-US" w:eastAsia="en-US"/>
        </w:rPr>
        <w:t>PLOS Neglected Tropical Diseases, 14</w:t>
      </w:r>
      <w:r w:rsidRPr="00917F55">
        <w:rPr>
          <w:sz w:val="24"/>
          <w:szCs w:val="24"/>
          <w:lang w:val="en-US" w:eastAsia="en-US"/>
        </w:rPr>
        <w:t xml:space="preserve">(8), Article e0008589. </w:t>
      </w:r>
      <w:hyperlink r:id="rId26" w:history="1">
        <w:r w:rsidRPr="00917F55">
          <w:rPr>
            <w:color w:val="0000FF"/>
            <w:sz w:val="24"/>
            <w:szCs w:val="24"/>
            <w:u w:val="single"/>
            <w:lang w:val="en-US" w:eastAsia="en-US"/>
          </w:rPr>
          <w:t>https://doi.org/10.1371/journal.pntd.0008589</w:t>
        </w:r>
      </w:hyperlink>
    </w:p>
    <w:p w14:paraId="545E96CE"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Klitting</w:t>
      </w:r>
      <w:proofErr w:type="spellEnd"/>
      <w:r w:rsidRPr="00917F55">
        <w:rPr>
          <w:sz w:val="24"/>
          <w:szCs w:val="24"/>
          <w:lang w:val="en-US" w:eastAsia="en-US"/>
        </w:rPr>
        <w:t xml:space="preserve">, R., </w:t>
      </w:r>
      <w:proofErr w:type="spellStart"/>
      <w:r w:rsidRPr="00917F55">
        <w:rPr>
          <w:sz w:val="24"/>
          <w:szCs w:val="24"/>
          <w:lang w:val="en-US" w:eastAsia="en-US"/>
        </w:rPr>
        <w:t>Kafetzopoulou</w:t>
      </w:r>
      <w:proofErr w:type="spellEnd"/>
      <w:r w:rsidRPr="00917F55">
        <w:rPr>
          <w:sz w:val="24"/>
          <w:szCs w:val="24"/>
          <w:lang w:val="en-US" w:eastAsia="en-US"/>
        </w:rPr>
        <w:t xml:space="preserve">, L. E., Thiery, W., Dudas, G., </w:t>
      </w:r>
      <w:proofErr w:type="spellStart"/>
      <w:r w:rsidRPr="00917F55">
        <w:rPr>
          <w:sz w:val="24"/>
          <w:szCs w:val="24"/>
          <w:lang w:val="en-US" w:eastAsia="en-US"/>
        </w:rPr>
        <w:t>Gryseels</w:t>
      </w:r>
      <w:proofErr w:type="spellEnd"/>
      <w:r w:rsidRPr="00917F55">
        <w:rPr>
          <w:sz w:val="24"/>
          <w:szCs w:val="24"/>
          <w:lang w:val="en-US" w:eastAsia="en-US"/>
        </w:rPr>
        <w:t xml:space="preserve">, S., </w:t>
      </w:r>
      <w:proofErr w:type="spellStart"/>
      <w:r w:rsidRPr="00917F55">
        <w:rPr>
          <w:sz w:val="24"/>
          <w:szCs w:val="24"/>
          <w:lang w:val="en-US" w:eastAsia="en-US"/>
        </w:rPr>
        <w:t>Kotamarthi</w:t>
      </w:r>
      <w:proofErr w:type="spellEnd"/>
      <w:r w:rsidRPr="00917F55">
        <w:rPr>
          <w:sz w:val="24"/>
          <w:szCs w:val="24"/>
          <w:lang w:val="en-US" w:eastAsia="en-US"/>
        </w:rPr>
        <w:t xml:space="preserve">, A., </w:t>
      </w:r>
      <w:proofErr w:type="spellStart"/>
      <w:r w:rsidRPr="00917F55">
        <w:rPr>
          <w:sz w:val="24"/>
          <w:szCs w:val="24"/>
          <w:lang w:val="en-US" w:eastAsia="en-US"/>
        </w:rPr>
        <w:t>Vrancken</w:t>
      </w:r>
      <w:proofErr w:type="spellEnd"/>
      <w:r w:rsidRPr="00917F55">
        <w:rPr>
          <w:sz w:val="24"/>
          <w:szCs w:val="24"/>
          <w:lang w:val="en-US" w:eastAsia="en-US"/>
        </w:rPr>
        <w:t xml:space="preserve">, B., </w:t>
      </w:r>
      <w:proofErr w:type="spellStart"/>
      <w:r w:rsidRPr="00917F55">
        <w:rPr>
          <w:sz w:val="24"/>
          <w:szCs w:val="24"/>
          <w:lang w:val="en-US" w:eastAsia="en-US"/>
        </w:rPr>
        <w:t>Gangavarapu</w:t>
      </w:r>
      <w:proofErr w:type="spellEnd"/>
      <w:r w:rsidRPr="00917F55">
        <w:rPr>
          <w:sz w:val="24"/>
          <w:szCs w:val="24"/>
          <w:lang w:val="en-US" w:eastAsia="en-US"/>
        </w:rPr>
        <w:t xml:space="preserve">, K., Momoh, M., Sandi, J. D., Goba, A., Alhasan, F., Grant, D. S., </w:t>
      </w:r>
      <w:proofErr w:type="spellStart"/>
      <w:r w:rsidRPr="00917F55">
        <w:rPr>
          <w:sz w:val="24"/>
          <w:szCs w:val="24"/>
          <w:lang w:val="en-US" w:eastAsia="en-US"/>
        </w:rPr>
        <w:t>Okogbenin</w:t>
      </w:r>
      <w:proofErr w:type="spellEnd"/>
      <w:r w:rsidRPr="00917F55">
        <w:rPr>
          <w:sz w:val="24"/>
          <w:szCs w:val="24"/>
          <w:lang w:val="en-US" w:eastAsia="en-US"/>
        </w:rPr>
        <w:t xml:space="preserve">, S., </w:t>
      </w:r>
      <w:proofErr w:type="spellStart"/>
      <w:r w:rsidRPr="00917F55">
        <w:rPr>
          <w:sz w:val="24"/>
          <w:szCs w:val="24"/>
          <w:lang w:val="en-US" w:eastAsia="en-US"/>
        </w:rPr>
        <w:t>Ogbaini-Emovo</w:t>
      </w:r>
      <w:proofErr w:type="spellEnd"/>
      <w:r w:rsidRPr="00917F55">
        <w:rPr>
          <w:sz w:val="24"/>
          <w:szCs w:val="24"/>
          <w:lang w:val="en-US" w:eastAsia="en-US"/>
        </w:rPr>
        <w:t xml:space="preserve">, E., Garry, R. F., Smither, A. R., Zeller, M., Pauthner, M. G., … </w:t>
      </w:r>
      <w:proofErr w:type="spellStart"/>
      <w:r w:rsidRPr="00917F55">
        <w:rPr>
          <w:sz w:val="24"/>
          <w:szCs w:val="24"/>
          <w:lang w:val="en-US" w:eastAsia="en-US"/>
        </w:rPr>
        <w:t>Dellicour</w:t>
      </w:r>
      <w:proofErr w:type="spellEnd"/>
      <w:r w:rsidRPr="00917F55">
        <w:rPr>
          <w:sz w:val="24"/>
          <w:szCs w:val="24"/>
          <w:lang w:val="en-US" w:eastAsia="en-US"/>
        </w:rPr>
        <w:t xml:space="preserve">, S. (2022). Predicting the evolution of the Lassa virus endemic area and population at risk over the next decades. </w:t>
      </w:r>
      <w:r w:rsidRPr="00917F55">
        <w:rPr>
          <w:i/>
          <w:iCs/>
          <w:sz w:val="24"/>
          <w:szCs w:val="24"/>
          <w:lang w:val="en-US" w:eastAsia="en-US"/>
        </w:rPr>
        <w:t>Nature Communications, 13</w:t>
      </w:r>
      <w:r w:rsidRPr="00917F55">
        <w:rPr>
          <w:sz w:val="24"/>
          <w:szCs w:val="24"/>
          <w:lang w:val="en-US" w:eastAsia="en-US"/>
        </w:rPr>
        <w:t xml:space="preserve">, Article 5596. </w:t>
      </w:r>
      <w:hyperlink r:id="rId27" w:history="1">
        <w:r w:rsidRPr="00917F55">
          <w:rPr>
            <w:color w:val="0000FF"/>
            <w:sz w:val="24"/>
            <w:szCs w:val="24"/>
            <w:u w:val="single"/>
            <w:lang w:val="en-US" w:eastAsia="en-US"/>
          </w:rPr>
          <w:t>https://doi.org/10.1038/s41467-022-33112-3</w:t>
        </w:r>
      </w:hyperlink>
    </w:p>
    <w:p w14:paraId="4BCC2CDC"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Klitting</w:t>
      </w:r>
      <w:proofErr w:type="spellEnd"/>
      <w:r w:rsidRPr="00917F55">
        <w:rPr>
          <w:sz w:val="24"/>
          <w:szCs w:val="24"/>
          <w:lang w:val="en-US" w:eastAsia="en-US"/>
        </w:rPr>
        <w:t xml:space="preserve">, R., Mehta, S. B., </w:t>
      </w:r>
      <w:proofErr w:type="spellStart"/>
      <w:r w:rsidRPr="00917F55">
        <w:rPr>
          <w:sz w:val="24"/>
          <w:szCs w:val="24"/>
          <w:lang w:val="en-US" w:eastAsia="en-US"/>
        </w:rPr>
        <w:t>Oguzie</w:t>
      </w:r>
      <w:proofErr w:type="spellEnd"/>
      <w:r w:rsidRPr="00917F55">
        <w:rPr>
          <w:sz w:val="24"/>
          <w:szCs w:val="24"/>
          <w:lang w:val="en-US" w:eastAsia="en-US"/>
        </w:rPr>
        <w:t xml:space="preserve">, J. U., </w:t>
      </w:r>
      <w:proofErr w:type="spellStart"/>
      <w:r w:rsidRPr="00917F55">
        <w:rPr>
          <w:sz w:val="24"/>
          <w:szCs w:val="24"/>
          <w:lang w:val="en-US" w:eastAsia="en-US"/>
        </w:rPr>
        <w:t>Oluniyi</w:t>
      </w:r>
      <w:proofErr w:type="spellEnd"/>
      <w:r w:rsidRPr="00917F55">
        <w:rPr>
          <w:sz w:val="24"/>
          <w:szCs w:val="24"/>
          <w:lang w:val="en-US" w:eastAsia="en-US"/>
        </w:rPr>
        <w:t xml:space="preserve">, P. E., Pauthner, M. G., Siddle, K. J., Andersen, K. G., Happi, C. T., &amp; Sabeti, P. C. (2023). Lassa virus genetics. </w:t>
      </w:r>
      <w:r w:rsidRPr="00917F55">
        <w:rPr>
          <w:i/>
          <w:iCs/>
          <w:sz w:val="24"/>
          <w:szCs w:val="24"/>
          <w:lang w:val="en-US" w:eastAsia="en-US"/>
        </w:rPr>
        <w:t>Current Topics in Microbiology and Immunology, 440</w:t>
      </w:r>
      <w:r w:rsidRPr="00917F55">
        <w:rPr>
          <w:sz w:val="24"/>
          <w:szCs w:val="24"/>
          <w:lang w:val="en-US" w:eastAsia="en-US"/>
        </w:rPr>
        <w:t xml:space="preserve">, 23–65. </w:t>
      </w:r>
      <w:hyperlink r:id="rId28" w:history="1">
        <w:r w:rsidRPr="00917F55">
          <w:rPr>
            <w:color w:val="0000FF"/>
            <w:sz w:val="24"/>
            <w:szCs w:val="24"/>
            <w:u w:val="single"/>
            <w:lang w:val="en-US" w:eastAsia="en-US"/>
          </w:rPr>
          <w:t>https://doi.org/10.1007/82_2020_212</w:t>
        </w:r>
      </w:hyperlink>
    </w:p>
    <w:p w14:paraId="72E1CD75"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Malkin, E., Zaric, M., </w:t>
      </w:r>
      <w:proofErr w:type="spellStart"/>
      <w:r w:rsidRPr="00917F55">
        <w:rPr>
          <w:sz w:val="24"/>
          <w:szCs w:val="24"/>
          <w:lang w:val="en-US" w:eastAsia="en-US"/>
        </w:rPr>
        <w:t>Kieh</w:t>
      </w:r>
      <w:proofErr w:type="spellEnd"/>
      <w:r w:rsidRPr="00917F55">
        <w:rPr>
          <w:sz w:val="24"/>
          <w:szCs w:val="24"/>
          <w:lang w:val="en-US" w:eastAsia="en-US"/>
        </w:rPr>
        <w:t xml:space="preserve">, M., Baden, L. R., Fitz-Patrick, D., Marini, A., Yun, H., Hayes, P., Bromell, R., Ayorinde, M., Fernandez, N., Varma, R., Sigei, F., Ward, M., </w:t>
      </w:r>
      <w:proofErr w:type="spellStart"/>
      <w:r w:rsidRPr="00917F55">
        <w:rPr>
          <w:sz w:val="24"/>
          <w:szCs w:val="24"/>
          <w:lang w:val="en-US" w:eastAsia="en-US"/>
        </w:rPr>
        <w:t>Pindolia</w:t>
      </w:r>
      <w:proofErr w:type="spellEnd"/>
      <w:r w:rsidRPr="00917F55">
        <w:rPr>
          <w:sz w:val="24"/>
          <w:szCs w:val="24"/>
          <w:lang w:val="en-US" w:eastAsia="en-US"/>
        </w:rPr>
        <w:t xml:space="preserve">, H., Sewell, S., Amini, F., Blie, J., Wilson, B., … Gupta, S. B. (2025). Safety and immunogenicity of an </w:t>
      </w:r>
      <w:proofErr w:type="spellStart"/>
      <w:r w:rsidRPr="00917F55">
        <w:rPr>
          <w:sz w:val="24"/>
          <w:szCs w:val="24"/>
          <w:lang w:val="en-US" w:eastAsia="en-US"/>
        </w:rPr>
        <w:t>rVSV</w:t>
      </w:r>
      <w:proofErr w:type="spellEnd"/>
      <w:r w:rsidRPr="00917F55">
        <w:rPr>
          <w:sz w:val="24"/>
          <w:szCs w:val="24"/>
          <w:lang w:val="en-US" w:eastAsia="en-US"/>
        </w:rPr>
        <w:t xml:space="preserve"> Lassa fever vaccine candidate. </w:t>
      </w:r>
      <w:r w:rsidRPr="00917F55">
        <w:rPr>
          <w:i/>
          <w:iCs/>
          <w:sz w:val="24"/>
          <w:szCs w:val="24"/>
          <w:lang w:val="en-US" w:eastAsia="en-US"/>
        </w:rPr>
        <w:t>The New England Journal of Medicine, 393</w:t>
      </w:r>
      <w:r w:rsidRPr="00917F55">
        <w:rPr>
          <w:sz w:val="24"/>
          <w:szCs w:val="24"/>
          <w:lang w:val="en-US" w:eastAsia="en-US"/>
        </w:rPr>
        <w:t xml:space="preserve">(18), 1807–1818. </w:t>
      </w:r>
      <w:hyperlink r:id="rId29" w:history="1">
        <w:r w:rsidRPr="00917F55">
          <w:rPr>
            <w:color w:val="0000FF"/>
            <w:sz w:val="24"/>
            <w:szCs w:val="24"/>
            <w:u w:val="single"/>
            <w:lang w:val="en-US" w:eastAsia="en-US"/>
          </w:rPr>
          <w:t>https://doi.org/10.1056/NEJMoa2501073</w:t>
        </w:r>
      </w:hyperlink>
    </w:p>
    <w:p w14:paraId="5B940407"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Mariën, J., </w:t>
      </w:r>
      <w:proofErr w:type="spellStart"/>
      <w:r w:rsidRPr="00917F55">
        <w:rPr>
          <w:sz w:val="24"/>
          <w:szCs w:val="24"/>
          <w:lang w:val="en-US" w:eastAsia="en-US"/>
        </w:rPr>
        <w:t>Nuismer</w:t>
      </w:r>
      <w:proofErr w:type="spellEnd"/>
      <w:r w:rsidRPr="00917F55">
        <w:rPr>
          <w:sz w:val="24"/>
          <w:szCs w:val="24"/>
          <w:lang w:val="en-US" w:eastAsia="en-US"/>
        </w:rPr>
        <w:t xml:space="preserve">, S. L., Magassouba, N., </w:t>
      </w:r>
      <w:proofErr w:type="spellStart"/>
      <w:r w:rsidRPr="00917F55">
        <w:rPr>
          <w:sz w:val="24"/>
          <w:szCs w:val="24"/>
          <w:lang w:val="en-US" w:eastAsia="en-US"/>
        </w:rPr>
        <w:t>Soropogui</w:t>
      </w:r>
      <w:proofErr w:type="spellEnd"/>
      <w:r w:rsidRPr="00917F55">
        <w:rPr>
          <w:sz w:val="24"/>
          <w:szCs w:val="24"/>
          <w:lang w:val="en-US" w:eastAsia="en-US"/>
        </w:rPr>
        <w:t>, B., Günther, S., Becker-Ziaja, B., Gabriel, M., Müller-</w:t>
      </w:r>
      <w:proofErr w:type="spellStart"/>
      <w:r w:rsidRPr="00917F55">
        <w:rPr>
          <w:sz w:val="24"/>
          <w:szCs w:val="24"/>
          <w:lang w:val="en-US" w:eastAsia="en-US"/>
        </w:rPr>
        <w:t>Kräuter</w:t>
      </w:r>
      <w:proofErr w:type="spellEnd"/>
      <w:r w:rsidRPr="00917F55">
        <w:rPr>
          <w:sz w:val="24"/>
          <w:szCs w:val="24"/>
          <w:lang w:val="en-US" w:eastAsia="en-US"/>
        </w:rPr>
        <w:t xml:space="preserve">, H., Strecker, T., Mari Saez, A. M., Borchert, M., &amp; Fichet-Calvet, E. (2025). </w:t>
      </w:r>
      <w:proofErr w:type="spellStart"/>
      <w:r w:rsidRPr="00917F55">
        <w:rPr>
          <w:sz w:val="24"/>
          <w:szCs w:val="24"/>
          <w:lang w:val="en-US" w:eastAsia="en-US"/>
        </w:rPr>
        <w:t>Serosurveillance</w:t>
      </w:r>
      <w:proofErr w:type="spellEnd"/>
      <w:r w:rsidRPr="00917F55">
        <w:rPr>
          <w:sz w:val="24"/>
          <w:szCs w:val="24"/>
          <w:lang w:val="en-US" w:eastAsia="en-US"/>
        </w:rPr>
        <w:t xml:space="preserve"> identifies an endemic hotspot of Lassa fever in </w:t>
      </w:r>
      <w:proofErr w:type="spellStart"/>
      <w:r w:rsidRPr="00917F55">
        <w:rPr>
          <w:sz w:val="24"/>
          <w:szCs w:val="24"/>
          <w:lang w:val="en-US" w:eastAsia="en-US"/>
        </w:rPr>
        <w:t>Faranah</w:t>
      </w:r>
      <w:proofErr w:type="spellEnd"/>
      <w:r w:rsidRPr="00917F55">
        <w:rPr>
          <w:sz w:val="24"/>
          <w:szCs w:val="24"/>
          <w:lang w:val="en-US" w:eastAsia="en-US"/>
        </w:rPr>
        <w:t xml:space="preserve">, Upper Guinea. </w:t>
      </w:r>
      <w:r w:rsidRPr="00917F55">
        <w:rPr>
          <w:i/>
          <w:iCs/>
          <w:sz w:val="24"/>
          <w:szCs w:val="24"/>
          <w:lang w:val="en-US" w:eastAsia="en-US"/>
        </w:rPr>
        <w:t>The Journal of Infectious Diseases, 232</w:t>
      </w:r>
      <w:r w:rsidRPr="00917F55">
        <w:rPr>
          <w:sz w:val="24"/>
          <w:szCs w:val="24"/>
          <w:lang w:val="en-US" w:eastAsia="en-US"/>
        </w:rPr>
        <w:t xml:space="preserve">(5), e830–e838. </w:t>
      </w:r>
      <w:hyperlink r:id="rId30" w:history="1">
        <w:r w:rsidRPr="00917F55">
          <w:rPr>
            <w:color w:val="0000FF"/>
            <w:sz w:val="24"/>
            <w:szCs w:val="24"/>
            <w:u w:val="single"/>
            <w:lang w:val="en-US" w:eastAsia="en-US"/>
          </w:rPr>
          <w:t>https://doi.org/10.1093/infdis/jiaf308</w:t>
        </w:r>
      </w:hyperlink>
    </w:p>
    <w:p w14:paraId="586B6A91" w14:textId="07190A0E"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Nigeria Centre for Disease Control and Prevention. (2021, December 14). </w:t>
      </w:r>
      <w:r w:rsidRPr="00917F55">
        <w:rPr>
          <w:i/>
          <w:iCs/>
          <w:sz w:val="24"/>
          <w:szCs w:val="24"/>
          <w:lang w:val="en-US" w:eastAsia="en-US"/>
        </w:rPr>
        <w:t>NCDC intensifies activities for Lassa fever surveillance and response following outbreaks of cases in Nigeria</w:t>
      </w:r>
      <w:r w:rsidRPr="00917F55">
        <w:rPr>
          <w:sz w:val="24"/>
          <w:szCs w:val="24"/>
          <w:lang w:val="en-US" w:eastAsia="en-US"/>
        </w:rPr>
        <w:t xml:space="preserve">. </w:t>
      </w:r>
      <w:hyperlink r:id="rId31" w:history="1">
        <w:r w:rsidRPr="00917F55">
          <w:rPr>
            <w:color w:val="0000FF"/>
            <w:sz w:val="24"/>
            <w:szCs w:val="24"/>
            <w:u w:val="single"/>
            <w:lang w:val="en-US" w:eastAsia="en-US"/>
          </w:rPr>
          <w:t>https://ncdc.gov.ng/news/349/ncdc-intensifies-activities-for-lassa-fever-surveillance-and-</w:t>
        </w:r>
        <w:r w:rsidRPr="00917F55">
          <w:rPr>
            <w:color w:val="0000FF"/>
            <w:sz w:val="24"/>
            <w:szCs w:val="24"/>
            <w:u w:val="single"/>
            <w:lang w:val="en-US" w:eastAsia="en-US"/>
          </w:rPr>
          <w:lastRenderedPageBreak/>
          <w:t>response-following-outbreaks-of-cases-in-nigeria</w:t>
        </w:r>
      </w:hyperlink>
      <w:r w:rsidRPr="00917F55">
        <w:rPr>
          <w:sz w:val="24"/>
          <w:szCs w:val="24"/>
          <w:lang w:val="en-US" w:eastAsia="en-US"/>
        </w:rPr>
        <w:br/>
      </w:r>
    </w:p>
    <w:p w14:paraId="2BE41757"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Okogbenin, S., </w:t>
      </w:r>
      <w:proofErr w:type="spellStart"/>
      <w:r w:rsidRPr="00917F55">
        <w:rPr>
          <w:sz w:val="24"/>
          <w:szCs w:val="24"/>
          <w:lang w:val="en-US" w:eastAsia="en-US"/>
        </w:rPr>
        <w:t>Okoeguale</w:t>
      </w:r>
      <w:proofErr w:type="spellEnd"/>
      <w:r w:rsidRPr="00917F55">
        <w:rPr>
          <w:sz w:val="24"/>
          <w:szCs w:val="24"/>
          <w:lang w:val="en-US" w:eastAsia="en-US"/>
        </w:rPr>
        <w:t xml:space="preserve">, J., </w:t>
      </w:r>
      <w:proofErr w:type="spellStart"/>
      <w:r w:rsidRPr="00917F55">
        <w:rPr>
          <w:sz w:val="24"/>
          <w:szCs w:val="24"/>
          <w:lang w:val="en-US" w:eastAsia="en-US"/>
        </w:rPr>
        <w:t>Akpede</w:t>
      </w:r>
      <w:proofErr w:type="spellEnd"/>
      <w:r w:rsidRPr="00917F55">
        <w:rPr>
          <w:sz w:val="24"/>
          <w:szCs w:val="24"/>
          <w:lang w:val="en-US" w:eastAsia="en-US"/>
        </w:rPr>
        <w:t xml:space="preserve">, G., </w:t>
      </w:r>
      <w:proofErr w:type="spellStart"/>
      <w:r w:rsidRPr="00917F55">
        <w:rPr>
          <w:sz w:val="24"/>
          <w:szCs w:val="24"/>
          <w:lang w:val="en-US" w:eastAsia="en-US"/>
        </w:rPr>
        <w:t>Colubri</w:t>
      </w:r>
      <w:proofErr w:type="spellEnd"/>
      <w:r w:rsidRPr="00917F55">
        <w:rPr>
          <w:sz w:val="24"/>
          <w:szCs w:val="24"/>
          <w:lang w:val="en-US" w:eastAsia="en-US"/>
        </w:rPr>
        <w:t xml:space="preserve">, A., Barnes, K. G., Mehta, S., </w:t>
      </w:r>
      <w:proofErr w:type="spellStart"/>
      <w:r w:rsidRPr="00917F55">
        <w:rPr>
          <w:sz w:val="24"/>
          <w:szCs w:val="24"/>
          <w:lang w:val="en-US" w:eastAsia="en-US"/>
        </w:rPr>
        <w:t>Eifediyi</w:t>
      </w:r>
      <w:proofErr w:type="spellEnd"/>
      <w:r w:rsidRPr="00917F55">
        <w:rPr>
          <w:sz w:val="24"/>
          <w:szCs w:val="24"/>
          <w:lang w:val="en-US" w:eastAsia="en-US"/>
        </w:rPr>
        <w:t xml:space="preserve">, R., </w:t>
      </w:r>
      <w:proofErr w:type="spellStart"/>
      <w:r w:rsidRPr="00917F55">
        <w:rPr>
          <w:sz w:val="24"/>
          <w:szCs w:val="24"/>
          <w:lang w:val="en-US" w:eastAsia="en-US"/>
        </w:rPr>
        <w:t>Okogbo</w:t>
      </w:r>
      <w:proofErr w:type="spellEnd"/>
      <w:r w:rsidRPr="00917F55">
        <w:rPr>
          <w:sz w:val="24"/>
          <w:szCs w:val="24"/>
          <w:lang w:val="en-US" w:eastAsia="en-US"/>
        </w:rPr>
        <w:t xml:space="preserve">, F., </w:t>
      </w:r>
      <w:proofErr w:type="spellStart"/>
      <w:r w:rsidRPr="00917F55">
        <w:rPr>
          <w:sz w:val="24"/>
          <w:szCs w:val="24"/>
          <w:lang w:val="en-US" w:eastAsia="en-US"/>
        </w:rPr>
        <w:t>Eigbefoh</w:t>
      </w:r>
      <w:proofErr w:type="spellEnd"/>
      <w:r w:rsidRPr="00917F55">
        <w:rPr>
          <w:sz w:val="24"/>
          <w:szCs w:val="24"/>
          <w:lang w:val="en-US" w:eastAsia="en-US"/>
        </w:rPr>
        <w:t xml:space="preserve">, J., Momoh, M., Rafiu, M., Adomeh, D., Odia, I., Aire, C., </w:t>
      </w:r>
      <w:proofErr w:type="spellStart"/>
      <w:r w:rsidRPr="00917F55">
        <w:rPr>
          <w:sz w:val="24"/>
          <w:szCs w:val="24"/>
          <w:lang w:val="en-US" w:eastAsia="en-US"/>
        </w:rPr>
        <w:t>Atafo</w:t>
      </w:r>
      <w:proofErr w:type="spellEnd"/>
      <w:r w:rsidRPr="00917F55">
        <w:rPr>
          <w:sz w:val="24"/>
          <w:szCs w:val="24"/>
          <w:lang w:val="en-US" w:eastAsia="en-US"/>
        </w:rPr>
        <w:t xml:space="preserve">, R., </w:t>
      </w:r>
      <w:proofErr w:type="spellStart"/>
      <w:r w:rsidRPr="00917F55">
        <w:rPr>
          <w:sz w:val="24"/>
          <w:szCs w:val="24"/>
          <w:lang w:val="en-US" w:eastAsia="en-US"/>
        </w:rPr>
        <w:t>Okonofua</w:t>
      </w:r>
      <w:proofErr w:type="spellEnd"/>
      <w:r w:rsidRPr="00917F55">
        <w:rPr>
          <w:sz w:val="24"/>
          <w:szCs w:val="24"/>
          <w:lang w:val="en-US" w:eastAsia="en-US"/>
        </w:rPr>
        <w:t xml:space="preserve">, M., Pahlman, M., Becker-Ziaja, B., </w:t>
      </w:r>
      <w:proofErr w:type="spellStart"/>
      <w:r w:rsidRPr="00917F55">
        <w:rPr>
          <w:sz w:val="24"/>
          <w:szCs w:val="24"/>
          <w:lang w:val="en-US" w:eastAsia="en-US"/>
        </w:rPr>
        <w:t>Asogun</w:t>
      </w:r>
      <w:proofErr w:type="spellEnd"/>
      <w:r w:rsidRPr="00917F55">
        <w:rPr>
          <w:sz w:val="24"/>
          <w:szCs w:val="24"/>
          <w:lang w:val="en-US" w:eastAsia="en-US"/>
        </w:rPr>
        <w:t xml:space="preserve">, D., … </w:t>
      </w:r>
      <w:proofErr w:type="spellStart"/>
      <w:r w:rsidRPr="00917F55">
        <w:rPr>
          <w:sz w:val="24"/>
          <w:szCs w:val="24"/>
          <w:lang w:val="en-US" w:eastAsia="en-US"/>
        </w:rPr>
        <w:t>Ogbaini-Emovon</w:t>
      </w:r>
      <w:proofErr w:type="spellEnd"/>
      <w:r w:rsidRPr="00917F55">
        <w:rPr>
          <w:sz w:val="24"/>
          <w:szCs w:val="24"/>
          <w:lang w:val="en-US" w:eastAsia="en-US"/>
        </w:rPr>
        <w:t xml:space="preserve">, E. (2019). Retrospective cohort study of Lassa fever in pregnancy, southern Nigeria. </w:t>
      </w:r>
      <w:r w:rsidRPr="00917F55">
        <w:rPr>
          <w:i/>
          <w:iCs/>
          <w:sz w:val="24"/>
          <w:szCs w:val="24"/>
          <w:lang w:val="en-US" w:eastAsia="en-US"/>
        </w:rPr>
        <w:t>Emerging Infectious Diseases, 25</w:t>
      </w:r>
      <w:r w:rsidRPr="00917F55">
        <w:rPr>
          <w:sz w:val="24"/>
          <w:szCs w:val="24"/>
          <w:lang w:val="en-US" w:eastAsia="en-US"/>
        </w:rPr>
        <w:t xml:space="preserve">(8), 1494–1500. </w:t>
      </w:r>
      <w:hyperlink r:id="rId32" w:history="1">
        <w:r w:rsidRPr="00917F55">
          <w:rPr>
            <w:color w:val="0000FF"/>
            <w:sz w:val="24"/>
            <w:szCs w:val="24"/>
            <w:u w:val="single"/>
            <w:lang w:val="en-US" w:eastAsia="en-US"/>
          </w:rPr>
          <w:t>https://doi.org/10.3201/eid2508.181299</w:t>
        </w:r>
      </w:hyperlink>
    </w:p>
    <w:p w14:paraId="68603633"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Okokhere</w:t>
      </w:r>
      <w:proofErr w:type="spellEnd"/>
      <w:r w:rsidRPr="00917F55">
        <w:rPr>
          <w:sz w:val="24"/>
          <w:szCs w:val="24"/>
          <w:lang w:val="en-US" w:eastAsia="en-US"/>
        </w:rPr>
        <w:t xml:space="preserve">, P., </w:t>
      </w:r>
      <w:proofErr w:type="spellStart"/>
      <w:r w:rsidRPr="00917F55">
        <w:rPr>
          <w:sz w:val="24"/>
          <w:szCs w:val="24"/>
          <w:lang w:val="en-US" w:eastAsia="en-US"/>
        </w:rPr>
        <w:t>Colubri</w:t>
      </w:r>
      <w:proofErr w:type="spellEnd"/>
      <w:r w:rsidRPr="00917F55">
        <w:rPr>
          <w:sz w:val="24"/>
          <w:szCs w:val="24"/>
          <w:lang w:val="en-US" w:eastAsia="en-US"/>
        </w:rPr>
        <w:t xml:space="preserve">, A., </w:t>
      </w:r>
      <w:proofErr w:type="spellStart"/>
      <w:r w:rsidRPr="00917F55">
        <w:rPr>
          <w:sz w:val="24"/>
          <w:szCs w:val="24"/>
          <w:lang w:val="en-US" w:eastAsia="en-US"/>
        </w:rPr>
        <w:t>Azubike</w:t>
      </w:r>
      <w:proofErr w:type="spellEnd"/>
      <w:r w:rsidRPr="00917F55">
        <w:rPr>
          <w:sz w:val="24"/>
          <w:szCs w:val="24"/>
          <w:lang w:val="en-US" w:eastAsia="en-US"/>
        </w:rPr>
        <w:t xml:space="preserve">, C., </w:t>
      </w:r>
      <w:proofErr w:type="spellStart"/>
      <w:r w:rsidRPr="00917F55">
        <w:rPr>
          <w:sz w:val="24"/>
          <w:szCs w:val="24"/>
          <w:lang w:val="en-US" w:eastAsia="en-US"/>
        </w:rPr>
        <w:t>Iruolagbe</w:t>
      </w:r>
      <w:proofErr w:type="spellEnd"/>
      <w:r w:rsidRPr="00917F55">
        <w:rPr>
          <w:sz w:val="24"/>
          <w:szCs w:val="24"/>
          <w:lang w:val="en-US" w:eastAsia="en-US"/>
        </w:rPr>
        <w:t xml:space="preserve">, C., Osazuwa, O., Tabrizi, S., Chin, E., Asad, S., </w:t>
      </w:r>
      <w:proofErr w:type="spellStart"/>
      <w:r w:rsidRPr="00917F55">
        <w:rPr>
          <w:sz w:val="24"/>
          <w:szCs w:val="24"/>
          <w:lang w:val="en-US" w:eastAsia="en-US"/>
        </w:rPr>
        <w:t>Ediale</w:t>
      </w:r>
      <w:proofErr w:type="spellEnd"/>
      <w:r w:rsidRPr="00917F55">
        <w:rPr>
          <w:sz w:val="24"/>
          <w:szCs w:val="24"/>
          <w:lang w:val="en-US" w:eastAsia="en-US"/>
        </w:rPr>
        <w:t xml:space="preserve">, E., Rafiu, M., Adomeh, D., Odia, I., </w:t>
      </w:r>
      <w:proofErr w:type="spellStart"/>
      <w:r w:rsidRPr="00917F55">
        <w:rPr>
          <w:sz w:val="24"/>
          <w:szCs w:val="24"/>
          <w:lang w:val="en-US" w:eastAsia="en-US"/>
        </w:rPr>
        <w:t>Atafo</w:t>
      </w:r>
      <w:proofErr w:type="spellEnd"/>
      <w:r w:rsidRPr="00917F55">
        <w:rPr>
          <w:sz w:val="24"/>
          <w:szCs w:val="24"/>
          <w:lang w:val="en-US" w:eastAsia="en-US"/>
        </w:rPr>
        <w:t xml:space="preserve">, R., Aire, C., Okogbenin, S., Pahlman, M., Becker-Ziaja, B., </w:t>
      </w:r>
      <w:proofErr w:type="spellStart"/>
      <w:r w:rsidRPr="00917F55">
        <w:rPr>
          <w:sz w:val="24"/>
          <w:szCs w:val="24"/>
          <w:lang w:val="en-US" w:eastAsia="en-US"/>
        </w:rPr>
        <w:t>Asogun</w:t>
      </w:r>
      <w:proofErr w:type="spellEnd"/>
      <w:r w:rsidRPr="00917F55">
        <w:rPr>
          <w:sz w:val="24"/>
          <w:szCs w:val="24"/>
          <w:lang w:val="en-US" w:eastAsia="en-US"/>
        </w:rPr>
        <w:t xml:space="preserve">, D., Fradet, T., … Sabeti, P. C. (2018). Clinical and laboratory predictors of Lassa fever outcome in a dedicated treatment facility in Nigeria: A retrospective, observational cohort study. </w:t>
      </w:r>
      <w:r w:rsidRPr="00917F55">
        <w:rPr>
          <w:i/>
          <w:iCs/>
          <w:sz w:val="24"/>
          <w:szCs w:val="24"/>
          <w:lang w:val="en-US" w:eastAsia="en-US"/>
        </w:rPr>
        <w:t>The Lancet Infectious Diseases, 18</w:t>
      </w:r>
      <w:r w:rsidRPr="00917F55">
        <w:rPr>
          <w:sz w:val="24"/>
          <w:szCs w:val="24"/>
          <w:lang w:val="en-US" w:eastAsia="en-US"/>
        </w:rPr>
        <w:t xml:space="preserve">(6), 684–695. </w:t>
      </w:r>
      <w:hyperlink r:id="rId33" w:history="1">
        <w:r w:rsidRPr="00917F55">
          <w:rPr>
            <w:color w:val="0000FF"/>
            <w:sz w:val="24"/>
            <w:szCs w:val="24"/>
            <w:u w:val="single"/>
            <w:lang w:val="en-US" w:eastAsia="en-US"/>
          </w:rPr>
          <w:t>https://doi.org/10.1016/S1473-3099(18)30121-X</w:t>
        </w:r>
      </w:hyperlink>
    </w:p>
    <w:p w14:paraId="4E0C3B50"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Page, B., </w:t>
      </w:r>
      <w:proofErr w:type="spellStart"/>
      <w:r w:rsidRPr="00917F55">
        <w:rPr>
          <w:sz w:val="24"/>
          <w:szCs w:val="24"/>
          <w:lang w:val="en-US" w:eastAsia="en-US"/>
        </w:rPr>
        <w:t>Klitting</w:t>
      </w:r>
      <w:proofErr w:type="spellEnd"/>
      <w:r w:rsidRPr="00917F55">
        <w:rPr>
          <w:sz w:val="24"/>
          <w:szCs w:val="24"/>
          <w:lang w:val="en-US" w:eastAsia="en-US"/>
        </w:rPr>
        <w:t xml:space="preserve">, R., Pauthner, M. G., Steinhubl, S., Wegerich, S., Kaiser, M., Alhasan, F., </w:t>
      </w:r>
      <w:proofErr w:type="spellStart"/>
      <w:r w:rsidRPr="00917F55">
        <w:rPr>
          <w:sz w:val="24"/>
          <w:szCs w:val="24"/>
          <w:lang w:val="en-US" w:eastAsia="en-US"/>
        </w:rPr>
        <w:t>Konuwa</w:t>
      </w:r>
      <w:proofErr w:type="spellEnd"/>
      <w:r w:rsidRPr="00917F55">
        <w:rPr>
          <w:sz w:val="24"/>
          <w:szCs w:val="24"/>
          <w:lang w:val="en-US" w:eastAsia="en-US"/>
        </w:rPr>
        <w:t>, E., Koroma, V., Sumah, I., Brima, J., Kallon, T., Jusu, B., Mator-</w:t>
      </w:r>
      <w:proofErr w:type="spellStart"/>
      <w:r w:rsidRPr="00917F55">
        <w:rPr>
          <w:sz w:val="24"/>
          <w:szCs w:val="24"/>
          <w:lang w:val="en-US" w:eastAsia="en-US"/>
        </w:rPr>
        <w:t>Mabay</w:t>
      </w:r>
      <w:proofErr w:type="spellEnd"/>
      <w:r w:rsidRPr="00917F55">
        <w:rPr>
          <w:sz w:val="24"/>
          <w:szCs w:val="24"/>
          <w:lang w:val="en-US" w:eastAsia="en-US"/>
        </w:rPr>
        <w:t xml:space="preserve">, S., Kamara, M., Kamara, F., </w:t>
      </w:r>
      <w:proofErr w:type="spellStart"/>
      <w:r w:rsidRPr="00917F55">
        <w:rPr>
          <w:sz w:val="24"/>
          <w:szCs w:val="24"/>
          <w:lang w:val="en-US" w:eastAsia="en-US"/>
        </w:rPr>
        <w:t>Jaward</w:t>
      </w:r>
      <w:proofErr w:type="spellEnd"/>
      <w:r w:rsidRPr="00917F55">
        <w:rPr>
          <w:sz w:val="24"/>
          <w:szCs w:val="24"/>
          <w:lang w:val="en-US" w:eastAsia="en-US"/>
        </w:rPr>
        <w:t xml:space="preserve">, E., </w:t>
      </w:r>
      <w:proofErr w:type="spellStart"/>
      <w:r w:rsidRPr="00917F55">
        <w:rPr>
          <w:sz w:val="24"/>
          <w:szCs w:val="24"/>
          <w:lang w:val="en-US" w:eastAsia="en-US"/>
        </w:rPr>
        <w:t>Massally</w:t>
      </w:r>
      <w:proofErr w:type="spellEnd"/>
      <w:r w:rsidRPr="00917F55">
        <w:rPr>
          <w:sz w:val="24"/>
          <w:szCs w:val="24"/>
          <w:lang w:val="en-US" w:eastAsia="en-US"/>
        </w:rPr>
        <w:t xml:space="preserve">, A., Kanneh, Z., … Andersen, K. G. (2025). Continuous vital sign monitoring of acute Lassa fever using wearable biosensor devices in West Africa. </w:t>
      </w:r>
      <w:r w:rsidRPr="00917F55">
        <w:rPr>
          <w:i/>
          <w:iCs/>
          <w:sz w:val="24"/>
          <w:szCs w:val="24"/>
          <w:lang w:val="en-US" w:eastAsia="en-US"/>
        </w:rPr>
        <w:t>Communications Medicine, 5</w:t>
      </w:r>
      <w:r w:rsidRPr="00917F55">
        <w:rPr>
          <w:sz w:val="24"/>
          <w:szCs w:val="24"/>
          <w:lang w:val="en-US" w:eastAsia="en-US"/>
        </w:rPr>
        <w:t xml:space="preserve">, Article 290. </w:t>
      </w:r>
      <w:hyperlink r:id="rId34" w:history="1">
        <w:r w:rsidRPr="00917F55">
          <w:rPr>
            <w:color w:val="0000FF"/>
            <w:sz w:val="24"/>
            <w:szCs w:val="24"/>
            <w:u w:val="single"/>
            <w:lang w:val="en-US" w:eastAsia="en-US"/>
          </w:rPr>
          <w:t>https://doi.org/10.1038/s43856-025-01002-6</w:t>
        </w:r>
      </w:hyperlink>
    </w:p>
    <w:p w14:paraId="464C3E69"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Siddle, K. J., </w:t>
      </w:r>
      <w:proofErr w:type="spellStart"/>
      <w:r w:rsidRPr="00917F55">
        <w:rPr>
          <w:sz w:val="24"/>
          <w:szCs w:val="24"/>
          <w:lang w:val="en-US" w:eastAsia="en-US"/>
        </w:rPr>
        <w:t>Eromon</w:t>
      </w:r>
      <w:proofErr w:type="spellEnd"/>
      <w:r w:rsidRPr="00917F55">
        <w:rPr>
          <w:sz w:val="24"/>
          <w:szCs w:val="24"/>
          <w:lang w:val="en-US" w:eastAsia="en-US"/>
        </w:rPr>
        <w:t xml:space="preserve">, P., Barnes, K. G., Mehta, S., </w:t>
      </w:r>
      <w:proofErr w:type="spellStart"/>
      <w:r w:rsidRPr="00917F55">
        <w:rPr>
          <w:sz w:val="24"/>
          <w:szCs w:val="24"/>
          <w:lang w:val="en-US" w:eastAsia="en-US"/>
        </w:rPr>
        <w:t>Oguzie</w:t>
      </w:r>
      <w:proofErr w:type="spellEnd"/>
      <w:r w:rsidRPr="00917F55">
        <w:rPr>
          <w:sz w:val="24"/>
          <w:szCs w:val="24"/>
          <w:lang w:val="en-US" w:eastAsia="en-US"/>
        </w:rPr>
        <w:t xml:space="preserve">, J. U., Odia, I., Schaffner, S. F., Winnicki, S. M., Shah, R. R., Qu, J., Wohl, S., </w:t>
      </w:r>
      <w:proofErr w:type="spellStart"/>
      <w:r w:rsidRPr="00917F55">
        <w:rPr>
          <w:sz w:val="24"/>
          <w:szCs w:val="24"/>
          <w:lang w:val="en-US" w:eastAsia="en-US"/>
        </w:rPr>
        <w:t>Brehio</w:t>
      </w:r>
      <w:proofErr w:type="spellEnd"/>
      <w:r w:rsidRPr="00917F55">
        <w:rPr>
          <w:sz w:val="24"/>
          <w:szCs w:val="24"/>
          <w:lang w:val="en-US" w:eastAsia="en-US"/>
        </w:rPr>
        <w:t xml:space="preserve">, P., </w:t>
      </w:r>
      <w:proofErr w:type="spellStart"/>
      <w:r w:rsidRPr="00917F55">
        <w:rPr>
          <w:sz w:val="24"/>
          <w:szCs w:val="24"/>
          <w:lang w:val="en-US" w:eastAsia="en-US"/>
        </w:rPr>
        <w:t>Iruolagbe</w:t>
      </w:r>
      <w:proofErr w:type="spellEnd"/>
      <w:r w:rsidRPr="00917F55">
        <w:rPr>
          <w:sz w:val="24"/>
          <w:szCs w:val="24"/>
          <w:lang w:val="en-US" w:eastAsia="en-US"/>
        </w:rPr>
        <w:t xml:space="preserve">, C., </w:t>
      </w:r>
      <w:proofErr w:type="spellStart"/>
      <w:r w:rsidRPr="00917F55">
        <w:rPr>
          <w:sz w:val="24"/>
          <w:szCs w:val="24"/>
          <w:lang w:val="en-US" w:eastAsia="en-US"/>
        </w:rPr>
        <w:t>Aiyepada</w:t>
      </w:r>
      <w:proofErr w:type="spellEnd"/>
      <w:r w:rsidRPr="00917F55">
        <w:rPr>
          <w:sz w:val="24"/>
          <w:szCs w:val="24"/>
          <w:lang w:val="en-US" w:eastAsia="en-US"/>
        </w:rPr>
        <w:t xml:space="preserve">, J., </w:t>
      </w:r>
      <w:proofErr w:type="spellStart"/>
      <w:r w:rsidRPr="00917F55">
        <w:rPr>
          <w:sz w:val="24"/>
          <w:szCs w:val="24"/>
          <w:lang w:val="en-US" w:eastAsia="en-US"/>
        </w:rPr>
        <w:t>Uyigue</w:t>
      </w:r>
      <w:proofErr w:type="spellEnd"/>
      <w:r w:rsidRPr="00917F55">
        <w:rPr>
          <w:sz w:val="24"/>
          <w:szCs w:val="24"/>
          <w:lang w:val="en-US" w:eastAsia="en-US"/>
        </w:rPr>
        <w:t xml:space="preserve">, E., </w:t>
      </w:r>
      <w:proofErr w:type="spellStart"/>
      <w:r w:rsidRPr="00917F55">
        <w:rPr>
          <w:sz w:val="24"/>
          <w:szCs w:val="24"/>
          <w:lang w:val="en-US" w:eastAsia="en-US"/>
        </w:rPr>
        <w:t>Akhilomen</w:t>
      </w:r>
      <w:proofErr w:type="spellEnd"/>
      <w:r w:rsidRPr="00917F55">
        <w:rPr>
          <w:sz w:val="24"/>
          <w:szCs w:val="24"/>
          <w:lang w:val="en-US" w:eastAsia="en-US"/>
        </w:rPr>
        <w:t xml:space="preserve">, P., Okonofua, G., Ye, S., Kayode, T., … Happi, C. T. (2018). Genomic analysis of Lassa virus during an increase in cases in Nigeria in 2018. </w:t>
      </w:r>
      <w:r w:rsidRPr="00917F55">
        <w:rPr>
          <w:i/>
          <w:iCs/>
          <w:sz w:val="24"/>
          <w:szCs w:val="24"/>
          <w:lang w:val="en-US" w:eastAsia="en-US"/>
        </w:rPr>
        <w:t>The New England Journal of Medicine, 379</w:t>
      </w:r>
      <w:r w:rsidRPr="00917F55">
        <w:rPr>
          <w:sz w:val="24"/>
          <w:szCs w:val="24"/>
          <w:lang w:val="en-US" w:eastAsia="en-US"/>
        </w:rPr>
        <w:t xml:space="preserve">(18), 1745–1753. </w:t>
      </w:r>
      <w:hyperlink r:id="rId35" w:history="1">
        <w:r w:rsidRPr="00917F55">
          <w:rPr>
            <w:color w:val="0000FF"/>
            <w:sz w:val="24"/>
            <w:szCs w:val="24"/>
            <w:u w:val="single"/>
            <w:lang w:val="en-US" w:eastAsia="en-US"/>
          </w:rPr>
          <w:t>https://doi.org/10.1056/NEJMoa1804498</w:t>
        </w:r>
      </w:hyperlink>
    </w:p>
    <w:p w14:paraId="76030D85" w14:textId="77777777"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Smith, D. R. M., Turner, J., Fahr, P., Attfield, L. A., Bessell, P. R., Donnelly, C. A., Gibb, R., Jones, K. E., Redding, D. W., </w:t>
      </w:r>
      <w:proofErr w:type="spellStart"/>
      <w:r w:rsidRPr="00917F55">
        <w:rPr>
          <w:sz w:val="24"/>
          <w:szCs w:val="24"/>
          <w:lang w:val="en-US" w:eastAsia="en-US"/>
        </w:rPr>
        <w:t>Asogun</w:t>
      </w:r>
      <w:proofErr w:type="spellEnd"/>
      <w:r w:rsidRPr="00917F55">
        <w:rPr>
          <w:sz w:val="24"/>
          <w:szCs w:val="24"/>
          <w:lang w:val="en-US" w:eastAsia="en-US"/>
        </w:rPr>
        <w:t xml:space="preserve">, D., Ayodeji, O. O., </w:t>
      </w:r>
      <w:proofErr w:type="spellStart"/>
      <w:r w:rsidRPr="00917F55">
        <w:rPr>
          <w:sz w:val="24"/>
          <w:szCs w:val="24"/>
          <w:lang w:val="en-US" w:eastAsia="en-US"/>
        </w:rPr>
        <w:t>Azuogu</w:t>
      </w:r>
      <w:proofErr w:type="spellEnd"/>
      <w:r w:rsidRPr="00917F55">
        <w:rPr>
          <w:sz w:val="24"/>
          <w:szCs w:val="24"/>
          <w:lang w:val="en-US" w:eastAsia="en-US"/>
        </w:rPr>
        <w:t xml:space="preserve">, B. N., Fischer, W. A., II, Jan, K., Olayinka, A. T., Wohl, D. A., Torkelson, A. A., Dinkel, K. A., Nixon, E. J., … Hollingsworth, T. D. (2024). Health and economic impacts of Lassa vaccination campaigns in West Africa. </w:t>
      </w:r>
      <w:r w:rsidRPr="00917F55">
        <w:rPr>
          <w:i/>
          <w:iCs/>
          <w:sz w:val="24"/>
          <w:szCs w:val="24"/>
          <w:lang w:val="en-US" w:eastAsia="en-US"/>
        </w:rPr>
        <w:t>Nature Medicine, 30</w:t>
      </w:r>
      <w:r w:rsidRPr="00917F55">
        <w:rPr>
          <w:sz w:val="24"/>
          <w:szCs w:val="24"/>
          <w:lang w:val="en-US" w:eastAsia="en-US"/>
        </w:rPr>
        <w:t xml:space="preserve">(12), 3568–3577. </w:t>
      </w:r>
      <w:hyperlink r:id="rId36" w:history="1">
        <w:r w:rsidRPr="00917F55">
          <w:rPr>
            <w:color w:val="0000FF"/>
            <w:sz w:val="24"/>
            <w:szCs w:val="24"/>
            <w:u w:val="single"/>
            <w:lang w:val="en-US" w:eastAsia="en-US"/>
          </w:rPr>
          <w:t>https://doi.org/10.1038/s41591-024-03232-y</w:t>
        </w:r>
      </w:hyperlink>
    </w:p>
    <w:p w14:paraId="6E2A9D2D" w14:textId="77777777" w:rsidR="00917F55" w:rsidRPr="00917F55" w:rsidRDefault="00917F55" w:rsidP="00917F55">
      <w:pPr>
        <w:spacing w:before="100" w:beforeAutospacing="1" w:after="100" w:afterAutospacing="1"/>
        <w:rPr>
          <w:sz w:val="24"/>
          <w:szCs w:val="24"/>
          <w:lang w:val="en-US" w:eastAsia="en-US"/>
        </w:rPr>
      </w:pPr>
      <w:proofErr w:type="spellStart"/>
      <w:r w:rsidRPr="00917F55">
        <w:rPr>
          <w:sz w:val="24"/>
          <w:szCs w:val="24"/>
          <w:lang w:val="en-US" w:eastAsia="en-US"/>
        </w:rPr>
        <w:t>Takah</w:t>
      </w:r>
      <w:proofErr w:type="spellEnd"/>
      <w:r w:rsidRPr="00917F55">
        <w:rPr>
          <w:sz w:val="24"/>
          <w:szCs w:val="24"/>
          <w:lang w:val="en-US" w:eastAsia="en-US"/>
        </w:rPr>
        <w:t xml:space="preserve">, N. F., </w:t>
      </w:r>
      <w:proofErr w:type="spellStart"/>
      <w:r w:rsidRPr="00917F55">
        <w:rPr>
          <w:sz w:val="24"/>
          <w:szCs w:val="24"/>
          <w:lang w:val="en-US" w:eastAsia="en-US"/>
        </w:rPr>
        <w:t>Brangel</w:t>
      </w:r>
      <w:proofErr w:type="spellEnd"/>
      <w:r w:rsidRPr="00917F55">
        <w:rPr>
          <w:sz w:val="24"/>
          <w:szCs w:val="24"/>
          <w:lang w:val="en-US" w:eastAsia="en-US"/>
        </w:rPr>
        <w:t xml:space="preserve">, P., Shrestha, P., &amp; Peeling, R. (2019). Sensitivity and specificity of diagnostic tests for Lassa fever: A systematic review. </w:t>
      </w:r>
      <w:r w:rsidRPr="00917F55">
        <w:rPr>
          <w:i/>
          <w:iCs/>
          <w:sz w:val="24"/>
          <w:szCs w:val="24"/>
          <w:lang w:val="en-US" w:eastAsia="en-US"/>
        </w:rPr>
        <w:t>BMC Infectious Diseases, 19</w:t>
      </w:r>
      <w:r w:rsidRPr="00917F55">
        <w:rPr>
          <w:sz w:val="24"/>
          <w:szCs w:val="24"/>
          <w:lang w:val="en-US" w:eastAsia="en-US"/>
        </w:rPr>
        <w:t xml:space="preserve">, Article 647. </w:t>
      </w:r>
      <w:hyperlink r:id="rId37" w:history="1">
        <w:r w:rsidRPr="00917F55">
          <w:rPr>
            <w:color w:val="0000FF"/>
            <w:sz w:val="24"/>
            <w:szCs w:val="24"/>
            <w:u w:val="single"/>
            <w:lang w:val="en-US" w:eastAsia="en-US"/>
          </w:rPr>
          <w:t>https://doi.org/10.1186/s12879-019-4242-6</w:t>
        </w:r>
      </w:hyperlink>
    </w:p>
    <w:p w14:paraId="73DCBCE8" w14:textId="31CA79E2" w:rsidR="00917F55" w:rsidRPr="00917F55" w:rsidRDefault="00917F55" w:rsidP="00917F55">
      <w:pPr>
        <w:spacing w:before="100" w:beforeAutospacing="1" w:after="100" w:afterAutospacing="1"/>
        <w:rPr>
          <w:sz w:val="24"/>
          <w:szCs w:val="24"/>
          <w:lang w:val="en-US" w:eastAsia="en-US"/>
        </w:rPr>
      </w:pPr>
      <w:r w:rsidRPr="00917F55">
        <w:rPr>
          <w:sz w:val="24"/>
          <w:szCs w:val="24"/>
          <w:lang w:val="en-US" w:eastAsia="en-US"/>
        </w:rPr>
        <w:t xml:space="preserve">World Health Organization. (2024, December 5). </w:t>
      </w:r>
      <w:r w:rsidRPr="00917F55">
        <w:rPr>
          <w:i/>
          <w:iCs/>
          <w:sz w:val="24"/>
          <w:szCs w:val="24"/>
          <w:lang w:val="en-US" w:eastAsia="en-US"/>
        </w:rPr>
        <w:t>Lassa fever</w:t>
      </w:r>
      <w:r w:rsidRPr="00917F55">
        <w:rPr>
          <w:sz w:val="24"/>
          <w:szCs w:val="24"/>
          <w:lang w:val="en-US" w:eastAsia="en-US"/>
        </w:rPr>
        <w:t xml:space="preserve"> [Fact sheet]. </w:t>
      </w:r>
      <w:hyperlink r:id="rId38" w:history="1">
        <w:r w:rsidRPr="00917F55">
          <w:rPr>
            <w:color w:val="0000FF"/>
            <w:sz w:val="24"/>
            <w:szCs w:val="24"/>
            <w:u w:val="single"/>
            <w:lang w:val="en-US" w:eastAsia="en-US"/>
          </w:rPr>
          <w:t>https://www.who.int/news-room/fact-sheets/detail/lassa-fever</w:t>
        </w:r>
      </w:hyperlink>
      <w:r w:rsidRPr="00917F55">
        <w:rPr>
          <w:sz w:val="24"/>
          <w:szCs w:val="24"/>
          <w:lang w:val="en-US" w:eastAsia="en-US"/>
        </w:rPr>
        <w:br/>
      </w:r>
    </w:p>
    <w:p w14:paraId="0B74FBBE" w14:textId="77777777" w:rsidR="00917F55" w:rsidRPr="00C25867" w:rsidRDefault="00917F55">
      <w:pPr>
        <w:pStyle w:val="Heading1"/>
        <w:spacing w:before="380" w:after="200"/>
        <w:rPr>
          <w:color w:val="000000" w:themeColor="text1"/>
        </w:rPr>
      </w:pPr>
    </w:p>
    <w:sectPr w:rsidR="00917F55" w:rsidRPr="00C25867">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B973A" w14:textId="77777777" w:rsidR="00B308F8" w:rsidRDefault="00B308F8" w:rsidP="00C25867">
      <w:r>
        <w:separator/>
      </w:r>
    </w:p>
  </w:endnote>
  <w:endnote w:type="continuationSeparator" w:id="0">
    <w:p w14:paraId="25325374" w14:textId="77777777" w:rsidR="00B308F8" w:rsidRDefault="00B308F8" w:rsidP="00C2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3437C" w14:textId="77777777" w:rsidR="00C25867" w:rsidRDefault="00C258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9D0D" w14:textId="77777777" w:rsidR="00C25867" w:rsidRDefault="00C258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3EDC" w14:textId="77777777" w:rsidR="00C25867" w:rsidRDefault="00C25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A63A" w14:textId="77777777" w:rsidR="00B308F8" w:rsidRDefault="00B308F8" w:rsidP="00C25867">
      <w:r>
        <w:separator/>
      </w:r>
    </w:p>
  </w:footnote>
  <w:footnote w:type="continuationSeparator" w:id="0">
    <w:p w14:paraId="7AF08B72" w14:textId="77777777" w:rsidR="00B308F8" w:rsidRDefault="00B308F8" w:rsidP="00C2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0523" w14:textId="77777777" w:rsidR="00C25867" w:rsidRDefault="00000000">
    <w:pPr>
      <w:pStyle w:val="Header"/>
    </w:pPr>
    <w:r>
      <w:rPr>
        <w:noProof/>
      </w:rPr>
      <w:pict w14:anchorId="2AA7E5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61F3" w14:textId="77777777" w:rsidR="00C25867" w:rsidRDefault="00000000">
    <w:pPr>
      <w:pStyle w:val="Header"/>
    </w:pPr>
    <w:r>
      <w:rPr>
        <w:noProof/>
      </w:rPr>
      <w:pict w14:anchorId="5D826F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E0D9" w14:textId="77777777" w:rsidR="00C25867" w:rsidRDefault="00000000">
    <w:pPr>
      <w:pStyle w:val="Header"/>
    </w:pPr>
    <w:r>
      <w:rPr>
        <w:noProof/>
      </w:rPr>
      <w:pict w14:anchorId="0963D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867037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A52D1"/>
    <w:multiLevelType w:val="hybridMultilevel"/>
    <w:tmpl w:val="0BDEBBFC"/>
    <w:lvl w:ilvl="0" w:tplc="3E965872">
      <w:start w:val="1"/>
      <w:numFmt w:val="bullet"/>
      <w:lvlText w:val="●"/>
      <w:lvlJc w:val="left"/>
      <w:pPr>
        <w:ind w:left="720" w:hanging="360"/>
      </w:pPr>
    </w:lvl>
    <w:lvl w:ilvl="1" w:tplc="A58A2EFE">
      <w:start w:val="1"/>
      <w:numFmt w:val="bullet"/>
      <w:lvlText w:val="○"/>
      <w:lvlJc w:val="left"/>
      <w:pPr>
        <w:ind w:left="1440" w:hanging="360"/>
      </w:pPr>
    </w:lvl>
    <w:lvl w:ilvl="2" w:tplc="2EA85452">
      <w:start w:val="1"/>
      <w:numFmt w:val="bullet"/>
      <w:lvlText w:val="■"/>
      <w:lvlJc w:val="left"/>
      <w:pPr>
        <w:ind w:left="2160" w:hanging="360"/>
      </w:pPr>
    </w:lvl>
    <w:lvl w:ilvl="3" w:tplc="35CC2408">
      <w:start w:val="1"/>
      <w:numFmt w:val="bullet"/>
      <w:lvlText w:val="●"/>
      <w:lvlJc w:val="left"/>
      <w:pPr>
        <w:ind w:left="2880" w:hanging="360"/>
      </w:pPr>
    </w:lvl>
    <w:lvl w:ilvl="4" w:tplc="C7E8ABDE">
      <w:start w:val="1"/>
      <w:numFmt w:val="bullet"/>
      <w:lvlText w:val="○"/>
      <w:lvlJc w:val="left"/>
      <w:pPr>
        <w:ind w:left="3600" w:hanging="360"/>
      </w:pPr>
    </w:lvl>
    <w:lvl w:ilvl="5" w:tplc="11D465E0">
      <w:start w:val="1"/>
      <w:numFmt w:val="bullet"/>
      <w:lvlText w:val="■"/>
      <w:lvlJc w:val="left"/>
      <w:pPr>
        <w:ind w:left="4320" w:hanging="360"/>
      </w:pPr>
    </w:lvl>
    <w:lvl w:ilvl="6" w:tplc="B5E24764">
      <w:start w:val="1"/>
      <w:numFmt w:val="bullet"/>
      <w:lvlText w:val="●"/>
      <w:lvlJc w:val="left"/>
      <w:pPr>
        <w:ind w:left="5040" w:hanging="360"/>
      </w:pPr>
    </w:lvl>
    <w:lvl w:ilvl="7" w:tplc="2B26A86A">
      <w:start w:val="1"/>
      <w:numFmt w:val="bullet"/>
      <w:lvlText w:val="●"/>
      <w:lvlJc w:val="left"/>
      <w:pPr>
        <w:ind w:left="5760" w:hanging="360"/>
      </w:pPr>
    </w:lvl>
    <w:lvl w:ilvl="8" w:tplc="6A3615C6">
      <w:start w:val="1"/>
      <w:numFmt w:val="bullet"/>
      <w:lvlText w:val="●"/>
      <w:lvlJc w:val="left"/>
      <w:pPr>
        <w:ind w:left="6480" w:hanging="360"/>
      </w:pPr>
    </w:lvl>
  </w:abstractNum>
  <w:abstractNum w:abstractNumId="1" w15:restartNumberingAfterBreak="0">
    <w:nsid w:val="76974A47"/>
    <w:multiLevelType w:val="hybridMultilevel"/>
    <w:tmpl w:val="B4CED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9400312">
    <w:abstractNumId w:val="0"/>
    <w:lvlOverride w:ilvl="0">
      <w:startOverride w:val="1"/>
    </w:lvlOverride>
  </w:num>
  <w:num w:numId="2" w16cid:durableId="166038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79"/>
    <w:rsid w:val="001C5425"/>
    <w:rsid w:val="001D0D0E"/>
    <w:rsid w:val="00341198"/>
    <w:rsid w:val="00384B45"/>
    <w:rsid w:val="00504BFF"/>
    <w:rsid w:val="00606F43"/>
    <w:rsid w:val="007919D2"/>
    <w:rsid w:val="00793C79"/>
    <w:rsid w:val="00880410"/>
    <w:rsid w:val="00917F55"/>
    <w:rsid w:val="009C13CC"/>
    <w:rsid w:val="009F79E3"/>
    <w:rsid w:val="00A468A7"/>
    <w:rsid w:val="00B308F8"/>
    <w:rsid w:val="00C25867"/>
    <w:rsid w:val="00E10E7C"/>
    <w:rsid w:val="00F41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7099A"/>
  <w15:docId w15:val="{937FD851-8995-42F0-BD9E-91527D3E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25867"/>
    <w:pPr>
      <w:tabs>
        <w:tab w:val="center" w:pos="4513"/>
        <w:tab w:val="right" w:pos="9026"/>
      </w:tabs>
    </w:pPr>
  </w:style>
  <w:style w:type="character" w:customStyle="1" w:styleId="HeaderChar">
    <w:name w:val="Header Char"/>
    <w:basedOn w:val="DefaultParagraphFont"/>
    <w:link w:val="Header"/>
    <w:uiPriority w:val="99"/>
    <w:rsid w:val="00C25867"/>
  </w:style>
  <w:style w:type="paragraph" w:styleId="Footer">
    <w:name w:val="footer"/>
    <w:basedOn w:val="Normal"/>
    <w:link w:val="FooterChar"/>
    <w:uiPriority w:val="99"/>
    <w:unhideWhenUsed/>
    <w:rsid w:val="00C25867"/>
    <w:pPr>
      <w:tabs>
        <w:tab w:val="center" w:pos="4513"/>
        <w:tab w:val="right" w:pos="9026"/>
      </w:tabs>
    </w:pPr>
  </w:style>
  <w:style w:type="character" w:customStyle="1" w:styleId="FooterChar">
    <w:name w:val="Footer Char"/>
    <w:basedOn w:val="DefaultParagraphFont"/>
    <w:link w:val="Footer"/>
    <w:uiPriority w:val="99"/>
    <w:rsid w:val="00C25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201/eid3205.260386" TargetMode="External"/><Relationship Id="rId18" Type="http://schemas.openxmlformats.org/officeDocument/2006/relationships/hyperlink" Target="https://doi.org/10.1016/j.ijid.2019.07.015" TargetMode="External"/><Relationship Id="rId26" Type="http://schemas.openxmlformats.org/officeDocument/2006/relationships/hyperlink" Target="https://doi.org/10.1371/journal.pntd.0008589" TargetMode="External"/><Relationship Id="rId39" Type="http://schemas.openxmlformats.org/officeDocument/2006/relationships/header" Target="header1.xml"/><Relationship Id="rId21" Type="http://schemas.openxmlformats.org/officeDocument/2006/relationships/hyperlink" Target="https://doi.org/10.1038/s41467-024-47991-1" TargetMode="External"/><Relationship Id="rId34" Type="http://schemas.openxmlformats.org/officeDocument/2006/relationships/hyperlink" Target="https://doi.org/10.1038/s43856-025-01002-6" TargetMode="External"/><Relationship Id="rId42" Type="http://schemas.openxmlformats.org/officeDocument/2006/relationships/footer" Target="footer2.xml"/><Relationship Id="rId7" Type="http://schemas.openxmlformats.org/officeDocument/2006/relationships/hyperlink" Target="https://doi.org/10.4269/ajtmh.20-1160" TargetMode="External"/><Relationship Id="rId2" Type="http://schemas.openxmlformats.org/officeDocument/2006/relationships/styles" Target="styles.xml"/><Relationship Id="rId16" Type="http://schemas.openxmlformats.org/officeDocument/2006/relationships/hyperlink" Target="https://doi.org/10.3390/v17040504" TargetMode="External"/><Relationship Id="rId29" Type="http://schemas.openxmlformats.org/officeDocument/2006/relationships/hyperlink" Target="https://doi.org/10.1056/NEJMoa25010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371/journal.pcbi.1008811" TargetMode="External"/><Relationship Id="rId24" Type="http://schemas.openxmlformats.org/officeDocument/2006/relationships/hyperlink" Target="https://doi.org/10.1126/science.aau9343" TargetMode="External"/><Relationship Id="rId32" Type="http://schemas.openxmlformats.org/officeDocument/2006/relationships/hyperlink" Target="https://doi.org/10.3201/eid2508.181299" TargetMode="External"/><Relationship Id="rId37" Type="http://schemas.openxmlformats.org/officeDocument/2006/relationships/hyperlink" Target="https://doi.org/10.1186/s12879-019-4242-6"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8/s41586-025-09906-y" TargetMode="External"/><Relationship Id="rId23" Type="http://schemas.openxmlformats.org/officeDocument/2006/relationships/hyperlink" Target="https://doi.org/10.1016/S1473-3099(24)00235-4" TargetMode="External"/><Relationship Id="rId28" Type="http://schemas.openxmlformats.org/officeDocument/2006/relationships/hyperlink" Target="https://doi.org/10.1007/82_2020_212" TargetMode="External"/><Relationship Id="rId36" Type="http://schemas.openxmlformats.org/officeDocument/2006/relationships/hyperlink" Target="https://doi.org/10.1038/s41591-024-03232-y" TargetMode="External"/><Relationship Id="rId10" Type="http://schemas.openxmlformats.org/officeDocument/2006/relationships/hyperlink" Target="https://doi.org/10.1038/s41467-020-17994-9" TargetMode="External"/><Relationship Id="rId19" Type="http://schemas.openxmlformats.org/officeDocument/2006/relationships/hyperlink" Target="https://doi.org/10.1128/jvi.00929-19" TargetMode="External"/><Relationship Id="rId31" Type="http://schemas.openxmlformats.org/officeDocument/2006/relationships/hyperlink" Target="https://ncdc.gov.ng/news/349/ncdc-intensifies-activities-for-lassa-fever-surveillance-and-response-following-outbreaks-of-cases-in-nigeria"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186/s41073-019-0064-8" TargetMode="External"/><Relationship Id="rId14" Type="http://schemas.openxmlformats.org/officeDocument/2006/relationships/hyperlink" Target="https://cepi.net/lassa-fever" TargetMode="External"/><Relationship Id="rId22" Type="http://schemas.openxmlformats.org/officeDocument/2006/relationships/hyperlink" Target="https://www.finddx.org/wp-content/uploads/2026/04/20260427_FIND_Lassa-TPP-report.pdf" TargetMode="External"/><Relationship Id="rId27" Type="http://schemas.openxmlformats.org/officeDocument/2006/relationships/hyperlink" Target="https://doi.org/10.1038/s41467-022-33112-3" TargetMode="External"/><Relationship Id="rId30" Type="http://schemas.openxmlformats.org/officeDocument/2006/relationships/hyperlink" Target="https://doi.org/10.1093/infdis/jiaf308" TargetMode="External"/><Relationship Id="rId35" Type="http://schemas.openxmlformats.org/officeDocument/2006/relationships/hyperlink" Target="https://doi.org/10.1056/NEJMoa1804498" TargetMode="External"/><Relationship Id="rId43" Type="http://schemas.openxmlformats.org/officeDocument/2006/relationships/header" Target="header3.xml"/><Relationship Id="rId8" Type="http://schemas.openxmlformats.org/officeDocument/2006/relationships/hyperlink" Target="https://doi.org/10.1016/j.cell.2015.07.020" TargetMode="External"/><Relationship Id="rId3" Type="http://schemas.openxmlformats.org/officeDocument/2006/relationships/settings" Target="settings.xml"/><Relationship Id="rId12" Type="http://schemas.openxmlformats.org/officeDocument/2006/relationships/hyperlink" Target="https://doi.org/10.1371/journal.ppat.1000455" TargetMode="External"/><Relationship Id="rId17" Type="http://schemas.openxmlformats.org/officeDocument/2006/relationships/hyperlink" Target="https://doi.org/10.1016/S2214-109X(24)00379-6" TargetMode="External"/><Relationship Id="rId25" Type="http://schemas.openxmlformats.org/officeDocument/2006/relationships/hyperlink" Target="https://doi.org/10.1093/trstmh/traa011" TargetMode="External"/><Relationship Id="rId33" Type="http://schemas.openxmlformats.org/officeDocument/2006/relationships/hyperlink" Target="https://doi.org/10.1016/S1473-3099(18)30121-X" TargetMode="External"/><Relationship Id="rId38" Type="http://schemas.openxmlformats.org/officeDocument/2006/relationships/hyperlink" Target="https://www.who.int/news-room/fact-sheets/detail/lassa-fever" TargetMode="External"/><Relationship Id="rId46" Type="http://schemas.openxmlformats.org/officeDocument/2006/relationships/theme" Target="theme/theme1.xml"/><Relationship Id="rId20" Type="http://schemas.openxmlformats.org/officeDocument/2006/relationships/hyperlink" Target="https://doi.org/10.1016/S1473-3099(24)00184-1"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15147</Words>
  <Characters>86343</Characters>
  <Application>Microsoft Office Word</Application>
  <DocSecurity>0</DocSecurity>
  <Lines>719</Lines>
  <Paragraphs>202</Paragraphs>
  <ScaleCrop>false</ScaleCrop>
  <Company>HP</Company>
  <LinksUpToDate>false</LinksUpToDate>
  <CharactersWithSpaces>101288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8</cp:revision>
  <dcterms:created xsi:type="dcterms:W3CDTF">2026-07-19T05:43:00Z</dcterms:created>
  <dcterms:modified xsi:type="dcterms:W3CDTF">2026-07-23T09:48:00Z</dcterms:modified>
</cp:coreProperties>
</file>