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CFE7E" w14:textId="77777777" w:rsidR="00392F58" w:rsidRPr="00741696" w:rsidRDefault="00392F58" w:rsidP="00741696">
      <w:pPr>
        <w:spacing w:before="100" w:beforeAutospacing="1" w:after="100" w:afterAutospacing="1" w:line="240" w:lineRule="auto"/>
        <w:jc w:val="both"/>
        <w:outlineLvl w:val="1"/>
        <w:rPr>
          <w:rFonts w:ascii="Times New Roman" w:eastAsia="Times New Roman" w:hAnsi="Times New Roman" w:cs="Times New Roman"/>
          <w:b/>
          <w:bCs/>
          <w:sz w:val="28"/>
          <w:szCs w:val="28"/>
          <w:lang w:eastAsia="en-GB"/>
        </w:rPr>
      </w:pPr>
      <w:r w:rsidRPr="00741696">
        <w:rPr>
          <w:rFonts w:ascii="Times New Roman" w:eastAsia="Times New Roman" w:hAnsi="Times New Roman" w:cs="Times New Roman"/>
          <w:b/>
          <w:bCs/>
          <w:sz w:val="28"/>
          <w:szCs w:val="28"/>
          <w:lang w:eastAsia="en-GB"/>
        </w:rPr>
        <w:t>Green Innovation Strategies and Organisational Performance of Tea Processing Firms in Kenya: An Empirical Literature Review</w:t>
      </w:r>
    </w:p>
    <w:p w14:paraId="2DAC0E0D" w14:textId="77777777" w:rsidR="001437D3" w:rsidRPr="00392F58" w:rsidRDefault="001437D3" w:rsidP="00741696">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p>
    <w:p w14:paraId="3CA3E03D" w14:textId="77777777" w:rsidR="00392F58" w:rsidRPr="00392F58" w:rsidRDefault="00392F58" w:rsidP="0074169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Abstract</w:t>
      </w:r>
    </w:p>
    <w:p w14:paraId="75DE63FE"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Tea processing is one of the most environmentally intensive branches of Kenyan agro-industry, consuming large volumes of thermal energy, fuelwood and water while generating effluent, fibre waste and greenhouse gas emissions. As global buyers, certification bodies and domestic regulators tighten expectations around environmental stewardship, tea processing firms face growing pressure to reconcile ecological responsibility with commercial viability. Green innovation, understood as the introduction of new or modified products, processes, organisational practices and human resource systems that reduce environmental harm, has been proposed as a strategic pathway through which firms can meet these pressures while sustaining or improving organisational performance. This review synthesises the empirical and theoretical literature on green innovation strategies and organisational performance, with particular attention to tea processing firms in Kenya and to closely related agro-industrial and manufacturing contexts in sub-Saharan Africa and other developing economies. Drawing on the natural resource-based view, institutional theory and the resource-based view of the firm, the review traces how green product innovation, green process innovation, green supply chain management, green human resource management and circular-economy waste valorisation relate to environmental, financial and competitive outcomes. The synthesis indicates a generally positive but heterogeneous relationship between green innovation and firm performance, moderated by firm size, certification status, regulatory stringency and the degree to which innovations are pursued in an integrated rather than piecemeal fashion. </w:t>
      </w:r>
      <w:r>
        <w:rPr>
          <w:rFonts w:ascii="Times New Roman" w:eastAsia="Times New Roman" w:hAnsi="Times New Roman" w:cs="Times New Roman"/>
          <w:sz w:val="24"/>
          <w:szCs w:val="24"/>
          <w:highlight w:val="yellow"/>
          <w:lang w:eastAsia="en-GB"/>
        </w:rPr>
        <w:t>Kenyan tea-sector evidence remains thin relative to the wider international literature and is concentrated</w:t>
      </w:r>
      <w:r>
        <w:rPr>
          <w:rFonts w:ascii="Times New Roman" w:eastAsia="Times New Roman" w:hAnsi="Times New Roman" w:cs="Times New Roman"/>
          <w:sz w:val="24"/>
          <w:szCs w:val="24"/>
          <w:lang w:eastAsia="en-GB"/>
        </w:rPr>
        <w:t xml:space="preserve"> in a small number of counties, and relies heavily on cross-sectional survey designs. The review </w:t>
      </w:r>
      <w:r>
        <w:rPr>
          <w:rFonts w:ascii="Times New Roman" w:eastAsia="Times New Roman" w:hAnsi="Times New Roman" w:cs="Times New Roman"/>
          <w:sz w:val="24"/>
          <w:szCs w:val="24"/>
          <w:highlight w:val="yellow"/>
          <w:lang w:eastAsia="en-GB"/>
        </w:rPr>
        <w:t>identifies research gaps in longitudinal evidence</w:t>
      </w:r>
      <w:r>
        <w:rPr>
          <w:rFonts w:ascii="Times New Roman" w:eastAsia="Times New Roman" w:hAnsi="Times New Roman" w:cs="Times New Roman"/>
          <w:sz w:val="24"/>
          <w:szCs w:val="24"/>
          <w:lang w:eastAsia="en-GB"/>
        </w:rPr>
        <w:t>, waste-to-value pathways specific to tea by-products, and the institutional mechanisms that translate certification pressure into measurable performance gains, and it sets out an agenda for future empirical work in this sector.</w:t>
      </w:r>
    </w:p>
    <w:p w14:paraId="5DA2215F" w14:textId="77777777" w:rsidR="005D7691" w:rsidRDefault="00392F58" w:rsidP="005D7691">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b/>
          <w:bCs/>
          <w:sz w:val="24"/>
          <w:szCs w:val="24"/>
          <w:lang w:eastAsia="en-GB"/>
        </w:rPr>
        <w:t>Keywords:</w:t>
      </w:r>
      <w:r w:rsidRPr="00392F58">
        <w:rPr>
          <w:rFonts w:ascii="Times New Roman" w:eastAsia="Times New Roman" w:hAnsi="Times New Roman" w:cs="Times New Roman"/>
          <w:sz w:val="24"/>
          <w:szCs w:val="24"/>
          <w:lang w:eastAsia="en-GB"/>
        </w:rPr>
        <w:t xml:space="preserve"> </w:t>
      </w:r>
      <w:r w:rsidR="005D7691" w:rsidRPr="005D7691">
        <w:rPr>
          <w:rFonts w:ascii="Times New Roman" w:eastAsia="Times New Roman" w:hAnsi="Times New Roman" w:cs="Times New Roman"/>
          <w:sz w:val="24"/>
          <w:szCs w:val="24"/>
          <w:lang w:eastAsia="en-GB"/>
        </w:rPr>
        <w:t>Green innovation; organisational performance; tea processing firms; Kenya; green process innovation; green supply chain management; green human resource management; circular economy; environmental performance; competitive advantage</w:t>
      </w:r>
    </w:p>
    <w:p w14:paraId="24D37247" w14:textId="717CD91D" w:rsidR="00392F58" w:rsidRPr="00392F58" w:rsidRDefault="00392F58" w:rsidP="005D7691">
      <w:pPr>
        <w:spacing w:before="100" w:beforeAutospacing="1" w:after="100" w:afterAutospacing="1" w:line="240" w:lineRule="auto"/>
        <w:jc w:val="both"/>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1. Introduction</w:t>
      </w:r>
    </w:p>
    <w:p w14:paraId="5ED3E1A3"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1.1 The environmental stakes of agro-industrial processing in developing economies</w:t>
      </w:r>
    </w:p>
    <w:p w14:paraId="01840DE0"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proofErr w:type="spellStart"/>
      <w:r w:rsidRPr="00392F58">
        <w:rPr>
          <w:rFonts w:ascii="Times New Roman" w:eastAsia="Times New Roman" w:hAnsi="Times New Roman" w:cs="Times New Roman"/>
          <w:sz w:val="24"/>
          <w:szCs w:val="24"/>
          <w:lang w:eastAsia="en-GB"/>
        </w:rPr>
        <w:t>Agro</w:t>
      </w:r>
      <w:proofErr w:type="spellEnd"/>
      <w:r w:rsidRPr="00392F58">
        <w:rPr>
          <w:rFonts w:ascii="Times New Roman" w:eastAsia="Times New Roman" w:hAnsi="Times New Roman" w:cs="Times New Roman"/>
          <w:sz w:val="24"/>
          <w:szCs w:val="24"/>
          <w:lang w:eastAsia="en-GB"/>
        </w:rPr>
        <w:t>-processing industries in developing economies sit at an uneasy intersection of economic necessity and ecological cost. Converting raw agricultural output into exportable commodities typically requires substantial thermal energy, water and land, and it generates waste streams that, left unmanaged, degrade soils, waterways and air quality (</w:t>
      </w:r>
      <w:proofErr w:type="spellStart"/>
      <w:r w:rsidRPr="00392F58">
        <w:rPr>
          <w:rFonts w:ascii="Times New Roman" w:eastAsia="Times New Roman" w:hAnsi="Times New Roman" w:cs="Times New Roman"/>
          <w:sz w:val="24"/>
          <w:szCs w:val="24"/>
          <w:lang w:eastAsia="en-GB"/>
        </w:rPr>
        <w:t>Yaashikaa</w:t>
      </w:r>
      <w:proofErr w:type="spellEnd"/>
      <w:r w:rsidRPr="00392F58">
        <w:rPr>
          <w:rFonts w:ascii="Times New Roman" w:eastAsia="Times New Roman" w:hAnsi="Times New Roman" w:cs="Times New Roman"/>
          <w:sz w:val="24"/>
          <w:szCs w:val="24"/>
          <w:lang w:eastAsia="en-GB"/>
        </w:rPr>
        <w:t xml:space="preserve"> et al., 2022). Firms in these industries face a widening set of external pressures: buyers in mature export markets increasingly demand verifiable environmental credentials, national governments tighten effluent and emissions standards, and financiers attach sustainability conditions to credit. Environmental economists have long debated whether such pressures </w:t>
      </w:r>
      <w:r w:rsidRPr="00392F58">
        <w:rPr>
          <w:rFonts w:ascii="Times New Roman" w:eastAsia="Times New Roman" w:hAnsi="Times New Roman" w:cs="Times New Roman"/>
          <w:sz w:val="24"/>
          <w:szCs w:val="24"/>
          <w:lang w:eastAsia="en-GB"/>
        </w:rPr>
        <w:lastRenderedPageBreak/>
        <w:t>necessarily impose a net cost on regulated firms, or whether they can, under the right conditions, stimulate innovation that offsets compliance costs and even improves competitiveness (Porter &amp; van der Linde, 1995). This debate, commonly known as the Porter hypothesis, has generated a large and still-growing empirical literature testing whether environmental regulation and voluntary environmental strategy translate into innovation gains rather than pure cost burdens (</w:t>
      </w:r>
      <w:proofErr w:type="spellStart"/>
      <w:r w:rsidRPr="00392F58">
        <w:rPr>
          <w:rFonts w:ascii="Times New Roman" w:eastAsia="Times New Roman" w:hAnsi="Times New Roman" w:cs="Times New Roman"/>
          <w:sz w:val="24"/>
          <w:szCs w:val="24"/>
          <w:lang w:eastAsia="en-GB"/>
        </w:rPr>
        <w:t>Ambec</w:t>
      </w:r>
      <w:proofErr w:type="spellEnd"/>
      <w:r w:rsidRPr="00392F58">
        <w:rPr>
          <w:rFonts w:ascii="Times New Roman" w:eastAsia="Times New Roman" w:hAnsi="Times New Roman" w:cs="Times New Roman"/>
          <w:sz w:val="24"/>
          <w:szCs w:val="24"/>
          <w:lang w:eastAsia="en-GB"/>
        </w:rPr>
        <w:t xml:space="preserve"> et al., 2013).</w:t>
      </w:r>
    </w:p>
    <w:p w14:paraId="4214EDD1"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1.2 Green innovation as a strategic response</w:t>
      </w:r>
    </w:p>
    <w:p w14:paraId="37F4418B" w14:textId="77777777" w:rsidR="005D60F1" w:rsidRPr="00741696"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Green innovation, sometimes labelled environmental or eco-innovation, refers broadly to the development and adoption of new or significantly improved products, processes, organisational methods and marketing approaches that reduce environmental risks, pollution and other negative impacts of resource use relative to available alternatives, a definition consistent with the framing adopted across the systematic review literature on this construct (Karimi Takalo et al., 2021). The construct is typically decomposed into green product innovation, which concerns the environmental attributes of goods and services, and green process innovation, which concerns the environmental footprint of production and delivery systems (Chen, 2008). A growing body of work also treats green organisational and managerial innovation, including green human resource management and green supply chain management, as distinct but interrelated strands of the same underlying strategic orientation (Renwick et al., 2013). </w:t>
      </w:r>
      <w:r>
        <w:rPr>
          <w:rFonts w:ascii="Times New Roman" w:eastAsia="Times New Roman" w:hAnsi="Times New Roman" w:cs="Times New Roman"/>
          <w:sz w:val="24"/>
          <w:szCs w:val="24"/>
          <w:highlight w:val="yellow"/>
          <w:lang w:eastAsia="en-GB"/>
        </w:rPr>
        <w:t>Recent meta-analytic evidence suggests that firms pursuing several of these strands simultaneously, rather than piecemeal, capture a disproportionately larger performance benefit than firms pursuing product or process innovation alone (Zhao et al., 2026).</w:t>
      </w:r>
      <w:r w:rsidR="00741696">
        <w:rPr>
          <w:rFonts w:ascii="Times New Roman" w:eastAsia="Times New Roman" w:hAnsi="Times New Roman" w:cs="Times New Roman"/>
          <w:sz w:val="24"/>
          <w:szCs w:val="24"/>
          <w:lang w:eastAsia="en-GB"/>
        </w:rPr>
        <w:t xml:space="preserve"> </w:t>
      </w:r>
      <w:r w:rsidRPr="00741696">
        <w:rPr>
          <w:rFonts w:ascii="Times New Roman" w:eastAsia="Times New Roman" w:hAnsi="Times New Roman"/>
          <w:bCs/>
          <w:sz w:val="24"/>
          <w:highlight w:val="yellow"/>
        </w:rPr>
        <w:t>Recent evidence from emerging-economy firms further indicates that management, process, product and technological forms of green innovation may contribute differently to corporate performance, while managerial environmental concern can shape the strength of these relationships (Le &amp; Govindan, 2024). Evidence from Malaysian industries likewise supports a multidimensional treatment of green innovation by showing that organisational, process and marketing innovations are linked to environmental, social and financial performance through distinct pathways (Cheah et al., 2024).</w:t>
      </w:r>
      <w:r>
        <w:rPr>
          <w:rFonts w:ascii="Times New Roman" w:hAnsi="Times New Roman"/>
          <w:b/>
          <w:sz w:val="24"/>
          <w:highlight w:val="yellow"/>
        </w:rPr>
        <w:t xml:space="preserve"> Further evidence from SMEs in emerging economies indicates that green product innovation and green supply chain management can act as mechanisms linking environmental orientation and organisational capabilities to sustainability performance, although these relationships remain context dependent (Bugri et al., 2025; Na'imah &amp; Priyono, 2026).</w:t>
      </w:r>
    </w:p>
    <w:p w14:paraId="308355E7" w14:textId="77777777" w:rsidR="005D60F1" w:rsidRPr="00741696"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Theoretical explanations for why green innovation might improve rather than erode firm performance draw principally on the natural resource-based view, which holds that a firm's relationship with the biophysical environment can itself become </w:t>
      </w:r>
      <w:r>
        <w:rPr>
          <w:rFonts w:ascii="Times New Roman" w:eastAsia="Times New Roman" w:hAnsi="Times New Roman" w:cs="Times New Roman"/>
          <w:sz w:val="24"/>
          <w:szCs w:val="24"/>
          <w:highlight w:val="yellow"/>
          <w:lang w:eastAsia="en-GB"/>
        </w:rPr>
        <w:t>a valuable, rare and difficult-to-imitate capability</w:t>
      </w:r>
      <w:r>
        <w:rPr>
          <w:rFonts w:ascii="Times New Roman" w:eastAsia="Times New Roman" w:hAnsi="Times New Roman" w:cs="Times New Roman"/>
          <w:sz w:val="24"/>
          <w:szCs w:val="24"/>
          <w:lang w:eastAsia="en-GB"/>
        </w:rPr>
        <w:t xml:space="preserve"> (Hart, 1995). Complementary institutional accounts explain why firms operating under similar coercive, mimetic and normative pressures tend to converge on comparable environmental practices over time (DiMaggio &amp; Powell, 1983), while resource-based accounts more broadly explain how firm-specific capabilities, including environmental capabilities, translate into sustained competitive advantage (Barney, 1991). Empirical tests of these propositions span sectors as varied as automotive manufacturing, electronics, hospitality and food processing, generally reporting small-to-moderate positive associations between green innovation and financial, environmental and innovation performance, with considerable variation across industries, regulatory contexts and measurement approaches (Zhao et al., 2026). </w:t>
      </w:r>
      <w:r w:rsidRPr="00741696">
        <w:rPr>
          <w:rFonts w:ascii="Times New Roman" w:eastAsia="Times New Roman" w:hAnsi="Times New Roman"/>
          <w:bCs/>
          <w:sz w:val="24"/>
          <w:highlight w:val="yellow"/>
        </w:rPr>
        <w:t xml:space="preserve">Nevertheless, recent financial-performance evidence cautions against treating this relationship as uniformly linear, because the costs and benefits of green innovation may vary with operating risk and the underlying motivation for innovation (Ai et </w:t>
      </w:r>
      <w:r w:rsidRPr="00741696">
        <w:rPr>
          <w:rFonts w:ascii="Times New Roman" w:eastAsia="Times New Roman" w:hAnsi="Times New Roman"/>
          <w:bCs/>
          <w:sz w:val="24"/>
          <w:highlight w:val="yellow"/>
        </w:rPr>
        <w:lastRenderedPageBreak/>
        <w:t>al., 2024).</w:t>
      </w:r>
      <w:r>
        <w:rPr>
          <w:rFonts w:ascii="Times New Roman" w:hAnsi="Times New Roman"/>
          <w:b/>
          <w:sz w:val="24"/>
          <w:highlight w:val="yellow"/>
        </w:rPr>
        <w:t xml:space="preserve"> Recent manufacturing studies further suggest that internal and external green supply chain practices are associated with sustainability outcomes through green innovation, while top-management engagement may support the translation of such practices into low-carbon and sustainable manufacturing outcomes (Gupta et al., 2025; Ning et al., 2025).</w:t>
      </w:r>
    </w:p>
    <w:p w14:paraId="398341AE"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1.3 Tea, Kenya and the case for a sector-specific review</w:t>
      </w:r>
    </w:p>
    <w:p w14:paraId="7B7B83FA" w14:textId="77777777" w:rsidR="005D60F1" w:rsidRPr="00741696"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Kenya is among the world's leading producers and exporters of black tea, and the crop, harvested from the evergreen shrub </w:t>
      </w:r>
      <w:r w:rsidRPr="00392F58">
        <w:rPr>
          <w:rFonts w:ascii="Times New Roman" w:eastAsia="Times New Roman" w:hAnsi="Times New Roman" w:cs="Times New Roman"/>
          <w:i/>
          <w:iCs/>
          <w:sz w:val="24"/>
          <w:szCs w:val="24"/>
          <w:lang w:eastAsia="en-GB"/>
        </w:rPr>
        <w:t>Camellia sinensis</w:t>
      </w:r>
      <w:r w:rsidRPr="00392F58">
        <w:rPr>
          <w:rFonts w:ascii="Times New Roman" w:eastAsia="Times New Roman" w:hAnsi="Times New Roman" w:cs="Times New Roman"/>
          <w:sz w:val="24"/>
          <w:szCs w:val="24"/>
          <w:lang w:eastAsia="en-GB"/>
        </w:rPr>
        <w:t>, remains one of the country's principal sources of foreign exchange and rural livelihoods (Food and Agriculture Organization of the United Nations [FAO], 2024). Tea processing in Kenya is dominated by a mixture of smallholder-oriented factories affiliated with cooperative structures and larger multinational estates, both of which depend heavily on wood fuel and grid- or diesel-generated electricity to power withering, rolling, fermentation and drying operations. This energy intensity, combined with the generation of fibre waste, spent tea leaf and process effluent, places the sector squarely within the category of agro-industries for which green innovation carries material environmental and commercial stakes (Muoki et al., 2020). Kenyan tea processing firms are simultaneously exposed to climatic pressures on the crop itself, tightening certification requirements from international buyers, and domestic regulatory expectations around environmental management (Chepkoech et al., 2023). These conditions make the sector a useful, if under-examined, setting in which to test whether the broadly positive green innovation–performance relationship documented internationally also holds in a smallholder-dominated, resource-constrained agro-industrial economy.</w:t>
      </w:r>
      <w:r w:rsidR="00741696">
        <w:rPr>
          <w:rFonts w:ascii="Times New Roman" w:eastAsia="Times New Roman" w:hAnsi="Times New Roman" w:cs="Times New Roman"/>
          <w:sz w:val="24"/>
          <w:szCs w:val="24"/>
          <w:lang w:eastAsia="en-GB"/>
        </w:rPr>
        <w:t xml:space="preserve"> </w:t>
      </w:r>
      <w:r w:rsidRPr="00741696">
        <w:rPr>
          <w:rFonts w:ascii="Times New Roman" w:eastAsia="Times New Roman" w:hAnsi="Times New Roman"/>
          <w:bCs/>
          <w:sz w:val="24"/>
          <w:highlight w:val="yellow"/>
        </w:rPr>
        <w:t>Comparable evidence from Ghana indicates that green product innovation can connect innovation orientation with financial performance and that green marketing innovation may strengthen this pathway, providing a relevant developing-country comparison for the present sector-specific review (Appiah &amp; Essuman, 2024).</w:t>
      </w:r>
      <w:r>
        <w:rPr>
          <w:rFonts w:ascii="Times New Roman" w:hAnsi="Times New Roman"/>
          <w:b/>
          <w:sz w:val="24"/>
          <w:highlight w:val="yellow"/>
        </w:rPr>
        <w:t xml:space="preserve"> Evidence from food and beverage SMEs also suggests that competitive advantage may mediate the relationship between green supply chain management and sustainability performance, but the transferability of this finding to Kenyan tea processing requires sector-specific assessment (Nafisah &amp; Ratnamurni, 2025).</w:t>
      </w:r>
    </w:p>
    <w:p w14:paraId="4C8310DF"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Despite this relevance, empirical literature focused specifically on green innovation and organisational performance among Kenyan tea processing firms remains sparse relative to the wider international literature on green innovation. Existing Kenyan studies tend to examine green supply chain management or ecological design in isolation, are concentrated in a handful of tea-growing counties, and rely almost exclusively on cross-sectional survey designs </w:t>
      </w:r>
      <w:r>
        <w:rPr>
          <w:rFonts w:ascii="Times New Roman" w:eastAsia="Times New Roman" w:hAnsi="Times New Roman" w:cs="Times New Roman"/>
          <w:sz w:val="24"/>
          <w:szCs w:val="24"/>
          <w:highlight w:val="yellow"/>
          <w:lang w:eastAsia="en-GB"/>
        </w:rPr>
        <w:t>(Chepkoech et al., 2023; Muma et al., 2014)</w:t>
      </w:r>
      <w:r>
        <w:rPr>
          <w:rFonts w:ascii="Times New Roman" w:eastAsia="Times New Roman" w:hAnsi="Times New Roman" w:cs="Times New Roman"/>
          <w:sz w:val="24"/>
          <w:szCs w:val="24"/>
          <w:lang w:eastAsia="en-GB"/>
        </w:rPr>
        <w:t>. A synthesis that situates this narrower body of sector-specific evidence within the broader theoretical and empirical literature on green innovation and firm performance has not, to the knowledge of this review, previously been produced.</w:t>
      </w:r>
    </w:p>
    <w:p w14:paraId="5B2B0903"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1.4 Scope, research gap and objectives</w:t>
      </w:r>
    </w:p>
    <w:p w14:paraId="1D05954E" w14:textId="77777777" w:rsidR="005D60F1" w:rsidRPr="00741696" w:rsidRDefault="00000000" w:rsidP="00741696">
      <w:pPr>
        <w:spacing w:before="100" w:beforeAutospacing="1" w:after="100" w:afterAutospacing="1" w:line="240" w:lineRule="auto"/>
        <w:jc w:val="both"/>
        <w:rPr>
          <w:rFonts w:ascii="Times New Roman" w:eastAsia="Times New Roman" w:hAnsi="Times New Roman" w:cs="Times New Roman"/>
          <w:bCs/>
          <w:sz w:val="24"/>
          <w:szCs w:val="24"/>
          <w:lang w:eastAsia="en-GB"/>
        </w:rPr>
      </w:pPr>
      <w:r w:rsidRPr="00741696">
        <w:rPr>
          <w:rFonts w:ascii="Times New Roman" w:eastAsia="Times New Roman" w:hAnsi="Times New Roman"/>
          <w:bCs/>
          <w:sz w:val="24"/>
          <w:highlight w:val="yellow"/>
        </w:rPr>
        <w:t xml:space="preserve">The research </w:t>
      </w:r>
      <w:proofErr w:type="gramStart"/>
      <w:r>
        <w:rPr>
          <w:rFonts w:ascii="Times New Roman" w:eastAsia="Times New Roman" w:hAnsi="Times New Roman"/>
          <w:bCs/>
          <w:sz w:val="24"/>
          <w:highlight w:val="yellow"/>
        </w:rPr>
        <w:t>gap</w:t>
      </w:r>
      <w:proofErr w:type="gramEnd"/>
      <w:r w:rsidRPr="00741696">
        <w:rPr>
          <w:rFonts w:ascii="Times New Roman" w:eastAsia="Times New Roman" w:hAnsi="Times New Roman"/>
          <w:bCs/>
          <w:sz w:val="24"/>
          <w:highlight w:val="yellow"/>
        </w:rPr>
        <w:t xml:space="preserve"> this review addresses is the absence of an integrative synthesis connecting the general green innovation–performance literature to the specific institutional, ecological and organisational conditions of Kenyan tea processing, a gap with practical relevance for managers, policymakers and certification bodies operating in this sector.</w:t>
      </w:r>
    </w:p>
    <w:p w14:paraId="7A3D834F"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lastRenderedPageBreak/>
        <w:t xml:space="preserve">This review addresses that gap by synthesising empirical and theoretical literature on green innovation strategies and organisational performance, with a specific focus on tea processing firms in Kenya, supplemented by closely comparable evidence from other agro-industrial and manufacturing firms in Kenya, sub-Saharan Africa and other developing economies where sector-specific Kenyan evidence is thin. The review is organised around four objectives. The first is to outline the principal theoretical frameworks used to explain the relationship between green innovation and organisational performance. The second is to characterise the main forms of green innovation strategy relevant to </w:t>
      </w:r>
      <w:proofErr w:type="spellStart"/>
      <w:r w:rsidRPr="00392F58">
        <w:rPr>
          <w:rFonts w:ascii="Times New Roman" w:eastAsia="Times New Roman" w:hAnsi="Times New Roman" w:cs="Times New Roman"/>
          <w:sz w:val="24"/>
          <w:szCs w:val="24"/>
          <w:lang w:eastAsia="en-GB"/>
        </w:rPr>
        <w:t>agro</w:t>
      </w:r>
      <w:proofErr w:type="spellEnd"/>
      <w:r w:rsidRPr="00392F58">
        <w:rPr>
          <w:rFonts w:ascii="Times New Roman" w:eastAsia="Times New Roman" w:hAnsi="Times New Roman" w:cs="Times New Roman"/>
          <w:sz w:val="24"/>
          <w:szCs w:val="24"/>
          <w:lang w:eastAsia="en-GB"/>
        </w:rPr>
        <w:t>-processing firms, including product, process, supply chain, human resource and circular-economy dimensions. The third is to synthesise the empirical evidence, both sector-specific and comparative, on how these strategies relate to environmental, financial and competitive outcomes. The fourth is to identify the principal gaps in the existing evidence base and to set out priorities for future research.</w:t>
      </w:r>
    </w:p>
    <w:p w14:paraId="24E373D3" w14:textId="77777777" w:rsidR="00392F58" w:rsidRPr="00392F58" w:rsidRDefault="00392F58" w:rsidP="0074169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2. Methods for Literature Selection</w:t>
      </w:r>
    </w:p>
    <w:p w14:paraId="44DF1E86"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2.1 Databases and indexing sources searched</w:t>
      </w:r>
    </w:p>
    <w:p w14:paraId="3EA2CF59"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Literature for this review was identified through structured searches of Web of Science, Scopus, Google Scholar and PubMed, supplemented by six field-specific indexing databases and repositories selected for their coverage of agribusiness, environmental management and African social science research: AGRIS, </w:t>
      </w:r>
      <w:proofErr w:type="spellStart"/>
      <w:r w:rsidRPr="00392F58">
        <w:rPr>
          <w:rFonts w:ascii="Times New Roman" w:eastAsia="Times New Roman" w:hAnsi="Times New Roman" w:cs="Times New Roman"/>
          <w:sz w:val="24"/>
          <w:szCs w:val="24"/>
          <w:lang w:eastAsia="en-GB"/>
        </w:rPr>
        <w:t>AgEcon</w:t>
      </w:r>
      <w:proofErr w:type="spellEnd"/>
      <w:r w:rsidRPr="00392F58">
        <w:rPr>
          <w:rFonts w:ascii="Times New Roman" w:eastAsia="Times New Roman" w:hAnsi="Times New Roman" w:cs="Times New Roman"/>
          <w:sz w:val="24"/>
          <w:szCs w:val="24"/>
          <w:lang w:eastAsia="en-GB"/>
        </w:rPr>
        <w:t xml:space="preserve"> Search, African Journals Online, CAB Abstracts, </w:t>
      </w:r>
      <w:proofErr w:type="spellStart"/>
      <w:r w:rsidRPr="00392F58">
        <w:rPr>
          <w:rFonts w:ascii="Times New Roman" w:eastAsia="Times New Roman" w:hAnsi="Times New Roman" w:cs="Times New Roman"/>
          <w:sz w:val="24"/>
          <w:szCs w:val="24"/>
          <w:lang w:eastAsia="en-GB"/>
        </w:rPr>
        <w:t>GreenFILE</w:t>
      </w:r>
      <w:proofErr w:type="spellEnd"/>
      <w:r>
        <w:rPr>
          <w:rFonts w:ascii="Times New Roman" w:eastAsia="Times New Roman" w:hAnsi="Times New Roman" w:cs="Times New Roman"/>
          <w:sz w:val="24"/>
          <w:szCs w:val="24"/>
          <w:lang w:eastAsia="en-GB"/>
        </w:rPr>
        <w:t xml:space="preserve"> and the Directory of Open Access Journals. These sources were chosen to capture both mainstream management and environmental science literature and the regionally focused agribusiness and East African </w:t>
      </w:r>
      <w:r>
        <w:rPr>
          <w:rFonts w:ascii="Times New Roman" w:eastAsia="Times New Roman" w:hAnsi="Times New Roman" w:cs="Times New Roman"/>
          <w:sz w:val="24"/>
          <w:szCs w:val="24"/>
          <w:highlight w:val="yellow"/>
          <w:lang w:eastAsia="en-GB"/>
        </w:rPr>
        <w:t>business research output</w:t>
      </w:r>
      <w:r>
        <w:rPr>
          <w:rFonts w:ascii="Times New Roman" w:eastAsia="Times New Roman" w:hAnsi="Times New Roman" w:cs="Times New Roman"/>
          <w:sz w:val="24"/>
          <w:szCs w:val="24"/>
          <w:lang w:eastAsia="en-GB"/>
        </w:rPr>
        <w:t xml:space="preserve"> in which much of the tea-specific evidence is published.</w:t>
      </w:r>
    </w:p>
    <w:p w14:paraId="06F96CEA"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2.2 Search strings and date range</w:t>
      </w:r>
    </w:p>
    <w:p w14:paraId="29D40FD8"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Search strings combined terms for the exposure construct, the outcome construct and the sectoral or geographic context, connected with Boolean operators. Representative strings included: ("green innovation" OR "eco-innovation" OR "environmental innovation") AND ("firm performance" OR "</w:t>
      </w:r>
      <w:proofErr w:type="spellStart"/>
      <w:r w:rsidRPr="00392F58">
        <w:rPr>
          <w:rFonts w:ascii="Times New Roman" w:eastAsia="Times New Roman" w:hAnsi="Times New Roman" w:cs="Times New Roman"/>
          <w:sz w:val="24"/>
          <w:szCs w:val="24"/>
          <w:lang w:eastAsia="en-GB"/>
        </w:rPr>
        <w:t>organi?ational</w:t>
      </w:r>
      <w:proofErr w:type="spellEnd"/>
      <w:r w:rsidRPr="00392F58">
        <w:rPr>
          <w:rFonts w:ascii="Times New Roman" w:eastAsia="Times New Roman" w:hAnsi="Times New Roman" w:cs="Times New Roman"/>
          <w:sz w:val="24"/>
          <w:szCs w:val="24"/>
          <w:lang w:eastAsia="en-GB"/>
        </w:rPr>
        <w:t xml:space="preserve"> performance" OR "financial performance" OR "environmental performance"); ("green supply chain management" OR "green human resource management" OR "green process innovation" OR "green product innovation") AND ("tea" OR "agribusiness" OR "</w:t>
      </w:r>
      <w:proofErr w:type="spellStart"/>
      <w:r w:rsidRPr="00392F58">
        <w:rPr>
          <w:rFonts w:ascii="Times New Roman" w:eastAsia="Times New Roman" w:hAnsi="Times New Roman" w:cs="Times New Roman"/>
          <w:sz w:val="24"/>
          <w:szCs w:val="24"/>
          <w:lang w:eastAsia="en-GB"/>
        </w:rPr>
        <w:t>agro</w:t>
      </w:r>
      <w:proofErr w:type="spellEnd"/>
      <w:r>
        <w:rPr>
          <w:rFonts w:ascii="Times New Roman" w:eastAsia="Times New Roman" w:hAnsi="Times New Roman" w:cs="Times New Roman"/>
          <w:sz w:val="24"/>
          <w:szCs w:val="24"/>
          <w:lang w:eastAsia="en-GB"/>
        </w:rPr>
        <w:t>-processing" OR "manufacturing"); and ("tea processing" OR "tea factory" OR "</w:t>
      </w:r>
      <w:r>
        <w:rPr>
          <w:rFonts w:ascii="Times New Roman" w:eastAsia="Times New Roman" w:hAnsi="Times New Roman" w:cs="Times New Roman"/>
          <w:i/>
          <w:iCs/>
          <w:sz w:val="24"/>
          <w:szCs w:val="24"/>
          <w:highlight w:val="yellow"/>
          <w:lang w:eastAsia="en-GB"/>
        </w:rPr>
        <w:t>Camellia sinensis</w:t>
      </w:r>
      <w:r>
        <w:rPr>
          <w:rFonts w:ascii="Times New Roman" w:eastAsia="Times New Roman" w:hAnsi="Times New Roman" w:cs="Times New Roman"/>
          <w:sz w:val="24"/>
          <w:szCs w:val="24"/>
          <w:lang w:eastAsia="en-GB"/>
        </w:rPr>
        <w:t>") AND ("Kenya" OR "Kericho" OR "Nandi" OR "</w:t>
      </w:r>
      <w:proofErr w:type="spellStart"/>
      <w:r w:rsidRPr="00392F58">
        <w:rPr>
          <w:rFonts w:ascii="Times New Roman" w:eastAsia="Times New Roman" w:hAnsi="Times New Roman" w:cs="Times New Roman"/>
          <w:sz w:val="24"/>
          <w:szCs w:val="24"/>
          <w:lang w:eastAsia="en-GB"/>
        </w:rPr>
        <w:t>Bomet</w:t>
      </w:r>
      <w:proofErr w:type="spellEnd"/>
      <w:r w:rsidRPr="00392F58">
        <w:rPr>
          <w:rFonts w:ascii="Times New Roman" w:eastAsia="Times New Roman" w:hAnsi="Times New Roman" w:cs="Times New Roman"/>
          <w:sz w:val="24"/>
          <w:szCs w:val="24"/>
          <w:lang w:eastAsia="en-GB"/>
        </w:rPr>
        <w:t>"). The literature search covered material published between January 2013 and 8 April 2026, a window chosen to capture the period during which green innovation emerged as a distinct and empirically tractable construct in the management literature, while a small number of foundational theoretical works published before this window were retained as classic supplementary references where they remain the primary source for a theoretical proposition still in active use.</w:t>
      </w:r>
    </w:p>
    <w:p w14:paraId="4770AC35"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2.3 Inclusion and exclusion criteria</w:t>
      </w:r>
    </w:p>
    <w:p w14:paraId="488B45D2"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Studies were included if they reported original empirical evidence, systematic or bibliometric synthesis, or well-established theoretical propositions concerning green innovation, green organisational practices, or closely related constructs (eco-innovation, environmental strategy, green supply chain management, green human resource management) in relation to </w:t>
      </w:r>
      <w:r w:rsidRPr="00392F58">
        <w:rPr>
          <w:rFonts w:ascii="Times New Roman" w:eastAsia="Times New Roman" w:hAnsi="Times New Roman" w:cs="Times New Roman"/>
          <w:sz w:val="24"/>
          <w:szCs w:val="24"/>
          <w:lang w:eastAsia="en-GB"/>
        </w:rPr>
        <w:lastRenderedPageBreak/>
        <w:t xml:space="preserve">organisational, environmental or financial performance, and if they were published in a peer-reviewed academic journal. Studies concerning tea, other </w:t>
      </w:r>
      <w:proofErr w:type="spellStart"/>
      <w:r w:rsidRPr="00392F58">
        <w:rPr>
          <w:rFonts w:ascii="Times New Roman" w:eastAsia="Times New Roman" w:hAnsi="Times New Roman" w:cs="Times New Roman"/>
          <w:sz w:val="24"/>
          <w:szCs w:val="24"/>
          <w:lang w:eastAsia="en-GB"/>
        </w:rPr>
        <w:t>agro</w:t>
      </w:r>
      <w:proofErr w:type="spellEnd"/>
      <w:r w:rsidRPr="00392F58">
        <w:rPr>
          <w:rFonts w:ascii="Times New Roman" w:eastAsia="Times New Roman" w:hAnsi="Times New Roman" w:cs="Times New Roman"/>
          <w:sz w:val="24"/>
          <w:szCs w:val="24"/>
          <w:lang w:eastAsia="en-GB"/>
        </w:rPr>
        <w:t>-processing sectors and manufacturing firms in Kenya and comparable developing-economy contexts were prioritised. Authoritative institutional reports from bodies such as the Food and Agriculture Organization of the United Nations were included where they provided verifiable sectoral or market data not otherwise available in the peer-reviewed literature. Books, unpublished theses, conference proceedings, trade magazines, preprints, patents and other grey literature were excluded, as were studies whose primary focus lay outside the environmental management and organisational performance domain, and any source subsequently identified as formally retracted by its publisher was excluded from the evidence base and substituted with a verified alternative.</w:t>
      </w:r>
    </w:p>
    <w:p w14:paraId="22025797"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2.4 Rationale for a narrative rather than systematic review approach</w:t>
      </w:r>
    </w:p>
    <w:p w14:paraId="4EE70E93"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A narrative review approach was adopted in preference to a systematic review or meta-analysis. Sustainability-oriented management research spans multiple disciplinary traditions, uses heterogeneous outcome measures and rarely permits pooling of effect sizes without substantial loss of contextual nuance, particularly when the objective is to connect a broad international evidence base to a narrowly defined regional and sectoral case. Narrative synthesis suits this purpose because it allows the reviewer to draw on disciplinary expertise to identify patterns, contradictions and theoretical gaps across a heterogeneous literature, rather than being constrained to a fixed, protocol-driven set of comparable studies (</w:t>
      </w:r>
      <w:proofErr w:type="spellStart"/>
      <w:r w:rsidRPr="00392F58">
        <w:rPr>
          <w:rFonts w:ascii="Times New Roman" w:eastAsia="Times New Roman" w:hAnsi="Times New Roman" w:cs="Times New Roman"/>
          <w:sz w:val="24"/>
          <w:szCs w:val="24"/>
          <w:lang w:eastAsia="en-GB"/>
        </w:rPr>
        <w:t>Baethge</w:t>
      </w:r>
      <w:proofErr w:type="spellEnd"/>
      <w:r w:rsidRPr="00392F58">
        <w:rPr>
          <w:rFonts w:ascii="Times New Roman" w:eastAsia="Times New Roman" w:hAnsi="Times New Roman" w:cs="Times New Roman"/>
          <w:sz w:val="24"/>
          <w:szCs w:val="24"/>
          <w:lang w:eastAsia="en-GB"/>
        </w:rPr>
        <w:t xml:space="preserve"> et al., 2019). The approach followed recognised methodological guidance for the conduct and reporting of narrative reviews, including explicit justification of the review's importance and aims, transparent description of the literature search, and balanced representation of evidence and argument (</w:t>
      </w:r>
      <w:proofErr w:type="spellStart"/>
      <w:r w:rsidRPr="00392F58">
        <w:rPr>
          <w:rFonts w:ascii="Times New Roman" w:eastAsia="Times New Roman" w:hAnsi="Times New Roman" w:cs="Times New Roman"/>
          <w:sz w:val="24"/>
          <w:szCs w:val="24"/>
          <w:lang w:eastAsia="en-GB"/>
        </w:rPr>
        <w:t>Baethge</w:t>
      </w:r>
      <w:proofErr w:type="spellEnd"/>
      <w:r w:rsidRPr="00392F58">
        <w:rPr>
          <w:rFonts w:ascii="Times New Roman" w:eastAsia="Times New Roman" w:hAnsi="Times New Roman" w:cs="Times New Roman"/>
          <w:sz w:val="24"/>
          <w:szCs w:val="24"/>
          <w:lang w:eastAsia="en-GB"/>
        </w:rPr>
        <w:t xml:space="preserve"> et al., 2019).</w:t>
      </w:r>
    </w:p>
    <w:p w14:paraId="11270BA0"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2.5 Screening workflow, duplicate handling and language restriction</w:t>
      </w:r>
    </w:p>
    <w:p w14:paraId="21F5B405"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Records retrieved from each database were exported and screened first by title and abstract against the inclusion criteria, then by full text where relevance remained ambiguous. Duplicate records identified across databases were removed before full-text screening. The review was restricted to literature published in English, reflecting the dominant language of both the international green innovation literature and Kenyan academic publishing in this field. Screening gave particular weight to studies with clearly reported sampling frames, verifiable metadata and traceable digital object identifiers, </w:t>
      </w:r>
      <w:r>
        <w:rPr>
          <w:rFonts w:ascii="Times New Roman" w:eastAsia="Times New Roman" w:hAnsi="Times New Roman" w:cs="Times New Roman"/>
          <w:sz w:val="24"/>
          <w:szCs w:val="24"/>
          <w:highlight w:val="yellow"/>
          <w:lang w:eastAsia="en-GB"/>
        </w:rPr>
        <w:t>and to studies published in journals indexed by Web of Science or Scopus, or studies that had accumulated substantial citation counts, as markers of influence within the field.</w:t>
      </w:r>
    </w:p>
    <w:p w14:paraId="6A07F4D0"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2.6 Search strategy summary</w:t>
      </w:r>
    </w:p>
    <w:p w14:paraId="4E47B6F7"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Table 1 summarises the search strategy applied across the principal databases consulted for this review.</w:t>
      </w:r>
    </w:p>
    <w:p w14:paraId="3042EEAF"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b/>
          <w:bCs/>
          <w:sz w:val="24"/>
          <w:szCs w:val="24"/>
          <w:lang w:eastAsia="en-GB"/>
        </w:rPr>
        <w:t>Table 1. Summary of the literature search strategy</w:t>
      </w:r>
    </w:p>
    <w:tbl>
      <w:tblPr>
        <w:tblStyle w:val="TableGrid"/>
        <w:tblW w:w="0" w:type="auto"/>
        <w:tblLook w:val="04A0" w:firstRow="1" w:lastRow="0" w:firstColumn="1" w:lastColumn="0" w:noHBand="0" w:noVBand="1"/>
      </w:tblPr>
      <w:tblGrid>
        <w:gridCol w:w="1644"/>
        <w:gridCol w:w="7598"/>
      </w:tblGrid>
      <w:tr w:rsidR="00392F58" w:rsidRPr="00392F58" w14:paraId="16165294" w14:textId="77777777" w:rsidTr="00392F58">
        <w:tc>
          <w:tcPr>
            <w:tcW w:w="0" w:type="auto"/>
            <w:hideMark/>
          </w:tcPr>
          <w:p w14:paraId="12CB77F5" w14:textId="77777777" w:rsidR="00392F58" w:rsidRPr="00392F58" w:rsidRDefault="00392F58" w:rsidP="00741696">
            <w:pPr>
              <w:jc w:val="both"/>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Element</w:t>
            </w:r>
          </w:p>
        </w:tc>
        <w:tc>
          <w:tcPr>
            <w:tcW w:w="0" w:type="auto"/>
            <w:hideMark/>
          </w:tcPr>
          <w:p w14:paraId="22C5B751" w14:textId="77777777" w:rsidR="00392F58" w:rsidRPr="00392F58" w:rsidRDefault="00392F58" w:rsidP="00741696">
            <w:pPr>
              <w:jc w:val="both"/>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Description</w:t>
            </w:r>
          </w:p>
        </w:tc>
      </w:tr>
      <w:tr w:rsidR="00392F58" w:rsidRPr="00392F58" w14:paraId="27AD1F17" w14:textId="77777777" w:rsidTr="00392F58">
        <w:tc>
          <w:tcPr>
            <w:tcW w:w="0" w:type="auto"/>
            <w:hideMark/>
          </w:tcPr>
          <w:p w14:paraId="716ABB6C"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Core databases</w:t>
            </w:r>
          </w:p>
        </w:tc>
        <w:tc>
          <w:tcPr>
            <w:tcW w:w="0" w:type="auto"/>
            <w:hideMark/>
          </w:tcPr>
          <w:p w14:paraId="26A51F43"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Web of Science, Scopus, Google Scholar, PubMed</w:t>
            </w:r>
          </w:p>
        </w:tc>
      </w:tr>
      <w:tr w:rsidR="00392F58" w:rsidRPr="00392F58" w14:paraId="71E31999" w14:textId="77777777" w:rsidTr="00392F58">
        <w:tc>
          <w:tcPr>
            <w:tcW w:w="0" w:type="auto"/>
            <w:hideMark/>
          </w:tcPr>
          <w:p w14:paraId="378E6F5A"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Field-specific </w:t>
            </w:r>
            <w:r w:rsidRPr="00392F58">
              <w:rPr>
                <w:rFonts w:ascii="Times New Roman" w:eastAsia="Times New Roman" w:hAnsi="Times New Roman" w:cs="Times New Roman"/>
                <w:sz w:val="24"/>
                <w:szCs w:val="24"/>
                <w:lang w:eastAsia="en-GB"/>
              </w:rPr>
              <w:lastRenderedPageBreak/>
              <w:t>databases</w:t>
            </w:r>
          </w:p>
        </w:tc>
        <w:tc>
          <w:tcPr>
            <w:tcW w:w="0" w:type="auto"/>
            <w:hideMark/>
          </w:tcPr>
          <w:p w14:paraId="6E5299CC"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lastRenderedPageBreak/>
              <w:t xml:space="preserve">AGRIS, </w:t>
            </w:r>
            <w:proofErr w:type="spellStart"/>
            <w:r w:rsidRPr="00392F58">
              <w:rPr>
                <w:rFonts w:ascii="Times New Roman" w:eastAsia="Times New Roman" w:hAnsi="Times New Roman" w:cs="Times New Roman"/>
                <w:sz w:val="24"/>
                <w:szCs w:val="24"/>
                <w:lang w:eastAsia="en-GB"/>
              </w:rPr>
              <w:t>AgEcon</w:t>
            </w:r>
            <w:proofErr w:type="spellEnd"/>
            <w:r w:rsidRPr="00392F58">
              <w:rPr>
                <w:rFonts w:ascii="Times New Roman" w:eastAsia="Times New Roman" w:hAnsi="Times New Roman" w:cs="Times New Roman"/>
                <w:sz w:val="24"/>
                <w:szCs w:val="24"/>
                <w:lang w:eastAsia="en-GB"/>
              </w:rPr>
              <w:t xml:space="preserve"> Search, African Journals Online, CAB Abstracts, </w:t>
            </w:r>
            <w:proofErr w:type="spellStart"/>
            <w:r w:rsidRPr="00392F58">
              <w:rPr>
                <w:rFonts w:ascii="Times New Roman" w:eastAsia="Times New Roman" w:hAnsi="Times New Roman" w:cs="Times New Roman"/>
                <w:sz w:val="24"/>
                <w:szCs w:val="24"/>
                <w:lang w:eastAsia="en-GB"/>
              </w:rPr>
              <w:lastRenderedPageBreak/>
              <w:t>GreenFILE</w:t>
            </w:r>
            <w:proofErr w:type="spellEnd"/>
            <w:r w:rsidRPr="00392F58">
              <w:rPr>
                <w:rFonts w:ascii="Times New Roman" w:eastAsia="Times New Roman" w:hAnsi="Times New Roman" w:cs="Times New Roman"/>
                <w:sz w:val="24"/>
                <w:szCs w:val="24"/>
                <w:lang w:eastAsia="en-GB"/>
              </w:rPr>
              <w:t>, Directory of Open Access Journals</w:t>
            </w:r>
          </w:p>
        </w:tc>
      </w:tr>
      <w:tr w:rsidR="00392F58" w:rsidRPr="00392F58" w14:paraId="51B90AED" w14:textId="77777777" w:rsidTr="00392F58">
        <w:tc>
          <w:tcPr>
            <w:tcW w:w="0" w:type="auto"/>
            <w:hideMark/>
          </w:tcPr>
          <w:p w14:paraId="3059F167"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lastRenderedPageBreak/>
              <w:t>Core search terms</w:t>
            </w:r>
          </w:p>
        </w:tc>
        <w:tc>
          <w:tcPr>
            <w:tcW w:w="0" w:type="auto"/>
            <w:hideMark/>
          </w:tcPr>
          <w:p w14:paraId="058EC8C6"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green innovation; eco-innovation; environmental innovation; green supply chain management; green human resource management; </w:t>
            </w:r>
            <w:proofErr w:type="spellStart"/>
            <w:r w:rsidRPr="00392F58">
              <w:rPr>
                <w:rFonts w:ascii="Times New Roman" w:eastAsia="Times New Roman" w:hAnsi="Times New Roman" w:cs="Times New Roman"/>
                <w:sz w:val="24"/>
                <w:szCs w:val="24"/>
                <w:lang w:eastAsia="en-GB"/>
              </w:rPr>
              <w:t>organi</w:t>
            </w:r>
            <w:proofErr w:type="spellEnd"/>
            <w:r w:rsidRPr="00392F58">
              <w:rPr>
                <w:rFonts w:ascii="Times New Roman" w:eastAsia="Times New Roman" w:hAnsi="Times New Roman" w:cs="Times New Roman"/>
                <w:sz w:val="24"/>
                <w:szCs w:val="24"/>
                <w:lang w:eastAsia="en-GB"/>
              </w:rPr>
              <w:t>[s/</w:t>
            </w:r>
            <w:proofErr w:type="gramStart"/>
            <w:r w:rsidRPr="00392F58">
              <w:rPr>
                <w:rFonts w:ascii="Times New Roman" w:eastAsia="Times New Roman" w:hAnsi="Times New Roman" w:cs="Times New Roman"/>
                <w:sz w:val="24"/>
                <w:szCs w:val="24"/>
                <w:lang w:eastAsia="en-GB"/>
              </w:rPr>
              <w:t>z]</w:t>
            </w:r>
            <w:proofErr w:type="spellStart"/>
            <w:r w:rsidRPr="00392F58">
              <w:rPr>
                <w:rFonts w:ascii="Times New Roman" w:eastAsia="Times New Roman" w:hAnsi="Times New Roman" w:cs="Times New Roman"/>
                <w:sz w:val="24"/>
                <w:szCs w:val="24"/>
                <w:lang w:eastAsia="en-GB"/>
              </w:rPr>
              <w:t>ational</w:t>
            </w:r>
            <w:proofErr w:type="spellEnd"/>
            <w:proofErr w:type="gramEnd"/>
            <w:r w:rsidRPr="00392F58">
              <w:rPr>
                <w:rFonts w:ascii="Times New Roman" w:eastAsia="Times New Roman" w:hAnsi="Times New Roman" w:cs="Times New Roman"/>
                <w:sz w:val="24"/>
                <w:szCs w:val="24"/>
                <w:lang w:eastAsia="en-GB"/>
              </w:rPr>
              <w:t xml:space="preserve"> performance; financial performance; environmental performance</w:t>
            </w:r>
          </w:p>
        </w:tc>
      </w:tr>
      <w:tr w:rsidR="00392F58" w:rsidRPr="00392F58" w14:paraId="124E5A2A" w14:textId="77777777" w:rsidTr="00392F58">
        <w:tc>
          <w:tcPr>
            <w:tcW w:w="0" w:type="auto"/>
            <w:hideMark/>
          </w:tcPr>
          <w:p w14:paraId="42E50C60"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Contextual terms</w:t>
            </w:r>
          </w:p>
        </w:tc>
        <w:tc>
          <w:tcPr>
            <w:tcW w:w="0" w:type="auto"/>
            <w:hideMark/>
          </w:tcPr>
          <w:p w14:paraId="68189664"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tea processing; tea factory; agribusiness; </w:t>
            </w:r>
            <w:proofErr w:type="spellStart"/>
            <w:r w:rsidRPr="00392F58">
              <w:rPr>
                <w:rFonts w:ascii="Times New Roman" w:eastAsia="Times New Roman" w:hAnsi="Times New Roman" w:cs="Times New Roman"/>
                <w:sz w:val="24"/>
                <w:szCs w:val="24"/>
                <w:lang w:eastAsia="en-GB"/>
              </w:rPr>
              <w:t>agro</w:t>
            </w:r>
            <w:proofErr w:type="spellEnd"/>
            <w:r w:rsidRPr="00392F58">
              <w:rPr>
                <w:rFonts w:ascii="Times New Roman" w:eastAsia="Times New Roman" w:hAnsi="Times New Roman" w:cs="Times New Roman"/>
                <w:sz w:val="24"/>
                <w:szCs w:val="24"/>
                <w:lang w:eastAsia="en-GB"/>
              </w:rPr>
              <w:t xml:space="preserve">-processing; manufacturing; Kenya; Kericho; Nandi; </w:t>
            </w:r>
            <w:proofErr w:type="spellStart"/>
            <w:r w:rsidRPr="00392F58">
              <w:rPr>
                <w:rFonts w:ascii="Times New Roman" w:eastAsia="Times New Roman" w:hAnsi="Times New Roman" w:cs="Times New Roman"/>
                <w:sz w:val="24"/>
                <w:szCs w:val="24"/>
                <w:lang w:eastAsia="en-GB"/>
              </w:rPr>
              <w:t>Bomet</w:t>
            </w:r>
            <w:proofErr w:type="spellEnd"/>
          </w:p>
        </w:tc>
      </w:tr>
      <w:tr w:rsidR="00392F58" w:rsidRPr="00392F58" w14:paraId="4EC088A9" w14:textId="77777777" w:rsidTr="00392F58">
        <w:tc>
          <w:tcPr>
            <w:tcW w:w="0" w:type="auto"/>
            <w:hideMark/>
          </w:tcPr>
          <w:p w14:paraId="62E5BCF2"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Date range</w:t>
            </w:r>
          </w:p>
        </w:tc>
        <w:tc>
          <w:tcPr>
            <w:tcW w:w="0" w:type="auto"/>
            <w:hideMark/>
          </w:tcPr>
          <w:p w14:paraId="228E78E4"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January 2013 to 8 April 2026, plus classic pre-2013 theoretical sources</w:t>
            </w:r>
          </w:p>
        </w:tc>
      </w:tr>
      <w:tr w:rsidR="00392F58" w:rsidRPr="00392F58" w14:paraId="0EAF3CCE" w14:textId="77777777" w:rsidTr="00392F58">
        <w:tc>
          <w:tcPr>
            <w:tcW w:w="0" w:type="auto"/>
            <w:hideMark/>
          </w:tcPr>
          <w:p w14:paraId="4B47A053"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Language restriction</w:t>
            </w:r>
          </w:p>
        </w:tc>
        <w:tc>
          <w:tcPr>
            <w:tcW w:w="0" w:type="auto"/>
            <w:hideMark/>
          </w:tcPr>
          <w:p w14:paraId="15DE5D55"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English only</w:t>
            </w:r>
          </w:p>
        </w:tc>
      </w:tr>
      <w:tr w:rsidR="00392F58" w:rsidRPr="00392F58" w14:paraId="261FDBC8" w14:textId="77777777" w:rsidTr="00392F58">
        <w:tc>
          <w:tcPr>
            <w:tcW w:w="0" w:type="auto"/>
            <w:hideMark/>
          </w:tcPr>
          <w:p w14:paraId="73BC63C7"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Sources included</w:t>
            </w:r>
          </w:p>
        </w:tc>
        <w:tc>
          <w:tcPr>
            <w:tcW w:w="0" w:type="auto"/>
            <w:hideMark/>
          </w:tcPr>
          <w:p w14:paraId="1D4CCB4C"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Peer-reviewed journal articles; authoritative institutional reports with verifiable metadata</w:t>
            </w:r>
          </w:p>
        </w:tc>
      </w:tr>
      <w:tr w:rsidR="00392F58" w:rsidRPr="00392F58" w14:paraId="6AD76970" w14:textId="77777777" w:rsidTr="00392F58">
        <w:tc>
          <w:tcPr>
            <w:tcW w:w="0" w:type="auto"/>
            <w:hideMark/>
          </w:tcPr>
          <w:p w14:paraId="2F3F51D6"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Sources excluded</w:t>
            </w:r>
          </w:p>
        </w:tc>
        <w:tc>
          <w:tcPr>
            <w:tcW w:w="0" w:type="auto"/>
            <w:hideMark/>
          </w:tcPr>
          <w:p w14:paraId="2B3351D7"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Books, theses, conference proceedings, trade magazines, preprints, patents, other grey literature, and formally retracted articles</w:t>
            </w:r>
          </w:p>
        </w:tc>
      </w:tr>
    </w:tbl>
    <w:p w14:paraId="64F4E0B3"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i/>
          <w:iCs/>
          <w:sz w:val="24"/>
          <w:szCs w:val="24"/>
          <w:lang w:eastAsia="en-GB"/>
        </w:rPr>
        <w:t>Note. This table describes the review's own methodology and is not derived from external empirical sources.</w:t>
      </w:r>
    </w:p>
    <w:p w14:paraId="215D2C57" w14:textId="77777777" w:rsidR="00392F58" w:rsidRPr="00392F58" w:rsidRDefault="00392F58" w:rsidP="0074169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3. Theoretical Foundations of Green Innovation and Organisational Performance</w:t>
      </w:r>
    </w:p>
    <w:p w14:paraId="0E7ABC02"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3.1 The natural resource-based view</w:t>
      </w:r>
    </w:p>
    <w:p w14:paraId="158B4743"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The natural resource-based view extends conventional resource-based theory by treating a firm's relationship with the biophysical environment as a potential source of sustained competitive advantage rather than a purely regulatory constraint (Hart, 1995). The framework proposes three interlinked strategic capabilities: pollution prevention, which reduces waste and emissions ahead of regulatory mandate; product stewardship, which integrates the perspectives of external stakeholders into product design; and sustainable development, which orients the firm toward long-run environmental and social viability. Each capability is theorised to generate a distinct form of advantage, from cost reduction through waste minimisation to reputational and market differentiation benefits. Subsequent theoretical work integrating the natural resource-based view with dynamic capabilities theory has emphasised that the competitive value of pollution prevention and product stewardship depends heavily on a firm's capacity to reconfigure environmental resources as external conditions change, rather than accruing automatically from adoption alone (Zhao et al., 2026). Empirical support for the underlying "it pays to be green" proposition was established relatively early in the literature, with evidence that superior environmental performance is associated with higher profitability, particularly in high-growth industries (Russo &amp; Fouts, 1997).</w:t>
      </w:r>
    </w:p>
    <w:p w14:paraId="1B39811A"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3.2 Institutional theory and isomorphic pressure</w:t>
      </w:r>
    </w:p>
    <w:p w14:paraId="081A78EC"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Institutional theory offers a complementary explanation for why firms operating in similar environments tend to converge on comparable environmental practices, even where the underlying business case for any single practice is unclear. Coercive isomorphism arises from regulatory and buyer-imposed requirements; mimetic isomorphism arises when firms imitate perceived industry leaders under conditions of uncertainty; and normative isomorphism arises through professional networks, certification bodies and shared standards of practice (DiMaggio &amp; Powell, 1983). In </w:t>
      </w:r>
      <w:proofErr w:type="spellStart"/>
      <w:r w:rsidRPr="00392F58">
        <w:rPr>
          <w:rFonts w:ascii="Times New Roman" w:eastAsia="Times New Roman" w:hAnsi="Times New Roman" w:cs="Times New Roman"/>
          <w:sz w:val="24"/>
          <w:szCs w:val="24"/>
          <w:lang w:eastAsia="en-GB"/>
        </w:rPr>
        <w:t>agro</w:t>
      </w:r>
      <w:proofErr w:type="spellEnd"/>
      <w:r w:rsidRPr="00392F58">
        <w:rPr>
          <w:rFonts w:ascii="Times New Roman" w:eastAsia="Times New Roman" w:hAnsi="Times New Roman" w:cs="Times New Roman"/>
          <w:sz w:val="24"/>
          <w:szCs w:val="24"/>
          <w:lang w:eastAsia="en-GB"/>
        </w:rPr>
        <w:t xml:space="preserve">-export sectors such as Kenyan tea, all three mechanisms operate simultaneously: government environmental regulation constitutes coercive pressure, </w:t>
      </w:r>
      <w:r w:rsidRPr="00392F58">
        <w:rPr>
          <w:rFonts w:ascii="Times New Roman" w:eastAsia="Times New Roman" w:hAnsi="Times New Roman" w:cs="Times New Roman"/>
          <w:sz w:val="24"/>
          <w:szCs w:val="24"/>
          <w:lang w:eastAsia="en-GB"/>
        </w:rPr>
        <w:lastRenderedPageBreak/>
        <w:t>the diffusion of certification schemes among competing estates constitutes mimetic pressure, and the standards embedded in buyer codes of conduct constitute normative pressure. Institutional theory therefore helps explain the observed pattern of green practice adoption in export-oriented agro-industries even where firm-level financial returns are uncertain or unevenly distributed.</w:t>
      </w:r>
    </w:p>
    <w:p w14:paraId="7A9DAB3B"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3.3 The resource-based view, dynamic capabilities and contingent environmental strategy</w:t>
      </w:r>
    </w:p>
    <w:p w14:paraId="0DBEEACD"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The broader resource-based view holds that sustained competitive advantage derives from resources that are valuable, rare, imperfectly imitable and non-substitutable (Barney, 1991). Applied to environmental strategy, this logic implies that green capabilities generate advantage only to the extent that they are difficult for competitors to replicate, a condition more plausible for organisationally embedded capabilities such as green human resource systems or integrated environmental management routines than for easily copied product features. Building on this foundation, a contingent resource-based perspective on proactive environmental strategy proposed that the competitive value of environmental capability depends on characteristics of the general business environment, including uncertainty, complexity and resource munificence, such that the same environmental strategy can generate different performance outcomes across contexts (Aragón-Correa &amp; Sharma, 2003). Earlier empirical work similarly found that proactive environmental strategies were associated with the emergence of distinctive organisational capabilities, including stakeholder integration, higher-order learning and continuous innovation, that were themselves valuable independent of any immediate cost saving (Sharma &amp; Vredenburg, 1998). Together, these contributions imply that the strength and even the direction of the green innovation–performance relationship should be expected to vary by industry, institutional setting and the degree to which green capability is embedded rather than superficially adopted, a proposition with direct relevance for interpreting the more mixed findings reported for developing-economy agro-industrial firms.</w:t>
      </w:r>
    </w:p>
    <w:p w14:paraId="70427164"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3.4 A bibliometric perspective on the maturity of the field</w:t>
      </w:r>
    </w:p>
    <w:p w14:paraId="40050F00"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Bibliometric analysis of the accumulated green innovation literature situates these theoretical strands within a rapidly maturing but still fragmented research field. A large-scale bibliometric review of green innovation as a strategic firm resource, drawing on close to a thousand articles, found that green supply chain management, green product design and corporate environmental responsibility </w:t>
      </w:r>
      <w:r>
        <w:rPr>
          <w:rFonts w:ascii="Times New Roman" w:eastAsia="Times New Roman" w:hAnsi="Times New Roman" w:cs="Times New Roman"/>
          <w:sz w:val="24"/>
          <w:szCs w:val="24"/>
          <w:highlight w:val="yellow"/>
          <w:lang w:eastAsia="en-GB"/>
        </w:rPr>
        <w:t>were among the dominant thematic clusters</w:t>
      </w:r>
      <w:r>
        <w:rPr>
          <w:rFonts w:ascii="Times New Roman" w:eastAsia="Times New Roman" w:hAnsi="Times New Roman" w:cs="Times New Roman"/>
          <w:sz w:val="24"/>
          <w:szCs w:val="24"/>
          <w:lang w:eastAsia="en-GB"/>
        </w:rPr>
        <w:t xml:space="preserve"> in the literature, with the resource-based and natural resource-based views remaining the most frequently invoked theoretical lenses (Khanra et al., 2022). This concentration of theoretical grounding around resource-based logic is echoed in the more narrowly focused systematic review evidence, which similarly identifies firm performance and competitive advantage among the principal outcome domains studied under the green innovation label (Karimi Takalo et al., 2021).</w:t>
      </w:r>
    </w:p>
    <w:p w14:paraId="1D1D4EA4"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Table 2 summarises the principal theoretical frameworks discussed in this section and their central propositions regarding the green innovation–performance relationship.</w:t>
      </w:r>
    </w:p>
    <w:p w14:paraId="085EA2AD"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b/>
          <w:bCs/>
          <w:sz w:val="24"/>
          <w:szCs w:val="24"/>
          <w:lang w:eastAsia="en-GB"/>
        </w:rPr>
        <w:t>Table 2. Principal theoretical frameworks applied to green innovation and organisational performance</w:t>
      </w:r>
    </w:p>
    <w:tbl>
      <w:tblPr>
        <w:tblStyle w:val="TableGrid"/>
        <w:tblW w:w="0" w:type="auto"/>
        <w:tblLook w:val="04A0" w:firstRow="1" w:lastRow="0" w:firstColumn="1" w:lastColumn="0" w:noHBand="0" w:noVBand="1"/>
      </w:tblPr>
      <w:tblGrid>
        <w:gridCol w:w="2369"/>
        <w:gridCol w:w="2517"/>
        <w:gridCol w:w="2512"/>
        <w:gridCol w:w="1844"/>
      </w:tblGrid>
      <w:tr w:rsidR="00392F58" w:rsidRPr="00392F58" w14:paraId="1BC33D1A" w14:textId="77777777" w:rsidTr="00392F58">
        <w:tc>
          <w:tcPr>
            <w:tcW w:w="0" w:type="auto"/>
            <w:hideMark/>
          </w:tcPr>
          <w:p w14:paraId="31938A0F" w14:textId="77777777" w:rsidR="00392F58" w:rsidRPr="00392F58" w:rsidRDefault="00392F58" w:rsidP="00741696">
            <w:pPr>
              <w:jc w:val="both"/>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lastRenderedPageBreak/>
              <w:t>Framework</w:t>
            </w:r>
          </w:p>
        </w:tc>
        <w:tc>
          <w:tcPr>
            <w:tcW w:w="0" w:type="auto"/>
            <w:hideMark/>
          </w:tcPr>
          <w:p w14:paraId="042438AB" w14:textId="77777777" w:rsidR="00392F58" w:rsidRPr="00392F58" w:rsidRDefault="00392F58" w:rsidP="00741696">
            <w:pPr>
              <w:jc w:val="both"/>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Central proposition</w:t>
            </w:r>
          </w:p>
        </w:tc>
        <w:tc>
          <w:tcPr>
            <w:tcW w:w="0" w:type="auto"/>
            <w:hideMark/>
          </w:tcPr>
          <w:p w14:paraId="7C9EBC14" w14:textId="77777777" w:rsidR="00392F58" w:rsidRPr="00392F58" w:rsidRDefault="00392F58" w:rsidP="00741696">
            <w:pPr>
              <w:jc w:val="both"/>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Implication for tea processing firms</w:t>
            </w:r>
          </w:p>
        </w:tc>
        <w:tc>
          <w:tcPr>
            <w:tcW w:w="0" w:type="auto"/>
            <w:hideMark/>
          </w:tcPr>
          <w:p w14:paraId="70A241CD" w14:textId="77777777" w:rsidR="00392F58" w:rsidRPr="00392F58" w:rsidRDefault="00392F58" w:rsidP="00741696">
            <w:pPr>
              <w:jc w:val="both"/>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Source</w:t>
            </w:r>
          </w:p>
        </w:tc>
      </w:tr>
      <w:tr w:rsidR="00392F58" w:rsidRPr="00392F58" w14:paraId="704E7038" w14:textId="77777777" w:rsidTr="00392F58">
        <w:tc>
          <w:tcPr>
            <w:tcW w:w="0" w:type="auto"/>
            <w:hideMark/>
          </w:tcPr>
          <w:p w14:paraId="2C0BCA04"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Natural resource-based view</w:t>
            </w:r>
          </w:p>
        </w:tc>
        <w:tc>
          <w:tcPr>
            <w:tcW w:w="0" w:type="auto"/>
            <w:hideMark/>
          </w:tcPr>
          <w:p w14:paraId="5B51BE70"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Pollution prevention, product stewardship and sustainable development generate distinct forms of competitive advantage</w:t>
            </w:r>
          </w:p>
        </w:tc>
        <w:tc>
          <w:tcPr>
            <w:tcW w:w="0" w:type="auto"/>
            <w:hideMark/>
          </w:tcPr>
          <w:p w14:paraId="6A03B75C"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Waste and effluent reduction in processing can lower cost and strengthen buyer relationships</w:t>
            </w:r>
          </w:p>
        </w:tc>
        <w:tc>
          <w:tcPr>
            <w:tcW w:w="0" w:type="auto"/>
            <w:hideMark/>
          </w:tcPr>
          <w:p w14:paraId="2B9E3B1C"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Hart (1995)</w:t>
            </w:r>
          </w:p>
        </w:tc>
      </w:tr>
      <w:tr w:rsidR="00392F58" w:rsidRPr="00392F58" w14:paraId="247708A9" w14:textId="77777777" w:rsidTr="00392F58">
        <w:tc>
          <w:tcPr>
            <w:tcW w:w="0" w:type="auto"/>
            <w:hideMark/>
          </w:tcPr>
          <w:p w14:paraId="0C340663"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Institutional theory</w:t>
            </w:r>
          </w:p>
        </w:tc>
        <w:tc>
          <w:tcPr>
            <w:tcW w:w="0" w:type="auto"/>
            <w:hideMark/>
          </w:tcPr>
          <w:p w14:paraId="42E5C920"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Coercive, mimetic and normative pressures drive convergence on shared environmental practices</w:t>
            </w:r>
          </w:p>
        </w:tc>
        <w:tc>
          <w:tcPr>
            <w:tcW w:w="0" w:type="auto"/>
            <w:hideMark/>
          </w:tcPr>
          <w:p w14:paraId="04619D35"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Certification schemes and regulation explain widespread but sometimes superficial adoption of green practice</w:t>
            </w:r>
          </w:p>
        </w:tc>
        <w:tc>
          <w:tcPr>
            <w:tcW w:w="0" w:type="auto"/>
            <w:hideMark/>
          </w:tcPr>
          <w:p w14:paraId="2FD89FCB"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DiMaggio and Powell (1983)</w:t>
            </w:r>
          </w:p>
        </w:tc>
      </w:tr>
      <w:tr w:rsidR="00392F58" w:rsidRPr="00392F58" w14:paraId="3E3752C7" w14:textId="77777777" w:rsidTr="00392F58">
        <w:tc>
          <w:tcPr>
            <w:tcW w:w="0" w:type="auto"/>
            <w:hideMark/>
          </w:tcPr>
          <w:p w14:paraId="0594140A"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Resource-based view</w:t>
            </w:r>
          </w:p>
        </w:tc>
        <w:tc>
          <w:tcPr>
            <w:tcW w:w="0" w:type="auto"/>
            <w:hideMark/>
          </w:tcPr>
          <w:p w14:paraId="1CD1728A"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Advantage depends on resources that are valuable, rare, inimitable and non-substitutable</w:t>
            </w:r>
          </w:p>
        </w:tc>
        <w:tc>
          <w:tcPr>
            <w:tcW w:w="0" w:type="auto"/>
            <w:hideMark/>
          </w:tcPr>
          <w:p w14:paraId="2A23E6BC"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Embedded capabilities such as green human resource systems are harder to imitate than visible product features</w:t>
            </w:r>
          </w:p>
        </w:tc>
        <w:tc>
          <w:tcPr>
            <w:tcW w:w="0" w:type="auto"/>
            <w:hideMark/>
          </w:tcPr>
          <w:p w14:paraId="3E578287"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Barney (1991)</w:t>
            </w:r>
          </w:p>
        </w:tc>
      </w:tr>
      <w:tr w:rsidR="00392F58" w:rsidRPr="00392F58" w14:paraId="3725F542" w14:textId="77777777" w:rsidTr="00392F58">
        <w:tc>
          <w:tcPr>
            <w:tcW w:w="0" w:type="auto"/>
            <w:hideMark/>
          </w:tcPr>
          <w:p w14:paraId="6B6F7F0C"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Contingent/dynamic capability perspective</w:t>
            </w:r>
          </w:p>
        </w:tc>
        <w:tc>
          <w:tcPr>
            <w:tcW w:w="0" w:type="auto"/>
            <w:hideMark/>
          </w:tcPr>
          <w:p w14:paraId="2F69D8A3"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The performance value of environmental strategy depends on industry uncertainty, complexity and munificence</w:t>
            </w:r>
          </w:p>
        </w:tc>
        <w:tc>
          <w:tcPr>
            <w:tcW w:w="0" w:type="auto"/>
            <w:hideMark/>
          </w:tcPr>
          <w:p w14:paraId="0AA8A0A3"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Smallholder-dominated, resource-constrained settings may generate different returns to green innovation than large industrial contexts</w:t>
            </w:r>
          </w:p>
        </w:tc>
        <w:tc>
          <w:tcPr>
            <w:tcW w:w="0" w:type="auto"/>
            <w:hideMark/>
          </w:tcPr>
          <w:p w14:paraId="02274245"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Aragón-Correa and Sharma (2003); Sharma and Vredenburg (1998)</w:t>
            </w:r>
          </w:p>
        </w:tc>
      </w:tr>
    </w:tbl>
    <w:p w14:paraId="463EB48D" w14:textId="77777777" w:rsidR="00392F58" w:rsidRPr="00392F58" w:rsidRDefault="00392F58" w:rsidP="0074169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 xml:space="preserve">4. Conceptualising Green Innovation Strategies in </w:t>
      </w:r>
      <w:proofErr w:type="spellStart"/>
      <w:r w:rsidRPr="00392F58">
        <w:rPr>
          <w:rFonts w:ascii="Times New Roman" w:eastAsia="Times New Roman" w:hAnsi="Times New Roman" w:cs="Times New Roman"/>
          <w:b/>
          <w:bCs/>
          <w:sz w:val="27"/>
          <w:szCs w:val="27"/>
          <w:lang w:eastAsia="en-GB"/>
        </w:rPr>
        <w:t>Agro</w:t>
      </w:r>
      <w:proofErr w:type="spellEnd"/>
      <w:r w:rsidRPr="00392F58">
        <w:rPr>
          <w:rFonts w:ascii="Times New Roman" w:eastAsia="Times New Roman" w:hAnsi="Times New Roman" w:cs="Times New Roman"/>
          <w:b/>
          <w:bCs/>
          <w:sz w:val="27"/>
          <w:szCs w:val="27"/>
          <w:lang w:eastAsia="en-GB"/>
        </w:rPr>
        <w:t>-Processing Firms</w:t>
      </w:r>
    </w:p>
    <w:p w14:paraId="6EA17251"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4.1 Green product innovation</w:t>
      </w:r>
    </w:p>
    <w:p w14:paraId="42AB793F"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Green product innovation concerns changes to the environmental attributes of goods and services, such as reduced material intensity, biodegradability or lower embedded carbon. In the tea context, </w:t>
      </w:r>
      <w:r>
        <w:rPr>
          <w:rFonts w:ascii="Times New Roman" w:eastAsia="Times New Roman" w:hAnsi="Times New Roman" w:cs="Times New Roman"/>
          <w:sz w:val="24"/>
          <w:szCs w:val="24"/>
          <w:highlight w:val="yellow"/>
          <w:lang w:eastAsia="en-GB"/>
        </w:rPr>
        <w:t>this dimension manifests in ecological design practices</w:t>
      </w:r>
      <w:r>
        <w:rPr>
          <w:rFonts w:ascii="Times New Roman" w:eastAsia="Times New Roman" w:hAnsi="Times New Roman" w:cs="Times New Roman"/>
          <w:sz w:val="24"/>
          <w:szCs w:val="24"/>
          <w:lang w:eastAsia="en-GB"/>
        </w:rPr>
        <w:t>, including reformulated packaging, reduced use of synthetic inputs and product lines marketed on the basis of certified sustainable origin. Kenyan evidence indicates that multinational tea firms adopting ecological design practices report improved sustainable performance outcomes, suggesting that product-level environmental attributes carry commercial as well as ecological value in export markets (Chepkoech et al., 2023). At a conceptual level, the foundational work establishing green core competence as a driver of green innovation and green image demonstrated that firms investing in environmentally oriented product capability could differentiate themselves in ways that customers recognised and rewarded, with the advantage most pronounced among larger firms possessing the resources to develop such competence (Chen, 2008).</w:t>
      </w:r>
    </w:p>
    <w:p w14:paraId="47574E69"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4.2 Green process innovation</w:t>
      </w:r>
    </w:p>
    <w:p w14:paraId="7B67FAE4"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Green process innovation concerns changes to production and delivery processes that reduce environmental impact, including energy efficiency, water conservation and emissions reduction during withering, rolling, fermentation and drying. Because tea processing is </w:t>
      </w:r>
      <w:r w:rsidRPr="00392F58">
        <w:rPr>
          <w:rFonts w:ascii="Times New Roman" w:eastAsia="Times New Roman" w:hAnsi="Times New Roman" w:cs="Times New Roman"/>
          <w:sz w:val="24"/>
          <w:szCs w:val="24"/>
          <w:lang w:eastAsia="en-GB"/>
        </w:rPr>
        <w:lastRenderedPageBreak/>
        <w:t>thermally intensive, process-level innovation carries particular weight in this sector; research on the Kenyan tea industry documents that climate variability affects both crop quality and processing continuity, and identifies adaptation strategies, including multi-stakeholder collaboration on climate risk management, as central to sustaining the sector's operations (Muoki et al., 2020). Comparative international evidence suggests that green process innovation tends to generate its financial returns primarily through internal operational efficiency, including reduced input costs and waste, distinguishing it from green product innovation, which tends to generate returns through external market differentiation (Zhao et al., 2026).</w:t>
      </w:r>
    </w:p>
    <w:p w14:paraId="5F10FA7B"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4.3 Green supply chain management</w:t>
      </w:r>
    </w:p>
    <w:p w14:paraId="2966320D"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Green supply chain management extends environmental consideration across procurement, production, distribution and reverse logistics, integrating suppliers, processors and downstream partners into a coordinated environmental strategy. The construct is among the most extensively studied green organisational practices in the Kenyan manufacturing literature, with evidence from tea processing firms in Kericho County showing that green supply chain management practices are positively associated with environmental performance (Muma et al., 2014). Comparable evidence from other developing-economy manufacturing contexts finds that green supply chain management practices, such as green purchasing, green manufacturing and eco-design, are associated with improved organisational performance, although the strength of individual practices varies (</w:t>
      </w:r>
      <w:r>
        <w:rPr>
          <w:rFonts w:ascii="Times New Roman" w:eastAsia="Times New Roman" w:hAnsi="Times New Roman" w:cs="Times New Roman"/>
          <w:b/>
          <w:bCs/>
          <w:sz w:val="24"/>
          <w:szCs w:val="24"/>
          <w:highlight w:val="yellow"/>
          <w:lang w:eastAsia="en-GB"/>
        </w:rPr>
        <w:t>Ahmed et al., 2018</w:t>
      </w:r>
      <w:r w:rsidRPr="00392F58">
        <w:rPr>
          <w:rFonts w:ascii="Times New Roman" w:eastAsia="Times New Roman" w:hAnsi="Times New Roman" w:cs="Times New Roman"/>
          <w:sz w:val="24"/>
          <w:szCs w:val="24"/>
          <w:lang w:eastAsia="en-GB"/>
        </w:rPr>
        <w:t>). Collaborative dimensions of supply chain management, including leadership and followership behaviour among supply chain partners, have also been shown to stimulate green innovation and, through it, improved firm performance, indicating that the benefits of green supply chain management are partly mediated through innovation rather than accruing directly (Fontoura &amp; Coelho, 2022).</w:t>
      </w:r>
    </w:p>
    <w:p w14:paraId="509AEFBE"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4.4 Green human resource management</w:t>
      </w:r>
    </w:p>
    <w:p w14:paraId="62EC2FC0"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Green human resource management embeds environmental objectives into recruitment, training, performance appraisal and reward systems, aligning employee behaviour with organisational environmental strategy. The foundational review of this literature characterised green human resource management as the integration of environmental management and human resource management research traditions, organised around the ability–motivation–opportunity framework, in which firms build employee environmental ability, motivate pro-environmental effort and provide opportunities for environmental engagement (Renwick et al., 2013). Subsequent empirical work in developing-economy manufacturing settings found that green human resource management improves environmental performance both directly and indirectly, through green innovation and employee pro-environmental behaviour, with environmental strategy moderating the strength of this relationship (Aftab et al., 2023). A large-scale meta-analysis of employee green behaviour further confirmed that pro-environmental attitudes, workplace norms and green psychological climate are consistently associated with employee-level environmental engagement, reinforcing the proposition that human resource systems constitute a distinct and consequential channel through which organisational environmental strategy is realised (Katz et al., 2022), a conclusion reaffirmed in a subsequent review situating employee green behaviour as a core mechanism of environmentally sustainable organisations (Zacher et al., 2023).</w:t>
      </w:r>
    </w:p>
    <w:p w14:paraId="19F0CFE3"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lastRenderedPageBreak/>
        <w:t xml:space="preserve">Table 3 summarises this fourfold typology of green innovation strategy relevant to </w:t>
      </w:r>
      <w:proofErr w:type="spellStart"/>
      <w:r w:rsidRPr="00392F58">
        <w:rPr>
          <w:rFonts w:ascii="Times New Roman" w:eastAsia="Times New Roman" w:hAnsi="Times New Roman" w:cs="Times New Roman"/>
          <w:sz w:val="24"/>
          <w:szCs w:val="24"/>
          <w:lang w:eastAsia="en-GB"/>
        </w:rPr>
        <w:t>agro</w:t>
      </w:r>
      <w:proofErr w:type="spellEnd"/>
      <w:r w:rsidRPr="00392F58">
        <w:rPr>
          <w:rFonts w:ascii="Times New Roman" w:eastAsia="Times New Roman" w:hAnsi="Times New Roman" w:cs="Times New Roman"/>
          <w:sz w:val="24"/>
          <w:szCs w:val="24"/>
          <w:lang w:eastAsia="en-GB"/>
        </w:rPr>
        <w:t>-processing firms.</w:t>
      </w:r>
    </w:p>
    <w:p w14:paraId="466409F6"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b/>
          <w:bCs/>
          <w:sz w:val="24"/>
          <w:szCs w:val="24"/>
          <w:lang w:eastAsia="en-GB"/>
        </w:rPr>
        <w:t>Table 3. Typology of green innovation strategies relevant to tea processing firms</w:t>
      </w:r>
    </w:p>
    <w:tbl>
      <w:tblPr>
        <w:tblStyle w:val="TableGrid"/>
        <w:tblW w:w="0" w:type="auto"/>
        <w:tblLook w:val="04A0" w:firstRow="1" w:lastRow="0" w:firstColumn="1" w:lastColumn="0" w:noHBand="0" w:noVBand="1"/>
      </w:tblPr>
      <w:tblGrid>
        <w:gridCol w:w="1982"/>
        <w:gridCol w:w="2622"/>
        <w:gridCol w:w="2657"/>
        <w:gridCol w:w="1981"/>
      </w:tblGrid>
      <w:tr w:rsidR="00392F58" w:rsidRPr="00392F58" w14:paraId="5E93A562" w14:textId="77777777" w:rsidTr="00392F58">
        <w:tc>
          <w:tcPr>
            <w:tcW w:w="0" w:type="auto"/>
            <w:hideMark/>
          </w:tcPr>
          <w:p w14:paraId="06DEFBAF" w14:textId="77777777" w:rsidR="00392F58" w:rsidRPr="00392F58" w:rsidRDefault="00392F58" w:rsidP="00741696">
            <w:pPr>
              <w:jc w:val="both"/>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Strategy dimension</w:t>
            </w:r>
          </w:p>
        </w:tc>
        <w:tc>
          <w:tcPr>
            <w:tcW w:w="0" w:type="auto"/>
            <w:hideMark/>
          </w:tcPr>
          <w:p w14:paraId="336A2FD5" w14:textId="77777777" w:rsidR="00392F58" w:rsidRPr="00392F58" w:rsidRDefault="00392F58" w:rsidP="00741696">
            <w:pPr>
              <w:jc w:val="both"/>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Core focus</w:t>
            </w:r>
          </w:p>
        </w:tc>
        <w:tc>
          <w:tcPr>
            <w:tcW w:w="0" w:type="auto"/>
            <w:hideMark/>
          </w:tcPr>
          <w:p w14:paraId="0BB9CE42" w14:textId="77777777" w:rsidR="00392F58" w:rsidRPr="00392F58" w:rsidRDefault="00392F58" w:rsidP="00741696">
            <w:pPr>
              <w:jc w:val="both"/>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Illustrative practice in tea processing</w:t>
            </w:r>
          </w:p>
        </w:tc>
        <w:tc>
          <w:tcPr>
            <w:tcW w:w="0" w:type="auto"/>
            <w:hideMark/>
          </w:tcPr>
          <w:p w14:paraId="722A5F37" w14:textId="77777777" w:rsidR="00392F58" w:rsidRPr="00392F58" w:rsidRDefault="00392F58" w:rsidP="00741696">
            <w:pPr>
              <w:jc w:val="both"/>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Source</w:t>
            </w:r>
          </w:p>
        </w:tc>
      </w:tr>
      <w:tr w:rsidR="00392F58" w:rsidRPr="00392F58" w14:paraId="3EC35B3A" w14:textId="77777777" w:rsidTr="00392F58">
        <w:tc>
          <w:tcPr>
            <w:tcW w:w="0" w:type="auto"/>
            <w:hideMark/>
          </w:tcPr>
          <w:p w14:paraId="613C89B9"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Green product innovation</w:t>
            </w:r>
          </w:p>
        </w:tc>
        <w:tc>
          <w:tcPr>
            <w:tcW w:w="0" w:type="auto"/>
            <w:hideMark/>
          </w:tcPr>
          <w:p w14:paraId="6A7C7856"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Environmental attributes of goods and services</w:t>
            </w:r>
          </w:p>
        </w:tc>
        <w:tc>
          <w:tcPr>
            <w:tcW w:w="0" w:type="auto"/>
            <w:hideMark/>
          </w:tcPr>
          <w:p w14:paraId="44217E4B"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Ecological packaging, certified sustainable product lines</w:t>
            </w:r>
          </w:p>
        </w:tc>
        <w:tc>
          <w:tcPr>
            <w:tcW w:w="0" w:type="auto"/>
            <w:hideMark/>
          </w:tcPr>
          <w:p w14:paraId="53F6D12C"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Chen (2008); Chepkoech et al. (2023)</w:t>
            </w:r>
          </w:p>
        </w:tc>
      </w:tr>
      <w:tr w:rsidR="00392F58" w:rsidRPr="00392F58" w14:paraId="651B26D5" w14:textId="77777777" w:rsidTr="00392F58">
        <w:tc>
          <w:tcPr>
            <w:tcW w:w="0" w:type="auto"/>
            <w:hideMark/>
          </w:tcPr>
          <w:p w14:paraId="678F9C88"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Green process innovation</w:t>
            </w:r>
          </w:p>
        </w:tc>
        <w:tc>
          <w:tcPr>
            <w:tcW w:w="0" w:type="auto"/>
            <w:hideMark/>
          </w:tcPr>
          <w:p w14:paraId="0B74ECCB"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Environmental footprint of production processes</w:t>
            </w:r>
          </w:p>
        </w:tc>
        <w:tc>
          <w:tcPr>
            <w:tcW w:w="0" w:type="auto"/>
            <w:hideMark/>
          </w:tcPr>
          <w:p w14:paraId="1FACE3FE"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Adaptation to climate variability, energy and process efficiency</w:t>
            </w:r>
          </w:p>
        </w:tc>
        <w:tc>
          <w:tcPr>
            <w:tcW w:w="0" w:type="auto"/>
            <w:hideMark/>
          </w:tcPr>
          <w:p w14:paraId="46B33C3F"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Muoki et al. (2020)</w:t>
            </w:r>
          </w:p>
        </w:tc>
      </w:tr>
      <w:tr w:rsidR="00392F58" w:rsidRPr="00392F58" w14:paraId="5671A7F4" w14:textId="77777777" w:rsidTr="00392F58">
        <w:tc>
          <w:tcPr>
            <w:tcW w:w="0" w:type="auto"/>
            <w:hideMark/>
          </w:tcPr>
          <w:p w14:paraId="5DADB370"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Green supply chain management</w:t>
            </w:r>
          </w:p>
        </w:tc>
        <w:tc>
          <w:tcPr>
            <w:tcW w:w="0" w:type="auto"/>
            <w:hideMark/>
          </w:tcPr>
          <w:p w14:paraId="6BC9A567"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Environmental coordination across the value chain</w:t>
            </w:r>
          </w:p>
        </w:tc>
        <w:tc>
          <w:tcPr>
            <w:tcW w:w="0" w:type="auto"/>
            <w:hideMark/>
          </w:tcPr>
          <w:p w14:paraId="31DB58D4"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Green procurement, reverse logistics, supplier collaboration</w:t>
            </w:r>
          </w:p>
        </w:tc>
        <w:tc>
          <w:tcPr>
            <w:tcW w:w="0" w:type="auto"/>
            <w:hideMark/>
          </w:tcPr>
          <w:p w14:paraId="46EB92F5" w14:textId="77777777" w:rsidR="00392F58" w:rsidRPr="00392F58" w:rsidRDefault="00392F58" w:rsidP="00741696">
            <w:pPr>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highlight w:val="yellow"/>
                <w:lang w:eastAsia="en-GB"/>
              </w:rPr>
              <w:t>Ahmed et al. (2018); Muma et al. (2014)</w:t>
            </w:r>
          </w:p>
        </w:tc>
      </w:tr>
      <w:tr w:rsidR="00392F58" w:rsidRPr="00392F58" w14:paraId="66F6AB99" w14:textId="77777777" w:rsidTr="00392F58">
        <w:tc>
          <w:tcPr>
            <w:tcW w:w="0" w:type="auto"/>
            <w:hideMark/>
          </w:tcPr>
          <w:p w14:paraId="61452B82"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Green human resource management</w:t>
            </w:r>
          </w:p>
        </w:tc>
        <w:tc>
          <w:tcPr>
            <w:tcW w:w="0" w:type="auto"/>
            <w:hideMark/>
          </w:tcPr>
          <w:p w14:paraId="35A2FB56"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Employee-level environmental capability and motivation</w:t>
            </w:r>
          </w:p>
        </w:tc>
        <w:tc>
          <w:tcPr>
            <w:tcW w:w="0" w:type="auto"/>
            <w:hideMark/>
          </w:tcPr>
          <w:p w14:paraId="4890D54E"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Green training, appraisal and reward systems</w:t>
            </w:r>
          </w:p>
        </w:tc>
        <w:tc>
          <w:tcPr>
            <w:tcW w:w="0" w:type="auto"/>
            <w:hideMark/>
          </w:tcPr>
          <w:p w14:paraId="7753DA9D"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Renwick et al. (2013)</w:t>
            </w:r>
          </w:p>
        </w:tc>
      </w:tr>
    </w:tbl>
    <w:p w14:paraId="20220272" w14:textId="77777777" w:rsidR="00392F58" w:rsidRPr="00392F58" w:rsidRDefault="00392F58" w:rsidP="0074169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5. The Kenyan Tea Processing Sector: Structure and Sustainability Pressures</w:t>
      </w:r>
    </w:p>
    <w:p w14:paraId="53C49E8A"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5.1 Sectoral structure and economic significance</w:t>
      </w:r>
    </w:p>
    <w:p w14:paraId="3902E6C8"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Kenya remains one of the world's leading exporters of black tea, with production organised around a dual structure of smallholder-affiliated factories, many operating under cooperative arrangements historically linked to the Kenya Tea Development Agency, and larger multinational estates that combine cultivation with processing. </w:t>
      </w:r>
      <w:r>
        <w:rPr>
          <w:rFonts w:ascii="Times New Roman" w:eastAsia="Times New Roman" w:hAnsi="Times New Roman" w:cs="Times New Roman"/>
          <w:sz w:val="24"/>
          <w:szCs w:val="24"/>
          <w:highlight w:val="yellow"/>
          <w:lang w:eastAsia="en-GB"/>
        </w:rPr>
        <w:t>A recent global market assessment confirms</w:t>
      </w:r>
      <w:r>
        <w:rPr>
          <w:rFonts w:ascii="Times New Roman" w:eastAsia="Times New Roman" w:hAnsi="Times New Roman" w:cs="Times New Roman"/>
          <w:sz w:val="24"/>
          <w:szCs w:val="24"/>
          <w:lang w:eastAsia="en-GB"/>
        </w:rPr>
        <w:t xml:space="preserve"> that Kenya continues to expand its share of world black tea exports even as the broader market shifts toward diversification and value addition, </w:t>
      </w:r>
      <w:r>
        <w:rPr>
          <w:rFonts w:ascii="Times New Roman" w:eastAsia="Times New Roman" w:hAnsi="Times New Roman" w:cs="Times New Roman"/>
          <w:sz w:val="24"/>
          <w:szCs w:val="24"/>
          <w:highlight w:val="yellow"/>
          <w:lang w:eastAsia="en-GB"/>
        </w:rPr>
        <w:t>with international buyers placing increasing weight on product quality and traceability and showing growing interest in specialty and premium products</w:t>
      </w:r>
      <w:r>
        <w:rPr>
          <w:rFonts w:ascii="Times New Roman" w:eastAsia="Times New Roman" w:hAnsi="Times New Roman" w:cs="Times New Roman"/>
          <w:sz w:val="24"/>
          <w:szCs w:val="24"/>
          <w:lang w:eastAsia="en-GB"/>
        </w:rPr>
        <w:t xml:space="preserve"> (FAO, 2024). This structure creates a heterogeneous population of processing firms with widely varying access to capital, technical expertise and market power, a heterogeneity with direct implications for the capacity of individual firms to invest in green innovation.</w:t>
      </w:r>
    </w:p>
    <w:p w14:paraId="3F5C478B"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5.2 Environmental pressures on tea processing</w:t>
      </w:r>
    </w:p>
    <w:p w14:paraId="523184E0"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Tea processing is energy-intensive relative to many other agro-industrial activities, owing to the thermal demands of withering and drying, and Kenyan factories have historically relied heavily on fuelwood, a dependence associated with localised pressure on surrounding forest resources. Climate change compounds these pressures from the production side, since tea cultivation is highly sensitive to temperature and rainfall variability, with documented impacts on both yield and leaf quality across Kenya's principal tea-growing regions and a corresponding need for coordinated adaptation strategies among growers, processors and research institutions (Muoki et al., 2020). Processing operations also generate solid waste in the form of fibre, dust and spent leaf, alongside process effluent requiring treatment before discharge, both of which represent underexploited opportunities for circular-economy value recovery, discussed further in Section 9.</w:t>
      </w:r>
    </w:p>
    <w:p w14:paraId="50C355FF"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lastRenderedPageBreak/>
        <w:t>5.3 Policy, regulatory and certification context</w:t>
      </w:r>
    </w:p>
    <w:p w14:paraId="70C7028F"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Kenyan tea processing firms operate within a layered regulatory and voluntary governance environment. Domestic environmental regulation imposes standards on effluent discharge, air emissions and waste management, while international buyers increasingly condition purchasing relationships on certification against schemes addressing environmental, labour and governance standards. At the level of the global market, sector-wide guidance emphasises diversification, value addition and adaptation to climate risk, including drought-tolerant cultivars and water-conservation measures, as central to the tea sector's long-run environmental, social and economic sustainability (FAO, 2024). This layered governance context aligns closely with the institutional theory account of coercive, mimetic and normative isomorphism outlined in Section 3.2, and it provides the immediate backdrop against which the empirical evidence reviewed in the following section should be interpreted.</w:t>
      </w:r>
    </w:p>
    <w:p w14:paraId="1DBA0982" w14:textId="77777777" w:rsidR="00392F58" w:rsidRPr="00392F58" w:rsidRDefault="00392F58" w:rsidP="0074169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 xml:space="preserve">6. Empirical Evidence on Green Innovation and Performance Among Kenyan Tea and </w:t>
      </w:r>
      <w:proofErr w:type="spellStart"/>
      <w:r w:rsidRPr="00392F58">
        <w:rPr>
          <w:rFonts w:ascii="Times New Roman" w:eastAsia="Times New Roman" w:hAnsi="Times New Roman" w:cs="Times New Roman"/>
          <w:b/>
          <w:bCs/>
          <w:sz w:val="27"/>
          <w:szCs w:val="27"/>
          <w:lang w:eastAsia="en-GB"/>
        </w:rPr>
        <w:t>Agro</w:t>
      </w:r>
      <w:proofErr w:type="spellEnd"/>
      <w:r w:rsidRPr="00392F58">
        <w:rPr>
          <w:rFonts w:ascii="Times New Roman" w:eastAsia="Times New Roman" w:hAnsi="Times New Roman" w:cs="Times New Roman"/>
          <w:b/>
          <w:bCs/>
          <w:sz w:val="27"/>
          <w:szCs w:val="27"/>
          <w:lang w:eastAsia="en-GB"/>
        </w:rPr>
        <w:t>-Processing Firms</w:t>
      </w:r>
    </w:p>
    <w:p w14:paraId="050B86E3"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6.1 Green supply chain management and environmental performance</w:t>
      </w:r>
    </w:p>
    <w:p w14:paraId="264270F5"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The earliest and most direct empirical evidence on green practice and performance among Kenyan tea processing firms concerns green supply chain management. A correlational study of tea processing firms in Kericho County found that green supply chain management practices, including green procurement and green distribution, exerted a statistically significant positive effect on environmental performance, and the authors explicitly called for further research extending beyond environmental outcomes to other dimensions of organisational performance (Muma et al., 2014). This early study established both a substantive finding and a research agenda that subsequent Kenyan literature has only partially fulfilled.</w:t>
      </w:r>
    </w:p>
    <w:p w14:paraId="5DF42D36"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6.2 Ecological design and sustainable performance</w:t>
      </w:r>
    </w:p>
    <w:p w14:paraId="7B775205"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More recent evidence extends the outcome variable beyond environmental performance to encompass broader sustainable performance. A study of multinational tea firms operating in Kenya found that ecological design practice, encompassing environmentally informed product and packaging decisions, was positively associated with sustainable performance outcomes, drawing on and extending the natural resource-based view to argue that design-stage environmental consideration constitutes a strategically valuable capability distinct from downstream process efficiency (Chepkoech et al., 2023). This finding is consistent with the broader theoretical proposition that green product innovation confers external market differentiation benefits distinguishable from the internal efficiency benefits more closely associated with process innovation (Zhao et al., 2026).</w:t>
      </w:r>
    </w:p>
    <w:p w14:paraId="2B928F1E"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6.3 Climate exposure and operational resilience</w:t>
      </w:r>
    </w:p>
    <w:p w14:paraId="30892AC5"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A further strand of Kenyan tea-sector evidence addresses the climatic dimension of green process innovation. Research on the Kenyan tea industry's exposure to climate variability documents both direct agronomic risk to the crop and indirect risk to processing operations through disrupted supply and quality variability, while identifying coordinated adaptation strategies, including multi-stakeholder collaboration on climate risk management, as central to sustaining processing operations (Muoki et al., 2020). Although this literature is framed </w:t>
      </w:r>
      <w:r w:rsidRPr="00392F58">
        <w:rPr>
          <w:rFonts w:ascii="Times New Roman" w:eastAsia="Times New Roman" w:hAnsi="Times New Roman" w:cs="Times New Roman"/>
          <w:sz w:val="24"/>
          <w:szCs w:val="24"/>
          <w:lang w:eastAsia="en-GB"/>
        </w:rPr>
        <w:lastRenderedPageBreak/>
        <w:t>primarily in agronomic and environmental science terms rather than organisational performance terms, it nonetheless documents a direct mechanism through which climate-related green process innovation can be expected to affect operational continuity, itself a proximate driver of firm-level financial performance.</w:t>
      </w:r>
    </w:p>
    <w:p w14:paraId="193A9C3D"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6.4 The narrow evidence base beyond tea-specific studies</w:t>
      </w:r>
    </w:p>
    <w:p w14:paraId="78888D60"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Kenyan evidence on green innovation and organisational performance outside the tea sector remains limited relative to the broader international literature, and few peer-reviewed studies extend the three tea-specific findings summarised above to other Kenyan manufacturing or </w:t>
      </w:r>
      <w:proofErr w:type="spellStart"/>
      <w:r w:rsidRPr="00392F58">
        <w:rPr>
          <w:rFonts w:ascii="Times New Roman" w:eastAsia="Times New Roman" w:hAnsi="Times New Roman" w:cs="Times New Roman"/>
          <w:sz w:val="24"/>
          <w:szCs w:val="24"/>
          <w:lang w:eastAsia="en-GB"/>
        </w:rPr>
        <w:t>agro</w:t>
      </w:r>
      <w:proofErr w:type="spellEnd"/>
      <w:r w:rsidRPr="00392F58">
        <w:rPr>
          <w:rFonts w:ascii="Times New Roman" w:eastAsia="Times New Roman" w:hAnsi="Times New Roman" w:cs="Times New Roman"/>
          <w:sz w:val="24"/>
          <w:szCs w:val="24"/>
          <w:lang w:eastAsia="en-GB"/>
        </w:rPr>
        <w:t xml:space="preserve">-processing sub-sectors with comparable methodological rigour. Where such studies </w:t>
      </w:r>
      <w:r>
        <w:rPr>
          <w:rFonts w:ascii="Times New Roman" w:eastAsia="Times New Roman" w:hAnsi="Times New Roman" w:cs="Times New Roman"/>
          <w:sz w:val="24"/>
          <w:szCs w:val="24"/>
          <w:lang w:eastAsia="en-GB"/>
        </w:rPr>
        <w:t xml:space="preserve">exist, they tend to apply the same resource-based and institutional logics documented for tea processing, reinforcing the theoretical coherence of the wider green innovation literature even where sector-specific empirical density remains low </w:t>
      </w:r>
      <w:r>
        <w:rPr>
          <w:rFonts w:ascii="Times New Roman" w:eastAsia="Times New Roman" w:hAnsi="Times New Roman" w:cs="Times New Roman"/>
          <w:sz w:val="24"/>
          <w:szCs w:val="24"/>
          <w:highlight w:val="yellow"/>
          <w:lang w:eastAsia="en-GB"/>
        </w:rPr>
        <w:t>(DiMaggio &amp; Powell, 1983; Hart, 1995)</w:t>
      </w:r>
      <w:r>
        <w:rPr>
          <w:rFonts w:ascii="Times New Roman" w:eastAsia="Times New Roman" w:hAnsi="Times New Roman" w:cs="Times New Roman"/>
          <w:sz w:val="24"/>
          <w:szCs w:val="24"/>
          <w:lang w:eastAsia="en-GB"/>
        </w:rPr>
        <w:t>. Section 7 draws on the substantially larger international literature to test whether the patterns observed in Kenyan tea processing are consistent with evidence from comparable developing-economy manufacturing and agribusiness contexts.</w:t>
      </w:r>
    </w:p>
    <w:p w14:paraId="29A48513"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Table 4 summarises the principal empirical studies specific to green innovation and performance among Kenyan tea processing firms.</w:t>
      </w:r>
    </w:p>
    <w:p w14:paraId="279204A4"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b/>
          <w:bCs/>
          <w:sz w:val="24"/>
          <w:szCs w:val="24"/>
          <w:lang w:eastAsia="en-GB"/>
        </w:rPr>
        <w:t>Table 4. Summary of empirical studies on green innovation and performance in Kenyan tea processing</w:t>
      </w:r>
    </w:p>
    <w:tbl>
      <w:tblPr>
        <w:tblStyle w:val="TableGrid"/>
        <w:tblW w:w="0" w:type="auto"/>
        <w:tblLook w:val="04A0" w:firstRow="1" w:lastRow="0" w:firstColumn="1" w:lastColumn="0" w:noHBand="0" w:noVBand="1"/>
      </w:tblPr>
      <w:tblGrid>
        <w:gridCol w:w="1805"/>
        <w:gridCol w:w="1872"/>
        <w:gridCol w:w="1843"/>
        <w:gridCol w:w="2233"/>
        <w:gridCol w:w="1489"/>
      </w:tblGrid>
      <w:tr w:rsidR="00392F58" w:rsidRPr="00392F58" w14:paraId="4ACEC7A7" w14:textId="77777777" w:rsidTr="00392F58">
        <w:tc>
          <w:tcPr>
            <w:tcW w:w="0" w:type="auto"/>
            <w:hideMark/>
          </w:tcPr>
          <w:p w14:paraId="27C8E025" w14:textId="77777777" w:rsidR="00392F58" w:rsidRPr="00392F58" w:rsidRDefault="00392F58" w:rsidP="00741696">
            <w:pPr>
              <w:jc w:val="both"/>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Study focus</w:t>
            </w:r>
          </w:p>
        </w:tc>
        <w:tc>
          <w:tcPr>
            <w:tcW w:w="0" w:type="auto"/>
            <w:hideMark/>
          </w:tcPr>
          <w:p w14:paraId="604BB9BD" w14:textId="77777777" w:rsidR="00392F58" w:rsidRPr="00392F58" w:rsidRDefault="00392F58" w:rsidP="00741696">
            <w:pPr>
              <w:jc w:val="both"/>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Green innovation dimension examined</w:t>
            </w:r>
          </w:p>
        </w:tc>
        <w:tc>
          <w:tcPr>
            <w:tcW w:w="0" w:type="auto"/>
            <w:hideMark/>
          </w:tcPr>
          <w:p w14:paraId="542180BE" w14:textId="77777777" w:rsidR="00392F58" w:rsidRPr="00392F58" w:rsidRDefault="00392F58" w:rsidP="00741696">
            <w:pPr>
              <w:jc w:val="both"/>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Performance outcome</w:t>
            </w:r>
          </w:p>
        </w:tc>
        <w:tc>
          <w:tcPr>
            <w:tcW w:w="0" w:type="auto"/>
            <w:hideMark/>
          </w:tcPr>
          <w:p w14:paraId="2454E73F" w14:textId="77777777" w:rsidR="00392F58" w:rsidRPr="00392F58" w:rsidRDefault="00392F58" w:rsidP="00741696">
            <w:pPr>
              <w:jc w:val="both"/>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Principal finding</w:t>
            </w:r>
          </w:p>
        </w:tc>
        <w:tc>
          <w:tcPr>
            <w:tcW w:w="0" w:type="auto"/>
            <w:hideMark/>
          </w:tcPr>
          <w:p w14:paraId="683816C7" w14:textId="77777777" w:rsidR="00392F58" w:rsidRPr="00392F58" w:rsidRDefault="00392F58" w:rsidP="00741696">
            <w:pPr>
              <w:jc w:val="both"/>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Source</w:t>
            </w:r>
          </w:p>
        </w:tc>
      </w:tr>
      <w:tr w:rsidR="00392F58" w:rsidRPr="00392F58" w14:paraId="3F69BC84" w14:textId="77777777" w:rsidTr="00392F58">
        <w:tc>
          <w:tcPr>
            <w:tcW w:w="0" w:type="auto"/>
            <w:hideMark/>
          </w:tcPr>
          <w:p w14:paraId="79CE3911"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Tea processing, Kericho County</w:t>
            </w:r>
          </w:p>
        </w:tc>
        <w:tc>
          <w:tcPr>
            <w:tcW w:w="0" w:type="auto"/>
            <w:hideMark/>
          </w:tcPr>
          <w:p w14:paraId="7770347D"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Green supply chain management</w:t>
            </w:r>
          </w:p>
        </w:tc>
        <w:tc>
          <w:tcPr>
            <w:tcW w:w="0" w:type="auto"/>
            <w:hideMark/>
          </w:tcPr>
          <w:p w14:paraId="269A8E3B"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Environmental performance</w:t>
            </w:r>
          </w:p>
        </w:tc>
        <w:tc>
          <w:tcPr>
            <w:tcW w:w="0" w:type="auto"/>
            <w:hideMark/>
          </w:tcPr>
          <w:p w14:paraId="124F39CA"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Positive and significant effect</w:t>
            </w:r>
          </w:p>
        </w:tc>
        <w:tc>
          <w:tcPr>
            <w:tcW w:w="0" w:type="auto"/>
            <w:hideMark/>
          </w:tcPr>
          <w:p w14:paraId="0468B162"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Muma et al. (2014)</w:t>
            </w:r>
          </w:p>
        </w:tc>
      </w:tr>
      <w:tr w:rsidR="00392F58" w:rsidRPr="00392F58" w14:paraId="529AE79E" w14:textId="77777777" w:rsidTr="00392F58">
        <w:tc>
          <w:tcPr>
            <w:tcW w:w="0" w:type="auto"/>
            <w:hideMark/>
          </w:tcPr>
          <w:p w14:paraId="5671EB78"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Multinational tea firms, Kenya</w:t>
            </w:r>
          </w:p>
        </w:tc>
        <w:tc>
          <w:tcPr>
            <w:tcW w:w="0" w:type="auto"/>
            <w:hideMark/>
          </w:tcPr>
          <w:p w14:paraId="6B633A6D"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Ecological design practice</w:t>
            </w:r>
          </w:p>
        </w:tc>
        <w:tc>
          <w:tcPr>
            <w:tcW w:w="0" w:type="auto"/>
            <w:hideMark/>
          </w:tcPr>
          <w:p w14:paraId="58C54DA6"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Sustainable performance</w:t>
            </w:r>
          </w:p>
        </w:tc>
        <w:tc>
          <w:tcPr>
            <w:tcW w:w="0" w:type="auto"/>
            <w:hideMark/>
          </w:tcPr>
          <w:p w14:paraId="2440C26E"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Positive association</w:t>
            </w:r>
          </w:p>
        </w:tc>
        <w:tc>
          <w:tcPr>
            <w:tcW w:w="0" w:type="auto"/>
            <w:hideMark/>
          </w:tcPr>
          <w:p w14:paraId="636FC9BB"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Chepkoech et al. (2023)</w:t>
            </w:r>
          </w:p>
        </w:tc>
      </w:tr>
      <w:tr w:rsidR="00392F58" w:rsidRPr="00392F58" w14:paraId="5B53993B" w14:textId="77777777" w:rsidTr="00392F58">
        <w:tc>
          <w:tcPr>
            <w:tcW w:w="0" w:type="auto"/>
            <w:hideMark/>
          </w:tcPr>
          <w:p w14:paraId="1BB48CB1"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Kenyan tea industry (national)</w:t>
            </w:r>
          </w:p>
        </w:tc>
        <w:tc>
          <w:tcPr>
            <w:tcW w:w="0" w:type="auto"/>
            <w:hideMark/>
          </w:tcPr>
          <w:p w14:paraId="7886122D"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Climate adaptation</w:t>
            </w:r>
          </w:p>
        </w:tc>
        <w:tc>
          <w:tcPr>
            <w:tcW w:w="0" w:type="auto"/>
            <w:hideMark/>
          </w:tcPr>
          <w:p w14:paraId="4A744B2C"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Operational resilience</w:t>
            </w:r>
          </w:p>
        </w:tc>
        <w:tc>
          <w:tcPr>
            <w:tcW w:w="0" w:type="auto"/>
            <w:hideMark/>
          </w:tcPr>
          <w:p w14:paraId="6A74B684"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Coordinated multi-stakeholder adaptation identified as key strategy</w:t>
            </w:r>
          </w:p>
        </w:tc>
        <w:tc>
          <w:tcPr>
            <w:tcW w:w="0" w:type="auto"/>
            <w:hideMark/>
          </w:tcPr>
          <w:p w14:paraId="1A8AD67F"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Muoki et al. (2020)</w:t>
            </w:r>
          </w:p>
        </w:tc>
      </w:tr>
    </w:tbl>
    <w:p w14:paraId="312A5722" w14:textId="77777777" w:rsidR="00392F58" w:rsidRPr="00392F58" w:rsidRDefault="00392F58" w:rsidP="0074169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7. Cross-Sectoral and International Evidence on the Green Innovation–Performance Nexus</w:t>
      </w:r>
    </w:p>
    <w:p w14:paraId="405D8001"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7.1 Systematic and bibliometric evidence</w:t>
      </w:r>
    </w:p>
    <w:p w14:paraId="5E04793C"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Systematic review evidence on green innovation confirms that the relationship with firm performance is among the most frequently studied outcome domains in the literature (Karimi Takalo et al., 2021). Bibliometric analysis of the field similarly confirms the centrality of resource-based theorising, noting that green supply chain management, green product design and organisational capability constitute prominent thematic clusters within the accumulated literature (Khanra et al., 2022). Together, these syntheses indicate a field that has matured </w:t>
      </w:r>
      <w:r w:rsidRPr="00392F58">
        <w:rPr>
          <w:rFonts w:ascii="Times New Roman" w:eastAsia="Times New Roman" w:hAnsi="Times New Roman" w:cs="Times New Roman"/>
          <w:sz w:val="24"/>
          <w:szCs w:val="24"/>
          <w:lang w:eastAsia="en-GB"/>
        </w:rPr>
        <w:lastRenderedPageBreak/>
        <w:t>considerably in theoretical grounding while remaining geographically concentrated in East Asian and Western European empirical settings, underscoring the value of sector- and region-specific evidence such as that reviewed in Section 6.</w:t>
      </w:r>
    </w:p>
    <w:p w14:paraId="6CABC896"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7.2 Meta-analytic evidence on green innovation and firm performance</w:t>
      </w:r>
    </w:p>
    <w:p w14:paraId="153B21E0"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The most recent and methodologically rigorous synthesis available pools effect sizes from forty-eight empirical studies published between 2012 and 2025, applying a random-effects meta-analytic model with adjustment for publication bias (Zhao et al., 2026). This synthesis reports small-to-moderate positive pooled correlations between green innovation and environmental performance, financial performance and innovation performance respectively, with the association considerably stronger where firms adopt integrated green product and process innovation rather than either dimension in isolation, a finding interpreted through the lens of dynamic capability and asset-orchestration theory (Zhao et al., 2026). The same synthesis finds that the green innovation–performance association is stronger in low-pollution industries, where green innovation functions as a differentiation strategy, than in high-pollution industries, where compliance-driven adoption tends to standardise practice and erode the potential for competitive differentiation (Zhao et al., 2026). This distinction carries direct relevance for tea processing, an industry that, while not conventionally classified among the most heavily polluting manufacturing sectors, nonetheless faces meaningful regulatory and buyer-driven compliance pressure that may constrain the differentiation value of green practice adoption relative to voluntary, reputation-driven contexts.</w:t>
      </w:r>
    </w:p>
    <w:p w14:paraId="188F39C3"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7.3 Evidence on green supply chain management and firm performance</w:t>
      </w:r>
    </w:p>
    <w:p w14:paraId="49A7A7D6"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Beyond the general green innovation literature, a substantial body of evidence addresses green supply chain management specifically. A study of manufacturing firms' green supply chain management practices in Pakistan found that four of five practice dimensions — green manufacturing, green information systems, cooperation with customers and eco-design — significantly predicted organisational performance, with eco-design showing the strongest effect, while green purchasing alone showed no significant effect (Khan &amp; Qianli, 2017). This pattern is consistent with the natural resource-based view's proposition that environmentally oriented supply chain capability constitutes a valuable and difficult-to-imitate organisational resource, though it also suggests that the performance returns to green supply chain management are not uniform across practice types (Hart, 1995). Complementary evidence from a developing-country manufacturing context finds that green supply chain management practices, including green purchasing and eco-design, are similarly associated with improved organisational performance (</w:t>
      </w:r>
      <w:r>
        <w:rPr>
          <w:rFonts w:ascii="Times New Roman" w:eastAsia="Times New Roman" w:hAnsi="Times New Roman" w:cs="Times New Roman"/>
          <w:sz w:val="24"/>
          <w:szCs w:val="24"/>
          <w:highlight w:val="yellow"/>
          <w:lang w:eastAsia="en-GB"/>
        </w:rPr>
        <w:t>Ahmed et al., 2018</w:t>
      </w:r>
      <w:r>
        <w:rPr>
          <w:rFonts w:ascii="Times New Roman" w:eastAsia="Times New Roman" w:hAnsi="Times New Roman" w:cs="Times New Roman"/>
          <w:sz w:val="24"/>
          <w:szCs w:val="24"/>
          <w:lang w:eastAsia="en-GB"/>
        </w:rPr>
        <w:t>).</w:t>
      </w:r>
    </w:p>
    <w:p w14:paraId="3FDE86D9"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7.4 Evidence on green human resource management and environmental performance</w:t>
      </w:r>
    </w:p>
    <w:p w14:paraId="56E7FEF5"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Evidence on green human resource management corroborates the theoretical proposition, discussed in Section 4.4, that employee-level environmental engagement constitutes a distinct performance channel. Research among manufacturing firms in a developing-economy setting demonstrates that green human resource management improves environmental performance both directly and indirectly through green innovation and employee pro-environmental behaviour, with environmental strategy moderating this relationship (Aftab et al., 2023). At a broader level, meta-analytic evidence on employee green behaviour confirms consistent positive associations between pro-environmental attitudes, workplace green climate and employee environmental engagement across a very large pooled sample, lending empirical </w:t>
      </w:r>
      <w:r>
        <w:rPr>
          <w:rFonts w:ascii="Times New Roman" w:eastAsia="Times New Roman" w:hAnsi="Times New Roman" w:cs="Times New Roman"/>
          <w:sz w:val="24"/>
          <w:szCs w:val="24"/>
          <w:lang w:eastAsia="en-GB"/>
        </w:rPr>
        <w:lastRenderedPageBreak/>
        <w:t xml:space="preserve">weight to the ability–motivation–opportunity logic first articulated in the foundational review of green human resource management research </w:t>
      </w:r>
      <w:r>
        <w:rPr>
          <w:rFonts w:ascii="Times New Roman" w:eastAsia="Times New Roman" w:hAnsi="Times New Roman" w:cs="Times New Roman"/>
          <w:sz w:val="24"/>
          <w:szCs w:val="24"/>
          <w:highlight w:val="yellow"/>
          <w:lang w:eastAsia="en-GB"/>
        </w:rPr>
        <w:t>(Katz et al., 2022; Renwick et al., 2013)</w:t>
      </w:r>
      <w:r>
        <w:rPr>
          <w:rFonts w:ascii="Times New Roman" w:eastAsia="Times New Roman" w:hAnsi="Times New Roman" w:cs="Times New Roman"/>
          <w:sz w:val="24"/>
          <w:szCs w:val="24"/>
          <w:lang w:eastAsia="en-GB"/>
        </w:rPr>
        <w:t>.</w:t>
      </w:r>
    </w:p>
    <w:p w14:paraId="1D2CEBD3"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7.5 Environmental, social and governance considerations and green innovation</w:t>
      </w:r>
    </w:p>
    <w:p w14:paraId="5F5FC9EE"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A further relevant strand of the international literature examines the relationship between environmental, social and governance disclosure, green innovation and financial performance. Evidence from European firms indicates that green innovation can fully mediate the relationship between environmental, social and governance practice and financial performance, suggesting that voluntary sustainability disclosure alone is insufficient to generate financial returns unless it is accompanied by substantive innovation activity (</w:t>
      </w:r>
      <w:proofErr w:type="spellStart"/>
      <w:r w:rsidRPr="00392F58">
        <w:rPr>
          <w:rFonts w:ascii="Times New Roman" w:eastAsia="Times New Roman" w:hAnsi="Times New Roman" w:cs="Times New Roman"/>
          <w:sz w:val="24"/>
          <w:szCs w:val="24"/>
          <w:lang w:eastAsia="en-GB"/>
        </w:rPr>
        <w:t>Chouaibi</w:t>
      </w:r>
      <w:proofErr w:type="spellEnd"/>
      <w:r w:rsidRPr="00392F58">
        <w:rPr>
          <w:rFonts w:ascii="Times New Roman" w:eastAsia="Times New Roman" w:hAnsi="Times New Roman" w:cs="Times New Roman"/>
          <w:sz w:val="24"/>
          <w:szCs w:val="24"/>
          <w:lang w:eastAsia="en-GB"/>
        </w:rPr>
        <w:t xml:space="preserve"> et al., 2022). This finding carries a cautionary implication for Kenyan tea processing firms pursuing certification primarily as a disclosure or reputational exercise: absent accompanying investment in genuine product, process or organisational innovation, certification-driven environmental, social and governance signalling may generate limited independent performance benefit.</w:t>
      </w:r>
      <w:r>
        <w:rPr>
          <w:rFonts w:ascii="Times New Roman" w:eastAsia="Times New Roman" w:hAnsi="Times New Roman" w:cs="Times New Roman"/>
          <w:sz w:val="24"/>
          <w:szCs w:val="24"/>
          <w:lang w:eastAsia="en-GB"/>
        </w:rPr>
        <w:t xml:space="preserve"> </w:t>
      </w:r>
      <w:r w:rsidRPr="00392F58">
        <w:rPr>
          <w:rFonts w:ascii="Times New Roman" w:eastAsia="Times New Roman" w:hAnsi="Times New Roman" w:cs="Times New Roman"/>
          <w:sz w:val="24"/>
          <w:szCs w:val="24"/>
          <w:lang w:eastAsia="en-GB"/>
        </w:rPr>
        <w:t>Table 5 summarises the principal cross-sectoral and international syntheses discussed in this section.</w:t>
      </w:r>
    </w:p>
    <w:p w14:paraId="78D285DA"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b/>
          <w:bCs/>
          <w:sz w:val="24"/>
          <w:szCs w:val="24"/>
          <w:lang w:eastAsia="en-GB"/>
        </w:rPr>
        <w:t>Table 5. Summary of cross-sectoral and international synthesis evidence on the green innovation–performance nexus</w:t>
      </w:r>
    </w:p>
    <w:tbl>
      <w:tblPr>
        <w:tblStyle w:val="TableGridLight"/>
        <w:tblW w:w="0" w:type="auto"/>
        <w:tblLook w:val="04A0" w:firstRow="1" w:lastRow="0" w:firstColumn="1" w:lastColumn="0" w:noHBand="0" w:noVBand="1"/>
      </w:tblPr>
      <w:tblGrid>
        <w:gridCol w:w="2312"/>
        <w:gridCol w:w="2003"/>
        <w:gridCol w:w="3347"/>
        <w:gridCol w:w="1580"/>
      </w:tblGrid>
      <w:tr w:rsidR="00392F58" w:rsidRPr="00392F58" w14:paraId="320F9798" w14:textId="77777777" w:rsidTr="00392F58">
        <w:tc>
          <w:tcPr>
            <w:tcW w:w="0" w:type="auto"/>
            <w:hideMark/>
          </w:tcPr>
          <w:p w14:paraId="3F65E698" w14:textId="77777777" w:rsidR="00392F58" w:rsidRPr="00392F58" w:rsidRDefault="00392F58" w:rsidP="00741696">
            <w:pPr>
              <w:jc w:val="both"/>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Source of synthesis</w:t>
            </w:r>
          </w:p>
        </w:tc>
        <w:tc>
          <w:tcPr>
            <w:tcW w:w="0" w:type="auto"/>
            <w:hideMark/>
          </w:tcPr>
          <w:p w14:paraId="434C2C5C" w14:textId="77777777" w:rsidR="00392F58" w:rsidRPr="00392F58" w:rsidRDefault="00392F58" w:rsidP="00741696">
            <w:pPr>
              <w:jc w:val="both"/>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Scope</w:t>
            </w:r>
          </w:p>
        </w:tc>
        <w:tc>
          <w:tcPr>
            <w:tcW w:w="0" w:type="auto"/>
            <w:hideMark/>
          </w:tcPr>
          <w:p w14:paraId="5C4EA8C6" w14:textId="77777777" w:rsidR="00392F58" w:rsidRPr="00392F58" w:rsidRDefault="00392F58" w:rsidP="00741696">
            <w:pPr>
              <w:jc w:val="both"/>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Principal finding relevant to tea processing</w:t>
            </w:r>
          </w:p>
        </w:tc>
        <w:tc>
          <w:tcPr>
            <w:tcW w:w="0" w:type="auto"/>
            <w:hideMark/>
          </w:tcPr>
          <w:p w14:paraId="50ADAE96" w14:textId="77777777" w:rsidR="00392F58" w:rsidRPr="00392F58" w:rsidRDefault="00392F58" w:rsidP="00741696">
            <w:pPr>
              <w:jc w:val="both"/>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Source</w:t>
            </w:r>
          </w:p>
        </w:tc>
      </w:tr>
      <w:tr w:rsidR="00392F58" w:rsidRPr="00392F58" w14:paraId="48CFB423" w14:textId="77777777" w:rsidTr="00392F58">
        <w:tc>
          <w:tcPr>
            <w:tcW w:w="0" w:type="auto"/>
            <w:hideMark/>
          </w:tcPr>
          <w:p w14:paraId="1B3779AA"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Systematic literature review of green innovation</w:t>
            </w:r>
          </w:p>
        </w:tc>
        <w:tc>
          <w:tcPr>
            <w:tcW w:w="0" w:type="auto"/>
            <w:hideMark/>
          </w:tcPr>
          <w:p w14:paraId="3A432143"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Cross-industry, multiple regions</w:t>
            </w:r>
          </w:p>
        </w:tc>
        <w:tc>
          <w:tcPr>
            <w:tcW w:w="0" w:type="auto"/>
            <w:hideMark/>
          </w:tcPr>
          <w:p w14:paraId="3C5FCB27"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Firm performance is among the most frequently studied outcomes</w:t>
            </w:r>
          </w:p>
        </w:tc>
        <w:tc>
          <w:tcPr>
            <w:tcW w:w="0" w:type="auto"/>
            <w:hideMark/>
          </w:tcPr>
          <w:p w14:paraId="42015968"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Karimi Takalo et al. (2021)</w:t>
            </w:r>
          </w:p>
        </w:tc>
      </w:tr>
      <w:tr w:rsidR="00392F58" w:rsidRPr="00392F58" w14:paraId="254A40CA" w14:textId="77777777" w:rsidTr="00392F58">
        <w:tc>
          <w:tcPr>
            <w:tcW w:w="0" w:type="auto"/>
            <w:hideMark/>
          </w:tcPr>
          <w:p w14:paraId="633E75E2"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Bibliometric review of green innovation as a strategic resource</w:t>
            </w:r>
          </w:p>
        </w:tc>
        <w:tc>
          <w:tcPr>
            <w:tcW w:w="0" w:type="auto"/>
            <w:hideMark/>
          </w:tcPr>
          <w:p w14:paraId="6E3D50C4"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Cross-industry, near 1,000 articles</w:t>
            </w:r>
          </w:p>
        </w:tc>
        <w:tc>
          <w:tcPr>
            <w:tcW w:w="0" w:type="auto"/>
            <w:hideMark/>
          </w:tcPr>
          <w:p w14:paraId="41505E19"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Green supply chain management and product design are prominent thematic clusters</w:t>
            </w:r>
          </w:p>
        </w:tc>
        <w:tc>
          <w:tcPr>
            <w:tcW w:w="0" w:type="auto"/>
            <w:hideMark/>
          </w:tcPr>
          <w:p w14:paraId="4336B854"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Khanra et al. (2022)</w:t>
            </w:r>
          </w:p>
        </w:tc>
      </w:tr>
      <w:tr w:rsidR="00392F58" w:rsidRPr="00392F58" w14:paraId="28C55FB4" w14:textId="77777777" w:rsidTr="00392F58">
        <w:tc>
          <w:tcPr>
            <w:tcW w:w="0" w:type="auto"/>
            <w:hideMark/>
          </w:tcPr>
          <w:p w14:paraId="2CA449CB"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Meta-analytic review of green product and process innovation</w:t>
            </w:r>
          </w:p>
        </w:tc>
        <w:tc>
          <w:tcPr>
            <w:tcW w:w="0" w:type="auto"/>
            <w:hideMark/>
          </w:tcPr>
          <w:p w14:paraId="35AFC45E"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48 studies, 2012–2025</w:t>
            </w:r>
          </w:p>
        </w:tc>
        <w:tc>
          <w:tcPr>
            <w:tcW w:w="0" w:type="auto"/>
            <w:hideMark/>
          </w:tcPr>
          <w:p w14:paraId="330D18E6"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Small-to-moderate positive pooled effects; integrated green innovation outperforms isolated dimensions</w:t>
            </w:r>
          </w:p>
        </w:tc>
        <w:tc>
          <w:tcPr>
            <w:tcW w:w="0" w:type="auto"/>
            <w:hideMark/>
          </w:tcPr>
          <w:p w14:paraId="188105BA"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Zhao et al. (2026)</w:t>
            </w:r>
          </w:p>
        </w:tc>
      </w:tr>
      <w:tr w:rsidR="00392F58" w:rsidRPr="00392F58" w14:paraId="3694FB48" w14:textId="77777777" w:rsidTr="00392F58">
        <w:tc>
          <w:tcPr>
            <w:tcW w:w="0" w:type="auto"/>
            <w:hideMark/>
          </w:tcPr>
          <w:p w14:paraId="36F53988"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Green supply chain management and firm performance studies</w:t>
            </w:r>
          </w:p>
        </w:tc>
        <w:tc>
          <w:tcPr>
            <w:tcW w:w="0" w:type="auto"/>
            <w:hideMark/>
          </w:tcPr>
          <w:p w14:paraId="78ACF8A2"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Developing-economy manufacturing</w:t>
            </w:r>
          </w:p>
        </w:tc>
        <w:tc>
          <w:tcPr>
            <w:tcW w:w="0" w:type="auto"/>
            <w:hideMark/>
          </w:tcPr>
          <w:p w14:paraId="1ECB6414"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Positive but practice-dependent association with organisational performance</w:t>
            </w:r>
          </w:p>
        </w:tc>
        <w:tc>
          <w:tcPr>
            <w:tcW w:w="0" w:type="auto"/>
            <w:hideMark/>
          </w:tcPr>
          <w:p w14:paraId="7BCB053D" w14:textId="77777777" w:rsidR="00392F58" w:rsidRPr="00392F58" w:rsidRDefault="00392F58" w:rsidP="00741696">
            <w:pPr>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highlight w:val="yellow"/>
                <w:lang w:eastAsia="en-GB"/>
              </w:rPr>
              <w:t>Ahmed et al. (2018); Khan and Qianli (2017)</w:t>
            </w:r>
          </w:p>
        </w:tc>
      </w:tr>
      <w:tr w:rsidR="00392F58" w:rsidRPr="00392F58" w14:paraId="1079BC74" w14:textId="77777777" w:rsidTr="00392F58">
        <w:tc>
          <w:tcPr>
            <w:tcW w:w="0" w:type="auto"/>
            <w:hideMark/>
          </w:tcPr>
          <w:p w14:paraId="0C78D865"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Employee green behaviour meta-analysis</w:t>
            </w:r>
          </w:p>
        </w:tc>
        <w:tc>
          <w:tcPr>
            <w:tcW w:w="0" w:type="auto"/>
            <w:hideMark/>
          </w:tcPr>
          <w:p w14:paraId="13124900"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135 samples, over 47,000 employees</w:t>
            </w:r>
          </w:p>
        </w:tc>
        <w:tc>
          <w:tcPr>
            <w:tcW w:w="0" w:type="auto"/>
            <w:hideMark/>
          </w:tcPr>
          <w:p w14:paraId="3F874237"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Consistent positive associations between pro-environmental attitude, workplace climate and employee engagement</w:t>
            </w:r>
          </w:p>
        </w:tc>
        <w:tc>
          <w:tcPr>
            <w:tcW w:w="0" w:type="auto"/>
            <w:hideMark/>
          </w:tcPr>
          <w:p w14:paraId="4304212E" w14:textId="77777777" w:rsidR="00392F58" w:rsidRPr="00392F58" w:rsidRDefault="00392F58" w:rsidP="00741696">
            <w:pPr>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Katz et al. (2022)</w:t>
            </w:r>
          </w:p>
        </w:tc>
      </w:tr>
    </w:tbl>
    <w:p w14:paraId="293F6058" w14:textId="77777777" w:rsidR="00392F58" w:rsidRPr="00392F58" w:rsidRDefault="00392F58" w:rsidP="0074169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8. Mediating and Moderating Mechanisms Linking Green Innovation to Performance</w:t>
      </w:r>
    </w:p>
    <w:p w14:paraId="7F5FDE44"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8.1 Competitive advantage and reputational mechanisms</w:t>
      </w:r>
    </w:p>
    <w:p w14:paraId="1BDECFCA"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 xml:space="preserve">Much of the accumulated evidence indicates that green innovation does not translate into performance directly but rather operates through intervening mechanisms, chief among them competitive advantage and corporate reputation. Firms that develop strong green core competence tend to </w:t>
      </w:r>
      <w:r>
        <w:rPr>
          <w:rFonts w:ascii="Times New Roman" w:eastAsia="Times New Roman" w:hAnsi="Times New Roman" w:cs="Times New Roman"/>
          <w:sz w:val="24"/>
          <w:szCs w:val="24"/>
          <w:highlight w:val="yellow"/>
          <w:lang w:eastAsia="en-GB"/>
        </w:rPr>
        <w:t>generate a favourable green image among customers</w:t>
      </w:r>
      <w:r>
        <w:rPr>
          <w:rFonts w:ascii="Times New Roman" w:eastAsia="Times New Roman" w:hAnsi="Times New Roman" w:cs="Times New Roman"/>
          <w:sz w:val="24"/>
          <w:szCs w:val="24"/>
          <w:lang w:eastAsia="en-GB"/>
        </w:rPr>
        <w:t>, which in turn supports willingness to pay premium prices and, consequently, improved market performance (Chen, 2008). More recent evidence extends this logic to enterprise reputation value more broadly, finding that green innovation strengthens corporate reputation in ways that generate durable, difficult-to-imitate advantage relative to competitors that pursue environmental compliance without corresponding innovation investment (Chen et al., 2023).</w:t>
      </w:r>
    </w:p>
    <w:p w14:paraId="4DD6403D"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8.2 Certification, market access and institutional legitimacy</w:t>
      </w:r>
    </w:p>
    <w:p w14:paraId="2F6B456B"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 xml:space="preserve">For export-oriented </w:t>
      </w:r>
      <w:proofErr w:type="spellStart"/>
      <w:r w:rsidRPr="00392F58">
        <w:rPr>
          <w:rFonts w:ascii="Times New Roman" w:eastAsia="Times New Roman" w:hAnsi="Times New Roman" w:cs="Times New Roman"/>
          <w:sz w:val="24"/>
          <w:szCs w:val="24"/>
          <w:lang w:eastAsia="en-GB"/>
        </w:rPr>
        <w:t>agro</w:t>
      </w:r>
      <w:proofErr w:type="spellEnd"/>
      <w:r w:rsidRPr="00392F58">
        <w:rPr>
          <w:rFonts w:ascii="Times New Roman" w:eastAsia="Times New Roman" w:hAnsi="Times New Roman" w:cs="Times New Roman"/>
          <w:sz w:val="24"/>
          <w:szCs w:val="24"/>
          <w:lang w:eastAsia="en-GB"/>
        </w:rPr>
        <w:t>-processing firms such as Kenyan tea producers, certification against internationally recognised sustainability standards functions as a particularly consequential mediating mechanism, converting internal green practice into externally verifiable legitimacy that buyers can observe and reward. This mechanism aligns closely with the normative isomorphism strand of institutional theory, whereby adherence to shared professional and market standards, rather than any single practice in isolation, becomes the basis on which firms are judged by external stakeholders (DiMaggio &amp; Powell, 1983). The broader environmental, social and governance evidence reviewed in Section 7.5 suggests, however, that certification and disclosure generate financial returns primarily when they are underpinned by genuine innovation activity rather than functioning as a standalone signalling exercise (</w:t>
      </w:r>
      <w:proofErr w:type="spellStart"/>
      <w:r w:rsidRPr="00392F58">
        <w:rPr>
          <w:rFonts w:ascii="Times New Roman" w:eastAsia="Times New Roman" w:hAnsi="Times New Roman" w:cs="Times New Roman"/>
          <w:sz w:val="24"/>
          <w:szCs w:val="24"/>
          <w:lang w:eastAsia="en-GB"/>
        </w:rPr>
        <w:t>Chouaibi</w:t>
      </w:r>
      <w:proofErr w:type="spellEnd"/>
      <w:r w:rsidRPr="00392F58">
        <w:rPr>
          <w:rFonts w:ascii="Times New Roman" w:eastAsia="Times New Roman" w:hAnsi="Times New Roman" w:cs="Times New Roman"/>
          <w:sz w:val="24"/>
          <w:szCs w:val="24"/>
          <w:lang w:eastAsia="en-GB"/>
        </w:rPr>
        <w:t xml:space="preserve"> et al., 2022).</w:t>
      </w:r>
    </w:p>
    <w:p w14:paraId="4152EADE"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8.3 Institutional pressure and regulatory stringency as moderators</w:t>
      </w:r>
    </w:p>
    <w:p w14:paraId="25092E0D"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strength of the green innovation–performance relationship also appears to depend on the intensity and design of the surrounding regulatory environment. The Porter hypothesis literature suggests that well-designed environmental regulation can trigger innovation offsets sufficient to outweigh compliance costs, though the empirical evidence supporting this proposition remains mixed and context-dependent </w:t>
      </w:r>
      <w:r>
        <w:rPr>
          <w:rFonts w:ascii="Times New Roman" w:eastAsia="Times New Roman" w:hAnsi="Times New Roman" w:cs="Times New Roman"/>
          <w:sz w:val="24"/>
          <w:szCs w:val="24"/>
          <w:highlight w:val="yellow"/>
          <w:lang w:eastAsia="en-GB"/>
        </w:rPr>
        <w:t>(Ambec et al., 2013; Porter &amp; van der Linde, 1995)</w:t>
      </w:r>
      <w:r>
        <w:rPr>
          <w:rFonts w:ascii="Times New Roman" w:eastAsia="Times New Roman" w:hAnsi="Times New Roman" w:cs="Times New Roman"/>
          <w:sz w:val="24"/>
          <w:szCs w:val="24"/>
          <w:lang w:eastAsia="en-GB"/>
        </w:rPr>
        <w:t>. Kenyan tea processing firms operate under a regulatory regime that, while less stringent than that of major industrialised export markets, is nonetheless layered with buyer-imposed certification requirements that function analogously to formal regulation in shaping firm incentives. The meta-analytic finding that green innovation returns are stronger in low-pollution, differentiation-oriented industries than in high-pollution, compliance-driven industries (Zhao et al., 2026) suggests that the performance returns available to Kenyan tea processors may depend heavily on whether green innovation is pursued as a differentiation strategy targeted at premium, sustainability-conscious buyers, or merely as a defensive response to minimum certification thresholds.</w:t>
      </w:r>
    </w:p>
    <w:p w14:paraId="6C3875AC"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8.4 Organisational capability and firm size</w:t>
      </w:r>
    </w:p>
    <w:p w14:paraId="4D07363A"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Firm size and organisational capability recur throughout the literature as moderators of the green innovation–performance relationship, with larger, better-resourced firms generally better positioned to develop the organisational capabilities, including green core competence and integrated green human resource systems, required to convert green innovation investment into </w:t>
      </w:r>
      <w:r>
        <w:rPr>
          <w:rFonts w:ascii="Times New Roman" w:eastAsia="Times New Roman" w:hAnsi="Times New Roman" w:cs="Times New Roman"/>
          <w:sz w:val="24"/>
          <w:szCs w:val="24"/>
          <w:highlight w:val="yellow"/>
          <w:lang w:eastAsia="en-GB"/>
        </w:rPr>
        <w:t>measurable performance gains</w:t>
      </w:r>
      <w:r>
        <w:rPr>
          <w:rFonts w:ascii="Times New Roman" w:eastAsia="Times New Roman" w:hAnsi="Times New Roman" w:cs="Times New Roman"/>
          <w:sz w:val="24"/>
          <w:szCs w:val="24"/>
          <w:lang w:eastAsia="en-GB"/>
        </w:rPr>
        <w:t xml:space="preserve"> (Chen, 2008). This has direct relevance for the Kenyan tea sector's dual structure of smallholder-affiliated factories and larger multinational estates: the resource asymmetry between these firm types suggests that the performance </w:t>
      </w:r>
      <w:r>
        <w:rPr>
          <w:rFonts w:ascii="Times New Roman" w:eastAsia="Times New Roman" w:hAnsi="Times New Roman" w:cs="Times New Roman"/>
          <w:sz w:val="24"/>
          <w:szCs w:val="24"/>
          <w:lang w:eastAsia="en-GB"/>
        </w:rPr>
        <w:lastRenderedPageBreak/>
        <w:t>returns to green innovation documented for multinational tea firms (Chepkoech et al., 2023) may not generalise straightforwardly to smaller, cooperative-affiliated processing units operating with tighter capital and technical constraints.</w:t>
      </w:r>
    </w:p>
    <w:p w14:paraId="28B83AE5" w14:textId="77777777" w:rsidR="00392F58" w:rsidRPr="00392F58" w:rsidRDefault="00392F58" w:rsidP="0074169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9. Circular Economy and Waste Valorisation Pathways in Tea Processing</w:t>
      </w:r>
    </w:p>
    <w:p w14:paraId="3EB82547"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9.1 Agro-industrial waste as an underexploited resource</w:t>
      </w:r>
    </w:p>
    <w:p w14:paraId="397AF693"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Tea processing generates substantial volumes of fibre, dust and spent leaf, alongside process effluent, much of which is currently treated as waste for disposal rather than as a resource for value recovery. The wider agro-industrial waste literature demonstrates that residues of this kind can, through appropriate biorefinery processes, be converted into fuels, chemicals, energy and other value-added products, contributing simultaneously to environmental risk reduction and to circular bioeconomy objectives (</w:t>
      </w:r>
      <w:proofErr w:type="spellStart"/>
      <w:r w:rsidRPr="00392F58">
        <w:rPr>
          <w:rFonts w:ascii="Times New Roman" w:eastAsia="Times New Roman" w:hAnsi="Times New Roman" w:cs="Times New Roman"/>
          <w:sz w:val="24"/>
          <w:szCs w:val="24"/>
          <w:lang w:eastAsia="en-GB"/>
        </w:rPr>
        <w:t>Yaashikaa</w:t>
      </w:r>
      <w:proofErr w:type="spellEnd"/>
      <w:r w:rsidRPr="00392F58">
        <w:rPr>
          <w:rFonts w:ascii="Times New Roman" w:eastAsia="Times New Roman" w:hAnsi="Times New Roman" w:cs="Times New Roman"/>
          <w:sz w:val="24"/>
          <w:szCs w:val="24"/>
          <w:lang w:eastAsia="en-GB"/>
        </w:rPr>
        <w:t xml:space="preserve"> et al., 2022). Applied to the tea sector, this literature implies that the fibrous and organic by-products of processing represent an underexploited category of green process innovation, distinct from but complementary to the operational adaptation strategies discussed in Section 6.3.</w:t>
      </w:r>
    </w:p>
    <w:p w14:paraId="3D5240D1" w14:textId="77777777" w:rsidR="00392F58" w:rsidRPr="00392F58" w:rsidRDefault="00392F58" w:rsidP="00741696">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92F58">
        <w:rPr>
          <w:rFonts w:ascii="Times New Roman" w:eastAsia="Times New Roman" w:hAnsi="Times New Roman" w:cs="Times New Roman"/>
          <w:b/>
          <w:bCs/>
          <w:sz w:val="24"/>
          <w:szCs w:val="24"/>
          <w:lang w:eastAsia="en-GB"/>
        </w:rPr>
        <w:t>9.2 Circular economy practice and corporate environmental management</w:t>
      </w:r>
    </w:p>
    <w:p w14:paraId="178D5C7B"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Beyond waste-to-energy conversion specifically, the broader circular economy literature situates waste valorisation within a wider framework connecting policy design and corporate environmental management across supply chains (</w:t>
      </w:r>
      <w:proofErr w:type="spellStart"/>
      <w:r w:rsidRPr="00392F58">
        <w:rPr>
          <w:rFonts w:ascii="Times New Roman" w:eastAsia="Times New Roman" w:hAnsi="Times New Roman" w:cs="Times New Roman"/>
          <w:sz w:val="24"/>
          <w:szCs w:val="24"/>
          <w:lang w:eastAsia="en-GB"/>
        </w:rPr>
        <w:t>Kazancoglu</w:t>
      </w:r>
      <w:proofErr w:type="spellEnd"/>
      <w:r w:rsidRPr="00392F58">
        <w:rPr>
          <w:rFonts w:ascii="Times New Roman" w:eastAsia="Times New Roman" w:hAnsi="Times New Roman" w:cs="Times New Roman"/>
          <w:sz w:val="24"/>
          <w:szCs w:val="24"/>
          <w:lang w:eastAsia="en-GB"/>
        </w:rPr>
        <w:t xml:space="preserve"> et al., 2021). For Kenyan tea processing firms, this framing suggests that circular-economy adoption is unlikely to occur through isolated technical investment alone; rather, it is likely to require coordinated supply chain and organisational commitment of the kind associated, in Section 7.3, with the strongest observed performance returns to green supply chain management. Given the current absence of tea-specific circular bioeconomy studies in the Kenyan literature, this represents one of the more tractable and commercially promising avenues for future sector-specific empirical research, discussed further in Section 11.</w:t>
      </w:r>
    </w:p>
    <w:p w14:paraId="2521AA42" w14:textId="77777777" w:rsidR="00392F58" w:rsidRPr="00392F58" w:rsidRDefault="00392F58" w:rsidP="0074169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10. Synthesis and Critical Discussion</w:t>
      </w:r>
    </w:p>
    <w:p w14:paraId="178D7C12"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evidence reviewed across Sections 6 through 9 supports three broad conclusions. First, the limited body of Kenyan tea-specific evidence is directionally consistent with the much larger international literature: green supply chain management, ecological design and coordinated climate adaptation are each associated with improved environmental or sustainable performance outcomes among Kenyan tea processing firms, mirroring the generally positive, if modest, pooled effects reported in international meta-analytic synthesis </w:t>
      </w:r>
      <w:r>
        <w:rPr>
          <w:rFonts w:ascii="Times New Roman" w:eastAsia="Times New Roman" w:hAnsi="Times New Roman" w:cs="Times New Roman"/>
          <w:sz w:val="24"/>
          <w:szCs w:val="24"/>
          <w:highlight w:val="yellow"/>
          <w:lang w:eastAsia="en-GB"/>
        </w:rPr>
        <w:t>(Chepkoech et al., 2023; Muma et al., 2014; Zhao et al., 2026)</w:t>
      </w:r>
      <w:r>
        <w:rPr>
          <w:rFonts w:ascii="Times New Roman" w:eastAsia="Times New Roman" w:hAnsi="Times New Roman" w:cs="Times New Roman"/>
          <w:sz w:val="24"/>
          <w:szCs w:val="24"/>
          <w:lang w:eastAsia="en-GB"/>
        </w:rPr>
        <w:t>. Second, the mechanisms through which green innovation translates into performance in the Kenyan tea context, including certification-driven market access, reputational differentiation and employee-level engagement, correspond closely to the mediating and moderating mechanisms identified in the broader theoretical and empirical literature, lending credibility to the transferability of resource-based and institutional theorising to this sector (Chen, 2008; DiMaggio &amp; Powell, 1983; Katz et al., 2022). Third, and most consequentially for future research and practice, the Kenyan tea-specific evidence base remains narrow, geographically concentrated and methodologically homogeneous relative to the sophistication of the wider international literature, a gap addressed in the recommendations that follow.</w:t>
      </w:r>
    </w:p>
    <w:p w14:paraId="29DD8D11"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lastRenderedPageBreak/>
        <w:t>A further point of synthesis concerns the distinction, established in the meta-analytic literature, between integrated and isolated green innovation (Zhao et al., 2026). Much of the existing Kenyan tea evidence examines single practices, such as green supply chain management or ecological design, in isolation from one another, whereas the strongest performance returns internationally appear to accrue to firms that combine product, process, supply chain and human resource dimensions of green innovation into a coherent strategic programme. The Pakistan-based evidence on differential returns across individual green supply chain practices (Khan &amp; Qianli, 2017) reinforces this point at a finer grain: even within a single green innovation strategy, not every constituent practice contributes equally to performance, underscoring the need for Kenyan tea-sector research that disaggregates practice-level effects rather than treating green supply chain management as a single undifferentiated construct. Kenyan tea processing firms currently pursuing green practices in a fragmented, compliance-driven manner may therefore be leaving available performance gains unrealised, a proposition that future integrative empirical work in this sector could usefully test directly.</w:t>
      </w:r>
    </w:p>
    <w:p w14:paraId="33798670" w14:textId="77777777" w:rsidR="00392F58" w:rsidRPr="00392F58" w:rsidRDefault="00392F58" w:rsidP="0074169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11. Future Directions</w:t>
      </w:r>
    </w:p>
    <w:p w14:paraId="5827588B"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92F58">
        <w:rPr>
          <w:rFonts w:ascii="Times New Roman" w:eastAsia="Times New Roman" w:hAnsi="Times New Roman" w:cs="Times New Roman"/>
          <w:sz w:val="24"/>
          <w:szCs w:val="24"/>
          <w:lang w:eastAsia="en-GB"/>
        </w:rPr>
        <w:t>Future research should prioritise longitudinal designs capable of establishing temporal precedence between green innovation investment and performance outcomes among Kenyan tea processing firms, since the existing evidence base relies almost exclusively on cross-sectional survey data that cannot distinguish genuine causal influence from reverse causation or common-method artefact. Comparative research disaggregating smallholder-affiliated cooperative factories from larger multinational estates would help clarify whether the resource asymmetries identified in Section 8.4 produce systematically different returns to green innovation across these two dominant organisational forms within the sector. There is also a clear opportunity for sector-specific circular bioeconomy research examining the technical and commercial feasibility of converting tea fibre, dust and effluent into energy, soil amendment or other value-added products, extending the general agro-industrial waste valorisation literature into a domain where Kenyan tea-specific evidence is currently absent. Further work should examine whether certification-driven environmental, social and governance disclosure among Kenyan tea firms is accompanied by substantive innovation investment or functions primarily as reputational signalling, given the finding from the international literature that innovation, rather than disclosure alone, mediates the relationship between sustainability practice and financial performance. Finally, integrative studies examining combined green product, process, supply chain and human resource strategies within single Kenyan tea processing firms would help establish whether the synergy premium documented internationally for integrated green innovation also holds in this specific institutional and resource setting.</w:t>
      </w:r>
    </w:p>
    <w:p w14:paraId="787CAEE0" w14:textId="77777777" w:rsidR="00392F58" w:rsidRPr="00392F58" w:rsidRDefault="00392F58" w:rsidP="0074169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12. Conclusions</w:t>
      </w:r>
    </w:p>
    <w:p w14:paraId="624DB42B" w14:textId="77777777" w:rsidR="00392F58" w:rsidRPr="00392F58" w:rsidRDefault="00392F58"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This review </w:t>
      </w:r>
      <w:r>
        <w:rPr>
          <w:rFonts w:ascii="Times New Roman" w:eastAsia="Times New Roman" w:hAnsi="Times New Roman" w:cs="Times New Roman"/>
          <w:sz w:val="24"/>
          <w:szCs w:val="24"/>
          <w:highlight w:val="yellow"/>
          <w:lang w:eastAsia="en-GB"/>
        </w:rPr>
        <w:t>has synthesised the theoretical and empirical literature</w:t>
      </w:r>
      <w:r>
        <w:rPr>
          <w:rFonts w:ascii="Times New Roman" w:eastAsia="Times New Roman" w:hAnsi="Times New Roman" w:cs="Times New Roman"/>
          <w:sz w:val="24"/>
          <w:szCs w:val="24"/>
          <w:lang w:eastAsia="en-GB"/>
        </w:rPr>
        <w:t xml:space="preserve"> on green innovation strategies and organisational performance, situating a still-narrow body of Kenyan tea-specific evidence within a much larger international literature grounded in the natural resource-based view, institutional theory and the resource-based view of the firm. The available evidence indicates that green supply chain management, ecological design and coordinated climate adaptation are each associated with improved environmental or sustainable performance among Kenyan tea processing firms, a pattern consistent with the generally positive, though modest and context-dependent, relationship between green </w:t>
      </w:r>
      <w:r>
        <w:rPr>
          <w:rFonts w:ascii="Times New Roman" w:eastAsia="Times New Roman" w:hAnsi="Times New Roman" w:cs="Times New Roman"/>
          <w:sz w:val="24"/>
          <w:szCs w:val="24"/>
          <w:lang w:eastAsia="en-GB"/>
        </w:rPr>
        <w:lastRenderedPageBreak/>
        <w:t>innovation and firm performance documented in the broader international literature. Mechanisms of certification-driven market access, reputational differentiation and employee engagement appear to mediate this relationship in ways consistent with established theory. At the same time, the Kenyan tea-specific evidence base remains limited in geographic coverage, methodological sophistication and integration across the different dimensions of green innovation strategy. Addressing these gaps through longitudinal, comparative and circular-economy-focused research would strengthen the empirical foundation available to managers, certification bodies and policymakers seeking to align environmental stewardship with commercial viability in this economically significant sector.</w:t>
      </w:r>
    </w:p>
    <w:p w14:paraId="5A05CBEE" w14:textId="77777777" w:rsidR="00392F58" w:rsidRPr="00392F58" w:rsidRDefault="00392F58" w:rsidP="0074169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13. Limitations</w:t>
      </w:r>
    </w:p>
    <w:p w14:paraId="1E649CFA" w14:textId="74497850" w:rsidR="00693932" w:rsidRDefault="00EC639C"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r w:rsidRPr="00EC639C">
        <w:rPr>
          <w:rFonts w:ascii="Times New Roman" w:eastAsia="Times New Roman" w:hAnsi="Times New Roman" w:cs="Times New Roman"/>
          <w:sz w:val="24"/>
          <w:szCs w:val="24"/>
          <w:lang w:eastAsia="en-GB"/>
        </w:rPr>
        <w:t xml:space="preserve">This narrative review is limited by the small and geographically concentrated body of Kenyan tea-sector evidence. Most available studies use cross-sectional designs, restricting causal interpretation and sector-wide generalisation. The review therefore draws on evidence from related manufacturing and </w:t>
      </w:r>
      <w:proofErr w:type="spellStart"/>
      <w:r w:rsidRPr="00EC639C">
        <w:rPr>
          <w:rFonts w:ascii="Times New Roman" w:eastAsia="Times New Roman" w:hAnsi="Times New Roman" w:cs="Times New Roman"/>
          <w:sz w:val="24"/>
          <w:szCs w:val="24"/>
          <w:lang w:eastAsia="en-GB"/>
        </w:rPr>
        <w:t>agro</w:t>
      </w:r>
      <w:proofErr w:type="spellEnd"/>
      <w:r w:rsidRPr="00EC639C">
        <w:rPr>
          <w:rFonts w:ascii="Times New Roman" w:eastAsia="Times New Roman" w:hAnsi="Times New Roman" w:cs="Times New Roman"/>
          <w:sz w:val="24"/>
          <w:szCs w:val="24"/>
          <w:lang w:eastAsia="en-GB"/>
        </w:rPr>
        <w:t>-processing contexts, whose findings may not transfer directly to Kenyan tea processing. Restriction to English-language, peer-reviewed publications may also exclude relevant policy, industry or locally disseminated evidence. As literature selection and synthesis involved scholarly judgement rather than a fully protocol-driven systematic process, some selection bias may remain.</w:t>
      </w:r>
    </w:p>
    <w:p w14:paraId="3B0BCE85" w14:textId="77777777" w:rsidR="00EC639C" w:rsidRDefault="00EC639C"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14E6E5F6" w14:textId="77777777" w:rsidR="00693932" w:rsidRDefault="00693932" w:rsidP="00741696">
      <w:pPr>
        <w:shd w:val="clear" w:color="auto" w:fill="FFFFFF"/>
        <w:spacing w:after="0" w:line="240" w:lineRule="auto"/>
        <w:jc w:val="both"/>
        <w:rPr>
          <w:rFonts w:ascii="Arial" w:eastAsia="Times New Roman" w:hAnsi="Arial" w:cs="Arial"/>
          <w:color w:val="222222"/>
          <w:sz w:val="24"/>
          <w:szCs w:val="24"/>
          <w:lang w:val="en-IN" w:eastAsia="en-IN"/>
        </w:rPr>
      </w:pPr>
      <w:bookmarkStart w:id="0" w:name="_Hlk232854992"/>
    </w:p>
    <w:p w14:paraId="7910B840" w14:textId="77777777" w:rsidR="00693932" w:rsidRPr="000839CE" w:rsidRDefault="00693932" w:rsidP="00741696">
      <w:pPr>
        <w:spacing w:after="0" w:line="240" w:lineRule="auto"/>
        <w:jc w:val="both"/>
        <w:rPr>
          <w:rFonts w:ascii="Times New Roman" w:hAnsi="Times New Roman" w:cs="Times New Roman"/>
          <w:b/>
        </w:rPr>
      </w:pPr>
      <w:bookmarkStart w:id="1" w:name="_Hlk234486585"/>
      <w:bookmarkStart w:id="2" w:name="_Hlk234075571"/>
      <w:bookmarkStart w:id="3" w:name="_Hlk232755622"/>
      <w:r w:rsidRPr="000839CE">
        <w:rPr>
          <w:rFonts w:ascii="Times New Roman" w:hAnsi="Times New Roman" w:cs="Times New Roman"/>
          <w:b/>
        </w:rPr>
        <w:t>Declaration of AI Use</w:t>
      </w:r>
    </w:p>
    <w:p w14:paraId="11795DB3" w14:textId="77777777" w:rsidR="00693932" w:rsidRPr="000839CE" w:rsidRDefault="00693932" w:rsidP="00741696">
      <w:pPr>
        <w:spacing w:after="0" w:line="240" w:lineRule="auto"/>
        <w:jc w:val="both"/>
        <w:rPr>
          <w:rFonts w:ascii="Times New Roman" w:hAnsi="Times New Roman" w:cs="Times New Roman"/>
        </w:rPr>
      </w:pPr>
      <w:bookmarkStart w:id="4" w:name="_Hlk234486575"/>
      <w:bookmarkEnd w:id="1"/>
    </w:p>
    <w:p w14:paraId="780C459C" w14:textId="77777777" w:rsidR="00693932" w:rsidRPr="000839CE" w:rsidRDefault="00693932" w:rsidP="00741696">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2"/>
      <w:r w:rsidRPr="00C56790">
        <w:rPr>
          <w:rFonts w:ascii="Times New Roman" w:hAnsi="Times New Roman" w:cs="Times New Roman"/>
        </w:rPr>
        <w:t>.</w:t>
      </w:r>
    </w:p>
    <w:bookmarkEnd w:id="0"/>
    <w:bookmarkEnd w:id="3"/>
    <w:bookmarkEnd w:id="4"/>
    <w:p w14:paraId="09D76A9C" w14:textId="77777777" w:rsidR="00693932" w:rsidRPr="00392F58" w:rsidRDefault="00693932" w:rsidP="00741696">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28219CBE" w14:textId="77777777" w:rsidR="00392F58" w:rsidRPr="00392F58" w:rsidRDefault="00392F58" w:rsidP="00741696">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92F58">
        <w:rPr>
          <w:rFonts w:ascii="Times New Roman" w:eastAsia="Times New Roman" w:hAnsi="Times New Roman" w:cs="Times New Roman"/>
          <w:b/>
          <w:bCs/>
          <w:sz w:val="27"/>
          <w:szCs w:val="27"/>
          <w:lang w:eastAsia="en-GB"/>
        </w:rPr>
        <w:t>References</w:t>
      </w:r>
    </w:p>
    <w:p w14:paraId="6C2EA120" w14:textId="77777777" w:rsidR="00970859" w:rsidRDefault="00970859" w:rsidP="00970859">
      <w:pPr>
        <w:pStyle w:val="isselectedend"/>
      </w:pPr>
      <w:r>
        <w:t xml:space="preserve">Aftab, J., Abid, N., </w:t>
      </w:r>
      <w:proofErr w:type="spellStart"/>
      <w:r>
        <w:t>Cucari</w:t>
      </w:r>
      <w:proofErr w:type="spellEnd"/>
      <w:r>
        <w:t xml:space="preserve">, N., &amp; Savastano, M. (2023). Green human resource management and environmental performance: The role of green innovation and environmental strategy in a developing country. </w:t>
      </w:r>
      <w:r>
        <w:rPr>
          <w:rStyle w:val="Emphasis"/>
        </w:rPr>
        <w:t>Business Strategy and the Environment, 32</w:t>
      </w:r>
      <w:r>
        <w:t xml:space="preserve">(4), 1782–1798. </w:t>
      </w:r>
      <w:hyperlink r:id="rId6" w:history="1">
        <w:r>
          <w:rPr>
            <w:rStyle w:val="Hyperlink"/>
          </w:rPr>
          <w:t>https://doi.org/10.1002/bse.3219</w:t>
        </w:r>
      </w:hyperlink>
    </w:p>
    <w:p w14:paraId="53E84621" w14:textId="77777777" w:rsidR="00970859" w:rsidRDefault="00970859" w:rsidP="00970859">
      <w:pPr>
        <w:pStyle w:val="isselectedend"/>
      </w:pPr>
      <w:r>
        <w:t xml:space="preserve">Ahmed, W., Ahmed, W., &amp; Najmi, A. (2018). Developing and analyzing framework for understanding the effects of GSCM on green and economic performance: Perspective of a developing country. </w:t>
      </w:r>
      <w:r>
        <w:rPr>
          <w:rStyle w:val="Emphasis"/>
        </w:rPr>
        <w:t>Management of Environmental Quality: An International Journal, 29</w:t>
      </w:r>
      <w:r>
        <w:t xml:space="preserve">(4), 740–758. </w:t>
      </w:r>
      <w:hyperlink r:id="rId7" w:history="1">
        <w:r>
          <w:rPr>
            <w:rStyle w:val="Hyperlink"/>
          </w:rPr>
          <w:t>https://doi.org/10.1108/MEQ-11-2017-0140</w:t>
        </w:r>
      </w:hyperlink>
    </w:p>
    <w:p w14:paraId="10D7436C" w14:textId="77777777" w:rsidR="00970859" w:rsidRDefault="00970859" w:rsidP="00970859">
      <w:pPr>
        <w:pStyle w:val="isselectedend"/>
      </w:pPr>
      <w:r>
        <w:lastRenderedPageBreak/>
        <w:t xml:space="preserve">Ai, M., Luo, F., &amp; Bu, Y. (2024). Green innovation and corporate financial performance: Insights from operating risks. </w:t>
      </w:r>
      <w:r>
        <w:rPr>
          <w:rStyle w:val="Emphasis"/>
        </w:rPr>
        <w:t>Journal of Cleaner Production, 456</w:t>
      </w:r>
      <w:r>
        <w:t xml:space="preserve">, 142353. </w:t>
      </w:r>
      <w:hyperlink r:id="rId8" w:history="1">
        <w:r>
          <w:rPr>
            <w:rStyle w:val="Hyperlink"/>
          </w:rPr>
          <w:t>https://doi.org/10.1016/j.jclepro.2024.142353</w:t>
        </w:r>
      </w:hyperlink>
    </w:p>
    <w:p w14:paraId="2D423B23" w14:textId="77777777" w:rsidR="00970859" w:rsidRDefault="00970859" w:rsidP="00970859">
      <w:pPr>
        <w:pStyle w:val="isselectedend"/>
      </w:pPr>
      <w:proofErr w:type="spellStart"/>
      <w:r>
        <w:t>Ambec</w:t>
      </w:r>
      <w:proofErr w:type="spellEnd"/>
      <w:r>
        <w:t xml:space="preserve">, S., Cohen, M. A., Elgie, S., &amp; Lanoie, P. (2013). The Porter hypothesis at 20: Can environmental regulation enhance innovation and competitiveness? </w:t>
      </w:r>
      <w:r>
        <w:rPr>
          <w:rStyle w:val="Emphasis"/>
        </w:rPr>
        <w:t>Review of Environmental Economics and Policy, 7</w:t>
      </w:r>
      <w:r>
        <w:t xml:space="preserve">(1), 2–22. </w:t>
      </w:r>
      <w:hyperlink r:id="rId9" w:history="1">
        <w:r>
          <w:rPr>
            <w:rStyle w:val="Hyperlink"/>
          </w:rPr>
          <w:t>https://doi.org/10.1093/reep/res016</w:t>
        </w:r>
      </w:hyperlink>
    </w:p>
    <w:p w14:paraId="60E36A55" w14:textId="77777777" w:rsidR="00970859" w:rsidRDefault="00970859" w:rsidP="00970859">
      <w:pPr>
        <w:pStyle w:val="isselectedend"/>
      </w:pPr>
      <w:r>
        <w:t xml:space="preserve">Appiah, L. O., &amp; </w:t>
      </w:r>
      <w:proofErr w:type="spellStart"/>
      <w:r>
        <w:t>Essuman</w:t>
      </w:r>
      <w:proofErr w:type="spellEnd"/>
      <w:r>
        <w:t xml:space="preserve">, D. (2024). How do firms develop and financially benefit from green product innovation in a developing country? Roles of innovation orientation and green marketing innovation. </w:t>
      </w:r>
      <w:r>
        <w:rPr>
          <w:rStyle w:val="Emphasis"/>
        </w:rPr>
        <w:t>Business Strategy and the Environment, 33</w:t>
      </w:r>
      <w:r>
        <w:t xml:space="preserve">(7), 7241–7252. </w:t>
      </w:r>
      <w:hyperlink r:id="rId10" w:history="1">
        <w:r>
          <w:rPr>
            <w:rStyle w:val="Hyperlink"/>
          </w:rPr>
          <w:t>https://doi.org/10.1002/bse.3864</w:t>
        </w:r>
      </w:hyperlink>
    </w:p>
    <w:p w14:paraId="0F7316B3" w14:textId="77777777" w:rsidR="00970859" w:rsidRDefault="00970859" w:rsidP="00970859">
      <w:pPr>
        <w:pStyle w:val="isselectedend"/>
      </w:pPr>
      <w:r>
        <w:t xml:space="preserve">Aragón-Correa, J. A., &amp; Sharma, S. (2003). A contingent resource-based view of proactive corporate environmental strategy. </w:t>
      </w:r>
      <w:r>
        <w:rPr>
          <w:rStyle w:val="Emphasis"/>
        </w:rPr>
        <w:t>Academy of Management Review, 28</w:t>
      </w:r>
      <w:r>
        <w:t xml:space="preserve">(1), 71–88. </w:t>
      </w:r>
      <w:hyperlink r:id="rId11" w:history="1">
        <w:r>
          <w:rPr>
            <w:rStyle w:val="Hyperlink"/>
          </w:rPr>
          <w:t>https://doi.org/10.5465/AMR.2003.8925233</w:t>
        </w:r>
      </w:hyperlink>
    </w:p>
    <w:p w14:paraId="4D3A8002" w14:textId="77777777" w:rsidR="00970859" w:rsidRDefault="00970859" w:rsidP="00970859">
      <w:pPr>
        <w:pStyle w:val="isselectedend"/>
      </w:pPr>
      <w:proofErr w:type="spellStart"/>
      <w:r>
        <w:t>Baethge</w:t>
      </w:r>
      <w:proofErr w:type="spellEnd"/>
      <w:r>
        <w:t xml:space="preserve">, C., Goldbeck-Wood, S., &amp; Mertens, S. (2019). SANRA—A scale for the quality assessment of narrative review articles. </w:t>
      </w:r>
      <w:r>
        <w:rPr>
          <w:rStyle w:val="Emphasis"/>
        </w:rPr>
        <w:t>Research Integrity and Peer Review, 4</w:t>
      </w:r>
      <w:r>
        <w:t xml:space="preserve">, 5. </w:t>
      </w:r>
      <w:hyperlink r:id="rId12" w:history="1">
        <w:r>
          <w:rPr>
            <w:rStyle w:val="Hyperlink"/>
          </w:rPr>
          <w:t>https://doi.org/10.1186/s41073-019-0064-8</w:t>
        </w:r>
      </w:hyperlink>
    </w:p>
    <w:p w14:paraId="584DA24B" w14:textId="77777777" w:rsidR="00970859" w:rsidRDefault="00970859" w:rsidP="00970859">
      <w:pPr>
        <w:pStyle w:val="isselectedend"/>
      </w:pPr>
      <w:r>
        <w:t xml:space="preserve">Barney, J. B. (1991). Firm resources and sustained competitive advantage. </w:t>
      </w:r>
      <w:r>
        <w:rPr>
          <w:rStyle w:val="Emphasis"/>
        </w:rPr>
        <w:t>Journal of Management, 17</w:t>
      </w:r>
      <w:r>
        <w:t xml:space="preserve">(1), 99–120. </w:t>
      </w:r>
      <w:hyperlink r:id="rId13" w:history="1">
        <w:r>
          <w:rPr>
            <w:rStyle w:val="Hyperlink"/>
          </w:rPr>
          <w:t>https://doi.org/10.1177/014920639101700108</w:t>
        </w:r>
      </w:hyperlink>
    </w:p>
    <w:p w14:paraId="355801B8" w14:textId="77777777" w:rsidR="00970859" w:rsidRDefault="00970859" w:rsidP="00970859">
      <w:pPr>
        <w:pStyle w:val="isselectedend"/>
      </w:pPr>
      <w:proofErr w:type="spellStart"/>
      <w:r>
        <w:t>Bugri</w:t>
      </w:r>
      <w:proofErr w:type="spellEnd"/>
      <w:r>
        <w:t xml:space="preserve">, B. A., </w:t>
      </w:r>
      <w:proofErr w:type="spellStart"/>
      <w:r>
        <w:t>Muntaka</w:t>
      </w:r>
      <w:proofErr w:type="spellEnd"/>
      <w:r>
        <w:t xml:space="preserve">, A. S., &amp; Mensah, J. (2025). Green innovation and sustainability performance: Exploring the impact of green supply chain management, absorptive capacity, and institutional pressures. </w:t>
      </w:r>
      <w:r>
        <w:rPr>
          <w:rStyle w:val="Emphasis"/>
        </w:rPr>
        <w:t>Thunderbird International Business Review, 67</w:t>
      </w:r>
      <w:r>
        <w:t xml:space="preserve">(6), 797–814. </w:t>
      </w:r>
      <w:hyperlink r:id="rId14" w:history="1">
        <w:r>
          <w:rPr>
            <w:rStyle w:val="Hyperlink"/>
          </w:rPr>
          <w:t>https://doi.org/10.1002/tie.70016</w:t>
        </w:r>
      </w:hyperlink>
    </w:p>
    <w:p w14:paraId="0C46CDF5" w14:textId="77777777" w:rsidR="00970859" w:rsidRDefault="00970859" w:rsidP="00970859">
      <w:pPr>
        <w:pStyle w:val="isselectedend"/>
      </w:pPr>
      <w:r>
        <w:t xml:space="preserve">Cheah, J. S. S., Ng, C.-H., </w:t>
      </w:r>
      <w:proofErr w:type="spellStart"/>
      <w:r>
        <w:t>Fianto</w:t>
      </w:r>
      <w:proofErr w:type="spellEnd"/>
      <w:r>
        <w:t xml:space="preserve">, B. A., Teoh, A. P., Gan, C., &amp; Anisha, A. I. I. N. (2024). Green innovation as a strategic imperative for sustainable business performance: Evidence from Malaysian industries during the COVID-19 pandemic. </w:t>
      </w:r>
      <w:r>
        <w:rPr>
          <w:rStyle w:val="Emphasis"/>
        </w:rPr>
        <w:t>Journal of Cleaner Production, 470</w:t>
      </w:r>
      <w:r>
        <w:t xml:space="preserve">, 143355. </w:t>
      </w:r>
      <w:hyperlink r:id="rId15" w:history="1">
        <w:r>
          <w:rPr>
            <w:rStyle w:val="Hyperlink"/>
          </w:rPr>
          <w:t>https://doi.org/10.1016/j.jclepro.2024.143355</w:t>
        </w:r>
      </w:hyperlink>
    </w:p>
    <w:p w14:paraId="1357E8E1" w14:textId="77777777" w:rsidR="00970859" w:rsidRDefault="00970859" w:rsidP="00970859">
      <w:pPr>
        <w:pStyle w:val="isselectedend"/>
      </w:pPr>
      <w:r>
        <w:t xml:space="preserve">Chen, Y. S. (2008). The driver of green innovation and green image—Green core competence. </w:t>
      </w:r>
      <w:r>
        <w:rPr>
          <w:rStyle w:val="Emphasis"/>
        </w:rPr>
        <w:t>Journal of Business Ethics, 81</w:t>
      </w:r>
      <w:r>
        <w:t xml:space="preserve">(3), 531–543. </w:t>
      </w:r>
      <w:hyperlink r:id="rId16" w:history="1">
        <w:r>
          <w:rPr>
            <w:rStyle w:val="Hyperlink"/>
          </w:rPr>
          <w:t>https://doi.org/10.1007/s10551-007-9522-1</w:t>
        </w:r>
      </w:hyperlink>
    </w:p>
    <w:p w14:paraId="2E8DAE0C" w14:textId="77777777" w:rsidR="00970859" w:rsidRDefault="00970859" w:rsidP="00970859">
      <w:pPr>
        <w:pStyle w:val="isselectedend"/>
      </w:pPr>
      <w:r>
        <w:t xml:space="preserve">Chen, Z., Hao, X., &amp; Chen, F. (2023). Green innovation and enterprise reputation value. </w:t>
      </w:r>
      <w:r>
        <w:rPr>
          <w:rStyle w:val="Emphasis"/>
        </w:rPr>
        <w:t>Business Strategy and the Environment, 32</w:t>
      </w:r>
      <w:r>
        <w:t xml:space="preserve">(4), 1698–1718. </w:t>
      </w:r>
      <w:hyperlink r:id="rId17" w:history="1">
        <w:r>
          <w:rPr>
            <w:rStyle w:val="Hyperlink"/>
          </w:rPr>
          <w:t>https://doi.org/10.1002/bse.3213</w:t>
        </w:r>
      </w:hyperlink>
    </w:p>
    <w:p w14:paraId="0C5ABF94" w14:textId="77777777" w:rsidR="00970859" w:rsidRDefault="00970859" w:rsidP="00970859">
      <w:pPr>
        <w:pStyle w:val="isselectedend"/>
      </w:pPr>
      <w:r>
        <w:t xml:space="preserve">Chepkoech, R., Keitany, P., &amp; Bett, A. (2023). Ecological design practice and sustainable performance of multinational tea firms in Kenya. </w:t>
      </w:r>
      <w:r>
        <w:rPr>
          <w:rStyle w:val="Emphasis"/>
        </w:rPr>
        <w:t>East African Journal of Business and Economics, 6</w:t>
      </w:r>
      <w:r>
        <w:t xml:space="preserve">(1), 442–455. </w:t>
      </w:r>
      <w:hyperlink r:id="rId18" w:history="1">
        <w:r>
          <w:rPr>
            <w:rStyle w:val="Hyperlink"/>
          </w:rPr>
          <w:t>https://doi.org/10.37284/eajbe.6.1.1496</w:t>
        </w:r>
      </w:hyperlink>
    </w:p>
    <w:p w14:paraId="1074539B" w14:textId="77777777" w:rsidR="00970859" w:rsidRDefault="00970859" w:rsidP="00970859">
      <w:pPr>
        <w:pStyle w:val="isselectedend"/>
      </w:pPr>
      <w:proofErr w:type="spellStart"/>
      <w:r>
        <w:t>Chouaibi</w:t>
      </w:r>
      <w:proofErr w:type="spellEnd"/>
      <w:r>
        <w:t xml:space="preserve">, S., </w:t>
      </w:r>
      <w:proofErr w:type="spellStart"/>
      <w:r>
        <w:t>Chouaibi</w:t>
      </w:r>
      <w:proofErr w:type="spellEnd"/>
      <w:r>
        <w:t xml:space="preserve">, J., &amp; Rossi, M. (2022). ESG and corporate financial performance: The mediating role of green innovation: UK common law versus Germany civil law. </w:t>
      </w:r>
      <w:proofErr w:type="spellStart"/>
      <w:r>
        <w:rPr>
          <w:rStyle w:val="Emphasis"/>
        </w:rPr>
        <w:t>EuroMed</w:t>
      </w:r>
      <w:proofErr w:type="spellEnd"/>
      <w:r>
        <w:rPr>
          <w:rStyle w:val="Emphasis"/>
        </w:rPr>
        <w:t xml:space="preserve"> Journal of Business, 17</w:t>
      </w:r>
      <w:r>
        <w:t xml:space="preserve">(1), 46–71. </w:t>
      </w:r>
      <w:hyperlink r:id="rId19" w:history="1">
        <w:r>
          <w:rPr>
            <w:rStyle w:val="Hyperlink"/>
          </w:rPr>
          <w:t>https://doi.org/10.1108/EMJB-09-2020-0101</w:t>
        </w:r>
      </w:hyperlink>
    </w:p>
    <w:p w14:paraId="59B815AF" w14:textId="77777777" w:rsidR="00970859" w:rsidRDefault="00970859" w:rsidP="00970859">
      <w:pPr>
        <w:pStyle w:val="isselectedend"/>
      </w:pPr>
      <w:r>
        <w:lastRenderedPageBreak/>
        <w:t xml:space="preserve">DiMaggio, P. J., &amp; Powell, W. W. (1983). The iron cage revisited: Institutional isomorphism and collective rationality in organizational fields. </w:t>
      </w:r>
      <w:r>
        <w:rPr>
          <w:rStyle w:val="Emphasis"/>
        </w:rPr>
        <w:t>American Sociological Review, 48</w:t>
      </w:r>
      <w:r>
        <w:t xml:space="preserve">(2), 147–160. </w:t>
      </w:r>
      <w:hyperlink r:id="rId20" w:history="1">
        <w:r>
          <w:rPr>
            <w:rStyle w:val="Hyperlink"/>
          </w:rPr>
          <w:t>https://doi.org/10.2307/2095101</w:t>
        </w:r>
      </w:hyperlink>
    </w:p>
    <w:p w14:paraId="0624B325" w14:textId="77777777" w:rsidR="00970859" w:rsidRDefault="00970859" w:rsidP="00970859">
      <w:pPr>
        <w:pStyle w:val="isselectedend"/>
      </w:pPr>
      <w:r>
        <w:t xml:space="preserve">Fontoura, P., &amp; Coelho, A. (2022). How to boost green innovation and performance through collaboration in the supply chain: Insights into a more sustainable economy. </w:t>
      </w:r>
      <w:r>
        <w:rPr>
          <w:rStyle w:val="Emphasis"/>
        </w:rPr>
        <w:t>Journal of Cleaner Production, 359</w:t>
      </w:r>
      <w:r>
        <w:t xml:space="preserve">, 132005. </w:t>
      </w:r>
      <w:hyperlink r:id="rId21" w:history="1">
        <w:r>
          <w:rPr>
            <w:rStyle w:val="Hyperlink"/>
          </w:rPr>
          <w:t>https://doi.org/10.1016/j.jclepro.2022.132005</w:t>
        </w:r>
      </w:hyperlink>
    </w:p>
    <w:p w14:paraId="48F93A61" w14:textId="77777777" w:rsidR="00970859" w:rsidRDefault="00970859" w:rsidP="00970859">
      <w:pPr>
        <w:pStyle w:val="isselectedend"/>
      </w:pPr>
      <w:r>
        <w:t xml:space="preserve">Food and Agriculture Organization of the United Nations. (2024). </w:t>
      </w:r>
      <w:r>
        <w:rPr>
          <w:rStyle w:val="Emphasis"/>
        </w:rPr>
        <w:t>Current global market situation and medium-term outlook</w:t>
      </w:r>
      <w:r>
        <w:t xml:space="preserve"> (CCP 24/2). </w:t>
      </w:r>
      <w:hyperlink r:id="rId22" w:history="1">
        <w:r>
          <w:rPr>
            <w:rStyle w:val="Hyperlink"/>
          </w:rPr>
          <w:t>https://openknowledge.fao.org/handle/20.500.14283/cc9417en</w:t>
        </w:r>
      </w:hyperlink>
    </w:p>
    <w:p w14:paraId="1C416DF6" w14:textId="77777777" w:rsidR="00970859" w:rsidRDefault="00970859" w:rsidP="00970859">
      <w:pPr>
        <w:pStyle w:val="isselectedend"/>
      </w:pPr>
      <w:r>
        <w:t xml:space="preserve">Gupta, P., Sharma, Y., Chauhan, A., </w:t>
      </w:r>
      <w:proofErr w:type="spellStart"/>
      <w:r>
        <w:t>Parewa</w:t>
      </w:r>
      <w:proofErr w:type="spellEnd"/>
      <w:r>
        <w:t xml:space="preserve">, B., Rai, P., &amp; Naik, N. (2025). Investigation of green supply chain management practices and sustainability in Indian manufacturing enterprises using a structural equation modelling approach. </w:t>
      </w:r>
      <w:r>
        <w:rPr>
          <w:rStyle w:val="Emphasis"/>
        </w:rPr>
        <w:t>Scientific Reports, 15</w:t>
      </w:r>
      <w:r>
        <w:t xml:space="preserve">, 14909. </w:t>
      </w:r>
      <w:hyperlink r:id="rId23" w:history="1">
        <w:r>
          <w:rPr>
            <w:rStyle w:val="Hyperlink"/>
          </w:rPr>
          <w:t>https://doi.org/10.1038/s41598-025-95940-9</w:t>
        </w:r>
      </w:hyperlink>
    </w:p>
    <w:p w14:paraId="15243E3A" w14:textId="77777777" w:rsidR="00970859" w:rsidRDefault="00970859" w:rsidP="00970859">
      <w:pPr>
        <w:pStyle w:val="isselectedend"/>
      </w:pPr>
      <w:r>
        <w:t xml:space="preserve">Hart, S. L. (1995). A natural-resource-based view of the firm. </w:t>
      </w:r>
      <w:r>
        <w:rPr>
          <w:rStyle w:val="Emphasis"/>
        </w:rPr>
        <w:t>Academy of Management Review, 20</w:t>
      </w:r>
      <w:r>
        <w:t xml:space="preserve">(4), 986–1014. </w:t>
      </w:r>
      <w:hyperlink r:id="rId24" w:history="1">
        <w:r>
          <w:rPr>
            <w:rStyle w:val="Hyperlink"/>
          </w:rPr>
          <w:t>https://doi.org/10.5465/AMR.1995.9512280033</w:t>
        </w:r>
      </w:hyperlink>
    </w:p>
    <w:p w14:paraId="2A73F1F7" w14:textId="77777777" w:rsidR="00970859" w:rsidRDefault="00970859" w:rsidP="00970859">
      <w:pPr>
        <w:pStyle w:val="isselectedend"/>
      </w:pPr>
      <w:r>
        <w:t xml:space="preserve">Karimi Takalo, S., Sayyadi </w:t>
      </w:r>
      <w:proofErr w:type="spellStart"/>
      <w:r>
        <w:t>Tooranloo</w:t>
      </w:r>
      <w:proofErr w:type="spellEnd"/>
      <w:r>
        <w:t xml:space="preserve">, H., &amp; </w:t>
      </w:r>
      <w:proofErr w:type="spellStart"/>
      <w:r>
        <w:t>Shahabaldini</w:t>
      </w:r>
      <w:proofErr w:type="spellEnd"/>
      <w:r>
        <w:t xml:space="preserve"> </w:t>
      </w:r>
      <w:proofErr w:type="spellStart"/>
      <w:r>
        <w:t>Parizi</w:t>
      </w:r>
      <w:proofErr w:type="spellEnd"/>
      <w:r>
        <w:t xml:space="preserve">, Z. (2021). Green innovation: A systematic literature review. </w:t>
      </w:r>
      <w:r>
        <w:rPr>
          <w:rStyle w:val="Emphasis"/>
        </w:rPr>
        <w:t>Journal of Cleaner Production, 279</w:t>
      </w:r>
      <w:r>
        <w:t xml:space="preserve">, 122474. </w:t>
      </w:r>
      <w:hyperlink r:id="rId25" w:history="1">
        <w:r>
          <w:rPr>
            <w:rStyle w:val="Hyperlink"/>
          </w:rPr>
          <w:t>https://doi.org/10.1016/j.jclepro.2020.122474</w:t>
        </w:r>
      </w:hyperlink>
    </w:p>
    <w:p w14:paraId="3D1661BA" w14:textId="77777777" w:rsidR="00970859" w:rsidRDefault="00970859" w:rsidP="00970859">
      <w:pPr>
        <w:pStyle w:val="isselectedend"/>
      </w:pPr>
      <w:r>
        <w:t xml:space="preserve">Katz, I. M., </w:t>
      </w:r>
      <w:proofErr w:type="spellStart"/>
      <w:r>
        <w:t>Rauvola</w:t>
      </w:r>
      <w:proofErr w:type="spellEnd"/>
      <w:r>
        <w:t xml:space="preserve">, R. S., Rudolph, C. W., &amp; Zacher, H. (2022). Employee green behavior: A meta-analysis. </w:t>
      </w:r>
      <w:r>
        <w:rPr>
          <w:rStyle w:val="Emphasis"/>
        </w:rPr>
        <w:t>Corporate Social Responsibility and Environmental Management, 29</w:t>
      </w:r>
      <w:r>
        <w:t xml:space="preserve">(5), 1146–1157. </w:t>
      </w:r>
      <w:hyperlink r:id="rId26" w:history="1">
        <w:r>
          <w:rPr>
            <w:rStyle w:val="Hyperlink"/>
          </w:rPr>
          <w:t>https://doi.org/10.1002/csr.2260</w:t>
        </w:r>
      </w:hyperlink>
    </w:p>
    <w:p w14:paraId="1EB003F9" w14:textId="77777777" w:rsidR="00970859" w:rsidRDefault="00970859" w:rsidP="00970859">
      <w:pPr>
        <w:pStyle w:val="isselectedend"/>
      </w:pPr>
      <w:proofErr w:type="spellStart"/>
      <w:r>
        <w:t>Kazancoglu</w:t>
      </w:r>
      <w:proofErr w:type="spellEnd"/>
      <w:r>
        <w:t xml:space="preserve">, I., </w:t>
      </w:r>
      <w:proofErr w:type="spellStart"/>
      <w:r>
        <w:t>Sagnak</w:t>
      </w:r>
      <w:proofErr w:type="spellEnd"/>
      <w:r>
        <w:t xml:space="preserve">, M., Mangla, S. K., &amp; </w:t>
      </w:r>
      <w:proofErr w:type="spellStart"/>
      <w:r>
        <w:t>Kazancoglu</w:t>
      </w:r>
      <w:proofErr w:type="spellEnd"/>
      <w:r>
        <w:t xml:space="preserve">, Y. (2021). Circular economy and the policy: A framework for improving the corporate environmental management in supply chains. </w:t>
      </w:r>
      <w:r>
        <w:rPr>
          <w:rStyle w:val="Emphasis"/>
        </w:rPr>
        <w:t>Business Strategy and the Environment, 30</w:t>
      </w:r>
      <w:r>
        <w:t xml:space="preserve">(1), 590–608. </w:t>
      </w:r>
      <w:hyperlink r:id="rId27" w:history="1">
        <w:r>
          <w:rPr>
            <w:rStyle w:val="Hyperlink"/>
          </w:rPr>
          <w:t>https://doi.org/10.1002/bse.2641</w:t>
        </w:r>
      </w:hyperlink>
    </w:p>
    <w:p w14:paraId="61953468" w14:textId="77777777" w:rsidR="00970859" w:rsidRDefault="00970859" w:rsidP="00970859">
      <w:pPr>
        <w:pStyle w:val="isselectedend"/>
      </w:pPr>
      <w:r>
        <w:t xml:space="preserve">Khan, S. A. R., &amp; Qianli, D. (2017). Impact of green supply chain management practices on firms’ performance: An empirical study from the perspective of Pakistan. </w:t>
      </w:r>
      <w:r>
        <w:rPr>
          <w:rStyle w:val="Emphasis"/>
        </w:rPr>
        <w:t>Environmental Science and Pollution Research, 24</w:t>
      </w:r>
      <w:r>
        <w:t xml:space="preserve">(20), 16829–16844. </w:t>
      </w:r>
      <w:hyperlink r:id="rId28" w:history="1">
        <w:r>
          <w:rPr>
            <w:rStyle w:val="Hyperlink"/>
          </w:rPr>
          <w:t>https://doi.org/10.1007/s11356-017-9172-5</w:t>
        </w:r>
      </w:hyperlink>
    </w:p>
    <w:p w14:paraId="34086887" w14:textId="77777777" w:rsidR="00970859" w:rsidRDefault="00970859" w:rsidP="00970859">
      <w:pPr>
        <w:pStyle w:val="isselectedend"/>
      </w:pPr>
      <w:r>
        <w:t xml:space="preserve">Khanra, S., Kaur, P., Joseph, R. P., Malik, A., &amp; Dhir, A. (2022). A resource-based view of green innovation as a strategic firm resource: Present status and future directions. </w:t>
      </w:r>
      <w:r>
        <w:rPr>
          <w:rStyle w:val="Emphasis"/>
        </w:rPr>
        <w:t>Business Strategy and the Environment, 31</w:t>
      </w:r>
      <w:r>
        <w:t xml:space="preserve">(4), 1395–1413. </w:t>
      </w:r>
      <w:hyperlink r:id="rId29" w:history="1">
        <w:r>
          <w:rPr>
            <w:rStyle w:val="Hyperlink"/>
          </w:rPr>
          <w:t>https://doi.org/10.1002/bse.2961</w:t>
        </w:r>
      </w:hyperlink>
    </w:p>
    <w:p w14:paraId="419EC85A" w14:textId="77777777" w:rsidR="00970859" w:rsidRDefault="00970859" w:rsidP="00970859">
      <w:pPr>
        <w:pStyle w:val="isselectedend"/>
      </w:pPr>
      <w:r>
        <w:t xml:space="preserve">Le, T. T., &amp; Govindan, K. (2024). Boosting green innovation on corporate performance: Managerial environmental concern’s moderating role. </w:t>
      </w:r>
      <w:r>
        <w:rPr>
          <w:rStyle w:val="Emphasis"/>
        </w:rPr>
        <w:t>Business Strategy and the Environment, 33</w:t>
      </w:r>
      <w:r>
        <w:t xml:space="preserve">(7), 6254–6274. </w:t>
      </w:r>
      <w:hyperlink r:id="rId30" w:history="1">
        <w:r>
          <w:rPr>
            <w:rStyle w:val="Hyperlink"/>
          </w:rPr>
          <w:t>https://doi.org/10.1002/bse.3795</w:t>
        </w:r>
      </w:hyperlink>
    </w:p>
    <w:p w14:paraId="0378FF36" w14:textId="77777777" w:rsidR="00970859" w:rsidRDefault="00970859" w:rsidP="00970859">
      <w:pPr>
        <w:pStyle w:val="isselectedend"/>
      </w:pPr>
      <w:r>
        <w:t xml:space="preserve">Muma, B. O., </w:t>
      </w:r>
      <w:proofErr w:type="spellStart"/>
      <w:r>
        <w:t>Nyaoga</w:t>
      </w:r>
      <w:proofErr w:type="spellEnd"/>
      <w:r>
        <w:t xml:space="preserve">, R. B., </w:t>
      </w:r>
      <w:proofErr w:type="spellStart"/>
      <w:r>
        <w:t>Matwere</w:t>
      </w:r>
      <w:proofErr w:type="spellEnd"/>
      <w:r>
        <w:t xml:space="preserve">, R. B., &amp; </w:t>
      </w:r>
      <w:proofErr w:type="spellStart"/>
      <w:r>
        <w:t>Nyambega</w:t>
      </w:r>
      <w:proofErr w:type="spellEnd"/>
      <w:r>
        <w:t xml:space="preserve">, E. (2014). Green supply chain management and environmental performance among tea processing firms in Kericho County-Kenya. </w:t>
      </w:r>
      <w:r>
        <w:rPr>
          <w:rStyle w:val="Emphasis"/>
        </w:rPr>
        <w:t>International Journal of Economics, Finance and Management Sciences, 2</w:t>
      </w:r>
      <w:r>
        <w:t xml:space="preserve">(5), 270–276. </w:t>
      </w:r>
      <w:hyperlink r:id="rId31" w:history="1">
        <w:r>
          <w:rPr>
            <w:rStyle w:val="Hyperlink"/>
          </w:rPr>
          <w:t>https://doi.org/10.11648/j.ijefm.20140205.11</w:t>
        </w:r>
      </w:hyperlink>
    </w:p>
    <w:p w14:paraId="53E37E47" w14:textId="77777777" w:rsidR="00970859" w:rsidRDefault="00970859" w:rsidP="00970859">
      <w:pPr>
        <w:pStyle w:val="isselectedend"/>
      </w:pPr>
      <w:r>
        <w:lastRenderedPageBreak/>
        <w:t xml:space="preserve">Muoki, C. R., Maritim, T. K., Oluoch, W. A., </w:t>
      </w:r>
      <w:proofErr w:type="spellStart"/>
      <w:r>
        <w:t>Kamunya</w:t>
      </w:r>
      <w:proofErr w:type="spellEnd"/>
      <w:r>
        <w:t xml:space="preserve">, S. M., &amp; Bore, J. K. (2020). Combating climate change in the Kenyan tea industry. </w:t>
      </w:r>
      <w:r>
        <w:rPr>
          <w:rStyle w:val="Emphasis"/>
        </w:rPr>
        <w:t>Frontiers in Plant Science, 11</w:t>
      </w:r>
      <w:r>
        <w:t xml:space="preserve">, 339. </w:t>
      </w:r>
      <w:hyperlink r:id="rId32" w:history="1">
        <w:r>
          <w:rPr>
            <w:rStyle w:val="Hyperlink"/>
          </w:rPr>
          <w:t>https://doi.org/10.3389/fpls.2020.00339</w:t>
        </w:r>
      </w:hyperlink>
    </w:p>
    <w:p w14:paraId="59704474" w14:textId="77777777" w:rsidR="00970859" w:rsidRDefault="00970859" w:rsidP="00970859">
      <w:pPr>
        <w:pStyle w:val="isselectedend"/>
      </w:pPr>
      <w:r>
        <w:t xml:space="preserve">Nafisah, K. H., &amp; </w:t>
      </w:r>
      <w:proofErr w:type="spellStart"/>
      <w:r>
        <w:t>Ratnamurni</w:t>
      </w:r>
      <w:proofErr w:type="spellEnd"/>
      <w:r>
        <w:t xml:space="preserve">, E. D. (2025). Green supply chain management and sustainability performance: The mediating role of competitive advantage in Bandung SMEs. </w:t>
      </w:r>
      <w:r>
        <w:rPr>
          <w:rStyle w:val="Emphasis"/>
        </w:rPr>
        <w:t>Asian Journal of Economics, Business and Accounting, 25</w:t>
      </w:r>
      <w:r>
        <w:t xml:space="preserve">(2), 131–144. </w:t>
      </w:r>
      <w:hyperlink r:id="rId33" w:history="1">
        <w:r>
          <w:rPr>
            <w:rStyle w:val="Hyperlink"/>
          </w:rPr>
          <w:t>https://doi.org/10.9734/ajeba/2025/v25i21669</w:t>
        </w:r>
      </w:hyperlink>
    </w:p>
    <w:p w14:paraId="42FF0E1A" w14:textId="77777777" w:rsidR="00970859" w:rsidRDefault="00970859" w:rsidP="00970859">
      <w:pPr>
        <w:pStyle w:val="isselectedend"/>
      </w:pPr>
      <w:r>
        <w:t xml:space="preserve">Na’imah, N., &amp; </w:t>
      </w:r>
      <w:proofErr w:type="spellStart"/>
      <w:r>
        <w:t>Priyono</w:t>
      </w:r>
      <w:proofErr w:type="spellEnd"/>
      <w:r>
        <w:t xml:space="preserve">, A. (2026). Enhancing SMEs’ sustainability through digital adoption and green orientation: The mediating role of green product innovation. </w:t>
      </w:r>
      <w:r>
        <w:rPr>
          <w:rStyle w:val="Emphasis"/>
        </w:rPr>
        <w:t>Journal of Economics and Trade, 11</w:t>
      </w:r>
      <w:r>
        <w:t xml:space="preserve">(1), 136–149. </w:t>
      </w:r>
      <w:hyperlink r:id="rId34" w:history="1">
        <w:r>
          <w:rPr>
            <w:rStyle w:val="Hyperlink"/>
          </w:rPr>
          <w:t>https://doi.org/10.56557/jet/2026/v11i110199</w:t>
        </w:r>
      </w:hyperlink>
    </w:p>
    <w:p w14:paraId="4DCCCDDE" w14:textId="77777777" w:rsidR="00970859" w:rsidRDefault="00970859" w:rsidP="00970859">
      <w:pPr>
        <w:pStyle w:val="isselectedend"/>
      </w:pPr>
      <w:r>
        <w:t xml:space="preserve">Ning, J., Liu, B., Xu, Y., &amp; Yu, L. (2025). Does green supply chain management improve corporate sustainability performance? Evidence from China. </w:t>
      </w:r>
      <w:r>
        <w:rPr>
          <w:rStyle w:val="Emphasis"/>
        </w:rPr>
        <w:t>Environmental Impact Assessment Review, 112</w:t>
      </w:r>
      <w:r>
        <w:t xml:space="preserve">, 107828. </w:t>
      </w:r>
      <w:hyperlink r:id="rId35" w:history="1">
        <w:r>
          <w:rPr>
            <w:rStyle w:val="Hyperlink"/>
          </w:rPr>
          <w:t>https://doi.org/10.1016/j.eiar.2025.107828</w:t>
        </w:r>
      </w:hyperlink>
    </w:p>
    <w:p w14:paraId="45028FFF" w14:textId="77777777" w:rsidR="00970859" w:rsidRDefault="00970859" w:rsidP="00970859">
      <w:pPr>
        <w:pStyle w:val="isselectedend"/>
      </w:pPr>
      <w:r>
        <w:t xml:space="preserve">Porter, M. E., &amp; van der Linde, C. (1995). Toward a new conception of the environment-competitiveness relationship. </w:t>
      </w:r>
      <w:r>
        <w:rPr>
          <w:rStyle w:val="Emphasis"/>
        </w:rPr>
        <w:t>Journal of Economic Perspectives, 9</w:t>
      </w:r>
      <w:r>
        <w:t xml:space="preserve">(4), 97–118. </w:t>
      </w:r>
      <w:hyperlink r:id="rId36" w:history="1">
        <w:r>
          <w:rPr>
            <w:rStyle w:val="Hyperlink"/>
          </w:rPr>
          <w:t>https://doi.org/10.1257/jep.9.4.97</w:t>
        </w:r>
      </w:hyperlink>
    </w:p>
    <w:p w14:paraId="0E5AF505" w14:textId="77777777" w:rsidR="00970859" w:rsidRDefault="00970859" w:rsidP="00970859">
      <w:pPr>
        <w:pStyle w:val="isselectedend"/>
      </w:pPr>
      <w:r>
        <w:t xml:space="preserve">Renwick, D. W. S., Redman, T., &amp; Maguire, S. (2013). Green human resource management: A review and research agenda. </w:t>
      </w:r>
      <w:r>
        <w:rPr>
          <w:rStyle w:val="Emphasis"/>
        </w:rPr>
        <w:t>International Journal of Management Reviews, 15</w:t>
      </w:r>
      <w:r>
        <w:t xml:space="preserve">(1), 1–14. </w:t>
      </w:r>
      <w:hyperlink r:id="rId37" w:history="1">
        <w:r>
          <w:rPr>
            <w:rStyle w:val="Hyperlink"/>
          </w:rPr>
          <w:t>https://doi.org/10.1111/j.1468-2370.2011.00328.x</w:t>
        </w:r>
      </w:hyperlink>
    </w:p>
    <w:p w14:paraId="527669F4" w14:textId="77777777" w:rsidR="00970859" w:rsidRDefault="00970859" w:rsidP="00970859">
      <w:pPr>
        <w:pStyle w:val="isselectedend"/>
      </w:pPr>
      <w:r>
        <w:t xml:space="preserve">Russo, M. V., &amp; Fouts, P. A. (1997). A resource-based perspective on corporate environmental performance and profitability. </w:t>
      </w:r>
      <w:r>
        <w:rPr>
          <w:rStyle w:val="Emphasis"/>
        </w:rPr>
        <w:t>Academy of Management Journal, 40</w:t>
      </w:r>
      <w:r>
        <w:t xml:space="preserve">(3), 534–559. </w:t>
      </w:r>
      <w:hyperlink r:id="rId38" w:history="1">
        <w:r>
          <w:rPr>
            <w:rStyle w:val="Hyperlink"/>
          </w:rPr>
          <w:t>https://doi.org/10.5465/257052</w:t>
        </w:r>
      </w:hyperlink>
    </w:p>
    <w:p w14:paraId="23CB84C4" w14:textId="77777777" w:rsidR="00970859" w:rsidRDefault="00970859" w:rsidP="00970859">
      <w:pPr>
        <w:pStyle w:val="isselectedend"/>
      </w:pPr>
      <w:r>
        <w:t xml:space="preserve">Sharma, S., &amp; Vredenburg, H. (1998). Proactive corporate environmental strategy and the development of competitively valuable organizational capabilities. </w:t>
      </w:r>
      <w:r>
        <w:rPr>
          <w:rStyle w:val="Emphasis"/>
        </w:rPr>
        <w:t>Strategic Management Journal, 19</w:t>
      </w:r>
      <w:r>
        <w:t xml:space="preserve">(8), 729–753. </w:t>
      </w:r>
      <w:hyperlink r:id="rId39" w:history="1">
        <w:r>
          <w:rPr>
            <w:rStyle w:val="Hyperlink"/>
          </w:rPr>
          <w:t>https://doi.org/10.1002/(SICI)1097-0266(199808)19:8%3C729::AID-SMJ967%3E3.0.CO;2-4</w:t>
        </w:r>
      </w:hyperlink>
    </w:p>
    <w:p w14:paraId="51B125D9" w14:textId="77777777" w:rsidR="00970859" w:rsidRDefault="00970859" w:rsidP="00970859">
      <w:pPr>
        <w:pStyle w:val="isselectedend"/>
      </w:pPr>
      <w:proofErr w:type="spellStart"/>
      <w:r>
        <w:t>Yaashikaa</w:t>
      </w:r>
      <w:proofErr w:type="spellEnd"/>
      <w:r>
        <w:t xml:space="preserve">, P. R., Senthil Kumar, P., &amp; </w:t>
      </w:r>
      <w:proofErr w:type="spellStart"/>
      <w:r>
        <w:t>Varjani</w:t>
      </w:r>
      <w:proofErr w:type="spellEnd"/>
      <w:r>
        <w:t xml:space="preserve">, S. (2022). Valorization of agro-industrial wastes for biorefinery process and circular bioeconomy: A critical review. </w:t>
      </w:r>
      <w:r>
        <w:rPr>
          <w:rStyle w:val="Emphasis"/>
        </w:rPr>
        <w:t>Bioresource Technology, 343</w:t>
      </w:r>
      <w:r>
        <w:t xml:space="preserve">, 126126. </w:t>
      </w:r>
      <w:hyperlink r:id="rId40" w:history="1">
        <w:r>
          <w:rPr>
            <w:rStyle w:val="Hyperlink"/>
          </w:rPr>
          <w:t>https://doi.org/10.1016/j.biortech.2021.126126</w:t>
        </w:r>
      </w:hyperlink>
    </w:p>
    <w:p w14:paraId="1405DD16" w14:textId="77777777" w:rsidR="00970859" w:rsidRDefault="00970859" w:rsidP="00970859">
      <w:pPr>
        <w:pStyle w:val="isselectedend"/>
      </w:pPr>
      <w:r>
        <w:t xml:space="preserve">Zacher, H., Rudolph, C. W., &amp; Katz, I. M. (2023). Employee green behavior as the core of environmentally sustainable organizations. </w:t>
      </w:r>
      <w:r>
        <w:rPr>
          <w:rStyle w:val="Emphasis"/>
        </w:rPr>
        <w:t>Annual Review of Organizational Psychology and Organizational Behavior, 10</w:t>
      </w:r>
      <w:r>
        <w:t xml:space="preserve">, 465–494. </w:t>
      </w:r>
      <w:hyperlink r:id="rId41" w:history="1">
        <w:r>
          <w:rPr>
            <w:rStyle w:val="Hyperlink"/>
          </w:rPr>
          <w:t>https://doi.org/10.1146/annurev-orgpsych-120920-050421</w:t>
        </w:r>
      </w:hyperlink>
    </w:p>
    <w:p w14:paraId="3FFF5402" w14:textId="77777777" w:rsidR="00970859" w:rsidRDefault="00970859" w:rsidP="00970859">
      <w:pPr>
        <w:pStyle w:val="NormalWeb"/>
      </w:pPr>
      <w:r>
        <w:t xml:space="preserve">Zhao, F., Li, M., Xie, X., &amp; He, L. (2026). Green product and process innovation and firm performance: A meta-analytic review. </w:t>
      </w:r>
      <w:r>
        <w:rPr>
          <w:rStyle w:val="Emphasis"/>
        </w:rPr>
        <w:t>Sustainability, 18</w:t>
      </w:r>
      <w:r>
        <w:t xml:space="preserve">(3), 1640. </w:t>
      </w:r>
      <w:hyperlink r:id="rId42" w:history="1">
        <w:r>
          <w:rPr>
            <w:rStyle w:val="Hyperlink"/>
          </w:rPr>
          <w:t>https://doi.org/10.3390/su18031640</w:t>
        </w:r>
      </w:hyperlink>
    </w:p>
    <w:p w14:paraId="17BD32F7" w14:textId="77777777" w:rsidR="004841B3" w:rsidRDefault="004841B3" w:rsidP="00741696">
      <w:pPr>
        <w:jc w:val="both"/>
      </w:pPr>
    </w:p>
    <w:sectPr w:rsidR="004841B3" w:rsidSect="004841B3">
      <w:headerReference w:type="even" r:id="rId43"/>
      <w:headerReference w:type="default" r:id="rId44"/>
      <w:footerReference w:type="even" r:id="rId45"/>
      <w:footerReference w:type="default" r:id="rId46"/>
      <w:headerReference w:type="first" r:id="rId47"/>
      <w:footerReference w:type="first" r:id="rId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267F5" w14:textId="77777777" w:rsidR="00E35FA6" w:rsidRDefault="00E35FA6" w:rsidP="00EA0329">
      <w:pPr>
        <w:spacing w:after="0" w:line="240" w:lineRule="auto"/>
      </w:pPr>
      <w:r>
        <w:separator/>
      </w:r>
    </w:p>
  </w:endnote>
  <w:endnote w:type="continuationSeparator" w:id="0">
    <w:p w14:paraId="0C4D8990" w14:textId="77777777" w:rsidR="00E35FA6" w:rsidRDefault="00E35FA6" w:rsidP="00EA0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DA6CD" w14:textId="77777777" w:rsidR="00EA0329" w:rsidRDefault="00EA03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09239" w14:textId="77777777" w:rsidR="00EA0329" w:rsidRDefault="00EA03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43077" w14:textId="77777777" w:rsidR="00EA0329" w:rsidRDefault="00EA03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E4A75" w14:textId="77777777" w:rsidR="00E35FA6" w:rsidRDefault="00E35FA6" w:rsidP="00EA0329">
      <w:pPr>
        <w:spacing w:after="0" w:line="240" w:lineRule="auto"/>
      </w:pPr>
      <w:r>
        <w:separator/>
      </w:r>
    </w:p>
  </w:footnote>
  <w:footnote w:type="continuationSeparator" w:id="0">
    <w:p w14:paraId="4CFF5006" w14:textId="77777777" w:rsidR="00E35FA6" w:rsidRDefault="00E35FA6" w:rsidP="00EA0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81D08" w14:textId="77777777" w:rsidR="00EA0329" w:rsidRDefault="00000000">
    <w:pPr>
      <w:pStyle w:val="Header"/>
    </w:pPr>
    <w:r>
      <w:rPr>
        <w:noProof/>
      </w:rPr>
      <w:pict w14:anchorId="1A3E58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537688"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C7824" w14:textId="77777777" w:rsidR="00EA0329" w:rsidRDefault="00000000">
    <w:pPr>
      <w:pStyle w:val="Header"/>
    </w:pPr>
    <w:r>
      <w:rPr>
        <w:noProof/>
      </w:rPr>
      <w:pict w14:anchorId="1166A3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537689"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7A7B0" w14:textId="77777777" w:rsidR="00EA0329" w:rsidRDefault="00000000">
    <w:pPr>
      <w:pStyle w:val="Header"/>
    </w:pPr>
    <w:r>
      <w:rPr>
        <w:noProof/>
      </w:rPr>
      <w:pict w14:anchorId="6E9F9C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537687"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docVars>
    <w:docVar w:name="__Grammarly_42____i" w:val="H4sIAAAAAAAEAKtWckksSQxILCpxzi/NK1GyMqwFAAEhoTITAAAA"/>
    <w:docVar w:name="__Grammarly_42___1" w:val="H4sIAAAAAAAEAKtWcslP9kxRslIyNDYxsjS0NDU1NzG1NLAwMjNV0lEKTi0uzszPAykwrAUATGUjtywAAAA="/>
  </w:docVars>
  <w:rsids>
    <w:rsidRoot w:val="00686F41"/>
    <w:rsid w:val="001437D3"/>
    <w:rsid w:val="00217D0F"/>
    <w:rsid w:val="00345F3B"/>
    <w:rsid w:val="00392F58"/>
    <w:rsid w:val="003A7B7D"/>
    <w:rsid w:val="004841B3"/>
    <w:rsid w:val="005D60F1"/>
    <w:rsid w:val="005D7691"/>
    <w:rsid w:val="00686F41"/>
    <w:rsid w:val="00693932"/>
    <w:rsid w:val="00741696"/>
    <w:rsid w:val="00795086"/>
    <w:rsid w:val="00824882"/>
    <w:rsid w:val="008A381F"/>
    <w:rsid w:val="00970859"/>
    <w:rsid w:val="009C79CE"/>
    <w:rsid w:val="009F2DE7"/>
    <w:rsid w:val="00C41A9F"/>
    <w:rsid w:val="00E35FA6"/>
    <w:rsid w:val="00EA0329"/>
    <w:rsid w:val="00EC639C"/>
    <w:rsid w:val="00EF11C9"/>
    <w:rsid w:val="00FC69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70DD0"/>
  <w15:chartTrackingRefBased/>
  <w15:docId w15:val="{AE770233-1F47-4AA0-8AFD-E4F408E6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1">
    <w:name w:val="heading 1"/>
    <w:basedOn w:val="Normal"/>
    <w:next w:val="Normal"/>
    <w:link w:val="Heading1Char"/>
    <w:uiPriority w:val="9"/>
    <w:qFormat/>
    <w:rsid w:val="00686F4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86F4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86F4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86F4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86F4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86F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6F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6F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6F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1Char">
    <w:name w:val="Heading 1 Char"/>
    <w:basedOn w:val="DefaultParagraphFont"/>
    <w:link w:val="Heading1"/>
    <w:uiPriority w:val="9"/>
    <w:rsid w:val="00686F4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86F4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86F4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86F4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86F4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86F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6F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6F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6F41"/>
    <w:rPr>
      <w:rFonts w:eastAsiaTheme="majorEastAsia" w:cstheme="majorBidi"/>
      <w:color w:val="272727" w:themeColor="text1" w:themeTint="D8"/>
    </w:rPr>
  </w:style>
  <w:style w:type="paragraph" w:styleId="Title">
    <w:name w:val="Title"/>
    <w:basedOn w:val="Normal"/>
    <w:next w:val="Normal"/>
    <w:link w:val="TitleChar"/>
    <w:uiPriority w:val="10"/>
    <w:qFormat/>
    <w:rsid w:val="00686F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6F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6F4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6F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6F4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86F41"/>
    <w:rPr>
      <w:i/>
      <w:iCs/>
      <w:color w:val="404040" w:themeColor="text1" w:themeTint="BF"/>
    </w:rPr>
  </w:style>
  <w:style w:type="paragraph" w:styleId="ListParagraph">
    <w:name w:val="List Paragraph"/>
    <w:basedOn w:val="Normal"/>
    <w:uiPriority w:val="34"/>
    <w:qFormat/>
    <w:rsid w:val="00686F41"/>
    <w:pPr>
      <w:ind w:left="720"/>
      <w:contextualSpacing/>
    </w:pPr>
  </w:style>
  <w:style w:type="character" w:styleId="IntenseEmphasis">
    <w:name w:val="Intense Emphasis"/>
    <w:basedOn w:val="DefaultParagraphFont"/>
    <w:uiPriority w:val="21"/>
    <w:qFormat/>
    <w:rsid w:val="00686F41"/>
    <w:rPr>
      <w:i/>
      <w:iCs/>
      <w:color w:val="365F91" w:themeColor="accent1" w:themeShade="BF"/>
    </w:rPr>
  </w:style>
  <w:style w:type="paragraph" w:styleId="IntenseQuote">
    <w:name w:val="Intense Quote"/>
    <w:basedOn w:val="Normal"/>
    <w:next w:val="Normal"/>
    <w:link w:val="IntenseQuoteChar"/>
    <w:uiPriority w:val="30"/>
    <w:qFormat/>
    <w:rsid w:val="00686F4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86F41"/>
    <w:rPr>
      <w:i/>
      <w:iCs/>
      <w:color w:val="365F91" w:themeColor="accent1" w:themeShade="BF"/>
    </w:rPr>
  </w:style>
  <w:style w:type="character" w:styleId="IntenseReference">
    <w:name w:val="Intense Reference"/>
    <w:basedOn w:val="DefaultParagraphFont"/>
    <w:uiPriority w:val="32"/>
    <w:qFormat/>
    <w:rsid w:val="00686F41"/>
    <w:rPr>
      <w:b/>
      <w:bCs/>
      <w:smallCaps/>
      <w:color w:val="365F91" w:themeColor="accent1" w:themeShade="BF"/>
      <w:spacing w:val="5"/>
    </w:rPr>
  </w:style>
  <w:style w:type="table" w:styleId="TableGridLight">
    <w:name w:val="Grid Table Light"/>
    <w:basedOn w:val="TableNormal"/>
    <w:uiPriority w:val="40"/>
    <w:rsid w:val="00392F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392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03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0329"/>
  </w:style>
  <w:style w:type="paragraph" w:styleId="Footer">
    <w:name w:val="footer"/>
    <w:basedOn w:val="Normal"/>
    <w:link w:val="FooterChar"/>
    <w:uiPriority w:val="99"/>
    <w:unhideWhenUsed/>
    <w:rsid w:val="00EA03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0329"/>
  </w:style>
  <w:style w:type="paragraph" w:customStyle="1" w:styleId="isselectedend">
    <w:name w:val="isselectedend"/>
    <w:basedOn w:val="Normal"/>
    <w:rsid w:val="0097085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970859"/>
    <w:rPr>
      <w:i/>
      <w:iCs/>
    </w:rPr>
  </w:style>
  <w:style w:type="character" w:styleId="Hyperlink">
    <w:name w:val="Hyperlink"/>
    <w:basedOn w:val="DefaultParagraphFont"/>
    <w:uiPriority w:val="99"/>
    <w:semiHidden/>
    <w:unhideWhenUsed/>
    <w:rsid w:val="00970859"/>
    <w:rPr>
      <w:color w:val="0000FF"/>
      <w:u w:val="single"/>
    </w:rPr>
  </w:style>
  <w:style w:type="paragraph" w:styleId="NormalWeb">
    <w:name w:val="Normal (Web)"/>
    <w:basedOn w:val="Normal"/>
    <w:uiPriority w:val="99"/>
    <w:semiHidden/>
    <w:unhideWhenUsed/>
    <w:rsid w:val="0097085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77/014920639101700108" TargetMode="External"/><Relationship Id="rId18" Type="http://schemas.openxmlformats.org/officeDocument/2006/relationships/hyperlink" Target="https://doi.org/10.37284/eajbe.6.1.1496" TargetMode="External"/><Relationship Id="rId26" Type="http://schemas.openxmlformats.org/officeDocument/2006/relationships/hyperlink" Target="https://doi.org/10.1002/csr.2260" TargetMode="External"/><Relationship Id="rId39" Type="http://schemas.openxmlformats.org/officeDocument/2006/relationships/hyperlink" Target="https://doi.org/10.1002/(SICI)1097-0266(199808)19:8%3C729::AID-SMJ967%3E3.0.CO;2-4" TargetMode="External"/><Relationship Id="rId21" Type="http://schemas.openxmlformats.org/officeDocument/2006/relationships/hyperlink" Target="https://doi.org/10.1016/j.jclepro.2022.132005" TargetMode="External"/><Relationship Id="rId34" Type="http://schemas.openxmlformats.org/officeDocument/2006/relationships/hyperlink" Target="https://doi.org/10.56557/jet/2026/v11i110199" TargetMode="External"/><Relationship Id="rId42" Type="http://schemas.openxmlformats.org/officeDocument/2006/relationships/hyperlink" Target="https://doi.org/10.3390/su18031640"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hyperlink" Target="https://doi.org/10.1108/MEQ-11-2017-0140" TargetMode="External"/><Relationship Id="rId2" Type="http://schemas.openxmlformats.org/officeDocument/2006/relationships/settings" Target="settings.xml"/><Relationship Id="rId16" Type="http://schemas.openxmlformats.org/officeDocument/2006/relationships/hyperlink" Target="https://doi.org/10.1007/s10551-007-9522-1" TargetMode="External"/><Relationship Id="rId29" Type="http://schemas.openxmlformats.org/officeDocument/2006/relationships/hyperlink" Target="https://doi.org/10.1002/bse.2961" TargetMode="External"/><Relationship Id="rId11" Type="http://schemas.openxmlformats.org/officeDocument/2006/relationships/hyperlink" Target="https://doi.org/10.5465/AMR.2003.8925233" TargetMode="External"/><Relationship Id="rId24" Type="http://schemas.openxmlformats.org/officeDocument/2006/relationships/hyperlink" Target="https://doi.org/10.5465/AMR.1995.9512280033" TargetMode="External"/><Relationship Id="rId32" Type="http://schemas.openxmlformats.org/officeDocument/2006/relationships/hyperlink" Target="https://doi.org/10.3389/fpls.2020.00339" TargetMode="External"/><Relationship Id="rId37" Type="http://schemas.openxmlformats.org/officeDocument/2006/relationships/hyperlink" Target="https://doi.org/10.1111/j.1468-2370.2011.00328.x" TargetMode="External"/><Relationship Id="rId40" Type="http://schemas.openxmlformats.org/officeDocument/2006/relationships/hyperlink" Target="https://doi.org/10.1016/j.biortech.2021.126126" TargetMode="External"/><Relationship Id="rId45"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doi.org/10.1016/j.jclepro.2024.143355" TargetMode="External"/><Relationship Id="rId23" Type="http://schemas.openxmlformats.org/officeDocument/2006/relationships/hyperlink" Target="https://doi.org/10.1038/s41598-025-95940-9" TargetMode="External"/><Relationship Id="rId28" Type="http://schemas.openxmlformats.org/officeDocument/2006/relationships/hyperlink" Target="https://doi.org/10.1007/s11356-017-9172-5" TargetMode="External"/><Relationship Id="rId36" Type="http://schemas.openxmlformats.org/officeDocument/2006/relationships/hyperlink" Target="https://doi.org/10.1257/jep.9.4.97" TargetMode="External"/><Relationship Id="rId49" Type="http://schemas.openxmlformats.org/officeDocument/2006/relationships/fontTable" Target="fontTable.xml"/><Relationship Id="rId10" Type="http://schemas.openxmlformats.org/officeDocument/2006/relationships/hyperlink" Target="https://doi.org/10.1002/bse.3864" TargetMode="External"/><Relationship Id="rId19" Type="http://schemas.openxmlformats.org/officeDocument/2006/relationships/hyperlink" Target="https://doi.org/10.1108/EMJB-09-2020-0101" TargetMode="External"/><Relationship Id="rId31" Type="http://schemas.openxmlformats.org/officeDocument/2006/relationships/hyperlink" Target="https://doi.org/10.11648/j.ijefm.20140205.11" TargetMode="External"/><Relationship Id="rId44"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doi.org/10.1093/reep/res016" TargetMode="External"/><Relationship Id="rId14" Type="http://schemas.openxmlformats.org/officeDocument/2006/relationships/hyperlink" Target="https://doi.org/10.1002/tie.70016" TargetMode="External"/><Relationship Id="rId22" Type="http://schemas.openxmlformats.org/officeDocument/2006/relationships/hyperlink" Target="https://openknowledge.fao.org/handle/20.500.14283/cc9417en" TargetMode="External"/><Relationship Id="rId27" Type="http://schemas.openxmlformats.org/officeDocument/2006/relationships/hyperlink" Target="https://doi.org/10.1002/bse.2641" TargetMode="External"/><Relationship Id="rId30" Type="http://schemas.openxmlformats.org/officeDocument/2006/relationships/hyperlink" Target="https://doi.org/10.1002/bse.3795" TargetMode="External"/><Relationship Id="rId35" Type="http://schemas.openxmlformats.org/officeDocument/2006/relationships/hyperlink" Target="https://doi.org/10.1016/j.eiar.2025.107828"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s://doi.org/10.1016/j.jclepro.2024.142353" TargetMode="External"/><Relationship Id="rId3" Type="http://schemas.openxmlformats.org/officeDocument/2006/relationships/webSettings" Target="webSettings.xml"/><Relationship Id="rId12" Type="http://schemas.openxmlformats.org/officeDocument/2006/relationships/hyperlink" Target="https://doi.org/10.1186/s41073-019-0064-8" TargetMode="External"/><Relationship Id="rId17" Type="http://schemas.openxmlformats.org/officeDocument/2006/relationships/hyperlink" Target="https://doi.org/10.1002/bse.3213" TargetMode="External"/><Relationship Id="rId25" Type="http://schemas.openxmlformats.org/officeDocument/2006/relationships/hyperlink" Target="https://doi.org/10.1016/j.jclepro.2020.122474" TargetMode="External"/><Relationship Id="rId33" Type="http://schemas.openxmlformats.org/officeDocument/2006/relationships/hyperlink" Target="https://doi.org/10.9734/ajeba/2025/v25i21669" TargetMode="External"/><Relationship Id="rId38" Type="http://schemas.openxmlformats.org/officeDocument/2006/relationships/hyperlink" Target="https://doi.org/10.5465/257052" TargetMode="External"/><Relationship Id="rId46" Type="http://schemas.openxmlformats.org/officeDocument/2006/relationships/footer" Target="footer2.xml"/><Relationship Id="rId20" Type="http://schemas.openxmlformats.org/officeDocument/2006/relationships/hyperlink" Target="https://doi.org/10.2307/2095101" TargetMode="External"/><Relationship Id="rId41" Type="http://schemas.openxmlformats.org/officeDocument/2006/relationships/hyperlink" Target="https://doi.org/10.1146/annurev-orgpsych-120920-050421" TargetMode="External"/><Relationship Id="rId1" Type="http://schemas.openxmlformats.org/officeDocument/2006/relationships/styles" Target="styles.xml"/><Relationship Id="rId6" Type="http://schemas.openxmlformats.org/officeDocument/2006/relationships/hyperlink" Target="https://doi.org/10.1002/bse.32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21</Pages>
  <Words>10519</Words>
  <Characters>59962</Characters>
  <Application>Microsoft Office Word</Application>
  <DocSecurity>0</DocSecurity>
  <Lines>499</Lines>
  <Paragraphs>140</Paragraphs>
  <ScaleCrop>false</ScaleCrop>
  <Company>HP</Company>
  <LinksUpToDate>false</LinksUpToDate>
  <CharactersWithSpaces>70341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Pinaki Mondal</dc:creator>
  <cp:keywords/>
  <dc:description/>
  <cp:lastModifiedBy>SDI 1087</cp:lastModifiedBy>
  <cp:revision>10</cp:revision>
  <dcterms:created xsi:type="dcterms:W3CDTF">2026-07-17T17:25:00Z</dcterms:created>
  <dcterms:modified xsi:type="dcterms:W3CDTF">2026-07-22T13:04:00Z</dcterms:modified>
</cp:coreProperties>
</file>