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D358" w14:textId="77777777" w:rsidR="001D6B91" w:rsidRPr="001A061B" w:rsidRDefault="001D6B91" w:rsidP="00CC7C28">
      <w:pPr>
        <w:pStyle w:val="Title"/>
        <w:spacing w:after="0"/>
        <w:jc w:val="center"/>
        <w:rPr>
          <w:rFonts w:ascii="Arial" w:hAnsi="Arial" w:cs="Arial"/>
          <w:bCs/>
          <w:sz w:val="20"/>
        </w:rPr>
      </w:pPr>
    </w:p>
    <w:p w14:paraId="191BA62C" w14:textId="77777777" w:rsidR="001D6B91" w:rsidRPr="001A061B" w:rsidRDefault="001D6B91" w:rsidP="00CC7C28">
      <w:pPr>
        <w:pStyle w:val="Title"/>
        <w:spacing w:after="0"/>
        <w:jc w:val="center"/>
        <w:rPr>
          <w:rFonts w:ascii="Arial" w:hAnsi="Arial" w:cs="Arial"/>
          <w:bCs/>
          <w:sz w:val="20"/>
        </w:rPr>
      </w:pPr>
    </w:p>
    <w:p w14:paraId="54C2993C" w14:textId="77777777" w:rsidR="00754C9A" w:rsidRPr="00EE4C33" w:rsidRDefault="00CC7C28" w:rsidP="00CC7C28">
      <w:pPr>
        <w:pStyle w:val="Title"/>
        <w:spacing w:after="0"/>
        <w:jc w:val="center"/>
        <w:rPr>
          <w:rFonts w:ascii="Arial" w:hAnsi="Arial" w:cs="Arial"/>
          <w:bCs/>
        </w:rPr>
      </w:pPr>
      <w:bookmarkStart w:id="0" w:name="_Hlk233060186"/>
      <w:r w:rsidRPr="00EE4C33">
        <w:rPr>
          <w:rFonts w:ascii="Arial" w:hAnsi="Arial" w:cs="Arial"/>
          <w:bCs/>
          <w:sz w:val="20"/>
        </w:rPr>
        <w:t>Fiscal Stance, Public Debt, and Inflation Dynamics in Nigeria</w:t>
      </w:r>
    </w:p>
    <w:bookmarkEnd w:id="0"/>
    <w:p w14:paraId="487D75ED" w14:textId="77777777" w:rsidR="00A258C3" w:rsidRPr="00EE4C33" w:rsidRDefault="00A258C3" w:rsidP="00441B6F">
      <w:pPr>
        <w:pStyle w:val="Author"/>
        <w:spacing w:line="240" w:lineRule="auto"/>
        <w:jc w:val="both"/>
        <w:rPr>
          <w:rFonts w:ascii="Arial" w:hAnsi="Arial" w:cs="Arial"/>
          <w:sz w:val="36"/>
        </w:rPr>
      </w:pPr>
    </w:p>
    <w:p w14:paraId="1021EADB" w14:textId="77777777" w:rsidR="002C57D2" w:rsidRPr="00EE4C33" w:rsidRDefault="002C57D2" w:rsidP="00441B6F">
      <w:pPr>
        <w:pStyle w:val="Affiliation"/>
        <w:spacing w:after="0" w:line="240" w:lineRule="auto"/>
        <w:jc w:val="both"/>
        <w:rPr>
          <w:rFonts w:ascii="Arial" w:hAnsi="Arial" w:cs="Arial"/>
        </w:rPr>
      </w:pPr>
    </w:p>
    <w:p w14:paraId="003B7A4D" w14:textId="77777777" w:rsidR="009E2C16" w:rsidRPr="00EE4C33" w:rsidRDefault="009E2C16" w:rsidP="00441B6F">
      <w:pPr>
        <w:pStyle w:val="Affiliation"/>
        <w:spacing w:after="0" w:line="240" w:lineRule="auto"/>
        <w:jc w:val="both"/>
        <w:rPr>
          <w:rFonts w:ascii="Arial" w:hAnsi="Arial" w:cs="Arial"/>
        </w:rPr>
      </w:pPr>
    </w:p>
    <w:p w14:paraId="04CF8BEE" w14:textId="77777777" w:rsidR="00B01FCD" w:rsidRPr="00EE4C33" w:rsidRDefault="0068000A" w:rsidP="00441B6F">
      <w:pPr>
        <w:pStyle w:val="Copyright"/>
        <w:spacing w:after="0" w:line="240" w:lineRule="auto"/>
        <w:jc w:val="both"/>
        <w:rPr>
          <w:rFonts w:ascii="Arial" w:hAnsi="Arial" w:cs="Arial"/>
        </w:rPr>
        <w:sectPr w:rsidR="00B01FCD" w:rsidRPr="00EE4C33" w:rsidSect="009E2C16">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EE4C33">
        <w:rPr>
          <w:rFonts w:ascii="Arial" w:hAnsi="Arial" w:cs="Arial"/>
          <w:noProof/>
        </w:rPr>
        <mc:AlternateContent>
          <mc:Choice Requires="wps">
            <w:drawing>
              <wp:inline distT="0" distB="0" distL="0" distR="0" wp14:anchorId="2A6EF07D" wp14:editId="233D7DA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BA15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E4C33">
        <w:rPr>
          <w:rFonts w:ascii="Arial" w:hAnsi="Arial" w:cs="Arial"/>
        </w:rPr>
        <w:t>.</w:t>
      </w:r>
    </w:p>
    <w:p w14:paraId="2937E688" w14:textId="77777777" w:rsidR="00B01FCD" w:rsidRPr="00EE4C33" w:rsidRDefault="00B01FCD" w:rsidP="00441B6F">
      <w:pPr>
        <w:pStyle w:val="AbstHead"/>
        <w:spacing w:after="0"/>
        <w:jc w:val="both"/>
        <w:rPr>
          <w:rFonts w:ascii="Arial" w:hAnsi="Arial" w:cs="Arial"/>
        </w:rPr>
      </w:pPr>
      <w:r w:rsidRPr="00EE4C33">
        <w:rPr>
          <w:rFonts w:ascii="Arial" w:hAnsi="Arial" w:cs="Arial"/>
        </w:rPr>
        <w:t>ABSTRACT</w:t>
      </w:r>
      <w:r w:rsidR="0066510A" w:rsidRPr="00EE4C33">
        <w:rPr>
          <w:rFonts w:ascii="Arial" w:hAnsi="Arial" w:cs="Arial"/>
        </w:rPr>
        <w:t xml:space="preserve"> </w:t>
      </w:r>
    </w:p>
    <w:p w14:paraId="6093B2AD" w14:textId="77777777" w:rsidR="00790ADA" w:rsidRPr="00EE4C3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E4C33" w14:paraId="68FA2F5D" w14:textId="77777777" w:rsidTr="001E44FE">
        <w:tc>
          <w:tcPr>
            <w:tcW w:w="9576" w:type="dxa"/>
            <w:shd w:val="clear" w:color="auto" w:fill="F2F2F2"/>
          </w:tcPr>
          <w:p w14:paraId="1D3A8482" w14:textId="18D581F7" w:rsidR="00505F06" w:rsidRPr="00EE4C33" w:rsidRDefault="005C3C89" w:rsidP="00AE19C6">
            <w:pPr>
              <w:pStyle w:val="Body"/>
              <w:spacing w:after="0"/>
              <w:rPr>
                <w:rFonts w:ascii="Arial" w:eastAsia="Calibri" w:hAnsi="Arial" w:cs="Arial"/>
                <w:szCs w:val="22"/>
              </w:rPr>
            </w:pPr>
            <w:r>
              <w:t xml:space="preserve">Amid persistent price increases, fiscal deficits and rising public debt, the drivers of inflation in Nigeria remain debated, particularly whether they are mainly fiscal, monetary or structural. This study examines the individual effects of fiscal deficit and public debt on inflation and determines whether public debt moderates the relationship between fiscal deficit and inflation in Nigeria over the period 1980–2024. The study employs the autoregressive distributed lag bounds testing approach. Inflation rate is the dependent variable, while fiscal deficit, public debt and their interaction term are the key explanatory variables. Broad money growth, nominal exchange rate, real GDP growth and lending rate are included as control variables. The findings indicate a strong long-run cointegrating relationship. In the long run, both fiscal deficit and public debt significantly reduce inflation, whereas exchange rate, broad money growth and lending rate are the main positive determinants of inflation in Nigeria. In the short run, the interaction between fiscal deficit and public debt reduces immediate inflationary effects, suggesting that debt conditions the deficit-inflation relationship. The study concludes that inflation in Nigeria is influenced more by monetary and external factors than by fiscal imbalance alone. It recommends stronger fiscal-monetary coordination, market-oriented deficit financing and fiscal buffers to limit deficit </w:t>
            </w:r>
            <w:proofErr w:type="spellStart"/>
            <w:r>
              <w:t>monetisation</w:t>
            </w:r>
            <w:proofErr w:type="spellEnd"/>
            <w:r>
              <w:t>, exchange-rate pass-through and political or external shocks to price stability.</w:t>
            </w:r>
          </w:p>
        </w:tc>
      </w:tr>
    </w:tbl>
    <w:p w14:paraId="60F7EF34" w14:textId="77777777" w:rsidR="00636EB2" w:rsidRPr="00EE4C33" w:rsidRDefault="00636EB2" w:rsidP="00441B6F">
      <w:pPr>
        <w:pStyle w:val="Body"/>
        <w:spacing w:after="0"/>
        <w:rPr>
          <w:rFonts w:ascii="Arial" w:hAnsi="Arial" w:cs="Arial"/>
          <w:i/>
        </w:rPr>
      </w:pPr>
    </w:p>
    <w:p w14:paraId="05E97B63" w14:textId="342A5E35" w:rsidR="00FA17F5" w:rsidRPr="00EE4C33" w:rsidRDefault="00FA17F5" w:rsidP="00E80309">
      <w:pPr>
        <w:pStyle w:val="pdq2pgselectionanchorcontainer"/>
        <w:jc w:val="both"/>
        <w:rPr>
          <w:rFonts w:ascii="Arial" w:hAnsi="Arial" w:cs="Arial"/>
          <w:i/>
        </w:rPr>
      </w:pPr>
      <w:r w:rsidRPr="00EE4C33">
        <w:rPr>
          <w:rFonts w:ascii="Arial" w:hAnsi="Arial" w:cs="Arial"/>
          <w:i/>
          <w:sz w:val="22"/>
          <w:szCs w:val="22"/>
        </w:rPr>
        <w:t>Keywords</w:t>
      </w:r>
      <w:r w:rsidRPr="00EE4C33">
        <w:rPr>
          <w:rFonts w:ascii="Arial" w:hAnsi="Arial" w:cs="Arial"/>
          <w:i/>
        </w:rPr>
        <w:t xml:space="preserve">: </w:t>
      </w:r>
      <w:r w:rsidR="00E80309" w:rsidRPr="00E80309">
        <w:t>Fiscal stance; public debt; fiscal deficit; inflation dynamics; ARDL bounds testing; fiscal dominance; monetary-fiscal coordination; exchange-rate pass-through; debt sustainability; Nigeria; macroeconomic stability.</w:t>
      </w:r>
    </w:p>
    <w:p w14:paraId="692F3D02" w14:textId="77777777" w:rsidR="00FA17F5" w:rsidRPr="00EE4C33" w:rsidRDefault="00FA17F5" w:rsidP="00441B6F">
      <w:pPr>
        <w:pStyle w:val="Body"/>
        <w:spacing w:after="0"/>
        <w:rPr>
          <w:rFonts w:ascii="Arial" w:hAnsi="Arial" w:cs="Arial"/>
          <w:i/>
        </w:rPr>
      </w:pPr>
    </w:p>
    <w:p w14:paraId="544470D5" w14:textId="77777777" w:rsidR="004E5289" w:rsidRPr="00EE4C33" w:rsidRDefault="004E5289" w:rsidP="004E5289">
      <w:pPr>
        <w:pStyle w:val="Body"/>
        <w:spacing w:after="0"/>
        <w:rPr>
          <w:rFonts w:ascii="Arial" w:hAnsi="Arial" w:cs="Arial"/>
          <w:i/>
        </w:rPr>
      </w:pPr>
    </w:p>
    <w:p w14:paraId="60A985ED" w14:textId="77777777" w:rsidR="00505F06" w:rsidRPr="00EE4C33" w:rsidRDefault="00505F06" w:rsidP="00441B6F">
      <w:pPr>
        <w:pStyle w:val="Body"/>
        <w:spacing w:after="0"/>
        <w:rPr>
          <w:rFonts w:ascii="Arial" w:hAnsi="Arial" w:cs="Arial"/>
          <w:i/>
        </w:rPr>
      </w:pPr>
    </w:p>
    <w:p w14:paraId="6283BA2D" w14:textId="77777777" w:rsidR="00B01FCD" w:rsidRPr="00EE4C33" w:rsidRDefault="00902823" w:rsidP="0080182A">
      <w:pPr>
        <w:pStyle w:val="AbstHead"/>
        <w:spacing w:after="0"/>
        <w:jc w:val="both"/>
        <w:rPr>
          <w:rFonts w:ascii="Arial" w:hAnsi="Arial" w:cs="Arial"/>
        </w:rPr>
      </w:pPr>
      <w:r w:rsidRPr="00EE4C33">
        <w:rPr>
          <w:rFonts w:ascii="Arial" w:hAnsi="Arial" w:cs="Arial"/>
        </w:rPr>
        <w:t xml:space="preserve">1. </w:t>
      </w:r>
      <w:r w:rsidR="00B01FCD" w:rsidRPr="00EE4C33">
        <w:rPr>
          <w:rFonts w:ascii="Arial" w:hAnsi="Arial" w:cs="Arial"/>
        </w:rPr>
        <w:t>INTRODUCTION</w:t>
      </w:r>
    </w:p>
    <w:p w14:paraId="728A2B75" w14:textId="77777777" w:rsidR="0080182A" w:rsidRPr="00EE4C33" w:rsidRDefault="0080182A" w:rsidP="0080182A">
      <w:pPr>
        <w:pStyle w:val="AbstHead"/>
        <w:spacing w:after="0"/>
        <w:jc w:val="both"/>
        <w:rPr>
          <w:rFonts w:ascii="Arial" w:hAnsi="Arial" w:cs="Arial"/>
          <w:b w:val="0"/>
          <w:bCs/>
        </w:rPr>
      </w:pPr>
    </w:p>
    <w:p w14:paraId="39B222E9" w14:textId="4D3E254A" w:rsidR="0080182A" w:rsidRPr="00EE4C33" w:rsidRDefault="0080182A" w:rsidP="0080182A">
      <w:pPr>
        <w:jc w:val="both"/>
        <w:rPr>
          <w:rFonts w:ascii="Arial" w:hAnsi="Arial" w:cs="Arial"/>
        </w:rPr>
      </w:pPr>
      <w:r w:rsidRPr="00EE4C33">
        <w:t>Macroeconomic stability in emerging markets is significantly influenced by fiscal financing choices and debt-management strategies. In settings marked by weak institutions and underdeveloped financial markets, budgetary deficits combined with rising debt levels affect inflation through a complex interaction between monetary and fiscal policies (Reinhart &amp; Rogoff, 2010; Hooley et al., 202</w:t>
      </w:r>
      <w:r w:rsidR="00764AAD">
        <w:t>4</w:t>
      </w:r>
      <w:r w:rsidRPr="00EE4C33">
        <w:t>). Recent inflationary trends in sub-Saharan Africa are driven not only by monetary variables but also by fiscal imbalances that undermine price stability and reduce consumers' purchasing power (Olaoye et al., 202</w:t>
      </w:r>
      <w:r w:rsidR="00764AAD">
        <w:t>4</w:t>
      </w:r>
      <w:r w:rsidRPr="00EE4C33">
        <w:t>). The 2008 global financial crisis and the COVID-19 pandemic have increased scholarly and policy attention to the channels through which fiscal policy can influence inflation, as unprecedented debt-financed stimulus has raised important concerns about fiscal sustainability and inflationary effects (Beirne &amp; Renzhi, 2024).</w:t>
      </w:r>
    </w:p>
    <w:p w14:paraId="01F224C8" w14:textId="6EBAA3D3" w:rsidR="0080182A" w:rsidRPr="00EE4C33" w:rsidRDefault="0080182A" w:rsidP="0080182A">
      <w:pPr>
        <w:jc w:val="both"/>
        <w:rPr>
          <w:rFonts w:ascii="Arial" w:hAnsi="Arial" w:cs="Arial"/>
        </w:rPr>
      </w:pPr>
      <w:r w:rsidRPr="00EE4C33">
        <w:lastRenderedPageBreak/>
        <w:t xml:space="preserve">The literature </w:t>
      </w:r>
      <w:proofErr w:type="spellStart"/>
      <w:r w:rsidRPr="00EE4C33">
        <w:t>conceptualises</w:t>
      </w:r>
      <w:proofErr w:type="spellEnd"/>
      <w:r w:rsidRPr="00EE4C33">
        <w:t xml:space="preserve"> the interplay among fiscal policy, debt dynamics, and inflation through two theoretical anchors: the Fiscal Theory of the Price Level (FTPL) and the fiscal dominance hypothesis. The FTPL proposes that misalignment between government debt and anticipated primary surpluses requires price-level adjustment, thereby positioning inflation as a fiscal phenomenon (Baldini &amp; Ribeiro, 2008; Sargent &amp; Wallace, 1981). The fiscal dominance hypothesis extends this logic to the institutional environment. When fiscal authorities exercise effective control over monetary authorities, typically through central bank financing of government deficits, inflation becomes the mechanism through which the government's long-term budget constraint reaches equilibrium (Duarte Urquhart, 202</w:t>
      </w:r>
      <w:r w:rsidR="00B10875">
        <w:t>2</w:t>
      </w:r>
      <w:r w:rsidRPr="00EE4C33">
        <w:t>; Hooley et al., 202</w:t>
      </w:r>
      <w:r w:rsidR="00764AAD">
        <w:t>4</w:t>
      </w:r>
      <w:r w:rsidRPr="00EE4C33">
        <w:t>). These channels are particularly relevant in emerging markets with less developed financial systems, where substantial debt can limit the capacity of central banks to manage inflation expectations and maintain monetary autonomy.</w:t>
      </w:r>
    </w:p>
    <w:p w14:paraId="4179C1DB" w14:textId="77777777" w:rsidR="00362554" w:rsidRPr="00EE4C33" w:rsidRDefault="00000000">
      <w:pPr>
        <w:jc w:val="both"/>
      </w:pPr>
      <w:r w:rsidRPr="00EE4C33">
        <w:rPr>
          <w:b/>
        </w:rPr>
        <w:t>Recent forward-looking evidence further suggests that fiscal dominance is more likely to emerge where elevated debt positions, weak central-bank independence, and limited debt-rule credibility constrain monetary-policy responses (</w:t>
      </w:r>
      <w:proofErr w:type="spellStart"/>
      <w:r w:rsidRPr="00EE4C33">
        <w:rPr>
          <w:b/>
        </w:rPr>
        <w:t>Bajaro</w:t>
      </w:r>
      <w:proofErr w:type="spellEnd"/>
      <w:r w:rsidRPr="00EE4C33">
        <w:rPr>
          <w:b/>
        </w:rPr>
        <w:t xml:space="preserve"> et al., 2025).</w:t>
      </w:r>
    </w:p>
    <w:p w14:paraId="770EC70C" w14:textId="77777777" w:rsidR="0080182A" w:rsidRPr="00EE4C33" w:rsidRDefault="0080182A" w:rsidP="0080182A">
      <w:pPr>
        <w:jc w:val="both"/>
      </w:pPr>
      <w:r w:rsidRPr="00EE4C33">
        <w:t>Recent contributions in leading economics journals further show that fiscal shocks can persistently influence inflation through unfunded debt dynamics and government intertemporal budget constraints, supporting a framework that jointly considers fiscal, debt, and monetary conditions (Bianchi et al., 2023; Barro &amp; Bianchi, 2026).</w:t>
      </w:r>
    </w:p>
    <w:p w14:paraId="0CF71C10" w14:textId="77777777" w:rsidR="00362554" w:rsidRPr="00EE4C33" w:rsidRDefault="00000000">
      <w:pPr>
        <w:jc w:val="both"/>
      </w:pPr>
      <w:r w:rsidRPr="00EE4C33">
        <w:rPr>
          <w:b/>
        </w:rPr>
        <w:t>Theoretical work in a low-interest-rate setting also indicates that debt and inflation stability can coexist under some fiscal-monetary policy configurations, reinforcing the need to assess the policy regime rather than fiscal indicators alone (Miao &amp; Su, 2024).</w:t>
      </w:r>
    </w:p>
    <w:p w14:paraId="7EFC394C" w14:textId="24B04FB2" w:rsidR="0080182A" w:rsidRPr="00EE4C33" w:rsidRDefault="0080182A" w:rsidP="0080182A">
      <w:pPr>
        <w:jc w:val="both"/>
        <w:rPr>
          <w:rFonts w:ascii="Arial" w:hAnsi="Arial" w:cs="Arial"/>
        </w:rPr>
      </w:pPr>
      <w:r w:rsidRPr="00EE4C33">
        <w:t>Cross-country evidence for sub-Saharan Africa (SSA) confirms that fiscal variables significantly affect inflation. Panel analyses of 44 SSA countries show that monetary growth alone has weak effects, while public debt shocks substantially increase inflation and amplify the inflationary impact of monetary growth (Olaoye et al., 202</w:t>
      </w:r>
      <w:r w:rsidR="00764AAD">
        <w:t>4</w:t>
      </w:r>
      <w:r w:rsidRPr="00EE4C33">
        <w:t xml:space="preserve">). Evidence from 25 SSA economies further demonstrates that foreign debt raises inflation, whereas domestic debt initially moderates inflation but exhibits nonlinear threshold effects, becoming </w:t>
      </w:r>
      <w:proofErr w:type="spellStart"/>
      <w:r w:rsidRPr="00EE4C33">
        <w:t>destabilising</w:t>
      </w:r>
      <w:proofErr w:type="spellEnd"/>
      <w:r w:rsidRPr="00EE4C33">
        <w:t xml:space="preserve"> when debt-to-GDP ratios exceed 60% (Olaoye et al., 2022). These findings support the broader threshold literature, which shows that unsustainable debt levels constrain macroeconomic performance beyond critical thresholds (</w:t>
      </w:r>
      <w:proofErr w:type="spellStart"/>
      <w:r w:rsidRPr="00EE4C33">
        <w:t>Ndoricimpa</w:t>
      </w:r>
      <w:proofErr w:type="spellEnd"/>
      <w:r w:rsidRPr="00EE4C33">
        <w:t xml:space="preserve">, 2020; Reinhart &amp; Rogoff, 2010). Together, this empirical consensus challenges purely monetarist views and </w:t>
      </w:r>
      <w:proofErr w:type="spellStart"/>
      <w:r w:rsidRPr="00EE4C33">
        <w:t>emphasises</w:t>
      </w:r>
      <w:proofErr w:type="spellEnd"/>
      <w:r w:rsidRPr="00EE4C33">
        <w:t xml:space="preserve"> the importance of examining how fiscal deficits, public debt, and monetary conditions interact to determine inflation.</w:t>
      </w:r>
    </w:p>
    <w:p w14:paraId="2D2F0E40" w14:textId="77777777" w:rsidR="00362554" w:rsidRPr="00EE4C33" w:rsidRDefault="00000000">
      <w:pPr>
        <w:jc w:val="both"/>
      </w:pPr>
      <w:r w:rsidRPr="00EE4C33">
        <w:rPr>
          <w:b/>
        </w:rPr>
        <w:t>Evidence on government expenditure and inflation in Nigeria also points to nonlinear effects, suggesting that the inflationary consequence of public spending depends on growth conditions and whether spending is monetarily financed (Falade, 2024).</w:t>
      </w:r>
    </w:p>
    <w:p w14:paraId="014267A0" w14:textId="77777777" w:rsidR="0080182A" w:rsidRPr="00EE4C33" w:rsidRDefault="0080182A" w:rsidP="0080182A">
      <w:pPr>
        <w:jc w:val="both"/>
        <w:rPr>
          <w:bCs/>
        </w:rPr>
      </w:pPr>
      <w:r w:rsidRPr="00EE4C33">
        <w:rPr>
          <w:bCs/>
        </w:rPr>
        <w:t xml:space="preserve">Recent inflation-decomposition evidence also cautions that post-crisis inflation may reflect a combination of price shocks, expectations, </w:t>
      </w:r>
      <w:proofErr w:type="spellStart"/>
      <w:r w:rsidRPr="00EE4C33">
        <w:rPr>
          <w:bCs/>
        </w:rPr>
        <w:t>labour</w:t>
      </w:r>
      <w:proofErr w:type="spellEnd"/>
      <w:r w:rsidRPr="00EE4C33">
        <w:rPr>
          <w:bCs/>
        </w:rPr>
        <w:t>-market conditions, and fiscal-policy settings rather than a single source, which supports the inclusion of multiple controls in inflation models (Bernanke &amp; Blanchard, 2025).</w:t>
      </w:r>
    </w:p>
    <w:p w14:paraId="6B8E0558" w14:textId="77777777" w:rsidR="0080182A" w:rsidRPr="00EE4C33" w:rsidRDefault="0080182A" w:rsidP="0080182A">
      <w:pPr>
        <w:jc w:val="both"/>
        <w:rPr>
          <w:rFonts w:ascii="Arial" w:hAnsi="Arial" w:cs="Arial"/>
        </w:rPr>
      </w:pPr>
      <w:r w:rsidRPr="00EE4C33">
        <w:t>Maintaining inflation within a single-digit range while implementing counter-cyclical fiscal policies is regarded as an important route to macroeconomic stability. However, Nigeria rarely attains this equilibrium. Instead, the economy faces persistent revenue shortfalls, rising debt levels, and recurring price instability (</w:t>
      </w:r>
      <w:proofErr w:type="spellStart"/>
      <w:r w:rsidRPr="00EE4C33">
        <w:t>Fasanya</w:t>
      </w:r>
      <w:proofErr w:type="spellEnd"/>
      <w:r w:rsidRPr="00EE4C33">
        <w:t xml:space="preserve"> et al., 2021; Nwosu et al., 2024). This instability is often driven by policy misalignment. Substantial government spending can compel monetary authorities to react continually, creating distortions that hinder sustained capital investment. Because of these persistent disruptions, economists continue to debate the root causes of inflation in Nigeria. Determining whether price instability arises primarily from fiscal imbalance, monetary expansion, or structural constraints remains a significant empirical challenge, making it difficult to assess the precise impact of fiscal actions relative to other macroeconomic factors (</w:t>
      </w:r>
      <w:proofErr w:type="spellStart"/>
      <w:r w:rsidRPr="00EE4C33">
        <w:t>Akinbobola</w:t>
      </w:r>
      <w:proofErr w:type="spellEnd"/>
      <w:r w:rsidRPr="00EE4C33">
        <w:t xml:space="preserve">, 2012; </w:t>
      </w:r>
      <w:proofErr w:type="spellStart"/>
      <w:r w:rsidRPr="00EE4C33">
        <w:t>Amassoma</w:t>
      </w:r>
      <w:proofErr w:type="spellEnd"/>
      <w:r w:rsidRPr="00EE4C33">
        <w:t xml:space="preserve"> &amp; Emma-Ebere, 2018; Nuhu, 2021; </w:t>
      </w:r>
      <w:proofErr w:type="spellStart"/>
      <w:r w:rsidRPr="00EE4C33">
        <w:t>Amaefula</w:t>
      </w:r>
      <w:proofErr w:type="spellEnd"/>
      <w:r w:rsidRPr="00EE4C33">
        <w:t xml:space="preserve"> &amp; Egba, 2024).</w:t>
      </w:r>
    </w:p>
    <w:p w14:paraId="426FDEDB" w14:textId="77777777" w:rsidR="0080182A" w:rsidRPr="00EE4C33" w:rsidRDefault="0080182A" w:rsidP="0080182A">
      <w:pPr>
        <w:jc w:val="both"/>
        <w:rPr>
          <w:rFonts w:ascii="Arial" w:hAnsi="Arial" w:cs="Arial"/>
        </w:rPr>
      </w:pPr>
      <w:r w:rsidRPr="00EE4C33">
        <w:lastRenderedPageBreak/>
        <w:t>Empirical evidence from Nigeria regarding the causes of inflation presents conflicting interpretations. One viewpoint suggests that money-supply fluctuations and exchange-rate pressures are the main factors driving inflation, with fiscal deficits contributing indirectly through monetary adjustments (</w:t>
      </w:r>
      <w:proofErr w:type="spellStart"/>
      <w:r w:rsidRPr="00EE4C33">
        <w:t>Akinbobola</w:t>
      </w:r>
      <w:proofErr w:type="spellEnd"/>
      <w:r w:rsidRPr="00EE4C33">
        <w:t xml:space="preserve">, 2012; Nuhu, 2021; </w:t>
      </w:r>
      <w:proofErr w:type="spellStart"/>
      <w:r w:rsidRPr="00EE4C33">
        <w:t>Amaefula</w:t>
      </w:r>
      <w:proofErr w:type="spellEnd"/>
      <w:r w:rsidRPr="00EE4C33">
        <w:t xml:space="preserve"> &amp; Egba, 2024). Conversely, other studies indicate that fiscal deficits have direct long-term effects on inflation (Abubakar et al., 2014; </w:t>
      </w:r>
      <w:proofErr w:type="spellStart"/>
      <w:r w:rsidRPr="00EE4C33">
        <w:t>Fasanya</w:t>
      </w:r>
      <w:proofErr w:type="spellEnd"/>
      <w:r w:rsidRPr="00EE4C33">
        <w:t xml:space="preserve"> et al., 2021; Nwosu et al., 2024). In addition, while a decline in fiscal health has been linked to increased price instability (</w:t>
      </w:r>
      <w:proofErr w:type="spellStart"/>
      <w:r w:rsidRPr="00EE4C33">
        <w:t>Imoisi</w:t>
      </w:r>
      <w:proofErr w:type="spellEnd"/>
      <w:r w:rsidRPr="00EE4C33">
        <w:t>, 2021), some studies show that public debt may be insignificant when interest rates and investment levels are considered (</w:t>
      </w:r>
      <w:proofErr w:type="spellStart"/>
      <w:r w:rsidRPr="00EE4C33">
        <w:t>Aimola</w:t>
      </w:r>
      <w:proofErr w:type="spellEnd"/>
      <w:r w:rsidRPr="00EE4C33">
        <w:t xml:space="preserve"> &amp; Odhiambo, 2021b).</w:t>
      </w:r>
    </w:p>
    <w:p w14:paraId="58C54D80" w14:textId="77777777" w:rsidR="0080182A" w:rsidRPr="00EE4C33" w:rsidRDefault="0080182A" w:rsidP="0080182A">
      <w:pPr>
        <w:jc w:val="both"/>
        <w:rPr>
          <w:bCs/>
        </w:rPr>
      </w:pPr>
      <w:r w:rsidRPr="00EE4C33">
        <w:rPr>
          <w:bCs/>
        </w:rPr>
        <w:t xml:space="preserve">Recent Nigerian evidence remains consistent with this mixed-channel interpretation: fiscal-policy components, public debt, and tax variables have heterogeneous relationships with inflation, while exchange-rate movements also transmit to inflation through pass-through effects (Udoh &amp; </w:t>
      </w:r>
      <w:proofErr w:type="spellStart"/>
      <w:r w:rsidRPr="00EE4C33">
        <w:rPr>
          <w:bCs/>
        </w:rPr>
        <w:t>Kokoette</w:t>
      </w:r>
      <w:proofErr w:type="spellEnd"/>
      <w:r w:rsidRPr="00EE4C33">
        <w:rPr>
          <w:bCs/>
        </w:rPr>
        <w:t>, 2023; Howard, 2025).</w:t>
      </w:r>
    </w:p>
    <w:p w14:paraId="243B0E74" w14:textId="77777777" w:rsidR="00362554" w:rsidRPr="00EE4C33" w:rsidRDefault="00000000">
      <w:pPr>
        <w:jc w:val="both"/>
      </w:pPr>
      <w:r w:rsidRPr="00EE4C33">
        <w:rPr>
          <w:b/>
        </w:rPr>
        <w:t>Recent West African evidence also links inflation and exchange-rate movements with macroeconomic welfare outcomes, supporting the inclusion of exchange-rate and monetary controls in country-specific inflation analysis (Akpan et al., 2026).</w:t>
      </w:r>
    </w:p>
    <w:p w14:paraId="08A641A6" w14:textId="1A43A7F8" w:rsidR="0080182A" w:rsidRPr="00EE4C33" w:rsidRDefault="0080182A" w:rsidP="0080182A">
      <w:pPr>
        <w:jc w:val="both"/>
        <w:rPr>
          <w:rFonts w:ascii="Arial" w:hAnsi="Arial" w:cs="Arial"/>
        </w:rPr>
      </w:pPr>
      <w:r w:rsidRPr="00EE4C33">
        <w:rPr>
          <w:rFonts w:ascii="Arial" w:hAnsi="Arial" w:cs="Arial"/>
          <w:sz w:val="22"/>
          <w:szCs w:val="22"/>
        </w:rPr>
        <w:t xml:space="preserve">Methodological differences add further complexity to the debate. Historical cointegration analyses </w:t>
      </w:r>
      <w:proofErr w:type="spellStart"/>
      <w:r w:rsidRPr="00EE4C33">
        <w:rPr>
          <w:rFonts w:ascii="Arial" w:hAnsi="Arial" w:cs="Arial"/>
          <w:sz w:val="22"/>
          <w:szCs w:val="22"/>
        </w:rPr>
        <w:t>prioritise</w:t>
      </w:r>
      <w:proofErr w:type="spellEnd"/>
      <w:r w:rsidRPr="00EE4C33">
        <w:rPr>
          <w:rFonts w:ascii="Arial" w:hAnsi="Arial" w:cs="Arial"/>
          <w:sz w:val="22"/>
          <w:szCs w:val="22"/>
        </w:rPr>
        <w:t xml:space="preserve"> monetary channels while finding fiscal-inflation links to be negligible (</w:t>
      </w:r>
      <w:r w:rsidR="00B10875" w:rsidRPr="00B10875">
        <w:rPr>
          <w:rFonts w:ascii="Arial" w:hAnsi="Arial" w:cs="Arial"/>
          <w:sz w:val="22"/>
          <w:szCs w:val="22"/>
        </w:rPr>
        <w:t>Dockery</w:t>
      </w:r>
      <w:r w:rsidR="00B10875" w:rsidRPr="00B10875">
        <w:rPr>
          <w:rFonts w:ascii="Arial" w:hAnsi="Arial" w:cs="Arial"/>
          <w:sz w:val="22"/>
          <w:szCs w:val="22"/>
        </w:rPr>
        <w:t xml:space="preserve"> </w:t>
      </w:r>
      <w:r w:rsidRPr="00EE4C33">
        <w:rPr>
          <w:rFonts w:ascii="Arial" w:hAnsi="Arial" w:cs="Arial"/>
          <w:sz w:val="22"/>
          <w:szCs w:val="22"/>
        </w:rPr>
        <w:t>et al., 2012,</w:t>
      </w:r>
      <w:r w:rsidR="00B10875" w:rsidRPr="00B10875">
        <w:t xml:space="preserve"> </w:t>
      </w:r>
      <w:proofErr w:type="spellStart"/>
      <w:r w:rsidR="00B10875" w:rsidRPr="00B10875">
        <w:rPr>
          <w:rFonts w:ascii="Arial" w:hAnsi="Arial" w:cs="Arial"/>
          <w:sz w:val="22"/>
          <w:szCs w:val="22"/>
        </w:rPr>
        <w:t>Ezeabasili</w:t>
      </w:r>
      <w:proofErr w:type="spellEnd"/>
      <w:r w:rsidR="00B10875">
        <w:rPr>
          <w:rFonts w:ascii="Arial" w:hAnsi="Arial" w:cs="Arial"/>
          <w:sz w:val="22"/>
          <w:szCs w:val="22"/>
        </w:rPr>
        <w:t xml:space="preserve"> </w:t>
      </w:r>
      <w:r w:rsidR="00B10875" w:rsidRPr="00B10875">
        <w:rPr>
          <w:rFonts w:ascii="Arial" w:hAnsi="Arial" w:cs="Arial"/>
          <w:sz w:val="22"/>
          <w:szCs w:val="22"/>
        </w:rPr>
        <w:t xml:space="preserve">et al., </w:t>
      </w:r>
      <w:r w:rsidRPr="00EE4C33">
        <w:rPr>
          <w:rFonts w:ascii="Arial" w:hAnsi="Arial" w:cs="Arial"/>
          <w:sz w:val="22"/>
          <w:szCs w:val="22"/>
        </w:rPr>
        <w:t xml:space="preserve">2012b; Abubakar et al., 2014; </w:t>
      </w:r>
      <w:proofErr w:type="spellStart"/>
      <w:r w:rsidRPr="00EE4C33">
        <w:rPr>
          <w:rFonts w:ascii="Arial" w:hAnsi="Arial" w:cs="Arial"/>
          <w:sz w:val="22"/>
          <w:szCs w:val="22"/>
        </w:rPr>
        <w:t>Aimola</w:t>
      </w:r>
      <w:proofErr w:type="spellEnd"/>
      <w:r w:rsidRPr="00EE4C33">
        <w:rPr>
          <w:rFonts w:ascii="Arial" w:hAnsi="Arial" w:cs="Arial"/>
          <w:sz w:val="22"/>
          <w:szCs w:val="22"/>
        </w:rPr>
        <w:t xml:space="preserve"> &amp; Odhiambo, 2021b), whereas other studies highlight fiscal factors, suggesting that debt shocks explain a larger share of inflation fluctuations than monetary shocks (Oyeleke &amp; </w:t>
      </w:r>
      <w:proofErr w:type="spellStart"/>
      <w:r w:rsidRPr="00EE4C33">
        <w:rPr>
          <w:rFonts w:ascii="Arial" w:hAnsi="Arial" w:cs="Arial"/>
          <w:sz w:val="22"/>
          <w:szCs w:val="22"/>
        </w:rPr>
        <w:t>Orisadare</w:t>
      </w:r>
      <w:proofErr w:type="spellEnd"/>
      <w:r w:rsidRPr="00EE4C33">
        <w:rPr>
          <w:rFonts w:ascii="Arial" w:hAnsi="Arial" w:cs="Arial"/>
          <w:sz w:val="22"/>
          <w:szCs w:val="22"/>
        </w:rPr>
        <w:t>, 2018), with deficit financing generating inflationary pressures (Danlami et al., 2019). Nonlinear analysis indicates that inflation may accelerate beyond certain deficit limits (Oyeleke, 2021), and the effects of debt may range from threshold-based effects (</w:t>
      </w:r>
      <w:proofErr w:type="spellStart"/>
      <w:r w:rsidRPr="00EE4C33">
        <w:rPr>
          <w:rFonts w:ascii="Arial" w:hAnsi="Arial" w:cs="Arial"/>
          <w:sz w:val="22"/>
          <w:szCs w:val="22"/>
        </w:rPr>
        <w:t>Anisiobi</w:t>
      </w:r>
      <w:proofErr w:type="spellEnd"/>
      <w:r w:rsidRPr="00EE4C33">
        <w:rPr>
          <w:rFonts w:ascii="Arial" w:hAnsi="Arial" w:cs="Arial"/>
          <w:sz w:val="22"/>
          <w:szCs w:val="22"/>
        </w:rPr>
        <w:t xml:space="preserve"> et al., 2023; </w:t>
      </w:r>
      <w:proofErr w:type="spellStart"/>
      <w:r w:rsidRPr="00EE4C33">
        <w:rPr>
          <w:rFonts w:ascii="Arial" w:hAnsi="Arial" w:cs="Arial"/>
          <w:sz w:val="22"/>
          <w:szCs w:val="22"/>
        </w:rPr>
        <w:t>Nzeh</w:t>
      </w:r>
      <w:proofErr w:type="spellEnd"/>
      <w:r w:rsidRPr="00EE4C33">
        <w:rPr>
          <w:rFonts w:ascii="Arial" w:hAnsi="Arial" w:cs="Arial"/>
          <w:sz w:val="22"/>
          <w:szCs w:val="22"/>
        </w:rPr>
        <w:t>, 2020; Omotosho et al., 2016) to negligible or even disinflationary short-run effects (Shuaibu et al., 2021).</w:t>
      </w:r>
    </w:p>
    <w:p w14:paraId="6D31380C" w14:textId="77777777" w:rsidR="0080182A" w:rsidRPr="00EE4C33" w:rsidRDefault="0080182A" w:rsidP="0080182A">
      <w:pPr>
        <w:jc w:val="both"/>
        <w:rPr>
          <w:rFonts w:ascii="Arial" w:hAnsi="Arial" w:cs="Arial"/>
        </w:rPr>
      </w:pPr>
      <w:r w:rsidRPr="00EE4C33">
        <w:t>The current unresolved inconsistencies create significant policy costs. The absence of dependable consolidation strategies exposes policymakers to the risk of either inefficient inflation control or overly restrictive fiscal policy (Garba, 2023; Omotosho et al., 2016). Poorly coordinated fiscal and monetary strategies create further obstacles for businesses and households, including higher borrowing costs and lower real incomes, with rapid domestic price effects driven by exchange-rate and monetary influences (</w:t>
      </w:r>
      <w:proofErr w:type="spellStart"/>
      <w:r w:rsidRPr="00EE4C33">
        <w:t>Akinbobola</w:t>
      </w:r>
      <w:proofErr w:type="spellEnd"/>
      <w:r w:rsidRPr="00EE4C33">
        <w:t xml:space="preserve">, 2012; Imimole &amp; </w:t>
      </w:r>
      <w:proofErr w:type="spellStart"/>
      <w:r w:rsidRPr="00EE4C33">
        <w:t>Enoma</w:t>
      </w:r>
      <w:proofErr w:type="spellEnd"/>
      <w:r w:rsidRPr="00EE4C33">
        <w:t>, 2011; Nuhu, 2021).</w:t>
      </w:r>
    </w:p>
    <w:p w14:paraId="14400DC9" w14:textId="77777777" w:rsidR="0080182A" w:rsidRPr="00EE4C33" w:rsidRDefault="0080182A" w:rsidP="0080182A">
      <w:pPr>
        <w:jc w:val="both"/>
        <w:rPr>
          <w:rFonts w:ascii="Arial" w:hAnsi="Arial" w:cs="Arial"/>
        </w:rPr>
      </w:pPr>
      <w:r w:rsidRPr="00EE4C33">
        <w:t>Despite extensive research, most studies examine fiscal deficits and debt separately, thereby neglecting the potential moderating effects that they may exert on each other (</w:t>
      </w:r>
      <w:proofErr w:type="spellStart"/>
      <w:r w:rsidRPr="00EE4C33">
        <w:t>Aimola</w:t>
      </w:r>
      <w:proofErr w:type="spellEnd"/>
      <w:r w:rsidRPr="00EE4C33">
        <w:t xml:space="preserve"> &amp; Odhiambo, 2021b; Oyeleke, 2021). They also frequently provide inadequate analysis of fiscal-monetary linkages (Danlami et al., 2019; Nwosu et al., 2024; </w:t>
      </w:r>
      <w:proofErr w:type="spellStart"/>
      <w:r w:rsidRPr="00EE4C33">
        <w:t>Ozurumba</w:t>
      </w:r>
      <w:proofErr w:type="spellEnd"/>
      <w:r w:rsidRPr="00EE4C33">
        <w:t xml:space="preserve">, 2012; </w:t>
      </w:r>
      <w:proofErr w:type="spellStart"/>
      <w:r w:rsidRPr="00EE4C33">
        <w:t>Amaefula</w:t>
      </w:r>
      <w:proofErr w:type="spellEnd"/>
      <w:r w:rsidRPr="00EE4C33">
        <w:t xml:space="preserve"> &amp; Egba, 2024). Moreover, many investigations use data that predate the COVID-19 pandemic and Nigeria's 2023 subsidy adjustments (</w:t>
      </w:r>
      <w:proofErr w:type="spellStart"/>
      <w:r w:rsidRPr="00EE4C33">
        <w:t>Anisiobi</w:t>
      </w:r>
      <w:proofErr w:type="spellEnd"/>
      <w:r w:rsidRPr="00EE4C33">
        <w:t xml:space="preserve"> et al., 2023; Nwosu et al., 2024). Consequently, as Nigeria continues to face persistent inflation and unstable fiscal and monetary conditions, it remains unclear how the country's fiscal strategies and evolving public debt levels jointly influence price changes. This study addresses this problem by formally modelling inflation as a function of fiscal deficit, public debt, and their interaction within an ARDL framework over the 1980–2024 period, explicitly incorporating core controls, namely exchange rate, money growth, real GDP growth, and lending rates, to provide a more integrated and contemporary assessment of Nigeria's fiscal, debt, and inflation dynamics.</w:t>
      </w:r>
    </w:p>
    <w:p w14:paraId="785DA15F" w14:textId="77777777" w:rsidR="00362554" w:rsidRPr="00EE4C33" w:rsidRDefault="00000000">
      <w:pPr>
        <w:jc w:val="both"/>
      </w:pPr>
      <w:r w:rsidRPr="00EE4C33">
        <w:rPr>
          <w:b/>
        </w:rPr>
        <w:t>Recent evidence on government-spending composition also suggests that public investment can improve debt sustainability more effectively than consumption spending, underscoring why fiscal aggregates should be interpreted cautiously when assessing inflationary pressure (Ciaffi et al., 2024).</w:t>
      </w:r>
    </w:p>
    <w:p w14:paraId="3B04B30C" w14:textId="77777777" w:rsidR="0080182A" w:rsidRPr="00EE4C33" w:rsidRDefault="0080182A" w:rsidP="0080182A">
      <w:pPr>
        <w:jc w:val="both"/>
        <w:rPr>
          <w:rFonts w:ascii="Arial" w:hAnsi="Arial" w:cs="Arial"/>
        </w:rPr>
      </w:pPr>
      <w:r w:rsidRPr="00EE4C33">
        <w:rPr>
          <w:rFonts w:ascii="Arial" w:hAnsi="Arial" w:cs="Arial"/>
          <w:sz w:val="22"/>
          <w:szCs w:val="22"/>
        </w:rPr>
        <w:lastRenderedPageBreak/>
        <w:t>This paper argues that public debt may moderate the fiscal deficit-inflation relationship in Nigeria, such that the inflationary impact of deficits is conditioned by the level of accumulated debt. By explicitly modelling this deficit-debt interaction, the study seeks to reconcile previously inconsistent Nigerian evidence and provide a more coherent account of inflation dynamics than earlier research that treats these fiscal variables in isolation. Following the theoretical logic of the Fiscal Theory of the Price Level and fiscal dominance frameworks (Sargent &amp; Wallace, 1981; Baldini &amp; Ribeiro, 2008), the study tests whether the inflationary impact of fiscal deficits is unconditional or systematically amplified or dampened by accumulated debt.</w:t>
      </w:r>
    </w:p>
    <w:p w14:paraId="3E559ED0" w14:textId="77777777" w:rsidR="0080182A" w:rsidRPr="00EE4C33" w:rsidRDefault="0080182A" w:rsidP="0080182A">
      <w:pPr>
        <w:jc w:val="both"/>
        <w:rPr>
          <w:rFonts w:ascii="Arial" w:hAnsi="Arial" w:cs="Arial"/>
        </w:rPr>
      </w:pPr>
    </w:p>
    <w:p w14:paraId="75BA6807" w14:textId="77777777" w:rsidR="0080182A" w:rsidRPr="00EE4C33" w:rsidRDefault="0080182A" w:rsidP="0080182A">
      <w:pPr>
        <w:jc w:val="both"/>
        <w:rPr>
          <w:rFonts w:ascii="Arial" w:hAnsi="Arial" w:cs="Arial"/>
        </w:rPr>
      </w:pPr>
    </w:p>
    <w:p w14:paraId="0B35C5EA" w14:textId="77777777" w:rsidR="0080182A" w:rsidRPr="00EE4C33" w:rsidRDefault="0080182A" w:rsidP="0080182A">
      <w:pPr>
        <w:jc w:val="both"/>
        <w:rPr>
          <w:rFonts w:ascii="Arial" w:hAnsi="Arial" w:cs="Arial"/>
        </w:rPr>
      </w:pPr>
      <w:r w:rsidRPr="00EE4C33">
        <w:t xml:space="preserve">This research contributes to the empirical </w:t>
      </w:r>
      <w:proofErr w:type="spellStart"/>
      <w:r w:rsidRPr="00EE4C33">
        <w:t>operationalisation</w:t>
      </w:r>
      <w:proofErr w:type="spellEnd"/>
      <w:r w:rsidRPr="00EE4C33">
        <w:t xml:space="preserve"> of the Fiscal Theory of the Price Level (FTPL) and fiscal dominance perspectives in the Nigerian context. By </w:t>
      </w:r>
      <w:proofErr w:type="spellStart"/>
      <w:r w:rsidRPr="00EE4C33">
        <w:t>conceptualising</w:t>
      </w:r>
      <w:proofErr w:type="spellEnd"/>
      <w:r w:rsidRPr="00EE4C33">
        <w:t xml:space="preserve"> public debt as a moderating variable rather than only as a traditional regressor, the study </w:t>
      </w:r>
      <w:proofErr w:type="spellStart"/>
      <w:r w:rsidRPr="00EE4C33">
        <w:t>formalises</w:t>
      </w:r>
      <w:proofErr w:type="spellEnd"/>
      <w:r w:rsidRPr="00EE4C33">
        <w:t xml:space="preserve"> the nonlinear and conditional nature of fiscal-price linkages. The findings provide a comprehensive framework for Nigerian policymakers to manage the trade-offs associated with development financing, debt management, and price stability. By concurrently evaluating deficit and debt trends while controlling for monetary and real economic factors, the study produces evidence-based insights that can guide fiscal consolidation and monetary-fiscal policy coordination. For the Central Bank of Nigeria, the conclusions underscore the need to integrate fiscal conditions into inflation-control frameworks; for fiscal authorities, the results can assist in formulating sustainable fiscal rules and debt constraints (Garba, 2023; Omotosho et al., 2016). The analysis also enhances institutional investors' understanding of inflation risks and government-debt pricing.</w:t>
      </w:r>
    </w:p>
    <w:p w14:paraId="28F64EBE" w14:textId="77777777" w:rsidR="0080182A" w:rsidRPr="00EE4C33" w:rsidRDefault="0080182A" w:rsidP="0080182A">
      <w:pPr>
        <w:jc w:val="both"/>
        <w:rPr>
          <w:rFonts w:ascii="Arial" w:hAnsi="Arial" w:cs="Arial"/>
        </w:rPr>
      </w:pPr>
      <w:r w:rsidRPr="00EE4C33">
        <w:t xml:space="preserve">Annual data collected over the 1980–2024 period form the basis of the analysis, with primary sources including the World Bank, the International Monetary Fund, and relevant national statistical repositories. The paper follows a conventional academic structure. Section 2 </w:t>
      </w:r>
      <w:proofErr w:type="spellStart"/>
      <w:r w:rsidRPr="00EE4C33">
        <w:t>synthesises</w:t>
      </w:r>
      <w:proofErr w:type="spellEnd"/>
      <w:r w:rsidRPr="00EE4C33">
        <w:t xml:space="preserve"> the theoretical foundations and relevant empirical evidence. Section 3 presents the methodology and data. Section 4 reports the findings, including descriptive statistics, unit root and cointegration diagnostics, and short-run and long-run estimates. Section 5 discusses the results, while Section 6 </w:t>
      </w:r>
      <w:proofErr w:type="spellStart"/>
      <w:r w:rsidRPr="00EE4C33">
        <w:t>summarises</w:t>
      </w:r>
      <w:proofErr w:type="spellEnd"/>
      <w:r w:rsidRPr="00EE4C33">
        <w:t xml:space="preserve"> the study's central contributions, presents policy guidance, outlines limitations, and proposes directions for future research.</w:t>
      </w:r>
    </w:p>
    <w:p w14:paraId="0C37935D" w14:textId="77777777" w:rsidR="0080182A" w:rsidRPr="00EE4C33" w:rsidRDefault="0080182A" w:rsidP="0080182A">
      <w:pPr>
        <w:jc w:val="both"/>
      </w:pPr>
    </w:p>
    <w:p w14:paraId="4B1CFD13" w14:textId="77777777" w:rsidR="0080182A" w:rsidRPr="00EE4C33" w:rsidRDefault="0080182A" w:rsidP="0080182A">
      <w:pPr>
        <w:jc w:val="both"/>
      </w:pPr>
      <w:r w:rsidRPr="00EE4C33">
        <w:t>Research gap: The foregoing review indicates that the unresolved issue is not whether fiscal deficit, public debt, exchange rate, money growth, output growth, and lending conditions matter individually, but whether Nigeria's public debt position conditions the fiscal deficit-inflation relationship within an integrated time-series framework.</w:t>
      </w:r>
    </w:p>
    <w:p w14:paraId="322594C6" w14:textId="77777777" w:rsidR="001A061B" w:rsidRPr="00EE4C33" w:rsidRDefault="001A061B" w:rsidP="0080182A">
      <w:pPr>
        <w:jc w:val="both"/>
      </w:pPr>
    </w:p>
    <w:p w14:paraId="66C945B8" w14:textId="77777777" w:rsidR="0080182A" w:rsidRPr="00EE4C33" w:rsidRDefault="0080182A" w:rsidP="0080182A">
      <w:pPr>
        <w:rPr>
          <w:b/>
        </w:rPr>
      </w:pPr>
      <w:r w:rsidRPr="00EE4C33">
        <w:rPr>
          <w:b/>
        </w:rPr>
        <w:t>Objective of the Study</w:t>
      </w:r>
    </w:p>
    <w:p w14:paraId="5284A339" w14:textId="77777777" w:rsidR="001A061B" w:rsidRPr="00EE4C33" w:rsidRDefault="001A061B" w:rsidP="0080182A"/>
    <w:p w14:paraId="45769374" w14:textId="77777777" w:rsidR="0080182A" w:rsidRPr="00EE4C33" w:rsidRDefault="0080182A" w:rsidP="0080182A">
      <w:pPr>
        <w:jc w:val="both"/>
      </w:pPr>
      <w:r w:rsidRPr="00EE4C33">
        <w:t>The objective of this study is to examine the individual effects of fiscal deficit and public debt on inflation in Nigeria and to determine whether public debt moderates the fiscal deficit-inflation relationship over the 1980–2024 period.</w:t>
      </w:r>
    </w:p>
    <w:p w14:paraId="7103A97F" w14:textId="77777777" w:rsidR="0080182A" w:rsidRPr="00EE4C33" w:rsidRDefault="0080182A" w:rsidP="0080182A">
      <w:pPr>
        <w:jc w:val="both"/>
      </w:pPr>
      <w:r w:rsidRPr="00EE4C33">
        <w:rPr>
          <w:b/>
        </w:rPr>
        <w:t>Accordingly, the study tests the following null hypotheses:</w:t>
      </w:r>
    </w:p>
    <w:p w14:paraId="348A5D9B" w14:textId="77777777" w:rsidR="0080182A" w:rsidRPr="00EE4C33" w:rsidRDefault="0080182A" w:rsidP="0080182A">
      <w:pPr>
        <w:jc w:val="both"/>
      </w:pPr>
      <w:r w:rsidRPr="00EE4C33">
        <w:rPr>
          <w:b/>
        </w:rPr>
        <w:t>Ho1: Fiscal deficit has no significant impact on inflation in Nigeria.</w:t>
      </w:r>
    </w:p>
    <w:p w14:paraId="3B35CF83" w14:textId="77777777" w:rsidR="0080182A" w:rsidRPr="00EE4C33" w:rsidRDefault="0080182A" w:rsidP="0080182A">
      <w:pPr>
        <w:jc w:val="both"/>
      </w:pPr>
      <w:r w:rsidRPr="00EE4C33">
        <w:rPr>
          <w:b/>
        </w:rPr>
        <w:t>Ho2: Public debt has no significant impact on inflation in Nigeria.</w:t>
      </w:r>
    </w:p>
    <w:p w14:paraId="1A66A404" w14:textId="77777777" w:rsidR="0080182A" w:rsidRPr="00EE4C33" w:rsidRDefault="0080182A" w:rsidP="0080182A">
      <w:pPr>
        <w:jc w:val="both"/>
      </w:pPr>
      <w:r w:rsidRPr="00EE4C33">
        <w:rPr>
          <w:b/>
        </w:rPr>
        <w:t>Ho3: Public debt does not significantly moderate the impact of fiscal deficit on inflation in Nigeria.</w:t>
      </w:r>
    </w:p>
    <w:p w14:paraId="6EAEF59B" w14:textId="77777777" w:rsidR="0080182A" w:rsidRPr="00EE4C33" w:rsidRDefault="0080182A" w:rsidP="0080182A">
      <w:pPr>
        <w:jc w:val="both"/>
        <w:rPr>
          <w:rStyle w:val="mainspantag"/>
          <w:rFonts w:ascii="Arial" w:hAnsi="Arial" w:cs="Arial"/>
        </w:rPr>
      </w:pPr>
      <w:r w:rsidRPr="00EE4C33">
        <w:rPr>
          <w:rFonts w:ascii="Arial" w:hAnsi="Arial" w:cs="Arial"/>
        </w:rPr>
        <w:t xml:space="preserve"> </w:t>
      </w:r>
    </w:p>
    <w:p w14:paraId="49113870" w14:textId="77777777" w:rsidR="0080182A" w:rsidRPr="00EE4C33" w:rsidRDefault="0080182A" w:rsidP="0080182A">
      <w:pPr>
        <w:rPr>
          <w:rFonts w:ascii="Arial" w:hAnsi="Arial" w:cs="Arial"/>
          <w:b/>
          <w:bCs/>
          <w:sz w:val="22"/>
          <w:szCs w:val="22"/>
        </w:rPr>
      </w:pPr>
      <w:r w:rsidRPr="00EE4C33">
        <w:rPr>
          <w:rFonts w:ascii="Arial" w:hAnsi="Arial" w:cs="Arial"/>
          <w:b/>
          <w:bCs/>
          <w:sz w:val="22"/>
          <w:szCs w:val="22"/>
        </w:rPr>
        <w:t>2. LITERATURE REVIEW</w:t>
      </w:r>
    </w:p>
    <w:p w14:paraId="34AF07B7" w14:textId="77777777" w:rsidR="0080182A" w:rsidRPr="00EE4C33" w:rsidRDefault="0080182A" w:rsidP="0080182A">
      <w:pPr>
        <w:pStyle w:val="AbstHead"/>
        <w:spacing w:after="0"/>
        <w:jc w:val="both"/>
        <w:rPr>
          <w:rFonts w:ascii="Arial" w:hAnsi="Arial" w:cs="Arial"/>
          <w:b w:val="0"/>
          <w:bCs/>
        </w:rPr>
      </w:pPr>
    </w:p>
    <w:p w14:paraId="39C7C7F4" w14:textId="77777777" w:rsidR="0080182A" w:rsidRPr="00EE4C33" w:rsidRDefault="0080182A" w:rsidP="0080182A">
      <w:pPr>
        <w:jc w:val="both"/>
        <w:rPr>
          <w:rFonts w:ascii="Arial" w:hAnsi="Arial" w:cs="Arial"/>
          <w:b/>
          <w:bCs/>
        </w:rPr>
      </w:pPr>
      <w:r w:rsidRPr="00EE4C33">
        <w:rPr>
          <w:rFonts w:ascii="Arial" w:hAnsi="Arial" w:cs="Arial"/>
          <w:b/>
          <w:bCs/>
        </w:rPr>
        <w:t>2.1 Conceptual Clarifications</w:t>
      </w:r>
    </w:p>
    <w:p w14:paraId="404EB8A0" w14:textId="77777777" w:rsidR="0080182A" w:rsidRPr="00EE4C33" w:rsidRDefault="0080182A" w:rsidP="0080182A">
      <w:pPr>
        <w:jc w:val="both"/>
        <w:rPr>
          <w:rFonts w:ascii="Arial" w:hAnsi="Arial" w:cs="Arial"/>
        </w:rPr>
      </w:pPr>
      <w:r w:rsidRPr="00EE4C33">
        <w:lastRenderedPageBreak/>
        <w:t xml:space="preserve">This research </w:t>
      </w:r>
      <w:proofErr w:type="spellStart"/>
      <w:r w:rsidRPr="00EE4C33">
        <w:t>centres</w:t>
      </w:r>
      <w:proofErr w:type="spellEnd"/>
      <w:r w:rsidRPr="00EE4C33">
        <w:t xml:space="preserve"> on the interaction among three core constructs: fiscal stance, public debt, and inflation dynamics in the Nigerian context from 1980 to 2024. Conceptually, fiscal stance determines the flow of deficits or surpluses, which accumulate into the stock of public debt. These fiscal variables, together with the monetary environment, ultimately influence price movements.</w:t>
      </w:r>
    </w:p>
    <w:p w14:paraId="270DBBED" w14:textId="77777777" w:rsidR="0080182A" w:rsidRPr="00EE4C33" w:rsidRDefault="0080182A" w:rsidP="0080182A">
      <w:pPr>
        <w:jc w:val="both"/>
        <w:rPr>
          <w:rFonts w:ascii="Arial" w:hAnsi="Arial" w:cs="Arial"/>
          <w:b/>
          <w:bCs/>
        </w:rPr>
      </w:pPr>
    </w:p>
    <w:p w14:paraId="54EF38DB" w14:textId="77777777" w:rsidR="0080182A" w:rsidRPr="00EE4C33" w:rsidRDefault="0080182A" w:rsidP="0080182A">
      <w:pPr>
        <w:jc w:val="both"/>
        <w:rPr>
          <w:rFonts w:ascii="Arial" w:hAnsi="Arial" w:cs="Arial"/>
          <w:b/>
          <w:bCs/>
        </w:rPr>
      </w:pPr>
      <w:r w:rsidRPr="00EE4C33">
        <w:rPr>
          <w:rFonts w:ascii="Arial" w:hAnsi="Arial" w:cs="Arial"/>
          <w:b/>
          <w:bCs/>
        </w:rPr>
        <w:t>Fiscal Stance</w:t>
      </w:r>
    </w:p>
    <w:p w14:paraId="78650784" w14:textId="77777777" w:rsidR="0080182A" w:rsidRPr="00EE4C33" w:rsidRDefault="0080182A" w:rsidP="0080182A">
      <w:pPr>
        <w:jc w:val="both"/>
        <w:rPr>
          <w:rFonts w:ascii="Arial" w:hAnsi="Arial" w:cs="Arial"/>
        </w:rPr>
      </w:pPr>
      <w:r w:rsidRPr="00EE4C33">
        <w:t>Fiscal stance denotes the direction of fiscal policy relative to the macroeconomic cycle and sustainability. Empirically, it is typically measured by the budget balance or fiscal deficit as a ratio to GDP, sometimes adjusted cyclically (Muller &amp; Price, 1984; Brandner et al., 1998). An expansionary stance indicates higher deficits, while a contractionary stance indicates the opposite. Some definitions also focus on changes in the structural primary balance (Fournier &amp; Lieberknecht, 2020). In the Nigerian context, researchers often use the conventional deficit-to-GDP ratio as a proxy for fiscal stance, sometimes supplemented by government expenditure measures (</w:t>
      </w:r>
      <w:proofErr w:type="spellStart"/>
      <w:r w:rsidRPr="00EE4C33">
        <w:t>Fasanya</w:t>
      </w:r>
      <w:proofErr w:type="spellEnd"/>
      <w:r w:rsidRPr="00EE4C33">
        <w:t xml:space="preserve"> et al., 2021; Nwosu et al., 2024).</w:t>
      </w:r>
    </w:p>
    <w:p w14:paraId="56DE4A9D" w14:textId="77777777" w:rsidR="0080182A" w:rsidRPr="00EE4C33" w:rsidRDefault="0080182A" w:rsidP="0080182A">
      <w:pPr>
        <w:jc w:val="both"/>
        <w:rPr>
          <w:rFonts w:ascii="Arial" w:hAnsi="Arial" w:cs="Arial"/>
          <w:b/>
          <w:bCs/>
        </w:rPr>
      </w:pPr>
      <w:r w:rsidRPr="00EE4C33">
        <w:rPr>
          <w:rFonts w:ascii="Arial" w:hAnsi="Arial" w:cs="Arial"/>
          <w:b/>
          <w:bCs/>
        </w:rPr>
        <w:t>Public Debt</w:t>
      </w:r>
    </w:p>
    <w:p w14:paraId="28E14606" w14:textId="77777777" w:rsidR="0080182A" w:rsidRPr="00EE4C33" w:rsidRDefault="0080182A" w:rsidP="0080182A">
      <w:pPr>
        <w:jc w:val="both"/>
        <w:rPr>
          <w:rFonts w:ascii="Arial" w:hAnsi="Arial" w:cs="Arial"/>
        </w:rPr>
      </w:pPr>
      <w:r w:rsidRPr="00EE4C33">
        <w:t xml:space="preserve">Public debt refers to the aggregate stock of government obligations accumulated over time as a result of previous deficits and their financing sources. It is typically assessed by comparing the debt level with the country's GDP, with important distinctions between domestic and external debt components (Panizza, 2008; </w:t>
      </w:r>
      <w:proofErr w:type="spellStart"/>
      <w:r w:rsidRPr="00EE4C33">
        <w:t>Aimola</w:t>
      </w:r>
      <w:proofErr w:type="spellEnd"/>
      <w:r w:rsidRPr="00EE4C33">
        <w:t xml:space="preserve"> &amp; Odhiambo, 2021a, 2021b). In macroeconomic analysis, the total public debt-to-GDP ratio is commonly used to evaluate the overall debt burden and potential fiscal strain (Law et al., 2021; Hilton, 2021).</w:t>
      </w:r>
    </w:p>
    <w:p w14:paraId="6548179D" w14:textId="77777777" w:rsidR="0080182A" w:rsidRPr="00EE4C33" w:rsidRDefault="0080182A" w:rsidP="0080182A">
      <w:pPr>
        <w:jc w:val="both"/>
        <w:rPr>
          <w:rFonts w:ascii="Arial" w:hAnsi="Arial" w:cs="Arial"/>
          <w:b/>
          <w:bCs/>
        </w:rPr>
      </w:pPr>
      <w:r w:rsidRPr="00EE4C33">
        <w:rPr>
          <w:rFonts w:ascii="Arial" w:hAnsi="Arial" w:cs="Arial"/>
          <w:b/>
          <w:bCs/>
        </w:rPr>
        <w:t>Inflation Dynamics</w:t>
      </w:r>
    </w:p>
    <w:p w14:paraId="19BECE29" w14:textId="77777777" w:rsidR="0080182A" w:rsidRPr="00EE4C33" w:rsidRDefault="0080182A" w:rsidP="0080182A">
      <w:pPr>
        <w:jc w:val="both"/>
        <w:rPr>
          <w:rFonts w:ascii="Arial" w:hAnsi="Arial" w:cs="Arial"/>
        </w:rPr>
      </w:pPr>
      <w:r w:rsidRPr="00EE4C33">
        <w:t xml:space="preserve">Inflation dynamics refer to the characteristics, persistence, and underlying causes of variations in the general price level, typically proxied by the annual rate of change in the Consumer Price Index (CPI). In Nigeria, contemporary macroeconomic research often represents inflation as being influenced by both monetary and real factors, including money supply, interest rates, exchange rates, external shocks, and actual output, and it is commonly </w:t>
      </w:r>
      <w:proofErr w:type="spellStart"/>
      <w:r w:rsidRPr="00EE4C33">
        <w:t>analysed</w:t>
      </w:r>
      <w:proofErr w:type="spellEnd"/>
      <w:r w:rsidRPr="00EE4C33">
        <w:t xml:space="preserve"> within ARDL or VAR models (Augustine et al., 2020; </w:t>
      </w:r>
      <w:proofErr w:type="spellStart"/>
      <w:r w:rsidRPr="00EE4C33">
        <w:t>Fasanya</w:t>
      </w:r>
      <w:proofErr w:type="spellEnd"/>
      <w:r w:rsidRPr="00EE4C33">
        <w:t xml:space="preserve"> et al., 2021; Shuaibu et al., 2021). The concept of dynamics indicates that inflation is not static but responds to lagged values, expectations, and policy actions.</w:t>
      </w:r>
    </w:p>
    <w:p w14:paraId="47F7B27E" w14:textId="77777777" w:rsidR="0080182A" w:rsidRPr="00EE4C33" w:rsidRDefault="0080182A" w:rsidP="0080182A">
      <w:pPr>
        <w:jc w:val="both"/>
        <w:rPr>
          <w:rFonts w:ascii="Arial" w:hAnsi="Arial" w:cs="Arial"/>
          <w:b/>
          <w:bCs/>
        </w:rPr>
      </w:pPr>
    </w:p>
    <w:p w14:paraId="04875D13" w14:textId="77777777" w:rsidR="0080182A" w:rsidRPr="00EE4C33" w:rsidRDefault="0080182A" w:rsidP="0080182A">
      <w:pPr>
        <w:jc w:val="both"/>
        <w:rPr>
          <w:rFonts w:ascii="Arial" w:hAnsi="Arial" w:cs="Arial"/>
          <w:b/>
          <w:bCs/>
        </w:rPr>
      </w:pPr>
      <w:r w:rsidRPr="00EE4C33">
        <w:rPr>
          <w:rFonts w:ascii="Arial" w:hAnsi="Arial" w:cs="Arial"/>
          <w:b/>
          <w:bCs/>
        </w:rPr>
        <w:t>2.2 Theoretical Literature Review</w:t>
      </w:r>
    </w:p>
    <w:p w14:paraId="580A5873" w14:textId="2D0C775E" w:rsidR="0080182A" w:rsidRPr="00EE4C33" w:rsidRDefault="0080182A" w:rsidP="0080182A">
      <w:pPr>
        <w:rPr>
          <w:rFonts w:ascii="Arial" w:hAnsi="Arial" w:cs="Arial"/>
        </w:rPr>
      </w:pPr>
      <w:r w:rsidRPr="00EE4C33">
        <w:t xml:space="preserve">Several perspectives in the macroeconomic literature explain the links among money supply, inflation, and fiscal policy. According to the Quantity Theory of Money (QTM), there is a long-standing relationship between price increases and money growth. Nevertheless, structural adjustments in recent years have weakened this relationship in </w:t>
      </w:r>
      <w:proofErr w:type="spellStart"/>
      <w:r w:rsidRPr="00EE4C33">
        <w:t>industrialised</w:t>
      </w:r>
      <w:proofErr w:type="spellEnd"/>
      <w:r w:rsidRPr="00EE4C33">
        <w:t xml:space="preserve"> countries (Jung, 2024). From a monetarist perspective, </w:t>
      </w:r>
      <w:proofErr w:type="spellStart"/>
      <w:r w:rsidRPr="00EE4C33">
        <w:t>monetised</w:t>
      </w:r>
      <w:proofErr w:type="spellEnd"/>
      <w:r w:rsidRPr="00EE4C33">
        <w:t xml:space="preserve"> fiscal deficits are inherently inflationary because they increase the money supply more rapidly than real output (Ashra et al., 2004). Conversely, Keynesian theory </w:t>
      </w:r>
      <w:proofErr w:type="spellStart"/>
      <w:r w:rsidRPr="00EE4C33">
        <w:t>emphasises</w:t>
      </w:r>
      <w:proofErr w:type="spellEnd"/>
      <w:r w:rsidRPr="00EE4C33">
        <w:t xml:space="preserve"> aggregate demand, suggesting that government deficits can stimulate output when capacity is </w:t>
      </w:r>
      <w:proofErr w:type="spellStart"/>
      <w:r w:rsidRPr="00EE4C33">
        <w:t>underutilised</w:t>
      </w:r>
      <w:proofErr w:type="spellEnd"/>
      <w:r w:rsidRPr="00EE4C33">
        <w:t xml:space="preserve"> but become inflationary near supply constraints (Bordo &amp; Levy, 202</w:t>
      </w:r>
      <w:r w:rsidR="00401236">
        <w:t>1</w:t>
      </w:r>
      <w:r w:rsidRPr="00EE4C33">
        <w:t>). In modern Keynesian frameworks, the inflationary impact of deficit-financed expansions depends on wealth distribution, debt, and tax expectations (</w:t>
      </w:r>
      <w:proofErr w:type="spellStart"/>
      <w:r w:rsidRPr="00EE4C33">
        <w:t>Auclert</w:t>
      </w:r>
      <w:proofErr w:type="spellEnd"/>
      <w:r w:rsidRPr="00EE4C33">
        <w:t xml:space="preserve"> et al., 20</w:t>
      </w:r>
      <w:r w:rsidR="00401236">
        <w:t>24</w:t>
      </w:r>
      <w:r w:rsidRPr="00EE4C33">
        <w:t xml:space="preserve">). Furthermore, when public debt is exceptionally high, additional deficits may paradoxically contract the economy as households </w:t>
      </w:r>
      <w:proofErr w:type="spellStart"/>
      <w:r w:rsidRPr="00EE4C33">
        <w:t>internalise</w:t>
      </w:r>
      <w:proofErr w:type="spellEnd"/>
      <w:r w:rsidRPr="00EE4C33">
        <w:t xml:space="preserve"> future tax burdens (Sutherland, 1997). For economies such as Nigeria, this implies that the inflationary effects of the fiscal stance are highly state-dependent.</w:t>
      </w:r>
    </w:p>
    <w:p w14:paraId="1FF0169C" w14:textId="3E033D7D" w:rsidR="0080182A" w:rsidRPr="00EE4C33" w:rsidRDefault="0080182A" w:rsidP="0080182A">
      <w:pPr>
        <w:spacing w:after="160" w:line="259" w:lineRule="auto"/>
        <w:rPr>
          <w:rFonts w:ascii="Arial" w:hAnsi="Arial" w:cs="Arial"/>
          <w:color w:val="FF0000"/>
        </w:rPr>
      </w:pPr>
      <w:r w:rsidRPr="00EE4C33">
        <w:t xml:space="preserve">By </w:t>
      </w:r>
      <w:proofErr w:type="spellStart"/>
      <w:r w:rsidRPr="00EE4C33">
        <w:t>emphasising</w:t>
      </w:r>
      <w:proofErr w:type="spellEnd"/>
      <w:r w:rsidRPr="00EE4C33">
        <w:t xml:space="preserve"> the limitations of fiscal dominance, the concept of "unpleasant monetarist arithmetic" proposed by Sargent and Wallace illustrates that when central banks are obliged to support fiscal deficits, attempts to implement tighter monetary policy without simultaneous fiscal reform may increase interest expenses on public debt and worsen future inflation (Bordo &amp; Levy, 202</w:t>
      </w:r>
      <w:r w:rsidR="00401236">
        <w:t>1</w:t>
      </w:r>
      <w:r w:rsidRPr="00EE4C33">
        <w:t xml:space="preserve">; Uribe, 2016). Extending this limitation, the Fiscal Theory of the Price Level (FTPL) argues that price levels adjust to align the real value of debt with anticipated </w:t>
      </w:r>
      <w:r w:rsidRPr="00EE4C33">
        <w:lastRenderedPageBreak/>
        <w:t>future primary surpluses, thereby positioning fiscal policy as a major determinant of inflation (Cochrane, 1998; Cochrane, 202</w:t>
      </w:r>
      <w:r w:rsidR="00B10875">
        <w:t>2</w:t>
      </w:r>
      <w:r w:rsidRPr="00EE4C33">
        <w:t>; Cochrane, 202</w:t>
      </w:r>
      <w:r w:rsidR="00B10875">
        <w:t>3</w:t>
      </w:r>
      <w:r w:rsidRPr="00EE4C33">
        <w:t>). Contrary to traditional economic theories, Modern Monetary Theory (MMT) argues that, in sovereign-currency systems, deficits are constrained by real resources rather than by financial limits, implying that fiscal expansions do not automatically generate inflation (Dubey, 2023; Stella, 2021). Although Nigeria does not possess full monetary sovereignty, MMT cautions against dismissing deficits entirely. It stresses the importance of distinguishing between sustainable debt managed by credible institutions and fiscal shortfalls in fragile financial systems, where inflationary effects can be amplified. Overall, these theoretical strands suggest that Nigeria's inflation trends from 1980 to 2024 are best understood as the outcome of fiscal actions, debt management, and monetary policy, with policy credibility playing a central role.</w:t>
      </w:r>
    </w:p>
    <w:p w14:paraId="58A0288D" w14:textId="77777777" w:rsidR="0080182A" w:rsidRPr="00EE4C33" w:rsidRDefault="0080182A" w:rsidP="0080182A">
      <w:pPr>
        <w:rPr>
          <w:rFonts w:ascii="Arial" w:hAnsi="Arial" w:cs="Arial"/>
          <w:b/>
          <w:bCs/>
        </w:rPr>
      </w:pPr>
      <w:r w:rsidRPr="00EE4C33">
        <w:rPr>
          <w:rFonts w:ascii="Arial" w:hAnsi="Arial" w:cs="Arial"/>
          <w:b/>
          <w:bCs/>
        </w:rPr>
        <w:t>2.3 Empirical Literature Review</w:t>
      </w:r>
    </w:p>
    <w:p w14:paraId="134086D0" w14:textId="77777777" w:rsidR="0080182A" w:rsidRPr="00EE4C33" w:rsidRDefault="0080182A" w:rsidP="0080182A">
      <w:pPr>
        <w:jc w:val="both"/>
        <w:rPr>
          <w:rFonts w:ascii="Arial" w:hAnsi="Arial" w:cs="Arial"/>
          <w:b/>
          <w:bCs/>
        </w:rPr>
      </w:pPr>
    </w:p>
    <w:p w14:paraId="2D808805" w14:textId="77777777" w:rsidR="0080182A" w:rsidRPr="00EE4C33" w:rsidRDefault="0080182A" w:rsidP="0080182A">
      <w:pPr>
        <w:jc w:val="both"/>
        <w:rPr>
          <w:rFonts w:ascii="Arial" w:hAnsi="Arial" w:cs="Arial"/>
          <w:b/>
          <w:bCs/>
        </w:rPr>
      </w:pPr>
      <w:r w:rsidRPr="00EE4C33">
        <w:rPr>
          <w:rFonts w:ascii="Arial" w:hAnsi="Arial" w:cs="Arial"/>
          <w:b/>
          <w:bCs/>
        </w:rPr>
        <w:t>Studies Specific to Nigeria</w:t>
      </w:r>
    </w:p>
    <w:p w14:paraId="36EEF2F8" w14:textId="5A9992FF" w:rsidR="0080182A" w:rsidRPr="00EE4C33" w:rsidRDefault="0080182A" w:rsidP="0080182A">
      <w:pPr>
        <w:jc w:val="both"/>
        <w:rPr>
          <w:rFonts w:ascii="Arial" w:hAnsi="Arial" w:cs="Arial"/>
        </w:rPr>
      </w:pPr>
      <w:r w:rsidRPr="00EE4C33">
        <w:rPr>
          <w:rFonts w:ascii="Arial" w:hAnsi="Arial" w:cs="Arial"/>
          <w:sz w:val="22"/>
          <w:szCs w:val="22"/>
        </w:rPr>
        <w:t xml:space="preserve">Empirical evidence on inflation dynamics in Nigeria has historically </w:t>
      </w:r>
      <w:proofErr w:type="spellStart"/>
      <w:r w:rsidRPr="00EE4C33">
        <w:rPr>
          <w:rFonts w:ascii="Arial" w:hAnsi="Arial" w:cs="Arial"/>
          <w:sz w:val="22"/>
          <w:szCs w:val="22"/>
        </w:rPr>
        <w:t>emphasised</w:t>
      </w:r>
      <w:proofErr w:type="spellEnd"/>
      <w:r w:rsidRPr="00EE4C33">
        <w:rPr>
          <w:rFonts w:ascii="Arial" w:hAnsi="Arial" w:cs="Arial"/>
          <w:sz w:val="22"/>
          <w:szCs w:val="22"/>
        </w:rPr>
        <w:t xml:space="preserve"> monetary and exchange-rate determinants, although recent literature increasingly integrates fiscal variables with mixed results. Foundational studies consistently identify money supply and exchange-rate depreciation as primary long-run drivers of consumer prices (</w:t>
      </w:r>
      <w:proofErr w:type="spellStart"/>
      <w:r w:rsidRPr="00EE4C33">
        <w:rPr>
          <w:rFonts w:ascii="Arial" w:hAnsi="Arial" w:cs="Arial"/>
          <w:sz w:val="22"/>
          <w:szCs w:val="22"/>
        </w:rPr>
        <w:t>Akinbobola</w:t>
      </w:r>
      <w:proofErr w:type="spellEnd"/>
      <w:r w:rsidRPr="00EE4C33">
        <w:rPr>
          <w:rFonts w:ascii="Arial" w:hAnsi="Arial" w:cs="Arial"/>
          <w:sz w:val="22"/>
          <w:szCs w:val="22"/>
        </w:rPr>
        <w:t xml:space="preserve">, 2012; Imimole &amp; </w:t>
      </w:r>
      <w:proofErr w:type="spellStart"/>
      <w:r w:rsidRPr="00EE4C33">
        <w:rPr>
          <w:rFonts w:ascii="Arial" w:hAnsi="Arial" w:cs="Arial"/>
          <w:sz w:val="22"/>
          <w:szCs w:val="22"/>
        </w:rPr>
        <w:t>Enoma</w:t>
      </w:r>
      <w:proofErr w:type="spellEnd"/>
      <w:r w:rsidRPr="00EE4C33">
        <w:rPr>
          <w:rFonts w:ascii="Arial" w:hAnsi="Arial" w:cs="Arial"/>
          <w:sz w:val="22"/>
          <w:szCs w:val="22"/>
        </w:rPr>
        <w:t xml:space="preserve">, 2011; Nuhu, 2021). More recent econometric assessments also </w:t>
      </w:r>
      <w:proofErr w:type="spellStart"/>
      <w:r w:rsidRPr="00EE4C33">
        <w:rPr>
          <w:rFonts w:ascii="Arial" w:hAnsi="Arial" w:cs="Arial"/>
          <w:sz w:val="22"/>
          <w:szCs w:val="22"/>
        </w:rPr>
        <w:t>emphasise</w:t>
      </w:r>
      <w:proofErr w:type="spellEnd"/>
      <w:r w:rsidRPr="00EE4C33">
        <w:rPr>
          <w:rFonts w:ascii="Arial" w:hAnsi="Arial" w:cs="Arial"/>
          <w:sz w:val="22"/>
          <w:szCs w:val="22"/>
        </w:rPr>
        <w:t xml:space="preserve"> strong exchange-rate pass-through and monetary influences (</w:t>
      </w:r>
      <w:proofErr w:type="spellStart"/>
      <w:r w:rsidRPr="00EE4C33">
        <w:rPr>
          <w:rFonts w:ascii="Arial" w:hAnsi="Arial" w:cs="Arial"/>
          <w:sz w:val="22"/>
          <w:szCs w:val="22"/>
        </w:rPr>
        <w:t>Amaefula</w:t>
      </w:r>
      <w:proofErr w:type="spellEnd"/>
      <w:r w:rsidRPr="00EE4C33">
        <w:rPr>
          <w:rFonts w:ascii="Arial" w:hAnsi="Arial" w:cs="Arial"/>
          <w:sz w:val="22"/>
          <w:szCs w:val="22"/>
        </w:rPr>
        <w:t xml:space="preserve"> &amp; Egba, 2024). Regarding fiscal indicators, the evidence remains contested. While some studies indicate that persistent fiscal deficits have minimal effects on inflation or exhibit complex endogeneity (</w:t>
      </w:r>
      <w:r w:rsidR="00B10875" w:rsidRPr="00B10875">
        <w:rPr>
          <w:rFonts w:ascii="Arial" w:hAnsi="Arial" w:cs="Arial"/>
          <w:sz w:val="22"/>
          <w:szCs w:val="22"/>
        </w:rPr>
        <w:t>Dockery</w:t>
      </w:r>
      <w:r w:rsidRPr="00EE4C33">
        <w:rPr>
          <w:rFonts w:ascii="Arial" w:hAnsi="Arial" w:cs="Arial"/>
          <w:sz w:val="22"/>
          <w:szCs w:val="22"/>
        </w:rPr>
        <w:t xml:space="preserve"> et al., 2012, </w:t>
      </w:r>
      <w:proofErr w:type="spellStart"/>
      <w:r w:rsidR="00B10875" w:rsidRPr="00B10875">
        <w:rPr>
          <w:rFonts w:ascii="Arial" w:hAnsi="Arial" w:cs="Arial"/>
          <w:sz w:val="22"/>
          <w:szCs w:val="22"/>
        </w:rPr>
        <w:t>Ezeabasili</w:t>
      </w:r>
      <w:proofErr w:type="spellEnd"/>
      <w:r w:rsidR="00B10875" w:rsidRPr="00B10875">
        <w:rPr>
          <w:rFonts w:ascii="Arial" w:hAnsi="Arial" w:cs="Arial"/>
          <w:sz w:val="22"/>
          <w:szCs w:val="22"/>
        </w:rPr>
        <w:t xml:space="preserve"> et al.,</w:t>
      </w:r>
      <w:r w:rsidRPr="00EE4C33">
        <w:rPr>
          <w:rFonts w:ascii="Arial" w:hAnsi="Arial" w:cs="Arial"/>
          <w:sz w:val="22"/>
          <w:szCs w:val="22"/>
        </w:rPr>
        <w:t xml:space="preserve">2012b; </w:t>
      </w:r>
      <w:proofErr w:type="spellStart"/>
      <w:r w:rsidRPr="00EE4C33">
        <w:rPr>
          <w:rFonts w:ascii="Arial" w:hAnsi="Arial" w:cs="Arial"/>
          <w:sz w:val="22"/>
          <w:szCs w:val="22"/>
        </w:rPr>
        <w:t>Ozurumba</w:t>
      </w:r>
      <w:proofErr w:type="spellEnd"/>
      <w:r w:rsidRPr="00EE4C33">
        <w:rPr>
          <w:rFonts w:ascii="Arial" w:hAnsi="Arial" w:cs="Arial"/>
          <w:sz w:val="22"/>
          <w:szCs w:val="22"/>
        </w:rPr>
        <w:t xml:space="preserve">, 2012; Abubakar et al., 2014), others report inflationary effects from government expenditure and deficit financing (Danlami et al., 2019; Nwosu et al., 2024; Bello et al., 2023; </w:t>
      </w:r>
      <w:proofErr w:type="spellStart"/>
      <w:r w:rsidRPr="00EE4C33">
        <w:rPr>
          <w:rFonts w:ascii="Arial" w:hAnsi="Arial" w:cs="Arial"/>
          <w:sz w:val="22"/>
          <w:szCs w:val="22"/>
        </w:rPr>
        <w:t>Ichime</w:t>
      </w:r>
      <w:proofErr w:type="spellEnd"/>
      <w:r w:rsidRPr="00EE4C33">
        <w:rPr>
          <w:rFonts w:ascii="Arial" w:hAnsi="Arial" w:cs="Arial"/>
          <w:sz w:val="22"/>
          <w:szCs w:val="22"/>
        </w:rPr>
        <w:t xml:space="preserve"> et al., 2024). Using the ARDL methodology, Isiaka et al. (2022) investigated the relationship between budget deficits and inflation rates in Nigeria. The results show that budget deficits do not exert a significant influence on inflation in either the long run or the short run, leading the authors to argue that deficits in Nigeria are not intrinsically connected to inflation. In a similar analysis, Afolabi and </w:t>
      </w:r>
      <w:proofErr w:type="spellStart"/>
      <w:r w:rsidRPr="00EE4C33">
        <w:rPr>
          <w:rFonts w:ascii="Arial" w:hAnsi="Arial" w:cs="Arial"/>
          <w:sz w:val="22"/>
          <w:szCs w:val="22"/>
        </w:rPr>
        <w:t>Atolagbe</w:t>
      </w:r>
      <w:proofErr w:type="spellEnd"/>
      <w:r w:rsidRPr="00EE4C33">
        <w:rPr>
          <w:rFonts w:ascii="Arial" w:hAnsi="Arial" w:cs="Arial"/>
          <w:sz w:val="22"/>
          <w:szCs w:val="22"/>
        </w:rPr>
        <w:t xml:space="preserve"> (2018) found no evidence of fiscal dominance in Nigeria, observing that budget deficits, domestic debt, and money supply did not significantly affect general price levels during the period investigated. </w:t>
      </w:r>
      <w:proofErr w:type="spellStart"/>
      <w:r w:rsidRPr="00EE4C33">
        <w:rPr>
          <w:rFonts w:ascii="Arial" w:hAnsi="Arial" w:cs="Arial"/>
          <w:sz w:val="22"/>
          <w:szCs w:val="22"/>
        </w:rPr>
        <w:t>Orisadare</w:t>
      </w:r>
      <w:proofErr w:type="spellEnd"/>
      <w:r w:rsidRPr="00EE4C33">
        <w:rPr>
          <w:rFonts w:ascii="Arial" w:hAnsi="Arial" w:cs="Arial"/>
          <w:sz w:val="22"/>
          <w:szCs w:val="22"/>
        </w:rPr>
        <w:t xml:space="preserve"> and Adeyemi (2024) found significant positive associations between fiscal spending and outstanding sovereign debt in relation to monetary aggregates. However, their findings regarding fiscal dominance led them to conclude that a fiscally dominant regime is absent in Nigeria. Oyeleke (2021) identifies a nonlinear relationship, indicating that inflationary impacts mainly occur at elevated deficit levels. In contrast, research focused solely on public debt frequently finds that its effects on price levels are statistically insignificant in both the short and long run when </w:t>
      </w:r>
      <w:proofErr w:type="spellStart"/>
      <w:r w:rsidRPr="00EE4C33">
        <w:rPr>
          <w:rFonts w:ascii="Arial" w:hAnsi="Arial" w:cs="Arial"/>
          <w:sz w:val="22"/>
          <w:szCs w:val="22"/>
        </w:rPr>
        <w:t>analysed</w:t>
      </w:r>
      <w:proofErr w:type="spellEnd"/>
      <w:r w:rsidRPr="00EE4C33">
        <w:rPr>
          <w:rFonts w:ascii="Arial" w:hAnsi="Arial" w:cs="Arial"/>
          <w:sz w:val="22"/>
          <w:szCs w:val="22"/>
        </w:rPr>
        <w:t xml:space="preserve"> through linear models (</w:t>
      </w:r>
      <w:proofErr w:type="spellStart"/>
      <w:r w:rsidRPr="00EE4C33">
        <w:rPr>
          <w:rFonts w:ascii="Arial" w:hAnsi="Arial" w:cs="Arial"/>
          <w:sz w:val="22"/>
          <w:szCs w:val="22"/>
        </w:rPr>
        <w:t>Aimola</w:t>
      </w:r>
      <w:proofErr w:type="spellEnd"/>
      <w:r w:rsidRPr="00EE4C33">
        <w:rPr>
          <w:rFonts w:ascii="Arial" w:hAnsi="Arial" w:cs="Arial"/>
          <w:sz w:val="22"/>
          <w:szCs w:val="22"/>
        </w:rPr>
        <w:t xml:space="preserve"> &amp; Odhiambo, 2021b; Shuaibu et al., 2021).</w:t>
      </w:r>
    </w:p>
    <w:p w14:paraId="07EBF50E" w14:textId="77777777" w:rsidR="0080182A" w:rsidRPr="00EE4C33" w:rsidRDefault="0080182A" w:rsidP="0080182A">
      <w:pPr>
        <w:jc w:val="both"/>
        <w:rPr>
          <w:rFonts w:ascii="Arial" w:hAnsi="Arial" w:cs="Arial"/>
        </w:rPr>
      </w:pPr>
      <w:r w:rsidRPr="00EE4C33">
        <w:t xml:space="preserve">Furthermore, the fiscal-monetary interaction has been explored through the perspective of fiscal dominance, with Sanusi (2020) and </w:t>
      </w:r>
      <w:proofErr w:type="spellStart"/>
      <w:r w:rsidRPr="00EE4C33">
        <w:t>Denwi</w:t>
      </w:r>
      <w:proofErr w:type="spellEnd"/>
      <w:r w:rsidRPr="00EE4C33">
        <w:t xml:space="preserve"> et al. (2023) examining causality between deficits and money supply, although these analyses often stop short of evaluating how debt levels condition the deficit-inflation nexus. Complementary work on fiscal-monetary coordination provides additional perspective. Ekong and Effiong (2020) found that both fiscal and monetary channels significantly influence inflation in the short and long run, underscoring that inflation is not purely a monetary phenomenon.</w:t>
      </w:r>
    </w:p>
    <w:p w14:paraId="0224CF37" w14:textId="77777777" w:rsidR="0080182A" w:rsidRPr="00EE4C33" w:rsidRDefault="0080182A" w:rsidP="0080182A">
      <w:pPr>
        <w:jc w:val="both"/>
        <w:rPr>
          <w:rFonts w:ascii="Arial" w:hAnsi="Arial" w:cs="Arial"/>
          <w:b/>
          <w:bCs/>
        </w:rPr>
      </w:pPr>
    </w:p>
    <w:p w14:paraId="592E1C23" w14:textId="77777777" w:rsidR="0080182A" w:rsidRPr="00EE4C33" w:rsidRDefault="0080182A" w:rsidP="0080182A">
      <w:pPr>
        <w:jc w:val="both"/>
        <w:rPr>
          <w:rFonts w:ascii="Arial" w:hAnsi="Arial" w:cs="Arial"/>
          <w:b/>
          <w:bCs/>
        </w:rPr>
      </w:pPr>
      <w:r w:rsidRPr="00EE4C33">
        <w:rPr>
          <w:rFonts w:ascii="Arial" w:hAnsi="Arial" w:cs="Arial"/>
          <w:b/>
          <w:bCs/>
        </w:rPr>
        <w:lastRenderedPageBreak/>
        <w:t>Other Country Specific Studies</w:t>
      </w:r>
    </w:p>
    <w:p w14:paraId="58FA5C88" w14:textId="6FA3E554" w:rsidR="0080182A" w:rsidRPr="00EE4C33" w:rsidRDefault="0080182A" w:rsidP="0080182A">
      <w:pPr>
        <w:jc w:val="both"/>
        <w:rPr>
          <w:rFonts w:ascii="Arial" w:hAnsi="Arial" w:cs="Arial"/>
        </w:rPr>
      </w:pPr>
      <w:r w:rsidRPr="00EE4C33">
        <w:t>Single-country analyses outside Nigeria provide stronger evidence that the public debt-inflation nexus is highly context-dependent and heavily influenced by the prevailing monetary-fiscal regime. In Pakistan, persistent budget deficits financed by money creation underpin high inflation, validating the presence of fiscal dominance (</w:t>
      </w:r>
      <w:r w:rsidR="00401236" w:rsidRPr="00401236">
        <w:t>Batool</w:t>
      </w:r>
      <w:r w:rsidRPr="00EE4C33">
        <w:t xml:space="preserve"> et al., 202</w:t>
      </w:r>
      <w:r w:rsidR="00401236">
        <w:t>4</w:t>
      </w:r>
      <w:r w:rsidRPr="00EE4C33">
        <w:t>; Ahmad et al., 2012). Batool et al. (2024) also examined the fiscal dominance hypothesis in Pakistan, modelling inflation as a fiscally driven monetary phenomenon. Similarly, Duarte Urquhart (202</w:t>
      </w:r>
      <w:r w:rsidR="00B10875">
        <w:t>2</w:t>
      </w:r>
      <w:r w:rsidRPr="00EE4C33">
        <w:t>) applied the Fiscal Theory of the Price Level (FTPL) in Paraguay, indicating that public debt shocks generated notable inflationary pressures under active fiscal policy, while credible inflation-targeting approaches can mitigate this impact. Evidence from other African countries indicates that debt structure plays a crucial role in shaping inflation outcomes, with domestic debt exerting a stronger short-run inflationary impact than external debt in Mozambique, while broader debt indicators show weak but positive correlations with inflation in Kenya (Afonso &amp; Ibraimo, 20</w:t>
      </w:r>
      <w:r w:rsidR="00401236">
        <w:t>20</w:t>
      </w:r>
      <w:r w:rsidRPr="00EE4C33">
        <w:t>; Harmon, 2012).</w:t>
      </w:r>
    </w:p>
    <w:p w14:paraId="17BCBAE1" w14:textId="77777777" w:rsidR="0080182A" w:rsidRPr="00EE4C33" w:rsidRDefault="0080182A" w:rsidP="0080182A">
      <w:pPr>
        <w:jc w:val="both"/>
        <w:rPr>
          <w:rFonts w:ascii="Arial" w:hAnsi="Arial" w:cs="Arial"/>
        </w:rPr>
      </w:pPr>
    </w:p>
    <w:p w14:paraId="3E5A0BAD" w14:textId="77777777" w:rsidR="0080182A" w:rsidRPr="00EE4C33" w:rsidRDefault="0080182A" w:rsidP="0080182A">
      <w:pPr>
        <w:jc w:val="both"/>
        <w:rPr>
          <w:rFonts w:ascii="Arial" w:hAnsi="Arial" w:cs="Arial"/>
          <w:b/>
          <w:bCs/>
        </w:rPr>
      </w:pPr>
      <w:r w:rsidRPr="00EE4C33">
        <w:rPr>
          <w:rFonts w:ascii="Arial" w:hAnsi="Arial" w:cs="Arial"/>
          <w:b/>
          <w:bCs/>
        </w:rPr>
        <w:t xml:space="preserve">Cross-Country Studies and Regional Evidence </w:t>
      </w:r>
    </w:p>
    <w:p w14:paraId="1F7EBFB2" w14:textId="3F8E4222" w:rsidR="0080182A" w:rsidRPr="00EE4C33" w:rsidRDefault="0080182A" w:rsidP="0080182A">
      <w:pPr>
        <w:jc w:val="both"/>
        <w:rPr>
          <w:rFonts w:ascii="Arial" w:hAnsi="Arial" w:cs="Arial"/>
        </w:rPr>
      </w:pPr>
      <w:r w:rsidRPr="00EE4C33">
        <w:t xml:space="preserve">Broader panel studies consistently demonstrate that fiscal imbalances and public debt are powerful, often nonlinear, inflation drivers in developing and emerging economies. Research across large panels of developing countries reveals bidirectional interactions in which public debt positively affects inflation and inflation subsequently Granger-causes public debt, particularly in upper-middle-income economies (Nguyen, 2015; Shah et al., 2024). Evidence from emerging markets, including BRICS economies, also shows that unexpected debt increases and fiscal deficits significantly raise inflation, with effects exacerbated by high initial debt and tight financial conditions (Beirne &amp; Renzhi, 2024; </w:t>
      </w:r>
      <w:proofErr w:type="spellStart"/>
      <w:r w:rsidRPr="00EE4C33">
        <w:t>Khah</w:t>
      </w:r>
      <w:proofErr w:type="spellEnd"/>
      <w:r w:rsidRPr="00EE4C33">
        <w:t xml:space="preserve"> &amp; Ahmad, 202</w:t>
      </w:r>
      <w:r w:rsidR="00764AAD">
        <w:t>5</w:t>
      </w:r>
      <w:r w:rsidRPr="00EE4C33">
        <w:t xml:space="preserve">). In the broader cross-country context, Dumitrescu et al. (2022) examined the nonlinear effects of public debt on inflation across 22 emerging economies. Their findings established threshold effects, showing that countries with small shadow economies can accommodate rising debt, whereas countries where the shadow economy exceeds 24.3% of GDP face significantly higher inflationary costs. This highlights the conditional nature of the debt-inflation relationship based on institutional and structural characteristics. Further examining the role of expectations, Brandao-Marques et al. (2024) assessed how public debt shocks influence inflation expectations in advanced and emerging market economies. Their results showed that unforeseen debt movements persistently raise long-term inflation expectations in emerging markets, particularly those with high initial debt and significant debt </w:t>
      </w:r>
      <w:proofErr w:type="spellStart"/>
      <w:r w:rsidRPr="00EE4C33">
        <w:t>dollarisation</w:t>
      </w:r>
      <w:proofErr w:type="spellEnd"/>
      <w:r w:rsidRPr="00EE4C33">
        <w:t>, whereas advanced economies remain largely unaffected. This suggests that weaker monetary policy frameworks in emerging markets heighten the inflationary risks associated with fiscal shocks. Sub-Saharan African regional evidence strongly links recent inflation spikes to debt-financed fiscal policy. Dynamic panel threshold models identify public debt-to-GDP thresholds of approximately 50% to 60.6%, beyond which macroeconomic instability and inflationary pressures worsen significantly (Olaoye et al., 2022; Olaoye et al., 202</w:t>
      </w:r>
      <w:r w:rsidR="00764AAD">
        <w:t>4</w:t>
      </w:r>
      <w:r w:rsidRPr="00EE4C33">
        <w:t>; Law et al., 2021; Sumba et al., 2024). Institutional factors also play a vital role; central bank financing of deficits in SSA and interactions between governance and public debt in developed and European contexts critically determine the magnitude of inflationary outcomes (Hooley et al., 202</w:t>
      </w:r>
      <w:r w:rsidR="00764AAD">
        <w:t>4</w:t>
      </w:r>
      <w:r w:rsidRPr="00EE4C33">
        <w:t xml:space="preserve">; </w:t>
      </w:r>
      <w:r w:rsidR="00764AAD" w:rsidRPr="00764AAD">
        <w:t>Olaoye</w:t>
      </w:r>
      <w:r w:rsidRPr="00EE4C33">
        <w:t xml:space="preserve"> et al., 2024; Nguyen, 2022). These cross-country findings echo the "unpleasant monetarist arithmetic", suggesting that fiscal deficits are more likely to be inflationary in highly indebted environments (Kwon et al., 2006; Kwon et al., 2009).</w:t>
      </w:r>
    </w:p>
    <w:p w14:paraId="5C8CCCF4" w14:textId="77777777" w:rsidR="0080182A" w:rsidRPr="00EE4C33" w:rsidRDefault="0080182A" w:rsidP="0080182A">
      <w:pPr>
        <w:jc w:val="both"/>
        <w:rPr>
          <w:rFonts w:ascii="Arial" w:hAnsi="Arial" w:cs="Arial"/>
          <w:b/>
          <w:bCs/>
        </w:rPr>
      </w:pPr>
    </w:p>
    <w:p w14:paraId="209F9CCF" w14:textId="77777777" w:rsidR="0080182A" w:rsidRPr="00EE4C33" w:rsidRDefault="0080182A" w:rsidP="0080182A">
      <w:pPr>
        <w:jc w:val="both"/>
        <w:rPr>
          <w:rFonts w:ascii="Arial" w:hAnsi="Arial" w:cs="Arial"/>
          <w:b/>
          <w:bCs/>
        </w:rPr>
      </w:pPr>
      <w:r w:rsidRPr="00EE4C33">
        <w:rPr>
          <w:rFonts w:ascii="Arial" w:hAnsi="Arial" w:cs="Arial"/>
          <w:b/>
          <w:bCs/>
        </w:rPr>
        <w:t>2.4 Gaps in the Empirical Literature Reviewed</w:t>
      </w:r>
    </w:p>
    <w:p w14:paraId="264F87D1" w14:textId="77777777" w:rsidR="0080182A" w:rsidRPr="00EE4C33" w:rsidRDefault="0080182A" w:rsidP="0080182A">
      <w:pPr>
        <w:jc w:val="both"/>
        <w:rPr>
          <w:rFonts w:ascii="Arial" w:hAnsi="Arial" w:cs="Arial"/>
        </w:rPr>
      </w:pPr>
    </w:p>
    <w:p w14:paraId="541A35DD" w14:textId="28709934" w:rsidR="0080182A" w:rsidRPr="00EE4C33" w:rsidRDefault="0080182A" w:rsidP="00385CAF">
      <w:pPr>
        <w:jc w:val="both"/>
        <w:rPr>
          <w:rFonts w:ascii="Arial" w:hAnsi="Arial" w:cs="Arial"/>
        </w:rPr>
      </w:pPr>
      <w:r w:rsidRPr="00EE4C33">
        <w:rPr>
          <w:rFonts w:ascii="Arial" w:hAnsi="Arial" w:cs="Arial"/>
          <w:sz w:val="22"/>
          <w:szCs w:val="22"/>
        </w:rPr>
        <w:t>Despite considerable research efforts, significant empirical gaps persist in the macroeconomic literature on Nigeria, largely because fiscal variables have been examined in a fragmented manner. Existing studies have assessed the inflationary effects of fiscal deficits (</w:t>
      </w:r>
      <w:proofErr w:type="spellStart"/>
      <w:r w:rsidRPr="00EE4C33">
        <w:rPr>
          <w:rFonts w:ascii="Arial" w:hAnsi="Arial" w:cs="Arial"/>
          <w:sz w:val="22"/>
          <w:szCs w:val="22"/>
        </w:rPr>
        <w:t>Fasanya</w:t>
      </w:r>
      <w:proofErr w:type="spellEnd"/>
      <w:r w:rsidRPr="00EE4C33">
        <w:rPr>
          <w:rFonts w:ascii="Arial" w:hAnsi="Arial" w:cs="Arial"/>
          <w:sz w:val="22"/>
          <w:szCs w:val="22"/>
        </w:rPr>
        <w:t xml:space="preserve"> et al., 2021; Oyeleke, 2021; Nwosu et al., 2024) and </w:t>
      </w:r>
      <w:r w:rsidRPr="00EE4C33">
        <w:rPr>
          <w:rFonts w:ascii="Arial" w:hAnsi="Arial" w:cs="Arial"/>
          <w:sz w:val="22"/>
          <w:szCs w:val="22"/>
        </w:rPr>
        <w:lastRenderedPageBreak/>
        <w:t>public debt (</w:t>
      </w:r>
      <w:proofErr w:type="spellStart"/>
      <w:r w:rsidRPr="00EE4C33">
        <w:rPr>
          <w:rFonts w:ascii="Arial" w:hAnsi="Arial" w:cs="Arial"/>
          <w:sz w:val="22"/>
          <w:szCs w:val="22"/>
        </w:rPr>
        <w:t>Aimola</w:t>
      </w:r>
      <w:proofErr w:type="spellEnd"/>
      <w:r w:rsidRPr="00EE4C33">
        <w:rPr>
          <w:rFonts w:ascii="Arial" w:hAnsi="Arial" w:cs="Arial"/>
          <w:sz w:val="22"/>
          <w:szCs w:val="22"/>
        </w:rPr>
        <w:t xml:space="preserve"> &amp; Odhiambo, 2021b; Shuaibu et al., 2021) separately; however, an integrated model that investigates their interactive effects has not been adequately explored. In addition, while global evidence documents nonlinear and threshold-dependent dynamics between debt and inflation (Law et al., 2021; Olaoye et al., 202</w:t>
      </w:r>
      <w:r w:rsidR="00764AAD">
        <w:rPr>
          <w:rFonts w:ascii="Arial" w:hAnsi="Arial" w:cs="Arial"/>
          <w:sz w:val="22"/>
          <w:szCs w:val="22"/>
        </w:rPr>
        <w:t>4</w:t>
      </w:r>
      <w:r w:rsidRPr="00EE4C33">
        <w:rPr>
          <w:rFonts w:ascii="Arial" w:hAnsi="Arial" w:cs="Arial"/>
          <w:sz w:val="22"/>
          <w:szCs w:val="22"/>
        </w:rPr>
        <w:t>; Beirne &amp; Renzhi, 2024) and identifies causal relationships indicating that debt influences inflation (Kwon et al., 2006; Kwon et al., 2009; Shah et al., 2024; Olaoye et al., 202</w:t>
      </w:r>
      <w:r w:rsidR="00764AAD">
        <w:rPr>
          <w:rFonts w:ascii="Arial" w:hAnsi="Arial" w:cs="Arial"/>
          <w:sz w:val="22"/>
          <w:szCs w:val="22"/>
        </w:rPr>
        <w:t>4</w:t>
      </w:r>
      <w:r w:rsidRPr="00EE4C33">
        <w:rPr>
          <w:rFonts w:ascii="Arial" w:hAnsi="Arial" w:cs="Arial"/>
          <w:sz w:val="22"/>
          <w:szCs w:val="22"/>
        </w:rPr>
        <w:t>), Nigeria-specific studies often yield ambiguous findings. This inconsistency is likely due to methodological limitations, particularly the absence of interaction terms in time-series analyses. Therefore, the present study fills this methodological gap by explicitly modelling the conditional and combined effects of fiscal deficits and public debt on inflationary outcomes in Nigeria.</w:t>
      </w:r>
    </w:p>
    <w:p w14:paraId="0C91506E" w14:textId="77777777" w:rsidR="0080182A" w:rsidRPr="00EE4C33" w:rsidRDefault="0080182A" w:rsidP="00385CAF">
      <w:pPr>
        <w:jc w:val="both"/>
        <w:rPr>
          <w:rFonts w:ascii="Arial" w:hAnsi="Arial" w:cs="Arial"/>
        </w:rPr>
      </w:pPr>
      <w:r w:rsidRPr="00EE4C33">
        <w:rPr>
          <w:rFonts w:ascii="Arial" w:hAnsi="Arial" w:cs="Arial"/>
        </w:rPr>
        <w:t xml:space="preserve"> </w:t>
      </w:r>
    </w:p>
    <w:p w14:paraId="3DC74A14"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3. </w:t>
      </w:r>
      <w:r w:rsidRPr="00EE4C33">
        <w:rPr>
          <w:rFonts w:ascii="Arial" w:hAnsi="Arial" w:cs="Arial"/>
          <w:b/>
          <w:bCs/>
          <w:sz w:val="22"/>
          <w:szCs w:val="22"/>
        </w:rPr>
        <w:t>METHODOLOGY AND DATA</w:t>
      </w:r>
    </w:p>
    <w:p w14:paraId="2171AAFF" w14:textId="77777777" w:rsidR="00790ADA" w:rsidRPr="00EE4C33" w:rsidRDefault="00790ADA" w:rsidP="00441B6F">
      <w:pPr>
        <w:pStyle w:val="Body"/>
        <w:spacing w:after="0"/>
        <w:rPr>
          <w:rFonts w:ascii="Arial" w:hAnsi="Arial" w:cs="Arial"/>
        </w:rPr>
      </w:pPr>
    </w:p>
    <w:p w14:paraId="20B9C84A" w14:textId="77777777" w:rsidR="00385CAF" w:rsidRPr="00EE4C33" w:rsidRDefault="00385CAF" w:rsidP="00385CAF">
      <w:pPr>
        <w:spacing w:line="360" w:lineRule="auto"/>
        <w:rPr>
          <w:rFonts w:ascii="Arial" w:hAnsi="Arial" w:cs="Arial"/>
          <w:b/>
          <w:bCs/>
        </w:rPr>
      </w:pPr>
      <w:r w:rsidRPr="00EE4C33">
        <w:rPr>
          <w:rFonts w:ascii="Arial" w:hAnsi="Arial" w:cs="Arial"/>
          <w:b/>
          <w:bCs/>
        </w:rPr>
        <w:t>3.1 Theoretical framework</w:t>
      </w:r>
    </w:p>
    <w:p w14:paraId="12457595" w14:textId="3DD12875" w:rsidR="00385CAF" w:rsidRPr="00EE4C33" w:rsidRDefault="00385CAF" w:rsidP="00385CAF">
      <w:pPr>
        <w:jc w:val="both"/>
        <w:rPr>
          <w:rFonts w:ascii="Arial" w:hAnsi="Arial" w:cs="Arial"/>
        </w:rPr>
      </w:pPr>
      <w:r w:rsidRPr="00EE4C33">
        <w:t>The empirical model is based on the Fiscal Theory of the Price Level and related ideas of fiscal dominance, which argue that the price level adjusts so that the real value of government debt coincides with the present value of expected primary surpluses. This implies that inflation results from both fiscal and monetary factors and is not solely a monetary phenomenon (Cochrane, 202</w:t>
      </w:r>
      <w:r w:rsidR="00B10875">
        <w:t>3</w:t>
      </w:r>
      <w:r w:rsidRPr="00EE4C33">
        <w:t>). From this perspective, the fiscal position, reflected in the size and persistence of deficits, together with the level of public debt, plays a crucial role in determining inflation trends, particularly in economies with limited tax capacity and credibility. Unpleasant monetarist arithmetic further demonstrates that, in fiscally dominant regimes, attempts to reduce inflation by raising interest rates may eventually require higher future inflation if fiscal deficits and debt are not addressed (Uribe, 2016). These insights support an empirical framework in which inflation is explicitly influenced by fiscal deficits, public debt, and their interaction, in addition to monetary and real variables.</w:t>
      </w:r>
    </w:p>
    <w:p w14:paraId="0DBC9F89" w14:textId="77777777" w:rsidR="00385CAF" w:rsidRPr="00EE4C33" w:rsidRDefault="00385CAF" w:rsidP="00385CAF">
      <w:pPr>
        <w:jc w:val="both"/>
        <w:rPr>
          <w:rFonts w:ascii="Arial" w:hAnsi="Arial" w:cs="Arial"/>
          <w:b/>
          <w:bCs/>
        </w:rPr>
      </w:pPr>
    </w:p>
    <w:p w14:paraId="18410C69" w14:textId="77777777" w:rsidR="00385CAF" w:rsidRPr="00EE4C33" w:rsidRDefault="00385CAF" w:rsidP="00385CAF">
      <w:pPr>
        <w:jc w:val="both"/>
        <w:rPr>
          <w:rFonts w:ascii="Arial" w:hAnsi="Arial" w:cs="Arial"/>
          <w:b/>
          <w:bCs/>
        </w:rPr>
      </w:pPr>
      <w:r w:rsidRPr="00EE4C33">
        <w:rPr>
          <w:rFonts w:ascii="Arial" w:hAnsi="Arial" w:cs="Arial"/>
          <w:b/>
          <w:bCs/>
        </w:rPr>
        <w:t>3.2 Variables, Expected Signs, and Data</w:t>
      </w:r>
    </w:p>
    <w:p w14:paraId="1285D01E" w14:textId="77777777" w:rsidR="00385CAF" w:rsidRPr="00EE4C33" w:rsidRDefault="00385CAF" w:rsidP="00385CAF">
      <w:pPr>
        <w:rPr>
          <w:rFonts w:ascii="Arial" w:hAnsi="Arial" w:cs="Arial"/>
        </w:rPr>
      </w:pPr>
      <w:r w:rsidRPr="00EE4C33">
        <w:t xml:space="preserve">Nigeria's annual inflation rate (INF), measured by the percentage change in the CPI, is the dependent variable. The primary independent variables are the fiscal deficit-to-GDP ratio (FD) and the public debt-to-GDP ratio (PD). An interaction term (FD*PD) is included to evaluate whether public debt influences the inflationary effects of fiscal deficits. The control variables consist of broad money growth (M2), which accounts for liquidity; the nominal exchange rate (LEXR), which captures pass-through effects; real GDP growth (RGDPG), which reflects demand and supply trends; and the lending rate (LR), which represents domestic financing conditions. A priori, higher FD, M2, LEXR, and particularly the interactive effect of FD*PD </w:t>
      </w:r>
      <w:proofErr w:type="gramStart"/>
      <w:r w:rsidRPr="00EE4C33">
        <w:t>are</w:t>
      </w:r>
      <w:proofErr w:type="gramEnd"/>
      <w:r w:rsidRPr="00EE4C33">
        <w:t xml:space="preserve"> expected to positively influence inflation, consistent with FTPL frameworks (</w:t>
      </w:r>
      <w:proofErr w:type="spellStart"/>
      <w:r w:rsidRPr="00EE4C33">
        <w:t>Aimola</w:t>
      </w:r>
      <w:proofErr w:type="spellEnd"/>
      <w:r w:rsidRPr="00EE4C33">
        <w:t xml:space="preserve"> &amp; Odhiambo, 2021b; Nwosu et al., 2024). The expected signs for RGDPG and LR remain ambiguous. The annual secondary data were sourced from World Development Indicators, the IMF's International Financial Statistics, the Central Bank of Nigeria Statistical Bulletin, and the National Bureau of Statistics, with some variables log-transformed to mitigate heteroscedasticity.</w:t>
      </w:r>
    </w:p>
    <w:p w14:paraId="328DDCAD" w14:textId="77777777" w:rsidR="00385CAF" w:rsidRPr="00EE4C33" w:rsidRDefault="00385CAF" w:rsidP="00385CAF">
      <w:pPr>
        <w:jc w:val="both"/>
        <w:rPr>
          <w:rFonts w:ascii="Arial" w:hAnsi="Arial" w:cs="Arial"/>
        </w:rPr>
      </w:pPr>
    </w:p>
    <w:p w14:paraId="0757A128" w14:textId="77777777" w:rsidR="00385CAF" w:rsidRPr="00EE4C33" w:rsidRDefault="00385CAF" w:rsidP="00385CAF">
      <w:pPr>
        <w:jc w:val="both"/>
        <w:rPr>
          <w:rFonts w:ascii="Arial" w:hAnsi="Arial" w:cs="Arial"/>
          <w:b/>
          <w:bCs/>
        </w:rPr>
      </w:pPr>
      <w:r w:rsidRPr="00EE4C33">
        <w:rPr>
          <w:rFonts w:ascii="Arial" w:hAnsi="Arial" w:cs="Arial"/>
          <w:b/>
          <w:bCs/>
        </w:rPr>
        <w:t>3.3 Pre-Estimation Tests and Method of Analysis</w:t>
      </w:r>
    </w:p>
    <w:p w14:paraId="47CE39DF" w14:textId="77777777" w:rsidR="00385CAF" w:rsidRPr="00EE4C33" w:rsidRDefault="00385CAF" w:rsidP="00385CAF">
      <w:pPr>
        <w:jc w:val="both"/>
        <w:rPr>
          <w:rFonts w:ascii="Arial" w:hAnsi="Arial" w:cs="Arial"/>
        </w:rPr>
      </w:pPr>
      <w:r w:rsidRPr="00EE4C33">
        <w:t xml:space="preserve">The empirical strategy proceeds in distinct phases, beginning with diagnostic assessments that include descriptive statistics and preliminary pairwise correlation analysis. To establish a sound basis for time-series modelling, unit root tests, specifically the Augmented Dickey-Fuller (ADF) and Phillips-Perron (PP) tests, are subsequently applied. This step confirms the integration orders of the variables, ensuring that all series are either </w:t>
      </w:r>
      <w:proofErr w:type="gramStart"/>
      <w:r w:rsidRPr="00EE4C33">
        <w:t>I(</w:t>
      </w:r>
      <w:proofErr w:type="gramEnd"/>
      <w:r w:rsidRPr="00EE4C33">
        <w:t xml:space="preserve">0) or </w:t>
      </w:r>
      <w:proofErr w:type="gramStart"/>
      <w:r w:rsidRPr="00EE4C33">
        <w:t>I(</w:t>
      </w:r>
      <w:proofErr w:type="gramEnd"/>
      <w:r w:rsidRPr="00EE4C33">
        <w:t xml:space="preserve">1) and precluding higher-order integration. After confirming stationarity characteristics, the analysis proceeds to </w:t>
      </w:r>
      <w:r w:rsidRPr="00EE4C33">
        <w:lastRenderedPageBreak/>
        <w:t>the Autoregressive Distributed Lag (ARDL) bounds testing procedure to detect the existence of long-run cointegrating relationships among the variables (</w:t>
      </w:r>
      <w:proofErr w:type="spellStart"/>
      <w:r w:rsidRPr="00EE4C33">
        <w:t>Pesaran</w:t>
      </w:r>
      <w:proofErr w:type="spellEnd"/>
      <w:r w:rsidRPr="00EE4C33">
        <w:t xml:space="preserve"> et al., 2001; </w:t>
      </w:r>
      <w:proofErr w:type="spellStart"/>
      <w:r w:rsidRPr="00EE4C33">
        <w:t>Pesaran</w:t>
      </w:r>
      <w:proofErr w:type="spellEnd"/>
      <w:r w:rsidRPr="00EE4C33">
        <w:t>, 2015).</w:t>
      </w:r>
    </w:p>
    <w:p w14:paraId="4D8EFEA5" w14:textId="77777777" w:rsidR="00385CAF" w:rsidRPr="00EE4C33" w:rsidRDefault="00385CAF" w:rsidP="00385CAF">
      <w:pPr>
        <w:jc w:val="both"/>
        <w:rPr>
          <w:rFonts w:ascii="Arial" w:hAnsi="Arial" w:cs="Arial"/>
          <w:color w:val="FF0000"/>
        </w:rPr>
      </w:pPr>
    </w:p>
    <w:p w14:paraId="01CBE998" w14:textId="77777777" w:rsidR="00385CAF" w:rsidRPr="00EE4C33" w:rsidRDefault="00385CAF" w:rsidP="00385CAF">
      <w:pPr>
        <w:rPr>
          <w:rFonts w:ascii="Arial" w:hAnsi="Arial" w:cs="Arial"/>
        </w:rPr>
      </w:pPr>
      <w:r w:rsidRPr="00EE4C33">
        <w:t>After cointegration is empirically confirmed, the selected ARDL model is estimated using Ordinary Least Squares (OLS). An Error Correction Model (ECM) is then derived to capture the short-run dynamics of the system and measure the speed of adjustment towards long-run equilibrium (</w:t>
      </w:r>
      <w:proofErr w:type="spellStart"/>
      <w:r w:rsidRPr="00EE4C33">
        <w:t>Pesaran</w:t>
      </w:r>
      <w:proofErr w:type="spellEnd"/>
      <w:r w:rsidRPr="00EE4C33">
        <w:t xml:space="preserve"> et al., 2001; </w:t>
      </w:r>
      <w:proofErr w:type="spellStart"/>
      <w:r w:rsidRPr="00EE4C33">
        <w:t>Natsiopoulos</w:t>
      </w:r>
      <w:proofErr w:type="spellEnd"/>
      <w:r w:rsidRPr="00EE4C33">
        <w:t xml:space="preserve"> &amp; Tzeremes, 2022). Post-estimation diagnostic checks are performed to assess serial correlation, heteroscedasticity, residual normality, and functional-form adequacy using the Ramsey RESET test. Parameter stability is further evaluated using CUSUM and CUSUMSQ tests, while Newey-West robust standard errors are applied to mitigate potential residual heteroscedasticity or autocorrelation.</w:t>
      </w:r>
    </w:p>
    <w:p w14:paraId="06CD240B" w14:textId="77777777" w:rsidR="00385CAF" w:rsidRPr="00EE4C33" w:rsidRDefault="00385CAF" w:rsidP="00385CAF">
      <w:pPr>
        <w:rPr>
          <w:rFonts w:ascii="Arial" w:hAnsi="Arial" w:cs="Arial"/>
        </w:rPr>
      </w:pPr>
    </w:p>
    <w:p w14:paraId="06EC79D7" w14:textId="77777777" w:rsidR="00385CAF" w:rsidRPr="00EE4C33" w:rsidRDefault="00385CAF" w:rsidP="00385CAF">
      <w:pPr>
        <w:spacing w:line="360" w:lineRule="auto"/>
        <w:rPr>
          <w:rFonts w:ascii="Arial" w:hAnsi="Arial" w:cs="Arial"/>
          <w:b/>
          <w:bCs/>
        </w:rPr>
      </w:pPr>
      <w:r w:rsidRPr="00EE4C33">
        <w:rPr>
          <w:rFonts w:ascii="Arial" w:hAnsi="Arial" w:cs="Arial"/>
          <w:b/>
          <w:bCs/>
        </w:rPr>
        <w:t>3.4 Model specification</w:t>
      </w:r>
    </w:p>
    <w:p w14:paraId="390AEE49" w14:textId="77777777" w:rsidR="00385CAF" w:rsidRPr="00EE4C33" w:rsidRDefault="00385CAF" w:rsidP="00385CAF">
      <w:pPr>
        <w:jc w:val="both"/>
        <w:rPr>
          <w:rFonts w:ascii="Arial" w:hAnsi="Arial" w:cs="Arial"/>
        </w:rPr>
      </w:pPr>
      <w:r w:rsidRPr="00EE4C33">
        <w:t>To assess the interaction between fiscal stance, public debt, and inflation dynamics in Nigeria, the functional relationship implied by the theoretical framework can be written in general form as:</w:t>
      </w:r>
    </w:p>
    <w:p w14:paraId="73643226" w14:textId="77777777" w:rsidR="00385CAF" w:rsidRPr="00EE4C33" w:rsidRDefault="00385CAF" w:rsidP="00385CAF">
      <w:pPr>
        <w:spacing w:line="360" w:lineRule="auto"/>
        <w:jc w:val="both"/>
        <w:rPr>
          <w:rFonts w:ascii="Arial" w:hAnsi="Arial" w:cs="Arial"/>
        </w:rPr>
      </w:pPr>
      <w:proofErr w:type="spellStart"/>
      <w:r w:rsidRPr="00EE4C33">
        <w:rPr>
          <w:rFonts w:ascii="Arial" w:hAnsi="Arial" w:cs="Arial"/>
        </w:rPr>
        <w:t>INF</w:t>
      </w:r>
      <w:r w:rsidRPr="00EE4C33">
        <w:rPr>
          <w:rFonts w:ascii="Arial" w:hAnsi="Arial" w:cs="Arial"/>
          <w:vertAlign w:val="subscript"/>
        </w:rPr>
        <w:t>t</w:t>
      </w:r>
      <w:proofErr w:type="spellEnd"/>
      <w:r w:rsidRPr="00EE4C33">
        <w:rPr>
          <w:rFonts w:ascii="Arial" w:hAnsi="Arial" w:cs="Arial"/>
        </w:rPr>
        <w:t xml:space="preserve"> = f (</w:t>
      </w:r>
      <w:proofErr w:type="spellStart"/>
      <w:r w:rsidRPr="00EE4C33">
        <w:rPr>
          <w:rFonts w:ascii="Arial" w:hAnsi="Arial" w:cs="Arial"/>
        </w:rPr>
        <w:t>FD</w:t>
      </w:r>
      <w:r w:rsidRPr="00EE4C33">
        <w:rPr>
          <w:rFonts w:ascii="Arial" w:hAnsi="Arial" w:cs="Arial"/>
          <w:vertAlign w:val="subscript"/>
        </w:rPr>
        <w:t>t</w:t>
      </w:r>
      <w:proofErr w:type="spellEnd"/>
      <w:r w:rsidRPr="00EE4C33">
        <w:rPr>
          <w:rFonts w:ascii="Arial" w:hAnsi="Arial" w:cs="Arial"/>
        </w:rPr>
        <w:t xml:space="preserve">, </w:t>
      </w:r>
      <w:proofErr w:type="spellStart"/>
      <w:r w:rsidRPr="00EE4C33">
        <w:rPr>
          <w:rFonts w:ascii="Arial" w:hAnsi="Arial" w:cs="Arial"/>
        </w:rPr>
        <w:t>PD</w:t>
      </w:r>
      <w:r w:rsidRPr="00EE4C33">
        <w:rPr>
          <w:rFonts w:ascii="Arial" w:hAnsi="Arial" w:cs="Arial"/>
          <w:vertAlign w:val="subscript"/>
        </w:rPr>
        <w:t>t</w:t>
      </w:r>
      <w:proofErr w:type="spellEnd"/>
      <w:r w:rsidRPr="00EE4C33">
        <w:rPr>
          <w:rFonts w:ascii="Arial" w:hAnsi="Arial" w:cs="Arial"/>
        </w:rPr>
        <w:t>, FD*</w:t>
      </w:r>
      <w:proofErr w:type="spellStart"/>
      <w:r w:rsidRPr="00EE4C33">
        <w:rPr>
          <w:rFonts w:ascii="Arial" w:hAnsi="Arial" w:cs="Arial"/>
        </w:rPr>
        <w:t>PD</w:t>
      </w:r>
      <w:r w:rsidRPr="00EE4C33">
        <w:rPr>
          <w:rFonts w:ascii="Arial" w:hAnsi="Arial" w:cs="Arial"/>
          <w:vertAlign w:val="subscript"/>
        </w:rPr>
        <w:t>t</w:t>
      </w:r>
      <w:proofErr w:type="spellEnd"/>
      <w:r w:rsidRPr="00EE4C33">
        <w:rPr>
          <w:rFonts w:ascii="Arial" w:hAnsi="Arial" w:cs="Arial"/>
        </w:rPr>
        <w:t xml:space="preserve">, </w:t>
      </w:r>
      <w:proofErr w:type="spellStart"/>
      <w:r w:rsidRPr="00EE4C33">
        <w:rPr>
          <w:rFonts w:ascii="Arial" w:hAnsi="Arial" w:cs="Arial"/>
        </w:rPr>
        <w:t>LEXR</w:t>
      </w:r>
      <w:r w:rsidRPr="00EE4C33">
        <w:rPr>
          <w:rFonts w:ascii="Arial" w:hAnsi="Arial" w:cs="Arial"/>
          <w:vertAlign w:val="subscript"/>
        </w:rPr>
        <w:t>t</w:t>
      </w:r>
      <w:proofErr w:type="spellEnd"/>
      <w:r w:rsidRPr="00EE4C33">
        <w:rPr>
          <w:rFonts w:ascii="Arial" w:hAnsi="Arial" w:cs="Arial"/>
        </w:rPr>
        <w:t>, M2</w:t>
      </w:r>
      <w:r w:rsidRPr="00EE4C33">
        <w:rPr>
          <w:rFonts w:ascii="Arial" w:hAnsi="Arial" w:cs="Arial"/>
          <w:vertAlign w:val="subscript"/>
        </w:rPr>
        <w:t>t</w:t>
      </w:r>
      <w:r w:rsidRPr="00EE4C33">
        <w:rPr>
          <w:rFonts w:ascii="Arial" w:hAnsi="Arial" w:cs="Arial"/>
        </w:rPr>
        <w:t xml:space="preserve">, </w:t>
      </w:r>
      <w:proofErr w:type="spellStart"/>
      <w:r w:rsidRPr="00EE4C33">
        <w:rPr>
          <w:rFonts w:ascii="Arial" w:hAnsi="Arial" w:cs="Arial"/>
        </w:rPr>
        <w:t>RGDPG</w:t>
      </w:r>
      <w:r w:rsidRPr="00EE4C33">
        <w:rPr>
          <w:rFonts w:ascii="Arial" w:hAnsi="Arial" w:cs="Arial"/>
          <w:vertAlign w:val="subscript"/>
        </w:rPr>
        <w:t>t</w:t>
      </w:r>
      <w:proofErr w:type="spellEnd"/>
      <w:r w:rsidRPr="00EE4C33">
        <w:rPr>
          <w:rFonts w:ascii="Arial" w:hAnsi="Arial" w:cs="Arial"/>
        </w:rPr>
        <w:t xml:space="preserve">, </w:t>
      </w:r>
      <w:proofErr w:type="spellStart"/>
      <w:r w:rsidRPr="00EE4C33">
        <w:rPr>
          <w:rFonts w:ascii="Arial" w:hAnsi="Arial" w:cs="Arial"/>
        </w:rPr>
        <w:t>LR</w:t>
      </w:r>
      <w:r w:rsidRPr="00EE4C33">
        <w:rPr>
          <w:rFonts w:ascii="Arial" w:hAnsi="Arial" w:cs="Arial"/>
          <w:vertAlign w:val="subscript"/>
        </w:rPr>
        <w:t>t</w:t>
      </w:r>
      <w:proofErr w:type="spellEnd"/>
      <w:r w:rsidRPr="00EE4C33">
        <w:rPr>
          <w:rFonts w:ascii="Arial" w:hAnsi="Arial" w:cs="Arial"/>
        </w:rPr>
        <w:t>)</w:t>
      </w:r>
      <w:r w:rsidRPr="00EE4C33">
        <w:rPr>
          <w:rFonts w:ascii="Arial" w:hAnsi="Arial" w:cs="Arial"/>
        </w:rPr>
        <w:tab/>
      </w:r>
      <w:r w:rsidRPr="00EE4C33">
        <w:rPr>
          <w:rFonts w:ascii="Arial" w:hAnsi="Arial" w:cs="Arial"/>
        </w:rPr>
        <w:tab/>
      </w:r>
      <w:r w:rsidRPr="00EE4C33">
        <w:rPr>
          <w:rFonts w:ascii="Arial" w:hAnsi="Arial" w:cs="Arial"/>
        </w:rPr>
        <w:tab/>
      </w:r>
      <w:r w:rsidRPr="00EE4C33">
        <w:rPr>
          <w:rFonts w:ascii="Arial" w:hAnsi="Arial" w:cs="Arial"/>
        </w:rPr>
        <w:tab/>
      </w:r>
      <w:r w:rsidRPr="00EE4C33">
        <w:rPr>
          <w:rFonts w:ascii="Arial" w:hAnsi="Arial" w:cs="Arial"/>
        </w:rPr>
        <w:tab/>
        <w:t>(1)</w:t>
      </w:r>
    </w:p>
    <w:p w14:paraId="65E4C7A0" w14:textId="77777777" w:rsidR="00385CAF" w:rsidRPr="00EE4C33" w:rsidRDefault="00385CAF" w:rsidP="00385CAF">
      <w:pPr>
        <w:spacing w:line="360" w:lineRule="auto"/>
        <w:jc w:val="both"/>
        <w:rPr>
          <w:rFonts w:ascii="Arial" w:hAnsi="Arial" w:cs="Arial"/>
        </w:rPr>
      </w:pPr>
    </w:p>
    <w:p w14:paraId="14CB2DA7" w14:textId="77777777" w:rsidR="00385CAF" w:rsidRPr="00EE4C33" w:rsidRDefault="00385CAF" w:rsidP="00385CAF">
      <w:pPr>
        <w:jc w:val="both"/>
        <w:rPr>
          <w:rFonts w:ascii="Arial" w:hAnsi="Arial" w:cs="Arial"/>
        </w:rPr>
      </w:pPr>
      <w:r w:rsidRPr="00EE4C33">
        <w:t xml:space="preserve">To </w:t>
      </w:r>
      <w:proofErr w:type="spellStart"/>
      <w:r w:rsidRPr="00EE4C33">
        <w:t>operationalise</w:t>
      </w:r>
      <w:proofErr w:type="spellEnd"/>
      <w:r w:rsidRPr="00EE4C33">
        <w:t xml:space="preserve"> this relationship in ARDL form, following </w:t>
      </w:r>
      <w:proofErr w:type="spellStart"/>
      <w:r w:rsidRPr="00EE4C33">
        <w:t>Pesaran</w:t>
      </w:r>
      <w:proofErr w:type="spellEnd"/>
      <w:r w:rsidRPr="00EE4C33">
        <w:t xml:space="preserve"> et al. (2001), the estimation specifies the Unrestricted Error Correction Model (UECM) for cointegration testing, the long-run equilibrium model, and the restricted Error Correction Model (ECM) for short-run dynamics.</w:t>
      </w:r>
    </w:p>
    <w:p w14:paraId="51A3220E" w14:textId="77777777" w:rsidR="00385CAF" w:rsidRPr="00EE4C33" w:rsidRDefault="00385CAF" w:rsidP="00385CAF">
      <w:pPr>
        <w:spacing w:line="360" w:lineRule="auto"/>
        <w:jc w:val="both"/>
        <w:rPr>
          <w:rFonts w:ascii="Arial" w:hAnsi="Arial" w:cs="Arial"/>
          <w:b/>
          <w:bCs/>
        </w:rPr>
      </w:pPr>
    </w:p>
    <w:p w14:paraId="7A5E4A60" w14:textId="77777777" w:rsidR="00385CAF" w:rsidRPr="00EE4C33" w:rsidRDefault="00385CAF" w:rsidP="00385CAF">
      <w:pPr>
        <w:spacing w:line="360" w:lineRule="auto"/>
        <w:jc w:val="both"/>
        <w:rPr>
          <w:rFonts w:ascii="Arial" w:hAnsi="Arial" w:cs="Arial"/>
          <w:b/>
          <w:bCs/>
        </w:rPr>
      </w:pPr>
      <w:proofErr w:type="spellStart"/>
      <w:r w:rsidRPr="00EE4C33">
        <w:rPr>
          <w:rFonts w:ascii="Arial" w:hAnsi="Arial" w:cs="Arial"/>
          <w:b/>
          <w:bCs/>
        </w:rPr>
        <w:t>i</w:t>
      </w:r>
      <w:proofErr w:type="spellEnd"/>
      <w:r w:rsidRPr="00EE4C33">
        <w:rPr>
          <w:rFonts w:ascii="Arial" w:hAnsi="Arial" w:cs="Arial"/>
          <w:b/>
          <w:bCs/>
        </w:rPr>
        <w:t>) Unrestricted Error Correction Model (UECM)</w:t>
      </w:r>
    </w:p>
    <w:p w14:paraId="0E58362C" w14:textId="77777777" w:rsidR="00385CAF" w:rsidRPr="00EE4C33" w:rsidRDefault="00385CAF" w:rsidP="00385CAF">
      <w:pPr>
        <w:spacing w:line="360" w:lineRule="auto"/>
        <w:jc w:val="both"/>
        <w:rPr>
          <w:rFonts w:ascii="Times New Roman" w:hAnsi="Times New Roman"/>
          <w:sz w:val="24"/>
          <w:szCs w:val="24"/>
        </w:rPr>
      </w:pPr>
      <w:r w:rsidRPr="00EE4C33">
        <w:t>The UECM is used for the ARDL bounds test to determine the existence of a long-run relationship. It combines short-run dynamics in differences with the long-run relationship in levels:</w:t>
      </w:r>
    </w:p>
    <w:p w14:paraId="6922DBAC" w14:textId="77777777" w:rsidR="00385CAF" w:rsidRPr="00EE4C33" w:rsidRDefault="00385CAF" w:rsidP="00385CAF">
      <w:pPr>
        <w:spacing w:line="360" w:lineRule="auto"/>
        <w:jc w:val="both"/>
        <w:rPr>
          <w:rFonts w:ascii="Arial" w:hAnsi="Arial" w:cs="Arial"/>
        </w:rPr>
      </w:pPr>
      <w:proofErr w:type="spellStart"/>
      <w:r w:rsidRPr="00EE4C33">
        <w:rPr>
          <w:rFonts w:ascii="Arial" w:hAnsi="Arial" w:cs="Arial"/>
        </w:rPr>
        <w:t>ΔINF</w:t>
      </w:r>
      <w:r w:rsidRPr="00EE4C33">
        <w:rPr>
          <w:rFonts w:ascii="Arial" w:hAnsi="Arial" w:cs="Arial"/>
          <w:vertAlign w:val="subscript"/>
        </w:rPr>
        <w:t>t</w:t>
      </w:r>
      <w:proofErr w:type="spellEnd"/>
      <w:r w:rsidRPr="00EE4C33">
        <w:rPr>
          <w:rFonts w:ascii="Arial" w:hAnsi="Arial" w:cs="Arial"/>
        </w:rPr>
        <w:t xml:space="preserve"> = φ</w:t>
      </w:r>
      <w:r w:rsidRPr="00EE4C33">
        <w:rPr>
          <w:rFonts w:ascii="Arial" w:hAnsi="Arial" w:cs="Arial"/>
          <w:vertAlign w:val="subscript"/>
        </w:rPr>
        <w:t>0</w:t>
      </w:r>
      <w:r w:rsidRPr="00EE4C33">
        <w:rPr>
          <w:rFonts w:ascii="Arial" w:hAnsi="Arial" w:cs="Arial"/>
        </w:rPr>
        <w:t xml:space="preserve"> + Σᵢ</w:t>
      </w:r>
      <w:r w:rsidRPr="00EE4C33">
        <w:rPr>
          <w:rFonts w:ascii="Cambria Math" w:hAnsi="Cambria Math" w:cs="Cambria Math"/>
        </w:rPr>
        <w:t>₌₁</w:t>
      </w:r>
      <w:r w:rsidRPr="00EE4C33">
        <w:rPr>
          <w:rFonts w:ascii="Arial" w:hAnsi="Arial" w:cs="Arial"/>
        </w:rPr>
        <w:t>ᵖφ</w:t>
      </w:r>
      <w:r w:rsidRPr="00EE4C33">
        <w:rPr>
          <w:rFonts w:ascii="Arial" w:hAnsi="Arial" w:cs="Arial"/>
          <w:vertAlign w:val="subscript"/>
        </w:rPr>
        <w:t>1i</w:t>
      </w:r>
      <w:r w:rsidRPr="00EE4C33">
        <w:rPr>
          <w:rFonts w:ascii="Arial" w:hAnsi="Arial" w:cs="Arial"/>
        </w:rPr>
        <w:t>ΔINF</w:t>
      </w:r>
      <w:r w:rsidRPr="00EE4C33">
        <w:rPr>
          <w:rFonts w:ascii="Arial" w:hAnsi="Arial" w:cs="Arial"/>
          <w:vertAlign w:val="subscript"/>
        </w:rPr>
        <w:t>t-i</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q1</w:t>
      </w:r>
      <w:r w:rsidRPr="00EE4C33">
        <w:rPr>
          <w:rFonts w:ascii="Arial" w:hAnsi="Arial" w:cs="Arial"/>
        </w:rPr>
        <w:t>φ</w:t>
      </w:r>
      <w:r w:rsidRPr="00EE4C33">
        <w:rPr>
          <w:rFonts w:ascii="Arial" w:hAnsi="Arial" w:cs="Arial"/>
          <w:vertAlign w:val="subscript"/>
        </w:rPr>
        <w:t>2j</w:t>
      </w:r>
      <w:r w:rsidRPr="00EE4C33">
        <w:rPr>
          <w:rFonts w:ascii="Arial" w:hAnsi="Arial" w:cs="Arial"/>
        </w:rPr>
        <w:t>ΔFD</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q2</w:t>
      </w:r>
      <w:r w:rsidRPr="00EE4C33">
        <w:rPr>
          <w:rFonts w:ascii="Arial" w:hAnsi="Arial" w:cs="Arial"/>
        </w:rPr>
        <w:t>φ</w:t>
      </w:r>
      <w:r w:rsidRPr="00EE4C33">
        <w:rPr>
          <w:rFonts w:ascii="Arial" w:hAnsi="Arial" w:cs="Arial"/>
          <w:vertAlign w:val="subscript"/>
        </w:rPr>
        <w:t>3j</w:t>
      </w:r>
      <w:r w:rsidRPr="00EE4C33">
        <w:rPr>
          <w:rFonts w:ascii="Arial" w:hAnsi="Arial" w:cs="Arial"/>
        </w:rPr>
        <w:t>ΔPD</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q3</w:t>
      </w:r>
      <w:r w:rsidRPr="00EE4C33">
        <w:rPr>
          <w:rFonts w:ascii="Arial" w:hAnsi="Arial" w:cs="Arial"/>
        </w:rPr>
        <w:t>φ</w:t>
      </w:r>
      <w:r w:rsidRPr="00EE4C33">
        <w:rPr>
          <w:rFonts w:ascii="Arial" w:hAnsi="Arial" w:cs="Arial"/>
          <w:vertAlign w:val="subscript"/>
        </w:rPr>
        <w:t>4j</w:t>
      </w:r>
      <w:r w:rsidRPr="00EE4C33">
        <w:rPr>
          <w:rFonts w:ascii="Arial" w:hAnsi="Arial" w:cs="Arial"/>
        </w:rPr>
        <w:t>ΔFD*</w:t>
      </w:r>
      <w:proofErr w:type="spellStart"/>
      <w:r w:rsidRPr="00EE4C33">
        <w:rPr>
          <w:rFonts w:ascii="Arial" w:hAnsi="Arial" w:cs="Arial"/>
        </w:rPr>
        <w:t>PD</w:t>
      </w:r>
      <w:r w:rsidRPr="00EE4C33">
        <w:rPr>
          <w:rFonts w:ascii="Arial" w:hAnsi="Arial" w:cs="Arial"/>
          <w:vertAlign w:val="subscript"/>
        </w:rPr>
        <w:t>t</w:t>
      </w:r>
      <w:proofErr w:type="spellEnd"/>
      <w:r w:rsidRPr="00EE4C33">
        <w:rPr>
          <w:rFonts w:ascii="Arial" w:hAnsi="Arial" w:cs="Arial"/>
          <w:vertAlign w:val="subscript"/>
        </w:rPr>
        <w: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q4</w:t>
      </w:r>
      <w:r w:rsidRPr="00EE4C33">
        <w:rPr>
          <w:rFonts w:ascii="Arial" w:hAnsi="Arial" w:cs="Arial"/>
        </w:rPr>
        <w:t>φ</w:t>
      </w:r>
      <w:r w:rsidRPr="00EE4C33">
        <w:rPr>
          <w:rFonts w:ascii="Arial" w:hAnsi="Arial" w:cs="Arial"/>
          <w:vertAlign w:val="subscript"/>
        </w:rPr>
        <w:t>5j</w:t>
      </w:r>
      <w:r w:rsidRPr="00EE4C33">
        <w:rPr>
          <w:rFonts w:ascii="Arial" w:hAnsi="Arial" w:cs="Arial"/>
        </w:rPr>
        <w:t>ΔLEXR</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q5</w:t>
      </w:r>
      <w:r w:rsidRPr="00EE4C33">
        <w:rPr>
          <w:rFonts w:ascii="Arial" w:hAnsi="Arial" w:cs="Arial"/>
        </w:rPr>
        <w:t>φ</w:t>
      </w:r>
      <w:r w:rsidRPr="00EE4C33">
        <w:rPr>
          <w:rFonts w:ascii="Arial" w:hAnsi="Arial" w:cs="Arial"/>
          <w:vertAlign w:val="subscript"/>
        </w:rPr>
        <w:t>6j</w:t>
      </w:r>
      <w:r w:rsidRPr="00EE4C33">
        <w:rPr>
          <w:rFonts w:ascii="Arial" w:hAnsi="Arial" w:cs="Arial"/>
        </w:rPr>
        <w:t>ΔM2</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q6</w:t>
      </w:r>
      <w:r w:rsidRPr="00EE4C33">
        <w:rPr>
          <w:rFonts w:ascii="Arial" w:hAnsi="Arial" w:cs="Arial"/>
        </w:rPr>
        <w:t>φ</w:t>
      </w:r>
      <w:r w:rsidRPr="00EE4C33">
        <w:rPr>
          <w:rFonts w:ascii="Arial" w:hAnsi="Arial" w:cs="Arial"/>
          <w:vertAlign w:val="subscript"/>
        </w:rPr>
        <w:t>7j</w:t>
      </w:r>
      <w:r w:rsidRPr="00EE4C33">
        <w:rPr>
          <w:rFonts w:ascii="Arial" w:hAnsi="Arial" w:cs="Arial"/>
        </w:rPr>
        <w:t>ΔRGDPG</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q7</w:t>
      </w:r>
      <w:r w:rsidRPr="00EE4C33">
        <w:rPr>
          <w:rFonts w:ascii="Arial" w:hAnsi="Arial" w:cs="Arial"/>
        </w:rPr>
        <w:t>φ</w:t>
      </w:r>
      <w:r w:rsidRPr="00EE4C33">
        <w:rPr>
          <w:rFonts w:ascii="Arial" w:hAnsi="Arial" w:cs="Arial"/>
          <w:vertAlign w:val="subscript"/>
        </w:rPr>
        <w:t>8j</w:t>
      </w:r>
      <w:r w:rsidRPr="00EE4C33">
        <w:rPr>
          <w:rFonts w:ascii="Arial" w:hAnsi="Arial" w:cs="Arial"/>
        </w:rPr>
        <w:t>ΔLR</w:t>
      </w:r>
      <w:r w:rsidRPr="00EE4C33">
        <w:rPr>
          <w:rFonts w:ascii="Arial" w:hAnsi="Arial" w:cs="Arial"/>
          <w:vertAlign w:val="subscript"/>
        </w:rPr>
        <w:t>t-j</w:t>
      </w:r>
      <w:r w:rsidRPr="00EE4C33">
        <w:rPr>
          <w:rFonts w:ascii="Arial" w:hAnsi="Arial" w:cs="Arial"/>
        </w:rPr>
        <w:t xml:space="preserve"> + β</w:t>
      </w:r>
      <w:r w:rsidRPr="00EE4C33">
        <w:rPr>
          <w:rFonts w:ascii="Arial" w:hAnsi="Arial" w:cs="Arial"/>
          <w:vertAlign w:val="subscript"/>
        </w:rPr>
        <w:t>1</w:t>
      </w:r>
      <w:r w:rsidRPr="00EE4C33">
        <w:rPr>
          <w:rFonts w:ascii="Arial" w:hAnsi="Arial" w:cs="Arial"/>
        </w:rPr>
        <w:t>INF</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2</w:t>
      </w:r>
      <w:r w:rsidRPr="00EE4C33">
        <w:rPr>
          <w:rFonts w:ascii="Arial" w:hAnsi="Arial" w:cs="Arial"/>
        </w:rPr>
        <w:t>FD</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3</w:t>
      </w:r>
      <w:r w:rsidRPr="00EE4C33">
        <w:rPr>
          <w:rFonts w:ascii="Arial" w:hAnsi="Arial" w:cs="Arial"/>
        </w:rPr>
        <w:t>PD</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4</w:t>
      </w:r>
      <w:r w:rsidRPr="00EE4C33">
        <w:rPr>
          <w:rFonts w:ascii="Arial" w:hAnsi="Arial" w:cs="Arial"/>
        </w:rPr>
        <w:t>FD*PD</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5</w:t>
      </w:r>
      <w:r w:rsidRPr="00EE4C33">
        <w:rPr>
          <w:rFonts w:ascii="Arial" w:hAnsi="Arial" w:cs="Arial"/>
        </w:rPr>
        <w:t>LEXR</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6</w:t>
      </w:r>
      <w:r w:rsidRPr="00EE4C33">
        <w:rPr>
          <w:rFonts w:ascii="Arial" w:hAnsi="Arial" w:cs="Arial"/>
        </w:rPr>
        <w:t>M</w:t>
      </w:r>
      <w:r w:rsidRPr="00EE4C33">
        <w:rPr>
          <w:rFonts w:ascii="Arial" w:hAnsi="Arial" w:cs="Arial"/>
          <w:vertAlign w:val="subscript"/>
        </w:rPr>
        <w:t>2t-1</w:t>
      </w:r>
      <w:r w:rsidRPr="00EE4C33">
        <w:rPr>
          <w:rFonts w:ascii="Arial" w:hAnsi="Arial" w:cs="Arial"/>
        </w:rPr>
        <w:t xml:space="preserve"> + β</w:t>
      </w:r>
      <w:r w:rsidRPr="00EE4C33">
        <w:rPr>
          <w:rFonts w:ascii="Arial" w:hAnsi="Arial" w:cs="Arial"/>
          <w:vertAlign w:val="subscript"/>
        </w:rPr>
        <w:t>7</w:t>
      </w:r>
      <w:r w:rsidRPr="00EE4C33">
        <w:rPr>
          <w:rFonts w:ascii="Arial" w:hAnsi="Arial" w:cs="Arial"/>
        </w:rPr>
        <w:t>RGDPG</w:t>
      </w:r>
      <w:r w:rsidRPr="00EE4C33">
        <w:rPr>
          <w:rFonts w:ascii="Arial" w:hAnsi="Arial" w:cs="Arial"/>
          <w:vertAlign w:val="subscript"/>
        </w:rPr>
        <w:t>t-1</w:t>
      </w:r>
      <w:r w:rsidRPr="00EE4C33">
        <w:rPr>
          <w:rFonts w:ascii="Arial" w:hAnsi="Arial" w:cs="Arial"/>
        </w:rPr>
        <w:t xml:space="preserve"> + β</w:t>
      </w:r>
      <w:r w:rsidRPr="00EE4C33">
        <w:rPr>
          <w:rFonts w:ascii="Arial" w:hAnsi="Arial" w:cs="Arial"/>
          <w:vertAlign w:val="subscript"/>
        </w:rPr>
        <w:t>8</w:t>
      </w:r>
      <w:r w:rsidRPr="00EE4C33">
        <w:rPr>
          <w:rFonts w:ascii="Arial" w:hAnsi="Arial" w:cs="Arial"/>
        </w:rPr>
        <w:t>LR</w:t>
      </w:r>
      <w:r w:rsidRPr="00EE4C33">
        <w:rPr>
          <w:rFonts w:ascii="Arial" w:hAnsi="Arial" w:cs="Arial"/>
          <w:vertAlign w:val="subscript"/>
        </w:rPr>
        <w:t>t-1</w:t>
      </w:r>
      <w:r w:rsidRPr="00EE4C33">
        <w:rPr>
          <w:rFonts w:ascii="Arial" w:hAnsi="Arial" w:cs="Arial"/>
        </w:rPr>
        <w:t xml:space="preserve"> + </w:t>
      </w:r>
      <w:proofErr w:type="spellStart"/>
      <w:r w:rsidRPr="00EE4C33">
        <w:rPr>
          <w:rFonts w:ascii="Arial" w:hAnsi="Arial" w:cs="Arial"/>
        </w:rPr>
        <w:t>μ</w:t>
      </w:r>
      <w:r w:rsidRPr="00EE4C33">
        <w:rPr>
          <w:rFonts w:ascii="Arial" w:hAnsi="Arial" w:cs="Arial"/>
          <w:vertAlign w:val="subscript"/>
        </w:rPr>
        <w:t>t</w:t>
      </w:r>
      <w:proofErr w:type="spellEnd"/>
      <w:r w:rsidRPr="00EE4C33">
        <w:rPr>
          <w:rFonts w:ascii="Arial" w:hAnsi="Arial" w:cs="Arial"/>
        </w:rPr>
        <w:t xml:space="preserve">                          </w:t>
      </w:r>
      <w:proofErr w:type="gramStart"/>
      <w:r w:rsidRPr="00EE4C33">
        <w:rPr>
          <w:rFonts w:ascii="Arial" w:hAnsi="Arial" w:cs="Arial"/>
        </w:rPr>
        <w:t xml:space="preserve">   (</w:t>
      </w:r>
      <w:proofErr w:type="gramEnd"/>
      <w:r w:rsidRPr="00EE4C33">
        <w:rPr>
          <w:rFonts w:ascii="Arial" w:hAnsi="Arial" w:cs="Arial"/>
        </w:rPr>
        <w:t xml:space="preserve">2)  </w:t>
      </w:r>
    </w:p>
    <w:p w14:paraId="79523D55" w14:textId="77777777" w:rsidR="00385CAF" w:rsidRPr="00EE4C33" w:rsidRDefault="00385CAF" w:rsidP="00385CAF">
      <w:pPr>
        <w:spacing w:line="360" w:lineRule="auto"/>
        <w:jc w:val="both"/>
        <w:rPr>
          <w:rFonts w:ascii="Times New Roman" w:hAnsi="Times New Roman"/>
          <w:b/>
          <w:bCs/>
          <w:sz w:val="24"/>
          <w:szCs w:val="24"/>
        </w:rPr>
      </w:pPr>
    </w:p>
    <w:p w14:paraId="6307DCA3" w14:textId="77777777" w:rsidR="00385CAF" w:rsidRPr="00EE4C33" w:rsidRDefault="00385CAF" w:rsidP="00385CAF">
      <w:pPr>
        <w:spacing w:line="360" w:lineRule="auto"/>
        <w:jc w:val="both"/>
        <w:rPr>
          <w:rFonts w:ascii="Arial" w:hAnsi="Arial" w:cs="Arial"/>
          <w:b/>
          <w:bCs/>
        </w:rPr>
      </w:pPr>
      <w:r w:rsidRPr="00EE4C33">
        <w:rPr>
          <w:rFonts w:ascii="Arial" w:hAnsi="Arial" w:cs="Arial"/>
          <w:b/>
          <w:bCs/>
        </w:rPr>
        <w:t>ii) Long-Run ARDL Specification</w:t>
      </w:r>
    </w:p>
    <w:p w14:paraId="3FA855AC" w14:textId="77777777" w:rsidR="00385CAF" w:rsidRPr="00EE4C33" w:rsidRDefault="00385CAF" w:rsidP="00385CAF">
      <w:pPr>
        <w:spacing w:line="360" w:lineRule="auto"/>
        <w:jc w:val="both"/>
        <w:rPr>
          <w:rFonts w:ascii="Arial" w:hAnsi="Arial" w:cs="Arial"/>
        </w:rPr>
      </w:pPr>
      <w:r w:rsidRPr="00EE4C33">
        <w:rPr>
          <w:rFonts w:ascii="Arial" w:hAnsi="Arial" w:cs="Arial"/>
        </w:rPr>
        <w:t>Upon confirming cointegration, the long-run equilibrium relationship is specified as follows:</w:t>
      </w:r>
    </w:p>
    <w:p w14:paraId="37EB7603" w14:textId="77777777" w:rsidR="00385CAF" w:rsidRPr="00EE4C33" w:rsidRDefault="00385CAF" w:rsidP="00385CAF">
      <w:pPr>
        <w:spacing w:line="360" w:lineRule="auto"/>
        <w:jc w:val="both"/>
        <w:rPr>
          <w:rFonts w:ascii="Arial" w:hAnsi="Arial" w:cs="Arial"/>
        </w:rPr>
      </w:pPr>
      <w:proofErr w:type="spellStart"/>
      <w:r w:rsidRPr="00EE4C33">
        <w:rPr>
          <w:rFonts w:ascii="Arial" w:hAnsi="Arial" w:cs="Arial"/>
        </w:rPr>
        <w:t>INF</w:t>
      </w:r>
      <w:r w:rsidRPr="00EE4C33">
        <w:rPr>
          <w:rFonts w:ascii="Arial" w:hAnsi="Arial" w:cs="Arial"/>
          <w:vertAlign w:val="subscript"/>
        </w:rPr>
        <w:t>t</w:t>
      </w:r>
      <w:proofErr w:type="spellEnd"/>
      <w:r w:rsidRPr="00EE4C33">
        <w:rPr>
          <w:rFonts w:ascii="Arial" w:hAnsi="Arial" w:cs="Arial"/>
          <w:vertAlign w:val="subscript"/>
        </w:rPr>
        <w:t xml:space="preserve"> </w:t>
      </w:r>
      <w:r w:rsidRPr="00EE4C33">
        <w:rPr>
          <w:rFonts w:ascii="Arial" w:hAnsi="Arial" w:cs="Arial"/>
        </w:rPr>
        <w:t>= α</w:t>
      </w:r>
      <w:r w:rsidRPr="00EE4C33">
        <w:rPr>
          <w:rFonts w:ascii="Arial" w:hAnsi="Arial" w:cs="Arial"/>
          <w:vertAlign w:val="subscript"/>
        </w:rPr>
        <w:t>0</w:t>
      </w:r>
      <w:r w:rsidRPr="00EE4C33">
        <w:rPr>
          <w:rFonts w:ascii="Arial" w:hAnsi="Arial" w:cs="Arial"/>
        </w:rPr>
        <w:t xml:space="preserve"> + α</w:t>
      </w:r>
      <w:r w:rsidRPr="00EE4C33">
        <w:rPr>
          <w:rFonts w:ascii="Arial" w:hAnsi="Arial" w:cs="Arial"/>
          <w:vertAlign w:val="subscript"/>
        </w:rPr>
        <w:t>1</w:t>
      </w:r>
      <w:r w:rsidRPr="00EE4C33">
        <w:rPr>
          <w:rFonts w:ascii="Arial" w:hAnsi="Arial" w:cs="Arial"/>
        </w:rPr>
        <w:t>FD</w:t>
      </w:r>
      <w:r w:rsidRPr="00EE4C33">
        <w:rPr>
          <w:rFonts w:ascii="Arial" w:hAnsi="Arial" w:cs="Arial"/>
          <w:vertAlign w:val="subscript"/>
        </w:rPr>
        <w:t>t</w:t>
      </w:r>
      <w:r w:rsidRPr="00EE4C33">
        <w:rPr>
          <w:rFonts w:ascii="Arial" w:hAnsi="Arial" w:cs="Arial"/>
        </w:rPr>
        <w:t xml:space="preserve"> + α</w:t>
      </w:r>
      <w:r w:rsidRPr="00EE4C33">
        <w:rPr>
          <w:rFonts w:ascii="Arial" w:hAnsi="Arial" w:cs="Arial"/>
          <w:vertAlign w:val="subscript"/>
        </w:rPr>
        <w:t>2</w:t>
      </w:r>
      <w:r w:rsidRPr="00EE4C33">
        <w:rPr>
          <w:rFonts w:ascii="Arial" w:hAnsi="Arial" w:cs="Arial"/>
        </w:rPr>
        <w:t>PD</w:t>
      </w:r>
      <w:r w:rsidRPr="00EE4C33">
        <w:rPr>
          <w:rFonts w:ascii="Arial" w:hAnsi="Arial" w:cs="Arial"/>
          <w:vertAlign w:val="subscript"/>
        </w:rPr>
        <w:t xml:space="preserve">t </w:t>
      </w:r>
      <w:r w:rsidRPr="00EE4C33">
        <w:rPr>
          <w:rFonts w:ascii="Arial" w:hAnsi="Arial" w:cs="Arial"/>
        </w:rPr>
        <w:t>+ α</w:t>
      </w:r>
      <w:r w:rsidRPr="00EE4C33">
        <w:rPr>
          <w:rFonts w:ascii="Arial" w:hAnsi="Arial" w:cs="Arial"/>
          <w:vertAlign w:val="subscript"/>
        </w:rPr>
        <w:t>3</w:t>
      </w:r>
      <w:r w:rsidRPr="00EE4C33">
        <w:rPr>
          <w:rFonts w:ascii="Arial" w:hAnsi="Arial" w:cs="Arial"/>
        </w:rPr>
        <w:t>FD*</w:t>
      </w:r>
      <w:proofErr w:type="spellStart"/>
      <w:r w:rsidRPr="00EE4C33">
        <w:rPr>
          <w:rFonts w:ascii="Arial" w:hAnsi="Arial" w:cs="Arial"/>
        </w:rPr>
        <w:t>PD</w:t>
      </w:r>
      <w:r w:rsidRPr="00EE4C33">
        <w:rPr>
          <w:rFonts w:ascii="Arial" w:hAnsi="Arial" w:cs="Arial"/>
          <w:vertAlign w:val="subscript"/>
        </w:rPr>
        <w:t>t</w:t>
      </w:r>
      <w:proofErr w:type="spellEnd"/>
      <w:r w:rsidRPr="00EE4C33">
        <w:rPr>
          <w:rFonts w:ascii="Arial" w:hAnsi="Arial" w:cs="Arial"/>
        </w:rPr>
        <w:t xml:space="preserve"> + α</w:t>
      </w:r>
      <w:r w:rsidRPr="00EE4C33">
        <w:rPr>
          <w:rFonts w:ascii="Arial" w:hAnsi="Arial" w:cs="Arial"/>
          <w:vertAlign w:val="subscript"/>
        </w:rPr>
        <w:t>4</w:t>
      </w:r>
      <w:r w:rsidRPr="00EE4C33">
        <w:rPr>
          <w:rFonts w:ascii="Arial" w:hAnsi="Arial" w:cs="Arial"/>
        </w:rPr>
        <w:t>LEXR</w:t>
      </w:r>
      <w:r w:rsidRPr="00EE4C33">
        <w:rPr>
          <w:rFonts w:ascii="Arial" w:hAnsi="Arial" w:cs="Arial"/>
          <w:vertAlign w:val="subscript"/>
        </w:rPr>
        <w:t>t</w:t>
      </w:r>
      <w:r w:rsidRPr="00EE4C33">
        <w:rPr>
          <w:rFonts w:ascii="Arial" w:hAnsi="Arial" w:cs="Arial"/>
        </w:rPr>
        <w:t xml:space="preserve"> + α</w:t>
      </w:r>
      <w:r w:rsidRPr="00EE4C33">
        <w:rPr>
          <w:rFonts w:ascii="Arial" w:hAnsi="Arial" w:cs="Arial"/>
          <w:vertAlign w:val="subscript"/>
        </w:rPr>
        <w:t>5</w:t>
      </w:r>
      <w:r w:rsidRPr="00EE4C33">
        <w:rPr>
          <w:rFonts w:ascii="Arial" w:hAnsi="Arial" w:cs="Arial"/>
        </w:rPr>
        <w:t>M</w:t>
      </w:r>
      <w:r w:rsidRPr="00EE4C33">
        <w:rPr>
          <w:rFonts w:ascii="Arial" w:hAnsi="Arial" w:cs="Arial"/>
          <w:vertAlign w:val="subscript"/>
        </w:rPr>
        <w:t>2t</w:t>
      </w:r>
      <w:r w:rsidRPr="00EE4C33">
        <w:rPr>
          <w:rFonts w:ascii="Arial" w:hAnsi="Arial" w:cs="Arial"/>
        </w:rPr>
        <w:t xml:space="preserve"> + α</w:t>
      </w:r>
      <w:r w:rsidRPr="00EE4C33">
        <w:rPr>
          <w:rFonts w:ascii="Arial" w:hAnsi="Arial" w:cs="Arial"/>
          <w:vertAlign w:val="subscript"/>
        </w:rPr>
        <w:t>6</w:t>
      </w:r>
      <w:r w:rsidRPr="00EE4C33">
        <w:rPr>
          <w:rFonts w:ascii="Arial" w:hAnsi="Arial" w:cs="Arial"/>
        </w:rPr>
        <w:t>RGDPG</w:t>
      </w:r>
      <w:r w:rsidRPr="00EE4C33">
        <w:rPr>
          <w:rFonts w:ascii="Arial" w:hAnsi="Arial" w:cs="Arial"/>
          <w:vertAlign w:val="subscript"/>
        </w:rPr>
        <w:t>t</w:t>
      </w:r>
      <w:r w:rsidRPr="00EE4C33">
        <w:rPr>
          <w:rFonts w:ascii="Arial" w:hAnsi="Arial" w:cs="Arial"/>
        </w:rPr>
        <w:t xml:space="preserve"> + α</w:t>
      </w:r>
      <w:r w:rsidRPr="00EE4C33">
        <w:rPr>
          <w:rFonts w:ascii="Arial" w:hAnsi="Arial" w:cs="Arial"/>
          <w:vertAlign w:val="subscript"/>
        </w:rPr>
        <w:t>7</w:t>
      </w:r>
      <w:r w:rsidRPr="00EE4C33">
        <w:rPr>
          <w:rFonts w:ascii="Arial" w:hAnsi="Arial" w:cs="Arial"/>
        </w:rPr>
        <w:t>LR</w:t>
      </w:r>
      <w:r w:rsidRPr="00EE4C33">
        <w:rPr>
          <w:rFonts w:ascii="Arial" w:hAnsi="Arial" w:cs="Arial"/>
          <w:vertAlign w:val="subscript"/>
        </w:rPr>
        <w:t>t</w:t>
      </w:r>
      <w:r w:rsidRPr="00EE4C33">
        <w:rPr>
          <w:rFonts w:ascii="Arial" w:hAnsi="Arial" w:cs="Arial"/>
        </w:rPr>
        <w:t xml:space="preserve"> + </w:t>
      </w:r>
      <w:proofErr w:type="spellStart"/>
      <w:r w:rsidRPr="00EE4C33">
        <w:rPr>
          <w:rFonts w:ascii="Arial" w:hAnsi="Arial" w:cs="Arial"/>
        </w:rPr>
        <w:t>ε</w:t>
      </w:r>
      <w:r w:rsidRPr="00EE4C33">
        <w:rPr>
          <w:rFonts w:ascii="Arial" w:hAnsi="Arial" w:cs="Arial"/>
          <w:vertAlign w:val="subscript"/>
        </w:rPr>
        <w:t>t</w:t>
      </w:r>
      <w:proofErr w:type="spellEnd"/>
      <w:r w:rsidRPr="00EE4C33">
        <w:rPr>
          <w:rFonts w:ascii="Arial" w:hAnsi="Arial" w:cs="Arial"/>
        </w:rPr>
        <w:t xml:space="preserve">         </w:t>
      </w:r>
      <w:proofErr w:type="gramStart"/>
      <w:r w:rsidRPr="00EE4C33">
        <w:rPr>
          <w:rFonts w:ascii="Arial" w:hAnsi="Arial" w:cs="Arial"/>
        </w:rPr>
        <w:t xml:space="preserve">   (</w:t>
      </w:r>
      <w:proofErr w:type="gramEnd"/>
      <w:r w:rsidRPr="00EE4C33">
        <w:rPr>
          <w:rFonts w:ascii="Arial" w:hAnsi="Arial" w:cs="Arial"/>
        </w:rPr>
        <w:t>3)</w:t>
      </w:r>
    </w:p>
    <w:p w14:paraId="5F1B125A" w14:textId="77777777" w:rsidR="00385CAF" w:rsidRPr="00EE4C33" w:rsidRDefault="00385CAF" w:rsidP="00385CAF">
      <w:pPr>
        <w:spacing w:line="360" w:lineRule="auto"/>
        <w:jc w:val="both"/>
        <w:rPr>
          <w:rFonts w:ascii="Arial" w:hAnsi="Arial" w:cs="Arial"/>
          <w:b/>
          <w:bCs/>
        </w:rPr>
      </w:pPr>
      <w:r w:rsidRPr="00EE4C33">
        <w:t xml:space="preserve">where the long-run parameters α1 and α2 capture the inflationary impacts of the fiscal deficit-to-GDP ratio (FD) and the public debt-to-GDP ratio (PD), respectively. Both are </w:t>
      </w:r>
      <w:proofErr w:type="spellStart"/>
      <w:r w:rsidRPr="00EE4C33">
        <w:t>hypothesised</w:t>
      </w:r>
      <w:proofErr w:type="spellEnd"/>
      <w:r w:rsidRPr="00EE4C33">
        <w:t xml:space="preserve"> to exhibit positive signs, reflecting demand-pull pressures from expansionary fiscal policy and solvency concerns inherent in fiscal dominance. Crucially, the interaction coefficient α3 serves as a direct empirical test of the Fiscal Theory of the Price Level; a positive sign implies that high existing debt burdens exacerbate the inflationary consequences of fiscal deficits. Among the macroeconomic controls, α4 and α5 are expected to be positive, capturing the pass-</w:t>
      </w:r>
      <w:r w:rsidRPr="00EE4C33">
        <w:lastRenderedPageBreak/>
        <w:t>through effects of naira depreciation (LEXR) and the monetarist liquidity dynamics associated with broad money growth (M2). Conversely, the coefficients for real GDP growth α6 and the lending rate α7 have theoretically ambiguous signs because they embody conflicting dynamics, namely supply-side capacity improvements versus demand-pull expansion, and cost-push inflation versus contraction in credit demand.</w:t>
      </w:r>
    </w:p>
    <w:p w14:paraId="2C9BE88E" w14:textId="77777777" w:rsidR="00385CAF" w:rsidRPr="00EE4C33" w:rsidRDefault="00385CAF" w:rsidP="00385CAF">
      <w:pPr>
        <w:spacing w:line="360" w:lineRule="auto"/>
        <w:jc w:val="both"/>
        <w:rPr>
          <w:rFonts w:ascii="Arial" w:hAnsi="Arial" w:cs="Arial"/>
          <w:b/>
          <w:bCs/>
        </w:rPr>
      </w:pPr>
      <w:r w:rsidRPr="00EE4C33">
        <w:rPr>
          <w:rFonts w:ascii="Arial" w:hAnsi="Arial" w:cs="Arial"/>
          <w:b/>
          <w:bCs/>
        </w:rPr>
        <w:t>iii) Restricted Error Correction Model (Short-Run)</w:t>
      </w:r>
    </w:p>
    <w:p w14:paraId="74354B9A" w14:textId="77777777" w:rsidR="00385CAF" w:rsidRPr="00EE4C33" w:rsidRDefault="00385CAF" w:rsidP="00385CAF">
      <w:pPr>
        <w:jc w:val="both"/>
        <w:rPr>
          <w:rFonts w:ascii="Arial" w:hAnsi="Arial" w:cs="Arial"/>
        </w:rPr>
      </w:pPr>
      <w:r w:rsidRPr="00EE4C33">
        <w:rPr>
          <w:rFonts w:ascii="Arial" w:hAnsi="Arial" w:cs="Arial"/>
        </w:rPr>
        <w:t>The short-run model captures the immediate response of inflation to fiscal and monetary shocks and the speed of adjustment toward equilibrium:</w:t>
      </w:r>
    </w:p>
    <w:p w14:paraId="3BA23FBE" w14:textId="77777777" w:rsidR="00385CAF" w:rsidRPr="00EE4C33" w:rsidRDefault="00385CAF" w:rsidP="00385CAF">
      <w:pPr>
        <w:jc w:val="both"/>
        <w:rPr>
          <w:rFonts w:ascii="Arial" w:hAnsi="Arial" w:cs="Arial"/>
          <w:vertAlign w:val="superscript"/>
        </w:rPr>
      </w:pPr>
    </w:p>
    <w:p w14:paraId="5A742BF8" w14:textId="77777777" w:rsidR="00385CAF" w:rsidRPr="00EE4C33" w:rsidRDefault="00385CAF" w:rsidP="00385CAF">
      <w:pPr>
        <w:spacing w:line="360" w:lineRule="auto"/>
        <w:jc w:val="both"/>
        <w:rPr>
          <w:rFonts w:ascii="Arial" w:hAnsi="Arial" w:cs="Arial"/>
        </w:rPr>
      </w:pPr>
      <w:proofErr w:type="spellStart"/>
      <w:r w:rsidRPr="00EE4C33">
        <w:rPr>
          <w:rFonts w:ascii="Arial" w:hAnsi="Arial" w:cs="Arial"/>
        </w:rPr>
        <w:t>ΔINF</w:t>
      </w:r>
      <w:r w:rsidRPr="00EE4C33">
        <w:rPr>
          <w:rFonts w:ascii="Arial" w:hAnsi="Arial" w:cs="Arial"/>
          <w:vertAlign w:val="subscript"/>
        </w:rPr>
        <w:t>t</w:t>
      </w:r>
      <w:proofErr w:type="spellEnd"/>
      <w:r w:rsidRPr="00EE4C33">
        <w:rPr>
          <w:rFonts w:ascii="Arial" w:hAnsi="Arial" w:cs="Arial"/>
        </w:rPr>
        <w:t xml:space="preserve"> = φ</w:t>
      </w:r>
      <w:r w:rsidRPr="00EE4C33">
        <w:rPr>
          <w:rFonts w:ascii="Arial" w:hAnsi="Arial" w:cs="Arial"/>
          <w:vertAlign w:val="subscript"/>
        </w:rPr>
        <w:t>0</w:t>
      </w:r>
      <w:r w:rsidRPr="00EE4C33">
        <w:rPr>
          <w:rFonts w:ascii="Arial" w:hAnsi="Arial" w:cs="Arial"/>
        </w:rPr>
        <w:t xml:space="preserve"> + Σᵢ</w:t>
      </w:r>
      <w:r w:rsidRPr="00EE4C33">
        <w:rPr>
          <w:rFonts w:ascii="Cambria Math" w:hAnsi="Cambria Math" w:cs="Cambria Math"/>
        </w:rPr>
        <w:t>₌₁</w:t>
      </w:r>
      <w:r w:rsidRPr="00EE4C33">
        <w:rPr>
          <w:rFonts w:ascii="Arial" w:hAnsi="Arial" w:cs="Arial"/>
        </w:rPr>
        <w:t>ᵖ φ</w:t>
      </w:r>
      <w:r w:rsidRPr="00EE4C33">
        <w:rPr>
          <w:rFonts w:ascii="Arial" w:hAnsi="Arial" w:cs="Arial"/>
          <w:vertAlign w:val="subscript"/>
        </w:rPr>
        <w:t>1i</w:t>
      </w:r>
      <w:r w:rsidRPr="00EE4C33">
        <w:rPr>
          <w:rFonts w:ascii="Arial" w:hAnsi="Arial" w:cs="Arial"/>
        </w:rPr>
        <w:t>ΔINF</w:t>
      </w:r>
      <w:r w:rsidRPr="00EE4C33">
        <w:rPr>
          <w:rFonts w:ascii="Arial" w:hAnsi="Arial" w:cs="Arial"/>
          <w:vertAlign w:val="subscript"/>
        </w:rPr>
        <w:t>t-i</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q1</w:t>
      </w:r>
      <w:r w:rsidRPr="00EE4C33">
        <w:rPr>
          <w:rFonts w:ascii="Arial" w:hAnsi="Arial" w:cs="Arial"/>
        </w:rPr>
        <w:t>φ</w:t>
      </w:r>
      <w:r w:rsidRPr="00EE4C33">
        <w:rPr>
          <w:rFonts w:ascii="Arial" w:hAnsi="Arial" w:cs="Arial"/>
          <w:vertAlign w:val="subscript"/>
        </w:rPr>
        <w:t>2j</w:t>
      </w:r>
      <w:r w:rsidRPr="00EE4C33">
        <w:rPr>
          <w:rFonts w:ascii="Arial" w:hAnsi="Arial" w:cs="Arial"/>
        </w:rPr>
        <w:t>ΔFD</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q2</w:t>
      </w:r>
      <w:r w:rsidRPr="00EE4C33">
        <w:rPr>
          <w:rFonts w:ascii="Arial" w:hAnsi="Arial" w:cs="Arial"/>
        </w:rPr>
        <w:t>φ</w:t>
      </w:r>
      <w:r w:rsidRPr="00EE4C33">
        <w:rPr>
          <w:rFonts w:ascii="Arial" w:hAnsi="Arial" w:cs="Arial"/>
          <w:vertAlign w:val="subscript"/>
        </w:rPr>
        <w:t>3j</w:t>
      </w:r>
      <w:r w:rsidRPr="00EE4C33">
        <w:rPr>
          <w:rFonts w:ascii="Arial" w:hAnsi="Arial" w:cs="Arial"/>
        </w:rPr>
        <w:t>ΔPD</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q3</w:t>
      </w:r>
      <w:r w:rsidRPr="00EE4C33">
        <w:rPr>
          <w:rFonts w:ascii="Arial" w:hAnsi="Arial" w:cs="Arial"/>
        </w:rPr>
        <w:t>φ</w:t>
      </w:r>
      <w:r w:rsidRPr="00EE4C33">
        <w:rPr>
          <w:rFonts w:ascii="Arial" w:hAnsi="Arial" w:cs="Arial"/>
          <w:vertAlign w:val="subscript"/>
        </w:rPr>
        <w:t>4j</w:t>
      </w:r>
      <w:r w:rsidRPr="00EE4C33">
        <w:rPr>
          <w:rFonts w:ascii="Arial" w:hAnsi="Arial" w:cs="Arial"/>
        </w:rPr>
        <w:t>ΔFD*</w:t>
      </w:r>
      <w:proofErr w:type="spellStart"/>
      <w:r w:rsidRPr="00EE4C33">
        <w:rPr>
          <w:rFonts w:ascii="Arial" w:hAnsi="Arial" w:cs="Arial"/>
        </w:rPr>
        <w:t>PD</w:t>
      </w:r>
      <w:r w:rsidRPr="00EE4C33">
        <w:rPr>
          <w:rFonts w:ascii="Arial" w:hAnsi="Arial" w:cs="Arial"/>
          <w:vertAlign w:val="subscript"/>
        </w:rPr>
        <w:t>t</w:t>
      </w:r>
      <w:proofErr w:type="spellEnd"/>
      <w:r w:rsidRPr="00EE4C33">
        <w:rPr>
          <w:rFonts w:ascii="Arial" w:hAnsi="Arial" w:cs="Arial"/>
          <w:vertAlign w:val="subscript"/>
        </w:rPr>
        <w: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q4</w:t>
      </w:r>
      <w:r w:rsidRPr="00EE4C33">
        <w:rPr>
          <w:rFonts w:ascii="Arial" w:hAnsi="Arial" w:cs="Arial"/>
        </w:rPr>
        <w:t xml:space="preserve"> φ</w:t>
      </w:r>
      <w:r w:rsidRPr="00EE4C33">
        <w:rPr>
          <w:rFonts w:ascii="Arial" w:hAnsi="Arial" w:cs="Arial"/>
          <w:vertAlign w:val="subscript"/>
        </w:rPr>
        <w:t>5j</w:t>
      </w:r>
      <w:r w:rsidRPr="00EE4C33">
        <w:rPr>
          <w:rFonts w:ascii="Arial" w:hAnsi="Arial" w:cs="Arial"/>
        </w:rPr>
        <w:t>ΔLEXR</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q5</w:t>
      </w:r>
      <w:r w:rsidRPr="00EE4C33">
        <w:rPr>
          <w:rFonts w:ascii="Arial" w:hAnsi="Arial" w:cs="Arial"/>
        </w:rPr>
        <w:t>φ</w:t>
      </w:r>
      <w:r w:rsidRPr="00EE4C33">
        <w:rPr>
          <w:rFonts w:ascii="Arial" w:hAnsi="Arial" w:cs="Arial"/>
          <w:vertAlign w:val="subscript"/>
        </w:rPr>
        <w:t>6j</w:t>
      </w:r>
      <w:r w:rsidRPr="00EE4C33">
        <w:rPr>
          <w:rFonts w:ascii="Arial" w:hAnsi="Arial" w:cs="Arial"/>
        </w:rPr>
        <w:t>ΔM2</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q6</w:t>
      </w:r>
      <w:r w:rsidRPr="00EE4C33">
        <w:rPr>
          <w:rFonts w:ascii="Arial" w:hAnsi="Arial" w:cs="Arial"/>
        </w:rPr>
        <w:t>φ</w:t>
      </w:r>
      <w:r w:rsidRPr="00EE4C33">
        <w:rPr>
          <w:rFonts w:ascii="Arial" w:hAnsi="Arial" w:cs="Arial"/>
          <w:vertAlign w:val="subscript"/>
        </w:rPr>
        <w:t>7j</w:t>
      </w:r>
      <w:r w:rsidRPr="00EE4C33">
        <w:rPr>
          <w:rFonts w:ascii="Arial" w:hAnsi="Arial" w:cs="Arial"/>
        </w:rPr>
        <w:t>ΔRGDPG</w:t>
      </w:r>
      <w:r w:rsidRPr="00EE4C33">
        <w:rPr>
          <w:rFonts w:ascii="Arial" w:hAnsi="Arial" w:cs="Arial"/>
          <w:vertAlign w:val="subscript"/>
        </w:rPr>
        <w:t>t-j</w:t>
      </w:r>
      <w:r w:rsidRPr="00EE4C33">
        <w:rPr>
          <w:rFonts w:ascii="Arial" w:hAnsi="Arial" w:cs="Arial"/>
        </w:rPr>
        <w:t xml:space="preserve"> + Σⱼ</w:t>
      </w:r>
      <w:r w:rsidRPr="00EE4C33">
        <w:rPr>
          <w:rFonts w:ascii="Cambria Math" w:hAnsi="Cambria Math" w:cs="Cambria Math"/>
        </w:rPr>
        <w:t>₌₀</w:t>
      </w:r>
      <w:r w:rsidRPr="00EE4C33">
        <w:rPr>
          <w:rFonts w:ascii="Arial" w:hAnsi="Arial" w:cs="Arial"/>
          <w:vertAlign w:val="superscript"/>
        </w:rPr>
        <w:t>q7</w:t>
      </w:r>
      <w:r w:rsidRPr="00EE4C33">
        <w:rPr>
          <w:rFonts w:ascii="Arial" w:hAnsi="Arial" w:cs="Arial"/>
        </w:rPr>
        <w:t>φ</w:t>
      </w:r>
      <w:r w:rsidRPr="00EE4C33">
        <w:rPr>
          <w:rFonts w:ascii="Arial" w:hAnsi="Arial" w:cs="Arial"/>
          <w:vertAlign w:val="subscript"/>
        </w:rPr>
        <w:t>8j</w:t>
      </w:r>
      <w:r w:rsidRPr="00EE4C33">
        <w:rPr>
          <w:rFonts w:ascii="Arial" w:hAnsi="Arial" w:cs="Arial"/>
        </w:rPr>
        <w:t>ΔLR</w:t>
      </w:r>
      <w:r w:rsidRPr="00EE4C33">
        <w:rPr>
          <w:rFonts w:ascii="Arial" w:hAnsi="Arial" w:cs="Arial"/>
          <w:vertAlign w:val="subscript"/>
        </w:rPr>
        <w:t>t-j</w:t>
      </w:r>
      <w:r w:rsidRPr="00EE4C33">
        <w:rPr>
          <w:rFonts w:ascii="Arial" w:hAnsi="Arial" w:cs="Arial"/>
        </w:rPr>
        <w:t xml:space="preserve"> + ψECM</w:t>
      </w:r>
      <w:r w:rsidRPr="00EE4C33">
        <w:rPr>
          <w:rFonts w:ascii="Arial" w:hAnsi="Arial" w:cs="Arial"/>
          <w:vertAlign w:val="subscript"/>
        </w:rPr>
        <w:t>t-1</w:t>
      </w:r>
      <w:r w:rsidRPr="00EE4C33">
        <w:rPr>
          <w:rFonts w:ascii="Arial" w:hAnsi="Arial" w:cs="Arial"/>
        </w:rPr>
        <w:t xml:space="preserve"> + </w:t>
      </w:r>
      <w:proofErr w:type="spellStart"/>
      <w:r w:rsidRPr="00EE4C33">
        <w:rPr>
          <w:rFonts w:ascii="Arial" w:hAnsi="Arial" w:cs="Arial"/>
        </w:rPr>
        <w:t>μ</w:t>
      </w:r>
      <w:r w:rsidRPr="00EE4C33">
        <w:rPr>
          <w:rFonts w:ascii="Arial" w:hAnsi="Arial" w:cs="Arial"/>
          <w:vertAlign w:val="subscript"/>
        </w:rPr>
        <w:t>t</w:t>
      </w:r>
      <w:proofErr w:type="spellEnd"/>
      <w:r w:rsidRPr="00EE4C33">
        <w:rPr>
          <w:rFonts w:ascii="Arial" w:hAnsi="Arial" w:cs="Arial"/>
          <w:vertAlign w:val="subscript"/>
        </w:rPr>
        <w:t xml:space="preserve">              </w:t>
      </w:r>
      <w:proofErr w:type="gramStart"/>
      <w:r w:rsidRPr="00EE4C33">
        <w:rPr>
          <w:rFonts w:ascii="Arial" w:hAnsi="Arial" w:cs="Arial"/>
          <w:vertAlign w:val="subscript"/>
        </w:rPr>
        <w:t xml:space="preserve">   </w:t>
      </w:r>
      <w:r w:rsidRPr="00EE4C33">
        <w:rPr>
          <w:rFonts w:ascii="Arial" w:hAnsi="Arial" w:cs="Arial"/>
        </w:rPr>
        <w:t>(</w:t>
      </w:r>
      <w:proofErr w:type="gramEnd"/>
      <w:r w:rsidRPr="00EE4C33">
        <w:rPr>
          <w:rFonts w:ascii="Arial" w:hAnsi="Arial" w:cs="Arial"/>
        </w:rPr>
        <w:t>4)</w:t>
      </w:r>
    </w:p>
    <w:p w14:paraId="35C7C207" w14:textId="77777777" w:rsidR="00385CAF" w:rsidRPr="00EE4C33" w:rsidRDefault="00385CAF" w:rsidP="00385CAF">
      <w:pPr>
        <w:pStyle w:val="ListParagraph"/>
        <w:spacing w:after="0" w:line="360" w:lineRule="auto"/>
        <w:ind w:left="1080"/>
        <w:rPr>
          <w:rFonts w:ascii="Arial" w:hAnsi="Arial" w:cs="Arial"/>
          <w:b/>
          <w:bCs/>
          <w:sz w:val="20"/>
          <w:szCs w:val="20"/>
        </w:rPr>
      </w:pPr>
      <w:r w:rsidRPr="00EE4C33">
        <w:t>where the φ coefficients denote immediate impact multipliers and inflation persistence. Finally, a statistically significant and negative error correction coefficient (ψ) is theoretically required to confirm cointegration. This parameter quantifies the system's speed of adjustment, indicating how rapidly inflation returns to its long-run equilibrium path after transient macroeconomic shocks. By estimating this unified ARDL model for inflation, the study addresses all three objectives related to the long-run and short-run effects of fiscal stance, public debt, and their interaction on inflation dynamics in Nigeria while controlling for key monetary and real macroeconomic variables.</w:t>
      </w:r>
    </w:p>
    <w:p w14:paraId="4B6B66D3" w14:textId="77777777" w:rsidR="00B01FCD" w:rsidRPr="00EE4C33" w:rsidRDefault="00000F8F" w:rsidP="00441B6F">
      <w:pPr>
        <w:pStyle w:val="ConcHead"/>
        <w:spacing w:after="0"/>
        <w:jc w:val="both"/>
        <w:rPr>
          <w:rFonts w:ascii="Arial" w:hAnsi="Arial" w:cs="Arial"/>
        </w:rPr>
      </w:pPr>
      <w:r w:rsidRPr="00EE4C33">
        <w:rPr>
          <w:rFonts w:ascii="Arial" w:hAnsi="Arial" w:cs="Arial"/>
        </w:rPr>
        <w:t xml:space="preserve">4. </w:t>
      </w:r>
      <w:r w:rsidR="00385CAF" w:rsidRPr="00EE4C33">
        <w:rPr>
          <w:rFonts w:ascii="Arial" w:hAnsi="Arial" w:cs="Arial"/>
        </w:rPr>
        <w:t>RESULTS</w:t>
      </w:r>
    </w:p>
    <w:p w14:paraId="72549626" w14:textId="77777777" w:rsidR="00790ADA" w:rsidRPr="00EE4C33" w:rsidRDefault="00790ADA" w:rsidP="00441B6F">
      <w:pPr>
        <w:pStyle w:val="ConcHead"/>
        <w:spacing w:after="0"/>
        <w:jc w:val="both"/>
        <w:rPr>
          <w:rFonts w:ascii="Arial" w:hAnsi="Arial" w:cs="Arial"/>
        </w:rPr>
      </w:pPr>
    </w:p>
    <w:p w14:paraId="3211266B" w14:textId="77777777" w:rsidR="00385CAF" w:rsidRPr="00EE4C33" w:rsidRDefault="00385CAF" w:rsidP="00385CAF">
      <w:pPr>
        <w:spacing w:line="360" w:lineRule="auto"/>
        <w:rPr>
          <w:rFonts w:ascii="Arial" w:hAnsi="Arial" w:cs="Arial"/>
          <w:b/>
          <w:bCs/>
        </w:rPr>
      </w:pPr>
      <w:r w:rsidRPr="00EE4C33">
        <w:rPr>
          <w:rFonts w:ascii="Arial" w:hAnsi="Arial" w:cs="Arial"/>
          <w:b/>
          <w:bCs/>
        </w:rPr>
        <w:t>4.1. Descriptive Statistics</w:t>
      </w:r>
    </w:p>
    <w:p w14:paraId="56FB9F07" w14:textId="77777777" w:rsidR="00385CAF" w:rsidRPr="00EE4C33" w:rsidRDefault="00385CAF" w:rsidP="00385CAF">
      <w:pPr>
        <w:spacing w:line="360" w:lineRule="auto"/>
        <w:rPr>
          <w:rFonts w:ascii="Arial" w:hAnsi="Arial" w:cs="Arial"/>
          <w:b/>
          <w:bCs/>
        </w:rPr>
      </w:pPr>
      <w:r w:rsidRPr="00EE4C33">
        <w:t xml:space="preserve">Table 1 presents the summary statistics for the variables used in the study. The dependent variable, inflation (INF), has an average value of 19.19%, with considerable variability, as indicated by a standard deviation of 16.11 and a range from 5.39% to 72.84%. Fiscal deficit (FD) has an average of -2.45% of GDP, while public debt (PD) has a mean value of 25.61%. The interaction term (PD*FD) has a high standard deviation of 106.71 and a wide range from -324.00 to 118.20, reflecting the combined variability of its underlying components. Among the control variables, broad money growth (M2) and lending rates (LR) averaged 24.18% and 17.08%, respectively. Real GDP growth (RGDPG) averaged 2.97%, despite substantial fluctuations ranging from a contraction of -13.13% to a peak growth of 15.33%. The distributional properties, assessed using skewness and kurtosis, show that INF and M2 are positively skewed and leptokurtic. Conversely, the Jarque-Bera normality test indicates that FD (p = 0.93), PD (p = 0.31), the interaction term PD*FD (p = 0.21), LEXR (p = 0.11), and LR (p = 0.51) follow normal distributions, as their probability values exceed the 0.05 </w:t>
      </w:r>
      <w:r w:rsidRPr="00EE4C33">
        <w:lastRenderedPageBreak/>
        <w:t>threshold. However, the null hypothesis of normality is rejected for INF, M2, and RGDPG at the 1% significance level. This is a common feature of macroeconomic time-series data and supports the use of a robust dynamic estimation technique such as the ARDL model.</w:t>
      </w:r>
    </w:p>
    <w:p w14:paraId="0E10A650" w14:textId="77777777" w:rsidR="00385CAF" w:rsidRPr="00EE4C33" w:rsidRDefault="00385CAF" w:rsidP="00385CAF">
      <w:pPr>
        <w:spacing w:line="360" w:lineRule="auto"/>
        <w:rPr>
          <w:rFonts w:ascii="Arial" w:hAnsi="Arial" w:cs="Arial"/>
          <w:b/>
          <w:bCs/>
        </w:rPr>
      </w:pPr>
      <w:r w:rsidRPr="00EE4C33">
        <w:rPr>
          <w:rFonts w:ascii="Arial" w:hAnsi="Arial" w:cs="Arial"/>
          <w:b/>
          <w:bCs/>
        </w:rPr>
        <w:t>Table 1: Descriptive Statistics</w:t>
      </w:r>
    </w:p>
    <w:tbl>
      <w:tblPr>
        <w:tblStyle w:val="TableGrid"/>
        <w:tblW w:w="9639" w:type="dxa"/>
        <w:tblInd w:w="108" w:type="dxa"/>
        <w:tblLook w:val="04A0" w:firstRow="1" w:lastRow="0" w:firstColumn="1" w:lastColumn="0" w:noHBand="0" w:noVBand="1"/>
      </w:tblPr>
      <w:tblGrid>
        <w:gridCol w:w="1497"/>
        <w:gridCol w:w="1063"/>
        <w:gridCol w:w="837"/>
        <w:gridCol w:w="950"/>
        <w:gridCol w:w="1232"/>
        <w:gridCol w:w="844"/>
        <w:gridCol w:w="1063"/>
        <w:gridCol w:w="1032"/>
        <w:gridCol w:w="1121"/>
      </w:tblGrid>
      <w:tr w:rsidR="00385CAF" w:rsidRPr="00EE4C33" w14:paraId="397E09AD" w14:textId="77777777" w:rsidTr="003A76BC">
        <w:tc>
          <w:tcPr>
            <w:tcW w:w="1497" w:type="dxa"/>
          </w:tcPr>
          <w:p w14:paraId="2FC90B94" w14:textId="77777777" w:rsidR="00385CAF" w:rsidRPr="00EE4C33" w:rsidRDefault="00385CAF" w:rsidP="003A76BC">
            <w:pPr>
              <w:spacing w:line="360" w:lineRule="auto"/>
              <w:rPr>
                <w:rFonts w:ascii="Arial" w:hAnsi="Arial" w:cs="Arial"/>
                <w:sz w:val="20"/>
                <w:szCs w:val="20"/>
              </w:rPr>
            </w:pPr>
          </w:p>
        </w:tc>
        <w:tc>
          <w:tcPr>
            <w:tcW w:w="1063" w:type="dxa"/>
            <w:vAlign w:val="bottom"/>
          </w:tcPr>
          <w:p w14:paraId="4ECDEF4D"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INF</w:t>
            </w:r>
          </w:p>
        </w:tc>
        <w:tc>
          <w:tcPr>
            <w:tcW w:w="837" w:type="dxa"/>
            <w:vAlign w:val="bottom"/>
          </w:tcPr>
          <w:p w14:paraId="4D624233"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FD</w:t>
            </w:r>
          </w:p>
        </w:tc>
        <w:tc>
          <w:tcPr>
            <w:tcW w:w="950" w:type="dxa"/>
            <w:vAlign w:val="bottom"/>
          </w:tcPr>
          <w:p w14:paraId="4D928794"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PD</w:t>
            </w:r>
          </w:p>
        </w:tc>
        <w:tc>
          <w:tcPr>
            <w:tcW w:w="1232" w:type="dxa"/>
          </w:tcPr>
          <w:p w14:paraId="09680592"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PD*FD</w:t>
            </w:r>
          </w:p>
        </w:tc>
        <w:tc>
          <w:tcPr>
            <w:tcW w:w="844" w:type="dxa"/>
            <w:vAlign w:val="bottom"/>
          </w:tcPr>
          <w:p w14:paraId="76AA6C7B"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LEXR</w:t>
            </w:r>
          </w:p>
        </w:tc>
        <w:tc>
          <w:tcPr>
            <w:tcW w:w="1063" w:type="dxa"/>
            <w:vAlign w:val="bottom"/>
          </w:tcPr>
          <w:p w14:paraId="03109E9A"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M2</w:t>
            </w:r>
          </w:p>
        </w:tc>
        <w:tc>
          <w:tcPr>
            <w:tcW w:w="1032" w:type="dxa"/>
            <w:vAlign w:val="bottom"/>
          </w:tcPr>
          <w:p w14:paraId="2FA12D6C"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RGDPG</w:t>
            </w:r>
          </w:p>
        </w:tc>
        <w:tc>
          <w:tcPr>
            <w:tcW w:w="1121" w:type="dxa"/>
            <w:vAlign w:val="bottom"/>
          </w:tcPr>
          <w:p w14:paraId="555859E8"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LR</w:t>
            </w:r>
          </w:p>
        </w:tc>
      </w:tr>
      <w:tr w:rsidR="00385CAF" w:rsidRPr="00EE4C33" w14:paraId="19DA1667" w14:textId="77777777" w:rsidTr="003A76BC">
        <w:tc>
          <w:tcPr>
            <w:tcW w:w="1497" w:type="dxa"/>
            <w:vAlign w:val="bottom"/>
          </w:tcPr>
          <w:p w14:paraId="3345F70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Mean</w:t>
            </w:r>
          </w:p>
        </w:tc>
        <w:tc>
          <w:tcPr>
            <w:tcW w:w="1063" w:type="dxa"/>
            <w:vAlign w:val="bottom"/>
          </w:tcPr>
          <w:p w14:paraId="1E21D44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19.19</w:t>
            </w:r>
          </w:p>
        </w:tc>
        <w:tc>
          <w:tcPr>
            <w:tcW w:w="837" w:type="dxa"/>
            <w:vAlign w:val="bottom"/>
          </w:tcPr>
          <w:p w14:paraId="12DA803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-2.45</w:t>
            </w:r>
          </w:p>
        </w:tc>
        <w:tc>
          <w:tcPr>
            <w:tcW w:w="950" w:type="dxa"/>
            <w:vAlign w:val="bottom"/>
          </w:tcPr>
          <w:p w14:paraId="63767E1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25.61</w:t>
            </w:r>
          </w:p>
        </w:tc>
        <w:tc>
          <w:tcPr>
            <w:tcW w:w="1232" w:type="dxa"/>
            <w:vAlign w:val="bottom"/>
          </w:tcPr>
          <w:p w14:paraId="53CF778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-71.35</w:t>
            </w:r>
          </w:p>
        </w:tc>
        <w:tc>
          <w:tcPr>
            <w:tcW w:w="844" w:type="dxa"/>
            <w:vAlign w:val="bottom"/>
          </w:tcPr>
          <w:p w14:paraId="5929E4C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3.70</w:t>
            </w:r>
          </w:p>
        </w:tc>
        <w:tc>
          <w:tcPr>
            <w:tcW w:w="1063" w:type="dxa"/>
            <w:vAlign w:val="bottom"/>
          </w:tcPr>
          <w:p w14:paraId="373A01C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24.18</w:t>
            </w:r>
          </w:p>
        </w:tc>
        <w:tc>
          <w:tcPr>
            <w:tcW w:w="1032" w:type="dxa"/>
            <w:vAlign w:val="bottom"/>
          </w:tcPr>
          <w:p w14:paraId="4764041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2.97</w:t>
            </w:r>
          </w:p>
        </w:tc>
        <w:tc>
          <w:tcPr>
            <w:tcW w:w="1121" w:type="dxa"/>
            <w:vAlign w:val="bottom"/>
          </w:tcPr>
          <w:p w14:paraId="62FCDDE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17.08</w:t>
            </w:r>
          </w:p>
        </w:tc>
      </w:tr>
      <w:tr w:rsidR="00385CAF" w:rsidRPr="00EE4C33" w14:paraId="505DE66D" w14:textId="77777777" w:rsidTr="003A76BC">
        <w:tc>
          <w:tcPr>
            <w:tcW w:w="1497" w:type="dxa"/>
            <w:vAlign w:val="bottom"/>
          </w:tcPr>
          <w:p w14:paraId="5E9A3054"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Median</w:t>
            </w:r>
          </w:p>
        </w:tc>
        <w:tc>
          <w:tcPr>
            <w:tcW w:w="1063" w:type="dxa"/>
            <w:vAlign w:val="bottom"/>
          </w:tcPr>
          <w:p w14:paraId="5C3CE83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13.01</w:t>
            </w:r>
          </w:p>
        </w:tc>
        <w:tc>
          <w:tcPr>
            <w:tcW w:w="837" w:type="dxa"/>
            <w:vAlign w:val="bottom"/>
          </w:tcPr>
          <w:p w14:paraId="27A5A72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-2.96</w:t>
            </w:r>
          </w:p>
        </w:tc>
        <w:tc>
          <w:tcPr>
            <w:tcW w:w="950" w:type="dxa"/>
            <w:vAlign w:val="bottom"/>
          </w:tcPr>
          <w:p w14:paraId="190A51D8"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24.20</w:t>
            </w:r>
          </w:p>
        </w:tc>
        <w:tc>
          <w:tcPr>
            <w:tcW w:w="1232" w:type="dxa"/>
            <w:vAlign w:val="bottom"/>
          </w:tcPr>
          <w:p w14:paraId="3BF29AA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-61.70</w:t>
            </w:r>
          </w:p>
        </w:tc>
        <w:tc>
          <w:tcPr>
            <w:tcW w:w="844" w:type="dxa"/>
            <w:vAlign w:val="bottom"/>
          </w:tcPr>
          <w:p w14:paraId="65246BB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4.78</w:t>
            </w:r>
          </w:p>
        </w:tc>
        <w:tc>
          <w:tcPr>
            <w:tcW w:w="1063" w:type="dxa"/>
            <w:vAlign w:val="bottom"/>
          </w:tcPr>
          <w:p w14:paraId="4145EE6D"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19.41</w:t>
            </w:r>
          </w:p>
        </w:tc>
        <w:tc>
          <w:tcPr>
            <w:tcW w:w="1032" w:type="dxa"/>
            <w:vAlign w:val="bottom"/>
          </w:tcPr>
          <w:p w14:paraId="32D8B15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4.06</w:t>
            </w:r>
          </w:p>
        </w:tc>
        <w:tc>
          <w:tcPr>
            <w:tcW w:w="1121" w:type="dxa"/>
            <w:vAlign w:val="bottom"/>
          </w:tcPr>
          <w:p w14:paraId="3E1896C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16.90</w:t>
            </w:r>
          </w:p>
        </w:tc>
      </w:tr>
      <w:tr w:rsidR="00385CAF" w:rsidRPr="00EE4C33" w14:paraId="6314914A" w14:textId="77777777" w:rsidTr="003A76BC">
        <w:tc>
          <w:tcPr>
            <w:tcW w:w="1497" w:type="dxa"/>
            <w:vAlign w:val="bottom"/>
          </w:tcPr>
          <w:p w14:paraId="3D5DC707"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Maximum</w:t>
            </w:r>
          </w:p>
        </w:tc>
        <w:tc>
          <w:tcPr>
            <w:tcW w:w="1063" w:type="dxa"/>
            <w:vAlign w:val="bottom"/>
          </w:tcPr>
          <w:p w14:paraId="51A932C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72.84</w:t>
            </w:r>
          </w:p>
        </w:tc>
        <w:tc>
          <w:tcPr>
            <w:tcW w:w="837" w:type="dxa"/>
            <w:vAlign w:val="bottom"/>
          </w:tcPr>
          <w:p w14:paraId="630EEBD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6.22</w:t>
            </w:r>
          </w:p>
        </w:tc>
        <w:tc>
          <w:tcPr>
            <w:tcW w:w="950" w:type="dxa"/>
            <w:vAlign w:val="bottom"/>
          </w:tcPr>
          <w:p w14:paraId="4E7988B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53.20</w:t>
            </w:r>
          </w:p>
        </w:tc>
        <w:tc>
          <w:tcPr>
            <w:tcW w:w="1232" w:type="dxa"/>
            <w:vAlign w:val="bottom"/>
          </w:tcPr>
          <w:p w14:paraId="277FB65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 118.20</w:t>
            </w:r>
          </w:p>
        </w:tc>
        <w:tc>
          <w:tcPr>
            <w:tcW w:w="844" w:type="dxa"/>
            <w:vAlign w:val="bottom"/>
          </w:tcPr>
          <w:p w14:paraId="698409B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7.30</w:t>
            </w:r>
          </w:p>
        </w:tc>
        <w:tc>
          <w:tcPr>
            <w:tcW w:w="1063" w:type="dxa"/>
            <w:vAlign w:val="bottom"/>
          </w:tcPr>
          <w:p w14:paraId="09759BF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87.76</w:t>
            </w:r>
          </w:p>
        </w:tc>
        <w:tc>
          <w:tcPr>
            <w:tcW w:w="1032" w:type="dxa"/>
            <w:vAlign w:val="bottom"/>
          </w:tcPr>
          <w:p w14:paraId="7FECBDBF"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15.33</w:t>
            </w:r>
          </w:p>
        </w:tc>
        <w:tc>
          <w:tcPr>
            <w:tcW w:w="1121" w:type="dxa"/>
            <w:vAlign w:val="bottom"/>
          </w:tcPr>
          <w:p w14:paraId="38384DF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31.65</w:t>
            </w:r>
          </w:p>
        </w:tc>
      </w:tr>
      <w:tr w:rsidR="00385CAF" w:rsidRPr="00EE4C33" w14:paraId="30FC2DE5" w14:textId="77777777" w:rsidTr="003A76BC">
        <w:tc>
          <w:tcPr>
            <w:tcW w:w="1497" w:type="dxa"/>
            <w:vAlign w:val="bottom"/>
          </w:tcPr>
          <w:p w14:paraId="2716AE6F"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Minimum</w:t>
            </w:r>
          </w:p>
        </w:tc>
        <w:tc>
          <w:tcPr>
            <w:tcW w:w="1063" w:type="dxa"/>
            <w:vAlign w:val="bottom"/>
          </w:tcPr>
          <w:p w14:paraId="2C2E970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5.39</w:t>
            </w:r>
          </w:p>
        </w:tc>
        <w:tc>
          <w:tcPr>
            <w:tcW w:w="837" w:type="dxa"/>
            <w:vAlign w:val="bottom"/>
          </w:tcPr>
          <w:p w14:paraId="126535C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-11.80</w:t>
            </w:r>
          </w:p>
        </w:tc>
        <w:tc>
          <w:tcPr>
            <w:tcW w:w="950" w:type="dxa"/>
            <w:vAlign w:val="bottom"/>
          </w:tcPr>
          <w:p w14:paraId="4FCBB56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5.20</w:t>
            </w:r>
          </w:p>
        </w:tc>
        <w:tc>
          <w:tcPr>
            <w:tcW w:w="1232" w:type="dxa"/>
            <w:vAlign w:val="bottom"/>
          </w:tcPr>
          <w:p w14:paraId="54FC1D0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-324.00</w:t>
            </w:r>
          </w:p>
        </w:tc>
        <w:tc>
          <w:tcPr>
            <w:tcW w:w="844" w:type="dxa"/>
            <w:vAlign w:val="bottom"/>
          </w:tcPr>
          <w:p w14:paraId="66F21D6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-0.60</w:t>
            </w:r>
          </w:p>
        </w:tc>
        <w:tc>
          <w:tcPr>
            <w:tcW w:w="1063" w:type="dxa"/>
            <w:vAlign w:val="bottom"/>
          </w:tcPr>
          <w:p w14:paraId="715F21C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-0.79</w:t>
            </w:r>
          </w:p>
        </w:tc>
        <w:tc>
          <w:tcPr>
            <w:tcW w:w="1032" w:type="dxa"/>
            <w:vAlign w:val="bottom"/>
          </w:tcPr>
          <w:p w14:paraId="699ED66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-13.13</w:t>
            </w:r>
          </w:p>
        </w:tc>
        <w:tc>
          <w:tcPr>
            <w:tcW w:w="1121" w:type="dxa"/>
            <w:vAlign w:val="bottom"/>
          </w:tcPr>
          <w:p w14:paraId="0D953AC4"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8.43</w:t>
            </w:r>
          </w:p>
        </w:tc>
      </w:tr>
      <w:tr w:rsidR="00385CAF" w:rsidRPr="00EE4C33" w14:paraId="507EFB46" w14:textId="77777777" w:rsidTr="003A76BC">
        <w:tc>
          <w:tcPr>
            <w:tcW w:w="1497" w:type="dxa"/>
            <w:vAlign w:val="bottom"/>
          </w:tcPr>
          <w:p w14:paraId="557988FA"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Std. Dev.</w:t>
            </w:r>
          </w:p>
        </w:tc>
        <w:tc>
          <w:tcPr>
            <w:tcW w:w="1063" w:type="dxa"/>
            <w:vAlign w:val="bottom"/>
          </w:tcPr>
          <w:p w14:paraId="3288B00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16.11</w:t>
            </w:r>
          </w:p>
        </w:tc>
        <w:tc>
          <w:tcPr>
            <w:tcW w:w="837" w:type="dxa"/>
            <w:vAlign w:val="bottom"/>
          </w:tcPr>
          <w:p w14:paraId="40D66BF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3.99</w:t>
            </w:r>
          </w:p>
        </w:tc>
        <w:tc>
          <w:tcPr>
            <w:tcW w:w="950" w:type="dxa"/>
            <w:vAlign w:val="bottom"/>
          </w:tcPr>
          <w:p w14:paraId="7CF7BD2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13.42</w:t>
            </w:r>
          </w:p>
        </w:tc>
        <w:tc>
          <w:tcPr>
            <w:tcW w:w="1232" w:type="dxa"/>
            <w:vAlign w:val="bottom"/>
          </w:tcPr>
          <w:p w14:paraId="471FD79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 106.71</w:t>
            </w:r>
          </w:p>
        </w:tc>
        <w:tc>
          <w:tcPr>
            <w:tcW w:w="844" w:type="dxa"/>
            <w:vAlign w:val="bottom"/>
          </w:tcPr>
          <w:p w14:paraId="2B9E505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2.17</w:t>
            </w:r>
          </w:p>
        </w:tc>
        <w:tc>
          <w:tcPr>
            <w:tcW w:w="1063" w:type="dxa"/>
            <w:vAlign w:val="bottom"/>
          </w:tcPr>
          <w:p w14:paraId="737BD71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17.99</w:t>
            </w:r>
          </w:p>
        </w:tc>
        <w:tc>
          <w:tcPr>
            <w:tcW w:w="1032" w:type="dxa"/>
            <w:vAlign w:val="bottom"/>
          </w:tcPr>
          <w:p w14:paraId="70F778E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5.29</w:t>
            </w:r>
          </w:p>
        </w:tc>
        <w:tc>
          <w:tcPr>
            <w:tcW w:w="1121" w:type="dxa"/>
            <w:vAlign w:val="bottom"/>
          </w:tcPr>
          <w:p w14:paraId="60E51C6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4.86</w:t>
            </w:r>
          </w:p>
        </w:tc>
      </w:tr>
      <w:tr w:rsidR="00385CAF" w:rsidRPr="00EE4C33" w14:paraId="6D1FB1A5" w14:textId="77777777" w:rsidTr="003A76BC">
        <w:tc>
          <w:tcPr>
            <w:tcW w:w="1497" w:type="dxa"/>
            <w:vAlign w:val="bottom"/>
          </w:tcPr>
          <w:p w14:paraId="327A8931"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Skewness</w:t>
            </w:r>
          </w:p>
        </w:tc>
        <w:tc>
          <w:tcPr>
            <w:tcW w:w="1063" w:type="dxa"/>
            <w:vAlign w:val="bottom"/>
          </w:tcPr>
          <w:p w14:paraId="21EDF1B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1.83</w:t>
            </w:r>
          </w:p>
        </w:tc>
        <w:tc>
          <w:tcPr>
            <w:tcW w:w="837" w:type="dxa"/>
            <w:vAlign w:val="bottom"/>
          </w:tcPr>
          <w:p w14:paraId="405E0BC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-0.13</w:t>
            </w:r>
          </w:p>
        </w:tc>
        <w:tc>
          <w:tcPr>
            <w:tcW w:w="950" w:type="dxa"/>
            <w:vAlign w:val="bottom"/>
          </w:tcPr>
          <w:p w14:paraId="72F6FAD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0.39</w:t>
            </w:r>
          </w:p>
        </w:tc>
        <w:tc>
          <w:tcPr>
            <w:tcW w:w="1232" w:type="dxa"/>
            <w:vAlign w:val="bottom"/>
          </w:tcPr>
          <w:p w14:paraId="08027F6D"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-0.64</w:t>
            </w:r>
          </w:p>
        </w:tc>
        <w:tc>
          <w:tcPr>
            <w:tcW w:w="844" w:type="dxa"/>
            <w:vAlign w:val="bottom"/>
          </w:tcPr>
          <w:p w14:paraId="62DF206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-0.70</w:t>
            </w:r>
          </w:p>
        </w:tc>
        <w:tc>
          <w:tcPr>
            <w:tcW w:w="1063" w:type="dxa"/>
            <w:vAlign w:val="bottom"/>
          </w:tcPr>
          <w:p w14:paraId="24EA3AC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1.27</w:t>
            </w:r>
          </w:p>
        </w:tc>
        <w:tc>
          <w:tcPr>
            <w:tcW w:w="1032" w:type="dxa"/>
            <w:vAlign w:val="bottom"/>
          </w:tcPr>
          <w:p w14:paraId="48DCA7D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-0.85</w:t>
            </w:r>
          </w:p>
        </w:tc>
        <w:tc>
          <w:tcPr>
            <w:tcW w:w="1121" w:type="dxa"/>
            <w:vAlign w:val="bottom"/>
          </w:tcPr>
          <w:p w14:paraId="5420105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0.33</w:t>
            </w:r>
          </w:p>
        </w:tc>
      </w:tr>
      <w:tr w:rsidR="00385CAF" w:rsidRPr="00EE4C33" w14:paraId="0EA23B0B" w14:textId="77777777" w:rsidTr="003A76BC">
        <w:tc>
          <w:tcPr>
            <w:tcW w:w="1497" w:type="dxa"/>
            <w:vAlign w:val="bottom"/>
          </w:tcPr>
          <w:p w14:paraId="73EEF130"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Kurtosis</w:t>
            </w:r>
          </w:p>
        </w:tc>
        <w:tc>
          <w:tcPr>
            <w:tcW w:w="1063" w:type="dxa"/>
            <w:vAlign w:val="bottom"/>
          </w:tcPr>
          <w:p w14:paraId="30A7AE28"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5.41</w:t>
            </w:r>
          </w:p>
        </w:tc>
        <w:tc>
          <w:tcPr>
            <w:tcW w:w="837" w:type="dxa"/>
            <w:vAlign w:val="bottom"/>
          </w:tcPr>
          <w:p w14:paraId="2BD107C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2.91</w:t>
            </w:r>
          </w:p>
        </w:tc>
        <w:tc>
          <w:tcPr>
            <w:tcW w:w="950" w:type="dxa"/>
            <w:vAlign w:val="bottom"/>
          </w:tcPr>
          <w:p w14:paraId="0D242F9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2.19</w:t>
            </w:r>
          </w:p>
        </w:tc>
        <w:tc>
          <w:tcPr>
            <w:tcW w:w="1232" w:type="dxa"/>
            <w:vAlign w:val="bottom"/>
          </w:tcPr>
          <w:p w14:paraId="40419216"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 2.86</w:t>
            </w:r>
          </w:p>
        </w:tc>
        <w:tc>
          <w:tcPr>
            <w:tcW w:w="844" w:type="dxa"/>
            <w:vAlign w:val="bottom"/>
          </w:tcPr>
          <w:p w14:paraId="2E8E299D"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2.36</w:t>
            </w:r>
          </w:p>
        </w:tc>
        <w:tc>
          <w:tcPr>
            <w:tcW w:w="1063" w:type="dxa"/>
            <w:vAlign w:val="bottom"/>
          </w:tcPr>
          <w:p w14:paraId="1EDF3AC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4.97</w:t>
            </w:r>
          </w:p>
        </w:tc>
        <w:tc>
          <w:tcPr>
            <w:tcW w:w="1032" w:type="dxa"/>
            <w:vAlign w:val="bottom"/>
          </w:tcPr>
          <w:p w14:paraId="74DF072F"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4.66</w:t>
            </w:r>
          </w:p>
        </w:tc>
        <w:tc>
          <w:tcPr>
            <w:tcW w:w="1121" w:type="dxa"/>
            <w:vAlign w:val="bottom"/>
          </w:tcPr>
          <w:p w14:paraId="2B2391EF"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3.54</w:t>
            </w:r>
          </w:p>
        </w:tc>
      </w:tr>
      <w:tr w:rsidR="00385CAF" w:rsidRPr="00EE4C33" w14:paraId="04E9E87E" w14:textId="77777777" w:rsidTr="003A76BC">
        <w:tc>
          <w:tcPr>
            <w:tcW w:w="1497" w:type="dxa"/>
            <w:vAlign w:val="bottom"/>
          </w:tcPr>
          <w:p w14:paraId="00BFD7D6"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Jarque-Bera</w:t>
            </w:r>
          </w:p>
          <w:p w14:paraId="5AC7E11E"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Probability</w:t>
            </w:r>
          </w:p>
        </w:tc>
        <w:tc>
          <w:tcPr>
            <w:tcW w:w="1063" w:type="dxa"/>
            <w:vAlign w:val="bottom"/>
          </w:tcPr>
          <w:p w14:paraId="4114147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36.02</w:t>
            </w:r>
          </w:p>
          <w:p w14:paraId="3A61F2FF"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w:t>
            </w:r>
          </w:p>
        </w:tc>
        <w:tc>
          <w:tcPr>
            <w:tcW w:w="837" w:type="dxa"/>
            <w:vAlign w:val="bottom"/>
          </w:tcPr>
          <w:p w14:paraId="5AB3EB5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0.15</w:t>
            </w:r>
          </w:p>
          <w:p w14:paraId="4358461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0.93</w:t>
            </w:r>
          </w:p>
        </w:tc>
        <w:tc>
          <w:tcPr>
            <w:tcW w:w="950" w:type="dxa"/>
            <w:vAlign w:val="bottom"/>
          </w:tcPr>
          <w:p w14:paraId="2C86BAC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2.36</w:t>
            </w:r>
          </w:p>
          <w:p w14:paraId="47B72706"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0.31</w:t>
            </w:r>
          </w:p>
        </w:tc>
        <w:tc>
          <w:tcPr>
            <w:tcW w:w="1232" w:type="dxa"/>
            <w:vAlign w:val="bottom"/>
          </w:tcPr>
          <w:p w14:paraId="5860F1C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 3.09</w:t>
            </w:r>
          </w:p>
          <w:p w14:paraId="1A27A4D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0.21</w:t>
            </w:r>
          </w:p>
        </w:tc>
        <w:tc>
          <w:tcPr>
            <w:tcW w:w="844" w:type="dxa"/>
            <w:vAlign w:val="bottom"/>
          </w:tcPr>
          <w:p w14:paraId="7DEBFEF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4.44</w:t>
            </w:r>
          </w:p>
          <w:p w14:paraId="61A0ECF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0.11</w:t>
            </w:r>
          </w:p>
        </w:tc>
        <w:tc>
          <w:tcPr>
            <w:tcW w:w="1063" w:type="dxa"/>
            <w:vAlign w:val="bottom"/>
          </w:tcPr>
          <w:p w14:paraId="75AEE82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19.30</w:t>
            </w:r>
          </w:p>
          <w:p w14:paraId="520C79F4"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w:t>
            </w:r>
          </w:p>
        </w:tc>
        <w:tc>
          <w:tcPr>
            <w:tcW w:w="1032" w:type="dxa"/>
            <w:vAlign w:val="bottom"/>
          </w:tcPr>
          <w:p w14:paraId="43AF6D9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10.62</w:t>
            </w:r>
          </w:p>
          <w:p w14:paraId="3C0B2B0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w:t>
            </w:r>
          </w:p>
        </w:tc>
        <w:tc>
          <w:tcPr>
            <w:tcW w:w="1121" w:type="dxa"/>
            <w:vAlign w:val="bottom"/>
          </w:tcPr>
          <w:p w14:paraId="137F16E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1.36</w:t>
            </w:r>
          </w:p>
          <w:p w14:paraId="0D9E172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0.51</w:t>
            </w:r>
          </w:p>
        </w:tc>
      </w:tr>
      <w:tr w:rsidR="00385CAF" w:rsidRPr="00EE4C33" w14:paraId="40589125" w14:textId="77777777" w:rsidTr="003A76BC">
        <w:tc>
          <w:tcPr>
            <w:tcW w:w="1497" w:type="dxa"/>
            <w:vAlign w:val="bottom"/>
          </w:tcPr>
          <w:p w14:paraId="1C88D04A"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Sum</w:t>
            </w:r>
          </w:p>
        </w:tc>
        <w:tc>
          <w:tcPr>
            <w:tcW w:w="1063" w:type="dxa"/>
            <w:vAlign w:val="bottom"/>
          </w:tcPr>
          <w:p w14:paraId="47AB684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863.63</w:t>
            </w:r>
          </w:p>
        </w:tc>
        <w:tc>
          <w:tcPr>
            <w:tcW w:w="837" w:type="dxa"/>
            <w:vAlign w:val="bottom"/>
          </w:tcPr>
          <w:p w14:paraId="15CCF50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-110.47</w:t>
            </w:r>
          </w:p>
        </w:tc>
        <w:tc>
          <w:tcPr>
            <w:tcW w:w="950" w:type="dxa"/>
            <w:vAlign w:val="bottom"/>
          </w:tcPr>
          <w:p w14:paraId="72E15AC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1152.50</w:t>
            </w:r>
          </w:p>
        </w:tc>
        <w:tc>
          <w:tcPr>
            <w:tcW w:w="1232" w:type="dxa"/>
            <w:vAlign w:val="bottom"/>
          </w:tcPr>
          <w:p w14:paraId="4A64251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-3210.66</w:t>
            </w:r>
          </w:p>
        </w:tc>
        <w:tc>
          <w:tcPr>
            <w:tcW w:w="844" w:type="dxa"/>
            <w:vAlign w:val="bottom"/>
          </w:tcPr>
          <w:p w14:paraId="7EF09296"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166.69</w:t>
            </w:r>
          </w:p>
        </w:tc>
        <w:tc>
          <w:tcPr>
            <w:tcW w:w="1063" w:type="dxa"/>
            <w:vAlign w:val="bottom"/>
          </w:tcPr>
          <w:p w14:paraId="6E34888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1088.06</w:t>
            </w:r>
          </w:p>
        </w:tc>
        <w:tc>
          <w:tcPr>
            <w:tcW w:w="1032" w:type="dxa"/>
            <w:vAlign w:val="bottom"/>
          </w:tcPr>
          <w:p w14:paraId="70660BE3"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133.50</w:t>
            </w:r>
          </w:p>
        </w:tc>
        <w:tc>
          <w:tcPr>
            <w:tcW w:w="1121" w:type="dxa"/>
            <w:vAlign w:val="bottom"/>
          </w:tcPr>
          <w:p w14:paraId="15E2FEE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768.62</w:t>
            </w:r>
          </w:p>
        </w:tc>
      </w:tr>
      <w:tr w:rsidR="00385CAF" w:rsidRPr="00EE4C33" w14:paraId="63F266CA" w14:textId="77777777" w:rsidTr="003A76BC">
        <w:tc>
          <w:tcPr>
            <w:tcW w:w="1497" w:type="dxa"/>
            <w:vAlign w:val="bottom"/>
          </w:tcPr>
          <w:p w14:paraId="20C5140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Sum Sq. Dev.</w:t>
            </w:r>
          </w:p>
        </w:tc>
        <w:tc>
          <w:tcPr>
            <w:tcW w:w="1063" w:type="dxa"/>
            <w:vAlign w:val="bottom"/>
          </w:tcPr>
          <w:p w14:paraId="439D42D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11416.23</w:t>
            </w:r>
          </w:p>
        </w:tc>
        <w:tc>
          <w:tcPr>
            <w:tcW w:w="837" w:type="dxa"/>
            <w:vAlign w:val="bottom"/>
          </w:tcPr>
          <w:p w14:paraId="031A92E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699.18</w:t>
            </w:r>
          </w:p>
        </w:tc>
        <w:tc>
          <w:tcPr>
            <w:tcW w:w="950" w:type="dxa"/>
            <w:vAlign w:val="bottom"/>
          </w:tcPr>
          <w:p w14:paraId="2D820BA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7925.14</w:t>
            </w:r>
          </w:p>
        </w:tc>
        <w:tc>
          <w:tcPr>
            <w:tcW w:w="1232" w:type="dxa"/>
            <w:vAlign w:val="bottom"/>
          </w:tcPr>
          <w:p w14:paraId="71068CF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 501021.20</w:t>
            </w:r>
          </w:p>
        </w:tc>
        <w:tc>
          <w:tcPr>
            <w:tcW w:w="844" w:type="dxa"/>
            <w:vAlign w:val="bottom"/>
          </w:tcPr>
          <w:p w14:paraId="235ADB84"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206.39</w:t>
            </w:r>
          </w:p>
        </w:tc>
        <w:tc>
          <w:tcPr>
            <w:tcW w:w="1063" w:type="dxa"/>
            <w:vAlign w:val="bottom"/>
          </w:tcPr>
          <w:p w14:paraId="6FA40D2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14239.04</w:t>
            </w:r>
          </w:p>
        </w:tc>
        <w:tc>
          <w:tcPr>
            <w:tcW w:w="1032" w:type="dxa"/>
            <w:vAlign w:val="bottom"/>
          </w:tcPr>
          <w:p w14:paraId="03986AF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1232.51</w:t>
            </w:r>
          </w:p>
        </w:tc>
        <w:tc>
          <w:tcPr>
            <w:tcW w:w="1121" w:type="dxa"/>
            <w:vAlign w:val="bottom"/>
          </w:tcPr>
          <w:p w14:paraId="094CD77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1040.13</w:t>
            </w:r>
          </w:p>
        </w:tc>
      </w:tr>
      <w:tr w:rsidR="00385CAF" w:rsidRPr="00EE4C33" w14:paraId="3339FF20" w14:textId="77777777" w:rsidTr="003A76BC">
        <w:tc>
          <w:tcPr>
            <w:tcW w:w="1497" w:type="dxa"/>
            <w:vAlign w:val="bottom"/>
          </w:tcPr>
          <w:p w14:paraId="655E3191"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Observations</w:t>
            </w:r>
          </w:p>
        </w:tc>
        <w:tc>
          <w:tcPr>
            <w:tcW w:w="1063" w:type="dxa"/>
            <w:vAlign w:val="bottom"/>
          </w:tcPr>
          <w:p w14:paraId="69A06DE0"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837" w:type="dxa"/>
            <w:vAlign w:val="bottom"/>
          </w:tcPr>
          <w:p w14:paraId="4AA42149"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950" w:type="dxa"/>
            <w:vAlign w:val="bottom"/>
          </w:tcPr>
          <w:p w14:paraId="159DD17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1232" w:type="dxa"/>
            <w:vAlign w:val="bottom"/>
          </w:tcPr>
          <w:p w14:paraId="6279F4A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844" w:type="dxa"/>
            <w:vAlign w:val="bottom"/>
          </w:tcPr>
          <w:p w14:paraId="7BAAD758"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1063" w:type="dxa"/>
            <w:vAlign w:val="bottom"/>
          </w:tcPr>
          <w:p w14:paraId="64144BC5"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1032" w:type="dxa"/>
            <w:vAlign w:val="bottom"/>
          </w:tcPr>
          <w:p w14:paraId="79ABA7B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c>
          <w:tcPr>
            <w:tcW w:w="1121" w:type="dxa"/>
            <w:vAlign w:val="bottom"/>
          </w:tcPr>
          <w:p w14:paraId="494D3D6B"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45</w:t>
            </w:r>
          </w:p>
        </w:tc>
      </w:tr>
    </w:tbl>
    <w:p w14:paraId="52FD2C84" w14:textId="77777777" w:rsidR="00385CAF" w:rsidRPr="00EE4C33" w:rsidRDefault="00385CAF" w:rsidP="00385CAF">
      <w:pPr>
        <w:spacing w:line="360" w:lineRule="auto"/>
        <w:rPr>
          <w:rFonts w:ascii="Times New Roman" w:hAnsi="Times New Roman"/>
          <w:b/>
          <w:bCs/>
          <w:sz w:val="24"/>
          <w:szCs w:val="24"/>
        </w:rPr>
      </w:pPr>
      <w:r w:rsidRPr="00EE4C33">
        <w:rPr>
          <w:rFonts w:ascii="Arial" w:hAnsi="Arial" w:cs="Arial"/>
          <w:b/>
          <w:bCs/>
        </w:rPr>
        <w:t xml:space="preserve">  Source: Author’s computation using EViews 13</w:t>
      </w:r>
      <w:r w:rsidRPr="00EE4C33">
        <w:rPr>
          <w:rFonts w:ascii="Times New Roman" w:hAnsi="Times New Roman"/>
          <w:b/>
          <w:bCs/>
          <w:sz w:val="24"/>
          <w:szCs w:val="24"/>
        </w:rPr>
        <w:t xml:space="preserve"> </w:t>
      </w:r>
    </w:p>
    <w:p w14:paraId="55A19F24" w14:textId="77777777" w:rsidR="00385CAF" w:rsidRPr="00EE4C33" w:rsidRDefault="00385CAF" w:rsidP="00385CAF">
      <w:pPr>
        <w:spacing w:line="360" w:lineRule="auto"/>
        <w:rPr>
          <w:rFonts w:ascii="Arial" w:hAnsi="Arial" w:cs="Arial"/>
          <w:b/>
          <w:bCs/>
        </w:rPr>
      </w:pPr>
      <w:r w:rsidRPr="00EE4C33">
        <w:rPr>
          <w:rFonts w:ascii="Arial" w:hAnsi="Arial" w:cs="Arial"/>
          <w:b/>
          <w:bCs/>
        </w:rPr>
        <w:t>4.2 Correlation Analysis</w:t>
      </w:r>
    </w:p>
    <w:p w14:paraId="34630417" w14:textId="77777777" w:rsidR="00385CAF" w:rsidRPr="00EE4C33" w:rsidRDefault="00385CAF" w:rsidP="00385CAF">
      <w:pPr>
        <w:jc w:val="both"/>
        <w:rPr>
          <w:rFonts w:ascii="Arial" w:hAnsi="Arial" w:cs="Arial"/>
        </w:rPr>
      </w:pPr>
      <w:r w:rsidRPr="00EE4C33">
        <w:t>Table 2 presents the pairwise correlation coefficients and their respective probability values. This analysis is useful for identifying initial bivariate relationships and diagnosing potential multicollinearity. The results indicate that the public debt-to-GDP ratio (PD) and the lending rate (LR) are the main significant correlates of inflation (INF). PD has a positive and statistically significant association with INF (r = 0.40, p = 0.01), suggesting that higher public debt is linearly associated with rising price levels. Similarly, LR has a significant positive correlation with INF (r = 0.37, p = 0.01). By contrast, the fiscal deficit-to-GDP ratio (FD) is negatively but insignificantly correlated with inflation (r = -0.05, p = 0.72). The interaction term (FD*PD) is also negatively correlated with inflation (r = -0.23), but the relationship is not significant at the 5% level (p = 0.13). The control variables, namely exchange rate (LEXR), broad money growth (M2), and real GDP growth (RGDPG), do not have statistically significant linear associations with INF. The correlation analysis also reveals several notable positive relationships. Fiscal deficit correlates significantly with real GDP growth (r = 0.59, p &lt; 0.01) and exchange-rate depreciation (r = 0.53, p &lt; 0.01). Money supply growth is also positively related to the lending rate (r = 0.38, p = 0.01). Most correlation coefficients are below 0.80, suggesting that the model does not generally suffer from multicollinearity. However, a strong linear relationship exists between fiscal deficit and the FD*PD interaction term, with a correlation coefficient of 0.89 (p &lt; 0.01). This is expected because FD*PD is a product term. In an ARDL framework that accounts for dynamic lag structures, such interaction-based correlations do not compromise the structural integrity of the parameter estimates.</w:t>
      </w:r>
    </w:p>
    <w:p w14:paraId="55A0C24B"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w:t>
      </w:r>
    </w:p>
    <w:p w14:paraId="134A8C38" w14:textId="77777777" w:rsidR="00385CAF" w:rsidRPr="00EE4C33" w:rsidRDefault="00385CAF" w:rsidP="00385CAF">
      <w:pPr>
        <w:spacing w:line="360" w:lineRule="auto"/>
        <w:rPr>
          <w:rFonts w:ascii="Arial" w:hAnsi="Arial" w:cs="Arial"/>
          <w:b/>
          <w:bCs/>
        </w:rPr>
      </w:pPr>
      <w:r w:rsidRPr="00EE4C33">
        <w:rPr>
          <w:rFonts w:ascii="Arial" w:hAnsi="Arial" w:cs="Arial"/>
          <w:b/>
          <w:bCs/>
        </w:rPr>
        <w:t>Table 2: Pair-wise correlation matrix</w:t>
      </w:r>
    </w:p>
    <w:tbl>
      <w:tblPr>
        <w:tblStyle w:val="TableGrid"/>
        <w:tblW w:w="9750" w:type="dxa"/>
        <w:tblInd w:w="108" w:type="dxa"/>
        <w:tblLook w:val="04A0" w:firstRow="1" w:lastRow="0" w:firstColumn="1" w:lastColumn="0" w:noHBand="0" w:noVBand="1"/>
      </w:tblPr>
      <w:tblGrid>
        <w:gridCol w:w="1342"/>
        <w:gridCol w:w="1095"/>
        <w:gridCol w:w="1094"/>
        <w:gridCol w:w="1094"/>
        <w:gridCol w:w="1094"/>
        <w:gridCol w:w="972"/>
        <w:gridCol w:w="993"/>
        <w:gridCol w:w="1134"/>
        <w:gridCol w:w="932"/>
      </w:tblGrid>
      <w:tr w:rsidR="00385CAF" w:rsidRPr="00EE4C33" w14:paraId="70ABD4B4" w14:textId="77777777" w:rsidTr="00C32177">
        <w:trPr>
          <w:trHeight w:val="640"/>
        </w:trPr>
        <w:tc>
          <w:tcPr>
            <w:tcW w:w="1342" w:type="dxa"/>
          </w:tcPr>
          <w:p w14:paraId="2DF1F31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lastRenderedPageBreak/>
              <w:t>Correlation</w:t>
            </w:r>
          </w:p>
          <w:p w14:paraId="3606D241"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Probability</w:t>
            </w:r>
          </w:p>
        </w:tc>
        <w:tc>
          <w:tcPr>
            <w:tcW w:w="1095" w:type="dxa"/>
          </w:tcPr>
          <w:p w14:paraId="3EBCE3DA"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INF</w:t>
            </w:r>
          </w:p>
        </w:tc>
        <w:tc>
          <w:tcPr>
            <w:tcW w:w="1094" w:type="dxa"/>
          </w:tcPr>
          <w:p w14:paraId="6F7DECAC"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FD</w:t>
            </w:r>
          </w:p>
        </w:tc>
        <w:tc>
          <w:tcPr>
            <w:tcW w:w="1094" w:type="dxa"/>
          </w:tcPr>
          <w:p w14:paraId="4CED7174"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PD</w:t>
            </w:r>
          </w:p>
        </w:tc>
        <w:tc>
          <w:tcPr>
            <w:tcW w:w="1094" w:type="dxa"/>
          </w:tcPr>
          <w:p w14:paraId="4C26496E"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FD</w:t>
            </w:r>
            <w:r w:rsidR="00C32177" w:rsidRPr="00EE4C33">
              <w:rPr>
                <w:rFonts w:ascii="Arial" w:hAnsi="Arial" w:cs="Arial"/>
                <w:b/>
                <w:bCs/>
                <w:sz w:val="20"/>
                <w:szCs w:val="20"/>
              </w:rPr>
              <w:t>*</w:t>
            </w:r>
            <w:r w:rsidRPr="00EE4C33">
              <w:rPr>
                <w:rFonts w:ascii="Arial" w:hAnsi="Arial" w:cs="Arial"/>
                <w:b/>
                <w:bCs/>
                <w:sz w:val="20"/>
                <w:szCs w:val="20"/>
              </w:rPr>
              <w:t>PD</w:t>
            </w:r>
          </w:p>
        </w:tc>
        <w:tc>
          <w:tcPr>
            <w:tcW w:w="972" w:type="dxa"/>
          </w:tcPr>
          <w:p w14:paraId="73DBD614"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LEXR</w:t>
            </w:r>
          </w:p>
        </w:tc>
        <w:tc>
          <w:tcPr>
            <w:tcW w:w="993" w:type="dxa"/>
          </w:tcPr>
          <w:p w14:paraId="53B0A44B"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M2</w:t>
            </w:r>
          </w:p>
        </w:tc>
        <w:tc>
          <w:tcPr>
            <w:tcW w:w="1134" w:type="dxa"/>
          </w:tcPr>
          <w:p w14:paraId="3A9BA1CB"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RGDPG</w:t>
            </w:r>
          </w:p>
        </w:tc>
        <w:tc>
          <w:tcPr>
            <w:tcW w:w="932" w:type="dxa"/>
          </w:tcPr>
          <w:p w14:paraId="7F9ACCB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LR</w:t>
            </w:r>
          </w:p>
        </w:tc>
      </w:tr>
      <w:tr w:rsidR="00385CAF" w:rsidRPr="00EE4C33" w14:paraId="0C75226B" w14:textId="77777777" w:rsidTr="00C32177">
        <w:trPr>
          <w:trHeight w:val="627"/>
        </w:trPr>
        <w:tc>
          <w:tcPr>
            <w:tcW w:w="1342" w:type="dxa"/>
          </w:tcPr>
          <w:p w14:paraId="0B0BE9F7"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INF</w:t>
            </w:r>
          </w:p>
        </w:tc>
        <w:tc>
          <w:tcPr>
            <w:tcW w:w="1095" w:type="dxa"/>
          </w:tcPr>
          <w:p w14:paraId="631B63D9"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2CD261BC"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1094" w:type="dxa"/>
          </w:tcPr>
          <w:p w14:paraId="1DFC4456" w14:textId="77777777" w:rsidR="00385CAF" w:rsidRPr="00EE4C33" w:rsidRDefault="00385CAF" w:rsidP="003A76BC">
            <w:pPr>
              <w:spacing w:line="360" w:lineRule="auto"/>
              <w:rPr>
                <w:rFonts w:ascii="Arial" w:hAnsi="Arial" w:cs="Arial"/>
                <w:sz w:val="20"/>
                <w:szCs w:val="20"/>
              </w:rPr>
            </w:pPr>
          </w:p>
        </w:tc>
        <w:tc>
          <w:tcPr>
            <w:tcW w:w="1094" w:type="dxa"/>
          </w:tcPr>
          <w:p w14:paraId="71D66551" w14:textId="77777777" w:rsidR="00385CAF" w:rsidRPr="00EE4C33" w:rsidRDefault="00385CAF" w:rsidP="003A76BC">
            <w:pPr>
              <w:spacing w:line="360" w:lineRule="auto"/>
              <w:rPr>
                <w:rFonts w:ascii="Arial" w:hAnsi="Arial" w:cs="Arial"/>
                <w:sz w:val="20"/>
                <w:szCs w:val="20"/>
              </w:rPr>
            </w:pPr>
          </w:p>
        </w:tc>
        <w:tc>
          <w:tcPr>
            <w:tcW w:w="1094" w:type="dxa"/>
          </w:tcPr>
          <w:p w14:paraId="48F9B89B" w14:textId="77777777" w:rsidR="00385CAF" w:rsidRPr="00EE4C33" w:rsidRDefault="00385CAF" w:rsidP="003A76BC">
            <w:pPr>
              <w:spacing w:line="360" w:lineRule="auto"/>
              <w:rPr>
                <w:rFonts w:ascii="Arial" w:hAnsi="Arial" w:cs="Arial"/>
                <w:sz w:val="20"/>
                <w:szCs w:val="20"/>
              </w:rPr>
            </w:pPr>
          </w:p>
        </w:tc>
        <w:tc>
          <w:tcPr>
            <w:tcW w:w="972" w:type="dxa"/>
          </w:tcPr>
          <w:p w14:paraId="2F2BE69B" w14:textId="77777777" w:rsidR="00385CAF" w:rsidRPr="00EE4C33" w:rsidRDefault="00385CAF" w:rsidP="003A76BC">
            <w:pPr>
              <w:spacing w:line="360" w:lineRule="auto"/>
              <w:rPr>
                <w:rFonts w:ascii="Arial" w:hAnsi="Arial" w:cs="Arial"/>
                <w:sz w:val="20"/>
                <w:szCs w:val="20"/>
              </w:rPr>
            </w:pPr>
          </w:p>
        </w:tc>
        <w:tc>
          <w:tcPr>
            <w:tcW w:w="993" w:type="dxa"/>
          </w:tcPr>
          <w:p w14:paraId="423A890C" w14:textId="77777777" w:rsidR="00385CAF" w:rsidRPr="00EE4C33" w:rsidRDefault="00385CAF" w:rsidP="003A76BC">
            <w:pPr>
              <w:spacing w:line="360" w:lineRule="auto"/>
              <w:rPr>
                <w:rFonts w:ascii="Arial" w:hAnsi="Arial" w:cs="Arial"/>
                <w:sz w:val="20"/>
                <w:szCs w:val="20"/>
              </w:rPr>
            </w:pPr>
          </w:p>
        </w:tc>
        <w:tc>
          <w:tcPr>
            <w:tcW w:w="1134" w:type="dxa"/>
          </w:tcPr>
          <w:p w14:paraId="5AA868CD" w14:textId="77777777" w:rsidR="00385CAF" w:rsidRPr="00EE4C33" w:rsidRDefault="00385CAF" w:rsidP="003A76BC">
            <w:pPr>
              <w:spacing w:line="360" w:lineRule="auto"/>
              <w:rPr>
                <w:rFonts w:ascii="Arial" w:hAnsi="Arial" w:cs="Arial"/>
                <w:sz w:val="20"/>
                <w:szCs w:val="20"/>
              </w:rPr>
            </w:pPr>
          </w:p>
        </w:tc>
        <w:tc>
          <w:tcPr>
            <w:tcW w:w="932" w:type="dxa"/>
          </w:tcPr>
          <w:p w14:paraId="09C95957" w14:textId="77777777" w:rsidR="00385CAF" w:rsidRPr="00EE4C33" w:rsidRDefault="00385CAF" w:rsidP="003A76BC">
            <w:pPr>
              <w:spacing w:line="360" w:lineRule="auto"/>
              <w:rPr>
                <w:rFonts w:ascii="Arial" w:hAnsi="Arial" w:cs="Arial"/>
                <w:sz w:val="20"/>
                <w:szCs w:val="20"/>
              </w:rPr>
            </w:pPr>
          </w:p>
        </w:tc>
      </w:tr>
      <w:tr w:rsidR="00385CAF" w:rsidRPr="00EE4C33" w14:paraId="53B39B74" w14:textId="77777777" w:rsidTr="00C32177">
        <w:trPr>
          <w:trHeight w:val="640"/>
        </w:trPr>
        <w:tc>
          <w:tcPr>
            <w:tcW w:w="1342" w:type="dxa"/>
          </w:tcPr>
          <w:p w14:paraId="04B6251D"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FD</w:t>
            </w:r>
          </w:p>
        </w:tc>
        <w:tc>
          <w:tcPr>
            <w:tcW w:w="1095" w:type="dxa"/>
          </w:tcPr>
          <w:p w14:paraId="5ABA6C8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-0.05</w:t>
            </w:r>
          </w:p>
          <w:p w14:paraId="3CE24A3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(0.72)</w:t>
            </w:r>
          </w:p>
        </w:tc>
        <w:tc>
          <w:tcPr>
            <w:tcW w:w="1094" w:type="dxa"/>
          </w:tcPr>
          <w:p w14:paraId="5045EB4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2560180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1094" w:type="dxa"/>
          </w:tcPr>
          <w:p w14:paraId="72877DF7" w14:textId="77777777" w:rsidR="00385CAF" w:rsidRPr="00EE4C33" w:rsidRDefault="00385CAF" w:rsidP="003A76BC">
            <w:pPr>
              <w:spacing w:line="360" w:lineRule="auto"/>
              <w:rPr>
                <w:rFonts w:ascii="Arial" w:hAnsi="Arial" w:cs="Arial"/>
                <w:sz w:val="20"/>
                <w:szCs w:val="20"/>
              </w:rPr>
            </w:pPr>
          </w:p>
        </w:tc>
        <w:tc>
          <w:tcPr>
            <w:tcW w:w="1094" w:type="dxa"/>
          </w:tcPr>
          <w:p w14:paraId="52F8655D" w14:textId="77777777" w:rsidR="00385CAF" w:rsidRPr="00EE4C33" w:rsidRDefault="00385CAF" w:rsidP="003A76BC">
            <w:pPr>
              <w:spacing w:line="360" w:lineRule="auto"/>
              <w:rPr>
                <w:rFonts w:ascii="Arial" w:hAnsi="Arial" w:cs="Arial"/>
                <w:sz w:val="20"/>
                <w:szCs w:val="20"/>
              </w:rPr>
            </w:pPr>
          </w:p>
        </w:tc>
        <w:tc>
          <w:tcPr>
            <w:tcW w:w="972" w:type="dxa"/>
          </w:tcPr>
          <w:p w14:paraId="1E558BB6" w14:textId="77777777" w:rsidR="00385CAF" w:rsidRPr="00EE4C33" w:rsidRDefault="00385CAF" w:rsidP="003A76BC">
            <w:pPr>
              <w:spacing w:line="360" w:lineRule="auto"/>
              <w:rPr>
                <w:rFonts w:ascii="Arial" w:hAnsi="Arial" w:cs="Arial"/>
                <w:sz w:val="20"/>
                <w:szCs w:val="20"/>
              </w:rPr>
            </w:pPr>
          </w:p>
        </w:tc>
        <w:tc>
          <w:tcPr>
            <w:tcW w:w="993" w:type="dxa"/>
          </w:tcPr>
          <w:p w14:paraId="52DD804F" w14:textId="77777777" w:rsidR="00385CAF" w:rsidRPr="00EE4C33" w:rsidRDefault="00385CAF" w:rsidP="003A76BC">
            <w:pPr>
              <w:spacing w:line="360" w:lineRule="auto"/>
              <w:rPr>
                <w:rFonts w:ascii="Arial" w:hAnsi="Arial" w:cs="Arial"/>
                <w:sz w:val="20"/>
                <w:szCs w:val="20"/>
              </w:rPr>
            </w:pPr>
          </w:p>
        </w:tc>
        <w:tc>
          <w:tcPr>
            <w:tcW w:w="1134" w:type="dxa"/>
          </w:tcPr>
          <w:p w14:paraId="16904393" w14:textId="77777777" w:rsidR="00385CAF" w:rsidRPr="00EE4C33" w:rsidRDefault="00385CAF" w:rsidP="003A76BC">
            <w:pPr>
              <w:spacing w:line="360" w:lineRule="auto"/>
              <w:rPr>
                <w:rFonts w:ascii="Arial" w:hAnsi="Arial" w:cs="Arial"/>
                <w:sz w:val="20"/>
                <w:szCs w:val="20"/>
              </w:rPr>
            </w:pPr>
          </w:p>
        </w:tc>
        <w:tc>
          <w:tcPr>
            <w:tcW w:w="932" w:type="dxa"/>
          </w:tcPr>
          <w:p w14:paraId="377D0EF5" w14:textId="77777777" w:rsidR="00385CAF" w:rsidRPr="00EE4C33" w:rsidRDefault="00385CAF" w:rsidP="003A76BC">
            <w:pPr>
              <w:spacing w:line="360" w:lineRule="auto"/>
              <w:rPr>
                <w:rFonts w:ascii="Arial" w:hAnsi="Arial" w:cs="Arial"/>
                <w:sz w:val="20"/>
                <w:szCs w:val="20"/>
              </w:rPr>
            </w:pPr>
          </w:p>
        </w:tc>
      </w:tr>
      <w:tr w:rsidR="00385CAF" w:rsidRPr="00EE4C33" w14:paraId="69EE9C69" w14:textId="77777777" w:rsidTr="00C32177">
        <w:trPr>
          <w:trHeight w:val="640"/>
        </w:trPr>
        <w:tc>
          <w:tcPr>
            <w:tcW w:w="1342" w:type="dxa"/>
          </w:tcPr>
          <w:p w14:paraId="2C5F91CD"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PD</w:t>
            </w:r>
          </w:p>
        </w:tc>
        <w:tc>
          <w:tcPr>
            <w:tcW w:w="1095" w:type="dxa"/>
          </w:tcPr>
          <w:p w14:paraId="6969251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0.40</w:t>
            </w:r>
          </w:p>
          <w:p w14:paraId="01C09F0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0.01)*</w:t>
            </w:r>
            <w:proofErr w:type="gramEnd"/>
            <w:r w:rsidRPr="00EE4C33">
              <w:rPr>
                <w:rFonts w:ascii="Arial" w:hAnsi="Arial" w:cs="Arial"/>
                <w:sz w:val="20"/>
                <w:szCs w:val="20"/>
              </w:rPr>
              <w:t>*</w:t>
            </w:r>
          </w:p>
        </w:tc>
        <w:tc>
          <w:tcPr>
            <w:tcW w:w="1094" w:type="dxa"/>
          </w:tcPr>
          <w:p w14:paraId="55A08CF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-0.16</w:t>
            </w:r>
          </w:p>
          <w:p w14:paraId="0B4C5133"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(0.29)</w:t>
            </w:r>
          </w:p>
        </w:tc>
        <w:tc>
          <w:tcPr>
            <w:tcW w:w="1094" w:type="dxa"/>
          </w:tcPr>
          <w:p w14:paraId="09D3D2DE"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1E4D511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1094" w:type="dxa"/>
          </w:tcPr>
          <w:p w14:paraId="172D7D6F" w14:textId="77777777" w:rsidR="00385CAF" w:rsidRPr="00EE4C33" w:rsidRDefault="00385CAF" w:rsidP="003A76BC">
            <w:pPr>
              <w:spacing w:line="360" w:lineRule="auto"/>
              <w:rPr>
                <w:rFonts w:ascii="Arial" w:hAnsi="Arial" w:cs="Arial"/>
                <w:sz w:val="20"/>
                <w:szCs w:val="20"/>
              </w:rPr>
            </w:pPr>
          </w:p>
        </w:tc>
        <w:tc>
          <w:tcPr>
            <w:tcW w:w="972" w:type="dxa"/>
          </w:tcPr>
          <w:p w14:paraId="4731D222" w14:textId="77777777" w:rsidR="00385CAF" w:rsidRPr="00EE4C33" w:rsidRDefault="00385CAF" w:rsidP="003A76BC">
            <w:pPr>
              <w:spacing w:line="360" w:lineRule="auto"/>
              <w:rPr>
                <w:rFonts w:ascii="Arial" w:hAnsi="Arial" w:cs="Arial"/>
                <w:sz w:val="20"/>
                <w:szCs w:val="20"/>
              </w:rPr>
            </w:pPr>
          </w:p>
        </w:tc>
        <w:tc>
          <w:tcPr>
            <w:tcW w:w="993" w:type="dxa"/>
          </w:tcPr>
          <w:p w14:paraId="5D572EC7" w14:textId="77777777" w:rsidR="00385CAF" w:rsidRPr="00EE4C33" w:rsidRDefault="00385CAF" w:rsidP="003A76BC">
            <w:pPr>
              <w:spacing w:line="360" w:lineRule="auto"/>
              <w:rPr>
                <w:rFonts w:ascii="Arial" w:hAnsi="Arial" w:cs="Arial"/>
                <w:sz w:val="20"/>
                <w:szCs w:val="20"/>
              </w:rPr>
            </w:pPr>
          </w:p>
        </w:tc>
        <w:tc>
          <w:tcPr>
            <w:tcW w:w="1134" w:type="dxa"/>
          </w:tcPr>
          <w:p w14:paraId="74AA6C9E" w14:textId="77777777" w:rsidR="00385CAF" w:rsidRPr="00EE4C33" w:rsidRDefault="00385CAF" w:rsidP="003A76BC">
            <w:pPr>
              <w:spacing w:line="360" w:lineRule="auto"/>
              <w:rPr>
                <w:rFonts w:ascii="Arial" w:hAnsi="Arial" w:cs="Arial"/>
                <w:sz w:val="20"/>
                <w:szCs w:val="20"/>
              </w:rPr>
            </w:pPr>
          </w:p>
        </w:tc>
        <w:tc>
          <w:tcPr>
            <w:tcW w:w="932" w:type="dxa"/>
          </w:tcPr>
          <w:p w14:paraId="4915F1EB" w14:textId="77777777" w:rsidR="00385CAF" w:rsidRPr="00EE4C33" w:rsidRDefault="00385CAF" w:rsidP="003A76BC">
            <w:pPr>
              <w:spacing w:line="360" w:lineRule="auto"/>
              <w:rPr>
                <w:rFonts w:ascii="Arial" w:hAnsi="Arial" w:cs="Arial"/>
                <w:sz w:val="20"/>
                <w:szCs w:val="20"/>
              </w:rPr>
            </w:pPr>
          </w:p>
        </w:tc>
      </w:tr>
      <w:tr w:rsidR="00385CAF" w:rsidRPr="00EE4C33" w14:paraId="244538D0" w14:textId="77777777" w:rsidTr="00C32177">
        <w:trPr>
          <w:trHeight w:val="627"/>
        </w:trPr>
        <w:tc>
          <w:tcPr>
            <w:tcW w:w="1342" w:type="dxa"/>
          </w:tcPr>
          <w:p w14:paraId="01F35266"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FD_PD</w:t>
            </w:r>
          </w:p>
        </w:tc>
        <w:tc>
          <w:tcPr>
            <w:tcW w:w="1095" w:type="dxa"/>
          </w:tcPr>
          <w:p w14:paraId="6EACB5E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-0.23</w:t>
            </w:r>
          </w:p>
          <w:p w14:paraId="72CAFDCA"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(0.13)</w:t>
            </w:r>
          </w:p>
        </w:tc>
        <w:tc>
          <w:tcPr>
            <w:tcW w:w="1094" w:type="dxa"/>
          </w:tcPr>
          <w:p w14:paraId="7077190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0.89</w:t>
            </w:r>
          </w:p>
          <w:p w14:paraId="2407277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1094" w:type="dxa"/>
          </w:tcPr>
          <w:p w14:paraId="41829E1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-0.32</w:t>
            </w:r>
          </w:p>
          <w:p w14:paraId="4AF763E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0.03)*</w:t>
            </w:r>
            <w:proofErr w:type="gramEnd"/>
            <w:r w:rsidRPr="00EE4C33">
              <w:rPr>
                <w:rFonts w:ascii="Arial" w:hAnsi="Arial" w:cs="Arial"/>
                <w:sz w:val="20"/>
                <w:szCs w:val="20"/>
              </w:rPr>
              <w:t>*</w:t>
            </w:r>
          </w:p>
        </w:tc>
        <w:tc>
          <w:tcPr>
            <w:tcW w:w="1094" w:type="dxa"/>
          </w:tcPr>
          <w:p w14:paraId="0FC020FC"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58BE2063"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972" w:type="dxa"/>
          </w:tcPr>
          <w:p w14:paraId="10ED62B0" w14:textId="77777777" w:rsidR="00385CAF" w:rsidRPr="00EE4C33" w:rsidRDefault="00385CAF" w:rsidP="003A76BC">
            <w:pPr>
              <w:spacing w:line="360" w:lineRule="auto"/>
              <w:rPr>
                <w:rFonts w:ascii="Arial" w:hAnsi="Arial" w:cs="Arial"/>
                <w:sz w:val="20"/>
                <w:szCs w:val="20"/>
              </w:rPr>
            </w:pPr>
          </w:p>
        </w:tc>
        <w:tc>
          <w:tcPr>
            <w:tcW w:w="993" w:type="dxa"/>
          </w:tcPr>
          <w:p w14:paraId="7DEFC2EA" w14:textId="77777777" w:rsidR="00385CAF" w:rsidRPr="00EE4C33" w:rsidRDefault="00385CAF" w:rsidP="003A76BC">
            <w:pPr>
              <w:spacing w:line="360" w:lineRule="auto"/>
              <w:rPr>
                <w:rFonts w:ascii="Arial" w:hAnsi="Arial" w:cs="Arial"/>
                <w:sz w:val="20"/>
                <w:szCs w:val="20"/>
              </w:rPr>
            </w:pPr>
          </w:p>
        </w:tc>
        <w:tc>
          <w:tcPr>
            <w:tcW w:w="1134" w:type="dxa"/>
          </w:tcPr>
          <w:p w14:paraId="7215880F" w14:textId="77777777" w:rsidR="00385CAF" w:rsidRPr="00EE4C33" w:rsidRDefault="00385CAF" w:rsidP="003A76BC">
            <w:pPr>
              <w:spacing w:line="360" w:lineRule="auto"/>
              <w:rPr>
                <w:rFonts w:ascii="Arial" w:hAnsi="Arial" w:cs="Arial"/>
                <w:sz w:val="20"/>
                <w:szCs w:val="20"/>
              </w:rPr>
            </w:pPr>
          </w:p>
        </w:tc>
        <w:tc>
          <w:tcPr>
            <w:tcW w:w="932" w:type="dxa"/>
          </w:tcPr>
          <w:p w14:paraId="3F11ADCC" w14:textId="77777777" w:rsidR="00385CAF" w:rsidRPr="00EE4C33" w:rsidRDefault="00385CAF" w:rsidP="003A76BC">
            <w:pPr>
              <w:spacing w:line="360" w:lineRule="auto"/>
              <w:rPr>
                <w:rFonts w:ascii="Arial" w:hAnsi="Arial" w:cs="Arial"/>
                <w:sz w:val="20"/>
                <w:szCs w:val="20"/>
              </w:rPr>
            </w:pPr>
          </w:p>
        </w:tc>
      </w:tr>
      <w:tr w:rsidR="00385CAF" w:rsidRPr="00EE4C33" w14:paraId="2D115957" w14:textId="77777777" w:rsidTr="00C32177">
        <w:trPr>
          <w:trHeight w:val="640"/>
        </w:trPr>
        <w:tc>
          <w:tcPr>
            <w:tcW w:w="1342" w:type="dxa"/>
          </w:tcPr>
          <w:p w14:paraId="0EA144E7"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LEXR</w:t>
            </w:r>
          </w:p>
        </w:tc>
        <w:tc>
          <w:tcPr>
            <w:tcW w:w="1095" w:type="dxa"/>
          </w:tcPr>
          <w:p w14:paraId="5BDD146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-0.11</w:t>
            </w:r>
          </w:p>
          <w:p w14:paraId="4B63AB7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(0.45)</w:t>
            </w:r>
          </w:p>
        </w:tc>
        <w:tc>
          <w:tcPr>
            <w:tcW w:w="1094" w:type="dxa"/>
          </w:tcPr>
          <w:p w14:paraId="49B7144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0.53</w:t>
            </w:r>
          </w:p>
          <w:p w14:paraId="0F92E72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1094" w:type="dxa"/>
          </w:tcPr>
          <w:p w14:paraId="11B99AF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-0.18</w:t>
            </w:r>
          </w:p>
          <w:p w14:paraId="187A64C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(0.23)</w:t>
            </w:r>
          </w:p>
        </w:tc>
        <w:tc>
          <w:tcPr>
            <w:tcW w:w="1094" w:type="dxa"/>
          </w:tcPr>
          <w:p w14:paraId="2A79BE0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0.52</w:t>
            </w:r>
          </w:p>
          <w:p w14:paraId="1B7AE25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972" w:type="dxa"/>
          </w:tcPr>
          <w:p w14:paraId="5448E882"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0C0CAE1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993" w:type="dxa"/>
          </w:tcPr>
          <w:p w14:paraId="5D7EE97D" w14:textId="77777777" w:rsidR="00385CAF" w:rsidRPr="00EE4C33" w:rsidRDefault="00385CAF" w:rsidP="003A76BC">
            <w:pPr>
              <w:spacing w:line="360" w:lineRule="auto"/>
              <w:rPr>
                <w:rFonts w:ascii="Arial" w:hAnsi="Arial" w:cs="Arial"/>
                <w:sz w:val="20"/>
                <w:szCs w:val="20"/>
              </w:rPr>
            </w:pPr>
          </w:p>
        </w:tc>
        <w:tc>
          <w:tcPr>
            <w:tcW w:w="1134" w:type="dxa"/>
          </w:tcPr>
          <w:p w14:paraId="68D05166" w14:textId="77777777" w:rsidR="00385CAF" w:rsidRPr="00EE4C33" w:rsidRDefault="00385CAF" w:rsidP="003A76BC">
            <w:pPr>
              <w:spacing w:line="360" w:lineRule="auto"/>
              <w:rPr>
                <w:rFonts w:ascii="Arial" w:hAnsi="Arial" w:cs="Arial"/>
                <w:sz w:val="20"/>
                <w:szCs w:val="20"/>
              </w:rPr>
            </w:pPr>
          </w:p>
        </w:tc>
        <w:tc>
          <w:tcPr>
            <w:tcW w:w="932" w:type="dxa"/>
          </w:tcPr>
          <w:p w14:paraId="1ACFB2F6" w14:textId="77777777" w:rsidR="00385CAF" w:rsidRPr="00EE4C33" w:rsidRDefault="00385CAF" w:rsidP="003A76BC">
            <w:pPr>
              <w:spacing w:line="360" w:lineRule="auto"/>
              <w:rPr>
                <w:rFonts w:ascii="Arial" w:hAnsi="Arial" w:cs="Arial"/>
                <w:sz w:val="20"/>
                <w:szCs w:val="20"/>
              </w:rPr>
            </w:pPr>
          </w:p>
        </w:tc>
      </w:tr>
      <w:tr w:rsidR="00385CAF" w:rsidRPr="00EE4C33" w14:paraId="53516BF4" w14:textId="77777777" w:rsidTr="00C32177">
        <w:trPr>
          <w:trHeight w:val="640"/>
        </w:trPr>
        <w:tc>
          <w:tcPr>
            <w:tcW w:w="1342" w:type="dxa"/>
          </w:tcPr>
          <w:p w14:paraId="0D9D2D8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M2</w:t>
            </w:r>
          </w:p>
        </w:tc>
        <w:tc>
          <w:tcPr>
            <w:tcW w:w="1095" w:type="dxa"/>
          </w:tcPr>
          <w:p w14:paraId="61E791F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0.20</w:t>
            </w:r>
          </w:p>
          <w:p w14:paraId="0BD7A459"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(0.19)</w:t>
            </w:r>
          </w:p>
        </w:tc>
        <w:tc>
          <w:tcPr>
            <w:tcW w:w="1094" w:type="dxa"/>
          </w:tcPr>
          <w:p w14:paraId="6AC8A83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0.33</w:t>
            </w:r>
          </w:p>
          <w:p w14:paraId="2EEA6DE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0.03)*</w:t>
            </w:r>
            <w:proofErr w:type="gramEnd"/>
            <w:r w:rsidRPr="00EE4C33">
              <w:rPr>
                <w:rFonts w:ascii="Arial" w:hAnsi="Arial" w:cs="Arial"/>
                <w:sz w:val="20"/>
                <w:szCs w:val="20"/>
              </w:rPr>
              <w:t>*</w:t>
            </w:r>
          </w:p>
        </w:tc>
        <w:tc>
          <w:tcPr>
            <w:tcW w:w="1094" w:type="dxa"/>
          </w:tcPr>
          <w:p w14:paraId="7286C64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0.27</w:t>
            </w:r>
          </w:p>
          <w:p w14:paraId="377174B3" w14:textId="77777777" w:rsidR="00385CAF" w:rsidRPr="00EE4C33" w:rsidRDefault="00385CAF" w:rsidP="003A76BC">
            <w:pPr>
              <w:spacing w:line="360" w:lineRule="auto"/>
              <w:rPr>
                <w:rFonts w:ascii="Arial" w:hAnsi="Arial" w:cs="Arial"/>
                <w:sz w:val="20"/>
                <w:szCs w:val="20"/>
              </w:rPr>
            </w:pPr>
            <w:proofErr w:type="gramStart"/>
            <w:r w:rsidRPr="00EE4C33">
              <w:rPr>
                <w:rFonts w:ascii="Arial" w:hAnsi="Arial" w:cs="Arial"/>
                <w:sz w:val="20"/>
                <w:szCs w:val="20"/>
              </w:rPr>
              <w:t>0.07)*</w:t>
            </w:r>
            <w:proofErr w:type="gramEnd"/>
          </w:p>
        </w:tc>
        <w:tc>
          <w:tcPr>
            <w:tcW w:w="1094" w:type="dxa"/>
          </w:tcPr>
          <w:p w14:paraId="1696C7E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0.20</w:t>
            </w:r>
          </w:p>
          <w:p w14:paraId="317EB5D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(0.18)</w:t>
            </w:r>
          </w:p>
        </w:tc>
        <w:tc>
          <w:tcPr>
            <w:tcW w:w="972" w:type="dxa"/>
          </w:tcPr>
          <w:p w14:paraId="6512CE4C"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0.10</w:t>
            </w:r>
          </w:p>
          <w:p w14:paraId="1D81279B"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(0.50)</w:t>
            </w:r>
          </w:p>
        </w:tc>
        <w:tc>
          <w:tcPr>
            <w:tcW w:w="993" w:type="dxa"/>
          </w:tcPr>
          <w:p w14:paraId="7ED931A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6D52FDC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1134" w:type="dxa"/>
          </w:tcPr>
          <w:p w14:paraId="23DDBB8B" w14:textId="77777777" w:rsidR="00385CAF" w:rsidRPr="00EE4C33" w:rsidRDefault="00385CAF" w:rsidP="003A76BC">
            <w:pPr>
              <w:spacing w:line="360" w:lineRule="auto"/>
              <w:rPr>
                <w:rFonts w:ascii="Arial" w:hAnsi="Arial" w:cs="Arial"/>
                <w:sz w:val="20"/>
                <w:szCs w:val="20"/>
              </w:rPr>
            </w:pPr>
          </w:p>
        </w:tc>
        <w:tc>
          <w:tcPr>
            <w:tcW w:w="932" w:type="dxa"/>
          </w:tcPr>
          <w:p w14:paraId="0C7082AA" w14:textId="77777777" w:rsidR="00385CAF" w:rsidRPr="00EE4C33" w:rsidRDefault="00385CAF" w:rsidP="003A76BC">
            <w:pPr>
              <w:spacing w:line="360" w:lineRule="auto"/>
              <w:rPr>
                <w:rFonts w:ascii="Arial" w:hAnsi="Arial" w:cs="Arial"/>
                <w:sz w:val="20"/>
                <w:szCs w:val="20"/>
              </w:rPr>
            </w:pPr>
          </w:p>
        </w:tc>
      </w:tr>
      <w:tr w:rsidR="00385CAF" w:rsidRPr="00EE4C33" w14:paraId="42C1EB66" w14:textId="77777777" w:rsidTr="00C32177">
        <w:trPr>
          <w:trHeight w:val="627"/>
        </w:trPr>
        <w:tc>
          <w:tcPr>
            <w:tcW w:w="1342" w:type="dxa"/>
          </w:tcPr>
          <w:p w14:paraId="75A75251"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RGDPG</w:t>
            </w:r>
          </w:p>
        </w:tc>
        <w:tc>
          <w:tcPr>
            <w:tcW w:w="1095" w:type="dxa"/>
          </w:tcPr>
          <w:p w14:paraId="2F0DF619"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-0.19</w:t>
            </w:r>
          </w:p>
          <w:p w14:paraId="45A6DC8C"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(0.22)</w:t>
            </w:r>
          </w:p>
        </w:tc>
        <w:tc>
          <w:tcPr>
            <w:tcW w:w="1094" w:type="dxa"/>
          </w:tcPr>
          <w:p w14:paraId="2D67BAEE"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0.59</w:t>
            </w:r>
          </w:p>
          <w:p w14:paraId="7F7B0EA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1094" w:type="dxa"/>
          </w:tcPr>
          <w:p w14:paraId="2EEE26D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-0.05</w:t>
            </w:r>
          </w:p>
          <w:p w14:paraId="0154B77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(0.73)</w:t>
            </w:r>
          </w:p>
        </w:tc>
        <w:tc>
          <w:tcPr>
            <w:tcW w:w="1094" w:type="dxa"/>
          </w:tcPr>
          <w:p w14:paraId="2A0FDE6C"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0.50</w:t>
            </w:r>
          </w:p>
          <w:p w14:paraId="3DD4AEE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972" w:type="dxa"/>
          </w:tcPr>
          <w:p w14:paraId="2347895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0.39</w:t>
            </w:r>
          </w:p>
          <w:p w14:paraId="0A6C722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993" w:type="dxa"/>
          </w:tcPr>
          <w:p w14:paraId="7D62ECD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0.20</w:t>
            </w:r>
          </w:p>
          <w:p w14:paraId="572515A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(0.20)</w:t>
            </w:r>
          </w:p>
        </w:tc>
        <w:tc>
          <w:tcPr>
            <w:tcW w:w="1134" w:type="dxa"/>
          </w:tcPr>
          <w:p w14:paraId="44BC72D2"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0C8DC34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c>
          <w:tcPr>
            <w:tcW w:w="932" w:type="dxa"/>
          </w:tcPr>
          <w:p w14:paraId="35882360" w14:textId="77777777" w:rsidR="00385CAF" w:rsidRPr="00EE4C33" w:rsidRDefault="00385CAF" w:rsidP="003A76BC">
            <w:pPr>
              <w:spacing w:line="360" w:lineRule="auto"/>
              <w:rPr>
                <w:rFonts w:ascii="Arial" w:hAnsi="Arial" w:cs="Arial"/>
                <w:sz w:val="20"/>
                <w:szCs w:val="20"/>
              </w:rPr>
            </w:pPr>
          </w:p>
        </w:tc>
      </w:tr>
      <w:tr w:rsidR="00385CAF" w:rsidRPr="00EE4C33" w14:paraId="685C6D8E" w14:textId="77777777" w:rsidTr="00C32177">
        <w:trPr>
          <w:trHeight w:val="640"/>
        </w:trPr>
        <w:tc>
          <w:tcPr>
            <w:tcW w:w="1342" w:type="dxa"/>
          </w:tcPr>
          <w:p w14:paraId="24707382"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LR</w:t>
            </w:r>
          </w:p>
        </w:tc>
        <w:tc>
          <w:tcPr>
            <w:tcW w:w="1095" w:type="dxa"/>
          </w:tcPr>
          <w:p w14:paraId="090C18B3"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0.37</w:t>
            </w:r>
          </w:p>
          <w:p w14:paraId="301C2FAB"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0.01)*</w:t>
            </w:r>
            <w:proofErr w:type="gramEnd"/>
            <w:r w:rsidRPr="00EE4C33">
              <w:rPr>
                <w:rFonts w:ascii="Arial" w:hAnsi="Arial" w:cs="Arial"/>
                <w:sz w:val="20"/>
                <w:szCs w:val="20"/>
              </w:rPr>
              <w:t>**</w:t>
            </w:r>
          </w:p>
        </w:tc>
        <w:tc>
          <w:tcPr>
            <w:tcW w:w="1094" w:type="dxa"/>
          </w:tcPr>
          <w:p w14:paraId="445D862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0.47</w:t>
            </w:r>
          </w:p>
          <w:p w14:paraId="52EFF6C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1094" w:type="dxa"/>
          </w:tcPr>
          <w:p w14:paraId="5ADC33F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0.43</w:t>
            </w:r>
          </w:p>
          <w:p w14:paraId="4CC2A9F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1094" w:type="dxa"/>
          </w:tcPr>
          <w:p w14:paraId="62FECEF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0.32</w:t>
            </w:r>
          </w:p>
          <w:p w14:paraId="64565442"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0.03)*</w:t>
            </w:r>
            <w:proofErr w:type="gramEnd"/>
            <w:r w:rsidRPr="00EE4C33">
              <w:rPr>
                <w:rFonts w:ascii="Arial" w:hAnsi="Arial" w:cs="Arial"/>
                <w:sz w:val="20"/>
                <w:szCs w:val="20"/>
              </w:rPr>
              <w:t>*</w:t>
            </w:r>
          </w:p>
        </w:tc>
        <w:tc>
          <w:tcPr>
            <w:tcW w:w="972" w:type="dxa"/>
          </w:tcPr>
          <w:p w14:paraId="5EEB5E3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0.35</w:t>
            </w:r>
          </w:p>
          <w:p w14:paraId="068A2F9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0.02)*</w:t>
            </w:r>
            <w:proofErr w:type="gramEnd"/>
            <w:r w:rsidRPr="00EE4C33">
              <w:rPr>
                <w:rFonts w:ascii="Arial" w:hAnsi="Arial" w:cs="Arial"/>
                <w:sz w:val="20"/>
                <w:szCs w:val="20"/>
              </w:rPr>
              <w:t>*</w:t>
            </w:r>
          </w:p>
        </w:tc>
        <w:tc>
          <w:tcPr>
            <w:tcW w:w="993" w:type="dxa"/>
          </w:tcPr>
          <w:p w14:paraId="7E504B8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0.38</w:t>
            </w:r>
          </w:p>
          <w:p w14:paraId="696E898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0.01)*</w:t>
            </w:r>
            <w:proofErr w:type="gramEnd"/>
            <w:r w:rsidRPr="00EE4C33">
              <w:rPr>
                <w:rFonts w:ascii="Arial" w:hAnsi="Arial" w:cs="Arial"/>
                <w:sz w:val="20"/>
                <w:szCs w:val="20"/>
              </w:rPr>
              <w:t>**</w:t>
            </w:r>
          </w:p>
        </w:tc>
        <w:tc>
          <w:tcPr>
            <w:tcW w:w="1134" w:type="dxa"/>
          </w:tcPr>
          <w:p w14:paraId="509EFA4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0.42</w:t>
            </w:r>
          </w:p>
          <w:p w14:paraId="7DF34CE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roofErr w:type="gramStart"/>
            <w:r w:rsidRPr="00EE4C33">
              <w:rPr>
                <w:rFonts w:ascii="Arial" w:hAnsi="Arial" w:cs="Arial"/>
                <w:sz w:val="20"/>
                <w:szCs w:val="20"/>
              </w:rPr>
              <w:t>0.00)*</w:t>
            </w:r>
            <w:proofErr w:type="gramEnd"/>
            <w:r w:rsidRPr="00EE4C33">
              <w:rPr>
                <w:rFonts w:ascii="Arial" w:hAnsi="Arial" w:cs="Arial"/>
                <w:sz w:val="20"/>
                <w:szCs w:val="20"/>
              </w:rPr>
              <w:t>**</w:t>
            </w:r>
          </w:p>
        </w:tc>
        <w:tc>
          <w:tcPr>
            <w:tcW w:w="932" w:type="dxa"/>
          </w:tcPr>
          <w:p w14:paraId="79DA2A1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1.00</w:t>
            </w:r>
          </w:p>
          <w:p w14:paraId="418D64A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w:t>
            </w:r>
          </w:p>
        </w:tc>
      </w:tr>
    </w:tbl>
    <w:p w14:paraId="3CE3D493"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Source: Author’s computation using EViews 13 </w:t>
      </w:r>
    </w:p>
    <w:p w14:paraId="0B5EEC23" w14:textId="77777777" w:rsidR="00385CAF" w:rsidRPr="00EE4C33" w:rsidRDefault="00385CAF" w:rsidP="00385CAF">
      <w:pPr>
        <w:rPr>
          <w:rFonts w:ascii="Arial" w:hAnsi="Arial" w:cs="Arial"/>
        </w:rPr>
      </w:pPr>
      <w:r w:rsidRPr="00EE4C33">
        <w:rPr>
          <w:rFonts w:ascii="Arial" w:hAnsi="Arial" w:cs="Arial"/>
          <w:b/>
          <w:bCs/>
        </w:rPr>
        <w:t xml:space="preserve">  Note: </w:t>
      </w:r>
      <w:r w:rsidRPr="00EE4C33">
        <w:rPr>
          <w:rFonts w:ascii="Arial" w:hAnsi="Arial" w:cs="Arial"/>
        </w:rPr>
        <w:t xml:space="preserve">Probability values are in parentheses. ***, **, and * indicate significance at the 1%,   </w:t>
      </w:r>
    </w:p>
    <w:p w14:paraId="5395C14C" w14:textId="77777777" w:rsidR="00385CAF" w:rsidRPr="00EE4C33" w:rsidRDefault="00385CAF" w:rsidP="00385CAF">
      <w:pPr>
        <w:rPr>
          <w:rFonts w:ascii="Arial" w:hAnsi="Arial" w:cs="Arial"/>
        </w:rPr>
      </w:pPr>
      <w:r w:rsidRPr="00EE4C33">
        <w:rPr>
          <w:rFonts w:ascii="Arial" w:hAnsi="Arial" w:cs="Arial"/>
        </w:rPr>
        <w:t xml:space="preserve">   5%</w:t>
      </w:r>
      <w:r w:rsidR="00C32177" w:rsidRPr="00EE4C33">
        <w:rPr>
          <w:rFonts w:ascii="Arial" w:hAnsi="Arial" w:cs="Arial"/>
        </w:rPr>
        <w:t xml:space="preserve"> </w:t>
      </w:r>
      <w:r w:rsidRPr="00EE4C33">
        <w:rPr>
          <w:rFonts w:ascii="Arial" w:hAnsi="Arial" w:cs="Arial"/>
        </w:rPr>
        <w:t>and 10% levels respectively.</w:t>
      </w:r>
    </w:p>
    <w:p w14:paraId="33255E7F" w14:textId="77777777" w:rsidR="00385CAF" w:rsidRPr="00EE4C33" w:rsidRDefault="00385CAF" w:rsidP="00385CAF">
      <w:pPr>
        <w:rPr>
          <w:rFonts w:ascii="Arial" w:hAnsi="Arial" w:cs="Arial"/>
        </w:rPr>
      </w:pPr>
    </w:p>
    <w:p w14:paraId="3BA6F877"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4.3 Unit Root test results </w:t>
      </w:r>
    </w:p>
    <w:p w14:paraId="0F96CE44" w14:textId="77777777" w:rsidR="00385CAF" w:rsidRPr="00EE4C33" w:rsidRDefault="00385CAF" w:rsidP="00385CAF">
      <w:pPr>
        <w:jc w:val="both"/>
        <w:rPr>
          <w:rFonts w:ascii="Arial" w:hAnsi="Arial" w:cs="Arial"/>
        </w:rPr>
      </w:pPr>
      <w:r w:rsidRPr="00EE4C33">
        <w:t>Before proceeding with dynamic estimation, the stationarity properties of the variables were evaluated using the Augmented Dickey-Fuller (ADF) and Phillips-Perron (PP) tests. The results, presented in Tables 3(a) and 3(b), are essential to ensure that no variable is integrated of order two [</w:t>
      </w:r>
      <w:proofErr w:type="gramStart"/>
      <w:r w:rsidRPr="00EE4C33">
        <w:t>I(</w:t>
      </w:r>
      <w:proofErr w:type="gramEnd"/>
      <w:r w:rsidRPr="00EE4C33">
        <w:t xml:space="preserve">2)], because the ARDL bounds testing framework is valid only for variables integrated of order </w:t>
      </w:r>
      <w:proofErr w:type="gramStart"/>
      <w:r w:rsidRPr="00EE4C33">
        <w:t>I(</w:t>
      </w:r>
      <w:proofErr w:type="gramEnd"/>
      <w:r w:rsidRPr="00EE4C33">
        <w:t xml:space="preserve">0), </w:t>
      </w:r>
      <w:proofErr w:type="gramStart"/>
      <w:r w:rsidRPr="00EE4C33">
        <w:t>I(</w:t>
      </w:r>
      <w:proofErr w:type="gramEnd"/>
      <w:r w:rsidRPr="00EE4C33">
        <w:t>1), or a mixture of both.</w:t>
      </w:r>
    </w:p>
    <w:p w14:paraId="2773C2CC" w14:textId="77777777" w:rsidR="00385CAF" w:rsidRPr="00EE4C33" w:rsidRDefault="00385CAF" w:rsidP="00385CAF">
      <w:pPr>
        <w:spacing w:line="360" w:lineRule="auto"/>
        <w:rPr>
          <w:rFonts w:ascii="Arial" w:hAnsi="Arial" w:cs="Arial"/>
          <w:b/>
          <w:bCs/>
        </w:rPr>
      </w:pPr>
    </w:p>
    <w:p w14:paraId="1F04D983"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Table 3(a): Augmented Dickey-Fuller (ADF) Test Results</w:t>
      </w:r>
    </w:p>
    <w:tbl>
      <w:tblPr>
        <w:tblStyle w:val="TableGrid"/>
        <w:tblW w:w="0" w:type="auto"/>
        <w:tblInd w:w="108" w:type="dxa"/>
        <w:tblLook w:val="04A0" w:firstRow="1" w:lastRow="0" w:firstColumn="1" w:lastColumn="0" w:noHBand="0" w:noVBand="1"/>
      </w:tblPr>
      <w:tblGrid>
        <w:gridCol w:w="1960"/>
        <w:gridCol w:w="2012"/>
        <w:gridCol w:w="2075"/>
        <w:gridCol w:w="2043"/>
      </w:tblGrid>
      <w:tr w:rsidR="00385CAF" w:rsidRPr="00EE4C33" w14:paraId="399DE880" w14:textId="77777777" w:rsidTr="003A76BC">
        <w:tc>
          <w:tcPr>
            <w:tcW w:w="2229" w:type="dxa"/>
          </w:tcPr>
          <w:p w14:paraId="1819426C"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Variable</w:t>
            </w:r>
          </w:p>
        </w:tc>
        <w:tc>
          <w:tcPr>
            <w:tcW w:w="2337" w:type="dxa"/>
          </w:tcPr>
          <w:p w14:paraId="1C15D5D2"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t-Statistic</w:t>
            </w:r>
          </w:p>
        </w:tc>
        <w:tc>
          <w:tcPr>
            <w:tcW w:w="2338" w:type="dxa"/>
          </w:tcPr>
          <w:p w14:paraId="0CB88FB1"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Probability</w:t>
            </w:r>
          </w:p>
        </w:tc>
        <w:tc>
          <w:tcPr>
            <w:tcW w:w="2338" w:type="dxa"/>
          </w:tcPr>
          <w:p w14:paraId="1F6D27D5"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Remarks</w:t>
            </w:r>
          </w:p>
        </w:tc>
      </w:tr>
      <w:tr w:rsidR="00385CAF" w:rsidRPr="00EE4C33" w14:paraId="6A746144" w14:textId="77777777" w:rsidTr="003A76BC">
        <w:tc>
          <w:tcPr>
            <w:tcW w:w="2229" w:type="dxa"/>
          </w:tcPr>
          <w:p w14:paraId="79ED5355"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INF</w:t>
            </w:r>
          </w:p>
        </w:tc>
        <w:tc>
          <w:tcPr>
            <w:tcW w:w="2337" w:type="dxa"/>
            <w:vAlign w:val="center"/>
          </w:tcPr>
          <w:p w14:paraId="20A2E61B"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-3.141</w:t>
            </w:r>
          </w:p>
        </w:tc>
        <w:tc>
          <w:tcPr>
            <w:tcW w:w="2338" w:type="dxa"/>
            <w:vAlign w:val="center"/>
          </w:tcPr>
          <w:p w14:paraId="246267F6"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0.031**</w:t>
            </w:r>
          </w:p>
        </w:tc>
        <w:tc>
          <w:tcPr>
            <w:tcW w:w="2338" w:type="dxa"/>
            <w:vAlign w:val="center"/>
          </w:tcPr>
          <w:p w14:paraId="6E3B0D26"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69C75B63" w14:textId="77777777" w:rsidTr="003A76BC">
        <w:tc>
          <w:tcPr>
            <w:tcW w:w="2229" w:type="dxa"/>
          </w:tcPr>
          <w:p w14:paraId="0DC44E4A"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FD</w:t>
            </w:r>
          </w:p>
        </w:tc>
        <w:tc>
          <w:tcPr>
            <w:tcW w:w="2337" w:type="dxa"/>
            <w:vAlign w:val="center"/>
          </w:tcPr>
          <w:p w14:paraId="3EFC2587"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-3.048</w:t>
            </w:r>
          </w:p>
        </w:tc>
        <w:tc>
          <w:tcPr>
            <w:tcW w:w="2338" w:type="dxa"/>
            <w:vAlign w:val="center"/>
          </w:tcPr>
          <w:p w14:paraId="6A38922B"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0.038**</w:t>
            </w:r>
          </w:p>
        </w:tc>
        <w:tc>
          <w:tcPr>
            <w:tcW w:w="2338" w:type="dxa"/>
            <w:vAlign w:val="center"/>
          </w:tcPr>
          <w:p w14:paraId="174C6B91"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3AEEAE69" w14:textId="77777777" w:rsidTr="003A76BC">
        <w:tc>
          <w:tcPr>
            <w:tcW w:w="2229" w:type="dxa"/>
          </w:tcPr>
          <w:p w14:paraId="2009CA45"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D(PD)</w:t>
            </w:r>
          </w:p>
        </w:tc>
        <w:tc>
          <w:tcPr>
            <w:tcW w:w="2337" w:type="dxa"/>
            <w:vAlign w:val="center"/>
          </w:tcPr>
          <w:p w14:paraId="32A182B9"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-5.134</w:t>
            </w:r>
          </w:p>
        </w:tc>
        <w:tc>
          <w:tcPr>
            <w:tcW w:w="2338" w:type="dxa"/>
            <w:vAlign w:val="center"/>
          </w:tcPr>
          <w:p w14:paraId="7920BBE2"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0.000***</w:t>
            </w:r>
          </w:p>
        </w:tc>
        <w:tc>
          <w:tcPr>
            <w:tcW w:w="2338" w:type="dxa"/>
            <w:vAlign w:val="center"/>
          </w:tcPr>
          <w:p w14:paraId="77D4D4A5"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r w:rsidR="00385CAF" w:rsidRPr="00EE4C33" w14:paraId="04EBFE26" w14:textId="77777777" w:rsidTr="003A76BC">
        <w:tc>
          <w:tcPr>
            <w:tcW w:w="2229" w:type="dxa"/>
          </w:tcPr>
          <w:p w14:paraId="71A5BE5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D(FD*PD)</w:t>
            </w:r>
            <w:r w:rsidRPr="00EE4C33">
              <w:rPr>
                <w:rFonts w:ascii="Arial" w:hAnsi="Arial" w:cs="Arial"/>
                <w:sz w:val="20"/>
                <w:szCs w:val="20"/>
              </w:rPr>
              <w:tab/>
            </w:r>
          </w:p>
        </w:tc>
        <w:tc>
          <w:tcPr>
            <w:tcW w:w="2337" w:type="dxa"/>
          </w:tcPr>
          <w:p w14:paraId="7E842BC1"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-3.766</w:t>
            </w:r>
          </w:p>
        </w:tc>
        <w:tc>
          <w:tcPr>
            <w:tcW w:w="2338" w:type="dxa"/>
          </w:tcPr>
          <w:p w14:paraId="2F8F79A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0.030**</w:t>
            </w:r>
          </w:p>
        </w:tc>
        <w:tc>
          <w:tcPr>
            <w:tcW w:w="2338" w:type="dxa"/>
          </w:tcPr>
          <w:p w14:paraId="2E3A12B2"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hAnsi="Arial" w:cs="Arial"/>
                <w:sz w:val="20"/>
                <w:szCs w:val="20"/>
              </w:rPr>
              <w:t>I(</w:t>
            </w:r>
            <w:proofErr w:type="gramEnd"/>
            <w:r w:rsidRPr="00EE4C33">
              <w:rPr>
                <w:rFonts w:ascii="Arial" w:hAnsi="Arial" w:cs="Arial"/>
                <w:sz w:val="20"/>
                <w:szCs w:val="20"/>
              </w:rPr>
              <w:t>1) Stationary</w:t>
            </w:r>
          </w:p>
        </w:tc>
      </w:tr>
      <w:tr w:rsidR="00385CAF" w:rsidRPr="00EE4C33" w14:paraId="76D5F059" w14:textId="77777777" w:rsidTr="003A76BC">
        <w:tc>
          <w:tcPr>
            <w:tcW w:w="2229" w:type="dxa"/>
            <w:vAlign w:val="center"/>
          </w:tcPr>
          <w:p w14:paraId="6C81B638"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D(LEXR)</w:t>
            </w:r>
          </w:p>
        </w:tc>
        <w:tc>
          <w:tcPr>
            <w:tcW w:w="2337" w:type="dxa"/>
            <w:vAlign w:val="center"/>
          </w:tcPr>
          <w:p w14:paraId="473867F2"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-5.074</w:t>
            </w:r>
          </w:p>
        </w:tc>
        <w:tc>
          <w:tcPr>
            <w:tcW w:w="2338" w:type="dxa"/>
          </w:tcPr>
          <w:p w14:paraId="59F89471"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0.000***</w:t>
            </w:r>
          </w:p>
        </w:tc>
        <w:tc>
          <w:tcPr>
            <w:tcW w:w="2338" w:type="dxa"/>
          </w:tcPr>
          <w:p w14:paraId="3063919D"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r w:rsidR="00385CAF" w:rsidRPr="00EE4C33" w14:paraId="7494543D" w14:textId="77777777" w:rsidTr="003A76BC">
        <w:tc>
          <w:tcPr>
            <w:tcW w:w="2229" w:type="dxa"/>
          </w:tcPr>
          <w:p w14:paraId="08728F01"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M2</w:t>
            </w:r>
          </w:p>
        </w:tc>
        <w:tc>
          <w:tcPr>
            <w:tcW w:w="2337" w:type="dxa"/>
            <w:vAlign w:val="center"/>
          </w:tcPr>
          <w:p w14:paraId="2DE4D8D4"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-3.821</w:t>
            </w:r>
          </w:p>
        </w:tc>
        <w:tc>
          <w:tcPr>
            <w:tcW w:w="2338" w:type="dxa"/>
          </w:tcPr>
          <w:p w14:paraId="3F5F1116"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0.005***</w:t>
            </w:r>
          </w:p>
        </w:tc>
        <w:tc>
          <w:tcPr>
            <w:tcW w:w="2338" w:type="dxa"/>
          </w:tcPr>
          <w:p w14:paraId="3D1F4B30"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43293942" w14:textId="77777777" w:rsidTr="003A76BC">
        <w:tc>
          <w:tcPr>
            <w:tcW w:w="2229" w:type="dxa"/>
          </w:tcPr>
          <w:p w14:paraId="7970A643"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lastRenderedPageBreak/>
              <w:t>RGDPG</w:t>
            </w:r>
          </w:p>
        </w:tc>
        <w:tc>
          <w:tcPr>
            <w:tcW w:w="2337" w:type="dxa"/>
            <w:vAlign w:val="center"/>
          </w:tcPr>
          <w:p w14:paraId="71A74D26"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-2.967</w:t>
            </w:r>
          </w:p>
        </w:tc>
        <w:tc>
          <w:tcPr>
            <w:tcW w:w="2338" w:type="dxa"/>
            <w:vAlign w:val="center"/>
          </w:tcPr>
          <w:p w14:paraId="3A47B1E7"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0.046**</w:t>
            </w:r>
          </w:p>
        </w:tc>
        <w:tc>
          <w:tcPr>
            <w:tcW w:w="2338" w:type="dxa"/>
            <w:vAlign w:val="center"/>
          </w:tcPr>
          <w:p w14:paraId="6B80B193"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148F71E4" w14:textId="77777777" w:rsidTr="003A76BC">
        <w:tc>
          <w:tcPr>
            <w:tcW w:w="2229" w:type="dxa"/>
          </w:tcPr>
          <w:p w14:paraId="1F865F5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D(LR)</w:t>
            </w:r>
          </w:p>
        </w:tc>
        <w:tc>
          <w:tcPr>
            <w:tcW w:w="2337" w:type="dxa"/>
          </w:tcPr>
          <w:p w14:paraId="01042F3A"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-5.380</w:t>
            </w:r>
          </w:p>
        </w:tc>
        <w:tc>
          <w:tcPr>
            <w:tcW w:w="2338" w:type="dxa"/>
          </w:tcPr>
          <w:p w14:paraId="18947467"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0.000***</w:t>
            </w:r>
          </w:p>
        </w:tc>
        <w:tc>
          <w:tcPr>
            <w:tcW w:w="2338" w:type="dxa"/>
          </w:tcPr>
          <w:p w14:paraId="12424CF8"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bl>
    <w:p w14:paraId="5E1104F7"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Source: Author’s computation using EViews 13 </w:t>
      </w:r>
    </w:p>
    <w:p w14:paraId="4DF864B7"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Table 3(b): Phillips-Perron (PP) Test Results</w:t>
      </w:r>
    </w:p>
    <w:tbl>
      <w:tblPr>
        <w:tblStyle w:val="TableGrid"/>
        <w:tblW w:w="0" w:type="auto"/>
        <w:tblInd w:w="108" w:type="dxa"/>
        <w:tblLook w:val="04A0" w:firstRow="1" w:lastRow="0" w:firstColumn="1" w:lastColumn="0" w:noHBand="0" w:noVBand="1"/>
      </w:tblPr>
      <w:tblGrid>
        <w:gridCol w:w="1945"/>
        <w:gridCol w:w="2018"/>
        <w:gridCol w:w="2079"/>
        <w:gridCol w:w="2048"/>
      </w:tblGrid>
      <w:tr w:rsidR="00385CAF" w:rsidRPr="00EE4C33" w14:paraId="30C2E373" w14:textId="77777777" w:rsidTr="003A76BC">
        <w:tc>
          <w:tcPr>
            <w:tcW w:w="2229" w:type="dxa"/>
          </w:tcPr>
          <w:p w14:paraId="4D3C8EB5"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Variable</w:t>
            </w:r>
          </w:p>
        </w:tc>
        <w:tc>
          <w:tcPr>
            <w:tcW w:w="2337" w:type="dxa"/>
          </w:tcPr>
          <w:p w14:paraId="273B8182"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t-Statistic</w:t>
            </w:r>
          </w:p>
        </w:tc>
        <w:tc>
          <w:tcPr>
            <w:tcW w:w="2338" w:type="dxa"/>
          </w:tcPr>
          <w:p w14:paraId="30E42435"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Probability</w:t>
            </w:r>
          </w:p>
        </w:tc>
        <w:tc>
          <w:tcPr>
            <w:tcW w:w="2338" w:type="dxa"/>
          </w:tcPr>
          <w:p w14:paraId="3B4DBFC6" w14:textId="77777777" w:rsidR="00385CAF" w:rsidRPr="00EE4C33" w:rsidRDefault="00385CAF" w:rsidP="003A76BC">
            <w:pPr>
              <w:spacing w:line="360" w:lineRule="auto"/>
              <w:jc w:val="center"/>
              <w:rPr>
                <w:rFonts w:ascii="Arial" w:hAnsi="Arial" w:cs="Arial"/>
                <w:b/>
                <w:bCs/>
                <w:sz w:val="20"/>
                <w:szCs w:val="20"/>
              </w:rPr>
            </w:pPr>
            <w:r w:rsidRPr="00EE4C33">
              <w:rPr>
                <w:rFonts w:ascii="Arial" w:hAnsi="Arial" w:cs="Arial"/>
                <w:b/>
                <w:bCs/>
                <w:sz w:val="20"/>
                <w:szCs w:val="20"/>
              </w:rPr>
              <w:t>Remarks</w:t>
            </w:r>
          </w:p>
        </w:tc>
      </w:tr>
      <w:tr w:rsidR="00385CAF" w:rsidRPr="00EE4C33" w14:paraId="4B4A70E6" w14:textId="77777777" w:rsidTr="003A76BC">
        <w:tc>
          <w:tcPr>
            <w:tcW w:w="2229" w:type="dxa"/>
          </w:tcPr>
          <w:p w14:paraId="3F9C886C"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INF</w:t>
            </w:r>
          </w:p>
        </w:tc>
        <w:tc>
          <w:tcPr>
            <w:tcW w:w="2337" w:type="dxa"/>
            <w:vAlign w:val="center"/>
          </w:tcPr>
          <w:p w14:paraId="732A624F"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-2.996</w:t>
            </w:r>
          </w:p>
        </w:tc>
        <w:tc>
          <w:tcPr>
            <w:tcW w:w="2338" w:type="dxa"/>
            <w:vAlign w:val="center"/>
          </w:tcPr>
          <w:p w14:paraId="3C0A710D"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0.043**</w:t>
            </w:r>
          </w:p>
        </w:tc>
        <w:tc>
          <w:tcPr>
            <w:tcW w:w="2338" w:type="dxa"/>
            <w:vAlign w:val="center"/>
          </w:tcPr>
          <w:p w14:paraId="779FDF67"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06C94BA8" w14:textId="77777777" w:rsidTr="003A76BC">
        <w:tc>
          <w:tcPr>
            <w:tcW w:w="2229" w:type="dxa"/>
          </w:tcPr>
          <w:p w14:paraId="01D9F26A"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D(FD)</w:t>
            </w:r>
          </w:p>
        </w:tc>
        <w:tc>
          <w:tcPr>
            <w:tcW w:w="2337" w:type="dxa"/>
            <w:vAlign w:val="center"/>
          </w:tcPr>
          <w:p w14:paraId="21356B3B"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-16.199</w:t>
            </w:r>
          </w:p>
        </w:tc>
        <w:tc>
          <w:tcPr>
            <w:tcW w:w="2338" w:type="dxa"/>
            <w:vAlign w:val="center"/>
          </w:tcPr>
          <w:p w14:paraId="195F7C0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0.000***</w:t>
            </w:r>
          </w:p>
        </w:tc>
        <w:tc>
          <w:tcPr>
            <w:tcW w:w="2338" w:type="dxa"/>
            <w:vAlign w:val="center"/>
          </w:tcPr>
          <w:p w14:paraId="7F269905"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r w:rsidR="00385CAF" w:rsidRPr="00EE4C33" w14:paraId="1E780DB9" w14:textId="77777777" w:rsidTr="003A76BC">
        <w:tc>
          <w:tcPr>
            <w:tcW w:w="2229" w:type="dxa"/>
          </w:tcPr>
          <w:p w14:paraId="736822CD"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D(PD)</w:t>
            </w:r>
          </w:p>
        </w:tc>
        <w:tc>
          <w:tcPr>
            <w:tcW w:w="2337" w:type="dxa"/>
            <w:vAlign w:val="center"/>
          </w:tcPr>
          <w:p w14:paraId="7D0C0A34"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-5.134</w:t>
            </w:r>
          </w:p>
        </w:tc>
        <w:tc>
          <w:tcPr>
            <w:tcW w:w="2338" w:type="dxa"/>
            <w:vAlign w:val="center"/>
          </w:tcPr>
          <w:p w14:paraId="51F07748"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0.000***</w:t>
            </w:r>
          </w:p>
        </w:tc>
        <w:tc>
          <w:tcPr>
            <w:tcW w:w="2338" w:type="dxa"/>
            <w:vAlign w:val="center"/>
          </w:tcPr>
          <w:p w14:paraId="111CF1E1"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r w:rsidR="00385CAF" w:rsidRPr="00EE4C33" w14:paraId="03BC2613" w14:textId="77777777" w:rsidTr="003A76BC">
        <w:tc>
          <w:tcPr>
            <w:tcW w:w="2229" w:type="dxa"/>
          </w:tcPr>
          <w:p w14:paraId="7EB32288"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(FD*PD)</w:t>
            </w:r>
            <w:r w:rsidRPr="00EE4C33">
              <w:rPr>
                <w:rFonts w:ascii="Arial" w:hAnsi="Arial" w:cs="Arial"/>
                <w:b/>
                <w:bCs/>
                <w:sz w:val="20"/>
                <w:szCs w:val="20"/>
              </w:rPr>
              <w:tab/>
            </w:r>
          </w:p>
        </w:tc>
        <w:tc>
          <w:tcPr>
            <w:tcW w:w="2337" w:type="dxa"/>
          </w:tcPr>
          <w:p w14:paraId="3940C1AE"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-3.896</w:t>
            </w:r>
          </w:p>
        </w:tc>
        <w:tc>
          <w:tcPr>
            <w:tcW w:w="2338" w:type="dxa"/>
          </w:tcPr>
          <w:p w14:paraId="0452F6DF"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0.020**</w:t>
            </w:r>
          </w:p>
        </w:tc>
        <w:tc>
          <w:tcPr>
            <w:tcW w:w="2338" w:type="dxa"/>
          </w:tcPr>
          <w:p w14:paraId="7DD58780"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6750CE65" w14:textId="77777777" w:rsidTr="003A76BC">
        <w:tc>
          <w:tcPr>
            <w:tcW w:w="2229" w:type="dxa"/>
            <w:vAlign w:val="center"/>
          </w:tcPr>
          <w:p w14:paraId="640D6205"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D(LEXR)</w:t>
            </w:r>
          </w:p>
        </w:tc>
        <w:tc>
          <w:tcPr>
            <w:tcW w:w="2337" w:type="dxa"/>
          </w:tcPr>
          <w:p w14:paraId="70763FB7"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-5.077</w:t>
            </w:r>
          </w:p>
        </w:tc>
        <w:tc>
          <w:tcPr>
            <w:tcW w:w="2338" w:type="dxa"/>
          </w:tcPr>
          <w:p w14:paraId="037750E3"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0.000***</w:t>
            </w:r>
          </w:p>
        </w:tc>
        <w:tc>
          <w:tcPr>
            <w:tcW w:w="2338" w:type="dxa"/>
          </w:tcPr>
          <w:p w14:paraId="1366BC41"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r w:rsidR="00385CAF" w:rsidRPr="00EE4C33" w14:paraId="7EE046AF" w14:textId="77777777" w:rsidTr="003A76BC">
        <w:tc>
          <w:tcPr>
            <w:tcW w:w="2229" w:type="dxa"/>
          </w:tcPr>
          <w:p w14:paraId="220AEF28"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M2</w:t>
            </w:r>
          </w:p>
        </w:tc>
        <w:tc>
          <w:tcPr>
            <w:tcW w:w="2337" w:type="dxa"/>
            <w:vAlign w:val="center"/>
          </w:tcPr>
          <w:p w14:paraId="18858BAE"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-3.826</w:t>
            </w:r>
          </w:p>
        </w:tc>
        <w:tc>
          <w:tcPr>
            <w:tcW w:w="2338" w:type="dxa"/>
          </w:tcPr>
          <w:p w14:paraId="564C43E3"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0.005***</w:t>
            </w:r>
          </w:p>
        </w:tc>
        <w:tc>
          <w:tcPr>
            <w:tcW w:w="2338" w:type="dxa"/>
          </w:tcPr>
          <w:p w14:paraId="46D545B7"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64816894" w14:textId="77777777" w:rsidTr="003A76BC">
        <w:tc>
          <w:tcPr>
            <w:tcW w:w="2229" w:type="dxa"/>
          </w:tcPr>
          <w:p w14:paraId="7D04932B" w14:textId="77777777" w:rsidR="00385CAF" w:rsidRPr="00EE4C33" w:rsidRDefault="00385CAF" w:rsidP="003A76BC">
            <w:pPr>
              <w:spacing w:line="360" w:lineRule="auto"/>
              <w:rPr>
                <w:rFonts w:ascii="Arial" w:hAnsi="Arial" w:cs="Arial"/>
                <w:sz w:val="20"/>
                <w:szCs w:val="20"/>
              </w:rPr>
            </w:pPr>
            <w:r w:rsidRPr="00EE4C33">
              <w:rPr>
                <w:rFonts w:ascii="Arial" w:eastAsia="Times New Roman" w:hAnsi="Arial" w:cs="Arial"/>
                <w:b/>
                <w:bCs/>
                <w:sz w:val="20"/>
                <w:szCs w:val="20"/>
                <w:bdr w:val="single" w:sz="2" w:space="0" w:color="E4E4E7" w:frame="1"/>
              </w:rPr>
              <w:t>RGDPG</w:t>
            </w:r>
          </w:p>
        </w:tc>
        <w:tc>
          <w:tcPr>
            <w:tcW w:w="2337" w:type="dxa"/>
            <w:vAlign w:val="center"/>
          </w:tcPr>
          <w:p w14:paraId="338ED288"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-3.924</w:t>
            </w:r>
          </w:p>
        </w:tc>
        <w:tc>
          <w:tcPr>
            <w:tcW w:w="2338" w:type="dxa"/>
            <w:vAlign w:val="center"/>
          </w:tcPr>
          <w:p w14:paraId="092F7344" w14:textId="77777777" w:rsidR="00385CAF" w:rsidRPr="00EE4C33" w:rsidRDefault="00385CAF" w:rsidP="003A76BC">
            <w:pPr>
              <w:spacing w:line="360" w:lineRule="auto"/>
              <w:jc w:val="center"/>
              <w:rPr>
                <w:rFonts w:ascii="Arial" w:hAnsi="Arial" w:cs="Arial"/>
                <w:sz w:val="20"/>
                <w:szCs w:val="20"/>
              </w:rPr>
            </w:pPr>
            <w:r w:rsidRPr="00EE4C33">
              <w:rPr>
                <w:rFonts w:ascii="Arial" w:eastAsia="Times New Roman" w:hAnsi="Arial" w:cs="Arial"/>
                <w:sz w:val="20"/>
                <w:szCs w:val="20"/>
              </w:rPr>
              <w:t>0.004***</w:t>
            </w:r>
          </w:p>
        </w:tc>
        <w:tc>
          <w:tcPr>
            <w:tcW w:w="2338" w:type="dxa"/>
            <w:vAlign w:val="center"/>
          </w:tcPr>
          <w:p w14:paraId="7C65B298"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0) Stationary</w:t>
            </w:r>
          </w:p>
        </w:tc>
      </w:tr>
      <w:tr w:rsidR="00385CAF" w:rsidRPr="00EE4C33" w14:paraId="23634666" w14:textId="77777777" w:rsidTr="003A76BC">
        <w:tc>
          <w:tcPr>
            <w:tcW w:w="2229" w:type="dxa"/>
          </w:tcPr>
          <w:p w14:paraId="5395DD3E"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D(LR)</w:t>
            </w:r>
          </w:p>
        </w:tc>
        <w:tc>
          <w:tcPr>
            <w:tcW w:w="2337" w:type="dxa"/>
          </w:tcPr>
          <w:p w14:paraId="37556772"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-6.923</w:t>
            </w:r>
          </w:p>
        </w:tc>
        <w:tc>
          <w:tcPr>
            <w:tcW w:w="2338" w:type="dxa"/>
          </w:tcPr>
          <w:p w14:paraId="626E44AC" w14:textId="77777777" w:rsidR="00385CAF" w:rsidRPr="00EE4C33" w:rsidRDefault="00385CAF" w:rsidP="003A76BC">
            <w:pPr>
              <w:spacing w:line="360" w:lineRule="auto"/>
              <w:jc w:val="center"/>
              <w:rPr>
                <w:rFonts w:ascii="Arial" w:hAnsi="Arial" w:cs="Arial"/>
                <w:sz w:val="20"/>
                <w:szCs w:val="20"/>
              </w:rPr>
            </w:pPr>
            <w:r w:rsidRPr="00EE4C33">
              <w:rPr>
                <w:rFonts w:ascii="Arial" w:hAnsi="Arial" w:cs="Arial"/>
                <w:sz w:val="20"/>
                <w:szCs w:val="20"/>
              </w:rPr>
              <w:t>0.000***</w:t>
            </w:r>
          </w:p>
        </w:tc>
        <w:tc>
          <w:tcPr>
            <w:tcW w:w="2338" w:type="dxa"/>
          </w:tcPr>
          <w:p w14:paraId="3B4D6688" w14:textId="77777777" w:rsidR="00385CAF" w:rsidRPr="00EE4C33" w:rsidRDefault="00385CAF" w:rsidP="003A76BC">
            <w:pPr>
              <w:spacing w:line="360" w:lineRule="auto"/>
              <w:jc w:val="center"/>
              <w:rPr>
                <w:rFonts w:ascii="Arial" w:hAnsi="Arial" w:cs="Arial"/>
                <w:sz w:val="20"/>
                <w:szCs w:val="20"/>
              </w:rPr>
            </w:pPr>
            <w:proofErr w:type="gramStart"/>
            <w:r w:rsidRPr="00EE4C33">
              <w:rPr>
                <w:rFonts w:ascii="Arial" w:eastAsia="Times New Roman" w:hAnsi="Arial" w:cs="Arial"/>
                <w:sz w:val="20"/>
                <w:szCs w:val="20"/>
              </w:rPr>
              <w:t>I(</w:t>
            </w:r>
            <w:proofErr w:type="gramEnd"/>
            <w:r w:rsidRPr="00EE4C33">
              <w:rPr>
                <w:rFonts w:ascii="Arial" w:eastAsia="Times New Roman" w:hAnsi="Arial" w:cs="Arial"/>
                <w:sz w:val="20"/>
                <w:szCs w:val="20"/>
              </w:rPr>
              <w:t>1) Stationary</w:t>
            </w:r>
          </w:p>
        </w:tc>
      </w:tr>
    </w:tbl>
    <w:p w14:paraId="32908C79"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Source: Author’s computation using EViews 13 </w:t>
      </w:r>
    </w:p>
    <w:p w14:paraId="6E69DA7E"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  Note: *** and ** denote significance at the 1% and 5% levels, respectively.</w:t>
      </w:r>
    </w:p>
    <w:p w14:paraId="6DEFFA1F" w14:textId="77777777" w:rsidR="00385CAF" w:rsidRPr="00EE4C33" w:rsidRDefault="00385CAF" w:rsidP="00385CAF">
      <w:pPr>
        <w:jc w:val="both"/>
        <w:rPr>
          <w:rFonts w:ascii="Arial" w:hAnsi="Arial" w:cs="Arial"/>
        </w:rPr>
      </w:pPr>
      <w:r w:rsidRPr="00EE4C33">
        <w:t>The ADF test results indicate that INF, FD, M2, and RGDPG are stationary at levels and are therefore integrated of order zero [</w:t>
      </w:r>
      <w:proofErr w:type="gramStart"/>
      <w:r w:rsidRPr="00EE4C33">
        <w:t>I(</w:t>
      </w:r>
      <w:proofErr w:type="gramEnd"/>
      <w:r w:rsidRPr="00EE4C33">
        <w:t>0)]. Conversely, PD, LEXR, LR, and the interaction term (FD*PD) become stationary only after first differencing, indicating that they are integrated of order one [</w:t>
      </w:r>
      <w:proofErr w:type="gramStart"/>
      <w:r w:rsidRPr="00EE4C33">
        <w:t>I(</w:t>
      </w:r>
      <w:proofErr w:type="gramEnd"/>
      <w:r w:rsidRPr="00EE4C33">
        <w:t xml:space="preserve">1)]. The Phillips-Perron test largely corroborates these findings, although there are minor variations in the stochastic properties of the fiscal variables; specifically, the PP test suggests that FD is </w:t>
      </w:r>
      <w:proofErr w:type="gramStart"/>
      <w:r w:rsidRPr="00EE4C33">
        <w:t>I(</w:t>
      </w:r>
      <w:proofErr w:type="gramEnd"/>
      <w:r w:rsidRPr="00EE4C33">
        <w:t xml:space="preserve">1) and the interaction term (FD*PD) is </w:t>
      </w:r>
      <w:proofErr w:type="gramStart"/>
      <w:r w:rsidRPr="00EE4C33">
        <w:t>I(</w:t>
      </w:r>
      <w:proofErr w:type="gramEnd"/>
      <w:r w:rsidRPr="00EE4C33">
        <w:t xml:space="preserve">0). Crucially, both tests confirm that all variables are either </w:t>
      </w:r>
      <w:proofErr w:type="gramStart"/>
      <w:r w:rsidRPr="00EE4C33">
        <w:t>I(</w:t>
      </w:r>
      <w:proofErr w:type="gramEnd"/>
      <w:r w:rsidRPr="00EE4C33">
        <w:t xml:space="preserve">0) or </w:t>
      </w:r>
      <w:proofErr w:type="gramStart"/>
      <w:r w:rsidRPr="00EE4C33">
        <w:t>I(</w:t>
      </w:r>
      <w:proofErr w:type="gramEnd"/>
      <w:r w:rsidRPr="00EE4C33">
        <w:t>1), and that no variable is stationary at the second difference [</w:t>
      </w:r>
      <w:proofErr w:type="gramStart"/>
      <w:r w:rsidRPr="00EE4C33">
        <w:t>I(</w:t>
      </w:r>
      <w:proofErr w:type="gramEnd"/>
      <w:r w:rsidRPr="00EE4C33">
        <w:t>2)]. This mixed order of integration provides the statistical justification for adopting the ARDL bounds testing approach to evaluate the long-run and short-run dynamics of the model.</w:t>
      </w:r>
    </w:p>
    <w:p w14:paraId="2A5B7C43" w14:textId="77777777" w:rsidR="00385CAF" w:rsidRPr="00EE4C33" w:rsidRDefault="00385CAF" w:rsidP="00385CAF">
      <w:pPr>
        <w:spacing w:line="360" w:lineRule="auto"/>
        <w:rPr>
          <w:rFonts w:ascii="Arial" w:hAnsi="Arial" w:cs="Arial"/>
          <w:b/>
          <w:bCs/>
        </w:rPr>
      </w:pPr>
      <w:r w:rsidRPr="00EE4C33">
        <w:rPr>
          <w:rFonts w:ascii="Arial" w:hAnsi="Arial" w:cs="Arial"/>
          <w:b/>
          <w:bCs/>
        </w:rPr>
        <w:t>4.4 ARDL Unrestricted Model Results</w:t>
      </w:r>
    </w:p>
    <w:p w14:paraId="12BAD9B4" w14:textId="77777777" w:rsidR="00385CAF" w:rsidRPr="00EE4C33" w:rsidRDefault="00385CAF" w:rsidP="00385CAF">
      <w:pPr>
        <w:jc w:val="both"/>
        <w:rPr>
          <w:rFonts w:ascii="Arial" w:hAnsi="Arial" w:cs="Arial"/>
        </w:rPr>
      </w:pPr>
      <w:r w:rsidRPr="00EE4C33">
        <w:t>The ARDL model is estimated using the Akaike Information Criterion (AIC), which identifies the optimal lag structure. The optimal lag structure for the variables associated with inflation is ARDL (1, 1, 2, 1, 2, 2, 2, 2), which captures the differential impacts of the explanatory variables on inflation across different time paths. The estimated output, presented in Table 4, is highly significant, with an R² of 0.982 and an adjusted R² of 0.958, suggesting that the model explains approximately 96% of the variation in the inflation rate. The F-test (41.83, p = 0.000) shows that the regressors are jointly significant, while the Durbin-Watson statistic (1.93) suggests no obvious first-order serial correlation problem.</w:t>
      </w:r>
    </w:p>
    <w:p w14:paraId="253E8D2F" w14:textId="77777777" w:rsidR="00385CAF" w:rsidRPr="00EE4C33" w:rsidRDefault="00385CAF" w:rsidP="00385CAF">
      <w:pPr>
        <w:spacing w:line="360" w:lineRule="auto"/>
        <w:rPr>
          <w:rFonts w:ascii="Arial" w:hAnsi="Arial" w:cs="Arial"/>
          <w:b/>
          <w:bCs/>
        </w:rPr>
      </w:pPr>
    </w:p>
    <w:p w14:paraId="6BBAFFCA" w14:textId="77777777" w:rsidR="00385CAF" w:rsidRPr="00EE4C33" w:rsidRDefault="00385CAF" w:rsidP="00385CAF">
      <w:pPr>
        <w:spacing w:line="360" w:lineRule="auto"/>
        <w:rPr>
          <w:rFonts w:ascii="Arial" w:hAnsi="Arial" w:cs="Arial"/>
          <w:b/>
          <w:bCs/>
        </w:rPr>
      </w:pPr>
      <w:r w:rsidRPr="00EE4C33">
        <w:rPr>
          <w:rFonts w:ascii="Arial" w:hAnsi="Arial" w:cs="Arial"/>
          <w:b/>
          <w:bCs/>
        </w:rPr>
        <w:t>Table 4: ARDL Estimation Output (Unrestricted Model)</w:t>
      </w:r>
    </w:p>
    <w:tbl>
      <w:tblPr>
        <w:tblStyle w:val="TableGrid"/>
        <w:tblW w:w="0" w:type="auto"/>
        <w:tblLook w:val="04A0" w:firstRow="1" w:lastRow="0" w:firstColumn="1" w:lastColumn="0" w:noHBand="0" w:noVBand="1"/>
      </w:tblPr>
      <w:tblGrid>
        <w:gridCol w:w="7508"/>
      </w:tblGrid>
      <w:tr w:rsidR="00385CAF" w:rsidRPr="00EE4C33" w14:paraId="49D8838E" w14:textId="77777777" w:rsidTr="003A76BC">
        <w:tc>
          <w:tcPr>
            <w:tcW w:w="7508" w:type="dxa"/>
          </w:tcPr>
          <w:p w14:paraId="7FF3DFAA"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Variable</w:t>
            </w:r>
            <w:r w:rsidRPr="00EE4C33">
              <w:rPr>
                <w:rFonts w:ascii="Arial" w:hAnsi="Arial" w:cs="Arial"/>
                <w:b/>
                <w:bCs/>
                <w:sz w:val="20"/>
                <w:szCs w:val="20"/>
              </w:rPr>
              <w:tab/>
            </w:r>
            <w:r w:rsidRPr="00EE4C33">
              <w:rPr>
                <w:rFonts w:ascii="Arial" w:hAnsi="Arial" w:cs="Arial"/>
                <w:b/>
                <w:bCs/>
                <w:sz w:val="20"/>
                <w:szCs w:val="20"/>
              </w:rPr>
              <w:tab/>
              <w:t>Coefficient</w:t>
            </w:r>
            <w:r w:rsidRPr="00EE4C33">
              <w:rPr>
                <w:rFonts w:ascii="Arial" w:hAnsi="Arial" w:cs="Arial"/>
                <w:b/>
                <w:bCs/>
                <w:sz w:val="20"/>
                <w:szCs w:val="20"/>
              </w:rPr>
              <w:tab/>
              <w:t>Std. Error</w:t>
            </w:r>
            <w:r w:rsidRPr="00EE4C33">
              <w:rPr>
                <w:rFonts w:ascii="Arial" w:hAnsi="Arial" w:cs="Arial"/>
                <w:b/>
                <w:bCs/>
                <w:sz w:val="20"/>
                <w:szCs w:val="20"/>
              </w:rPr>
              <w:tab/>
              <w:t>t-Statistic</w:t>
            </w:r>
            <w:r w:rsidRPr="00EE4C33">
              <w:rPr>
                <w:rFonts w:ascii="Arial" w:hAnsi="Arial" w:cs="Arial"/>
                <w:b/>
                <w:bCs/>
                <w:sz w:val="20"/>
                <w:szCs w:val="20"/>
              </w:rPr>
              <w:tab/>
              <w:t>Prob.</w:t>
            </w:r>
          </w:p>
        </w:tc>
      </w:tr>
      <w:tr w:rsidR="00385CAF" w:rsidRPr="00EE4C33" w14:paraId="16D18E46" w14:textId="77777777" w:rsidTr="003A76BC">
        <w:tc>
          <w:tcPr>
            <w:tcW w:w="7508" w:type="dxa"/>
          </w:tcPr>
          <w:p w14:paraId="123BAFBD"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INF(</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t xml:space="preserve">                0.596 </w:t>
            </w:r>
            <w:r w:rsidRPr="00EE4C33">
              <w:rPr>
                <w:rFonts w:ascii="Arial" w:hAnsi="Arial" w:cs="Arial"/>
                <w:sz w:val="20"/>
                <w:szCs w:val="20"/>
              </w:rPr>
              <w:tab/>
              <w:t xml:space="preserve">0.074    </w:t>
            </w:r>
            <w:r w:rsidRPr="00EE4C33">
              <w:rPr>
                <w:rFonts w:ascii="Arial" w:hAnsi="Arial" w:cs="Arial"/>
                <w:sz w:val="20"/>
                <w:szCs w:val="20"/>
              </w:rPr>
              <w:tab/>
              <w:t xml:space="preserve"> 8.101   </w:t>
            </w:r>
            <w:r w:rsidRPr="00EE4C33">
              <w:rPr>
                <w:rFonts w:ascii="Arial" w:hAnsi="Arial" w:cs="Arial"/>
                <w:sz w:val="20"/>
                <w:szCs w:val="20"/>
              </w:rPr>
              <w:tab/>
              <w:t>0.000</w:t>
            </w:r>
          </w:p>
        </w:tc>
      </w:tr>
      <w:tr w:rsidR="00385CAF" w:rsidRPr="00EE4C33" w14:paraId="78AFA634" w14:textId="77777777" w:rsidTr="003A76BC">
        <w:tc>
          <w:tcPr>
            <w:tcW w:w="7508" w:type="dxa"/>
          </w:tcPr>
          <w:p w14:paraId="004BD825"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FD</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 xml:space="preserve">0.073 </w:t>
            </w:r>
            <w:r w:rsidRPr="00EE4C33">
              <w:rPr>
                <w:rFonts w:ascii="Arial" w:hAnsi="Arial" w:cs="Arial"/>
                <w:sz w:val="20"/>
                <w:szCs w:val="20"/>
              </w:rPr>
              <w:tab/>
              <w:t xml:space="preserve">0.433    </w:t>
            </w:r>
            <w:r w:rsidRPr="00EE4C33">
              <w:rPr>
                <w:rFonts w:ascii="Arial" w:hAnsi="Arial" w:cs="Arial"/>
                <w:sz w:val="20"/>
                <w:szCs w:val="20"/>
              </w:rPr>
              <w:tab/>
              <w:t xml:space="preserve">-0.168   </w:t>
            </w:r>
            <w:r w:rsidRPr="00EE4C33">
              <w:rPr>
                <w:rFonts w:ascii="Arial" w:hAnsi="Arial" w:cs="Arial"/>
                <w:sz w:val="20"/>
                <w:szCs w:val="20"/>
              </w:rPr>
              <w:tab/>
              <w:t>0.868</w:t>
            </w:r>
          </w:p>
        </w:tc>
      </w:tr>
      <w:tr w:rsidR="00385CAF" w:rsidRPr="00EE4C33" w14:paraId="52D57B3A" w14:textId="77777777" w:rsidTr="003A76BC">
        <w:tc>
          <w:tcPr>
            <w:tcW w:w="7508" w:type="dxa"/>
          </w:tcPr>
          <w:p w14:paraId="058823E3"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FD(</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 xml:space="preserve">2.851 </w:t>
            </w:r>
            <w:r w:rsidRPr="00EE4C33">
              <w:rPr>
                <w:rFonts w:ascii="Arial" w:hAnsi="Arial" w:cs="Arial"/>
                <w:sz w:val="20"/>
                <w:szCs w:val="20"/>
              </w:rPr>
              <w:tab/>
              <w:t xml:space="preserve">0.434    </w:t>
            </w:r>
            <w:r w:rsidRPr="00EE4C33">
              <w:rPr>
                <w:rFonts w:ascii="Arial" w:hAnsi="Arial" w:cs="Arial"/>
                <w:sz w:val="20"/>
                <w:szCs w:val="20"/>
              </w:rPr>
              <w:tab/>
              <w:t xml:space="preserve">-6.573   </w:t>
            </w:r>
            <w:r w:rsidRPr="00EE4C33">
              <w:rPr>
                <w:rFonts w:ascii="Arial" w:hAnsi="Arial" w:cs="Arial"/>
                <w:sz w:val="20"/>
                <w:szCs w:val="20"/>
              </w:rPr>
              <w:tab/>
              <w:t>0.000</w:t>
            </w:r>
          </w:p>
        </w:tc>
      </w:tr>
      <w:tr w:rsidR="00385CAF" w:rsidRPr="00EE4C33" w14:paraId="123B6B2B" w14:textId="77777777" w:rsidTr="003A76BC">
        <w:tc>
          <w:tcPr>
            <w:tcW w:w="7508" w:type="dxa"/>
          </w:tcPr>
          <w:p w14:paraId="62E55003"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PD</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 xml:space="preserve">1.631 </w:t>
            </w:r>
            <w:r w:rsidRPr="00EE4C33">
              <w:rPr>
                <w:rFonts w:ascii="Arial" w:hAnsi="Arial" w:cs="Arial"/>
                <w:sz w:val="20"/>
                <w:szCs w:val="20"/>
              </w:rPr>
              <w:tab/>
              <w:t xml:space="preserve">0.282    </w:t>
            </w:r>
            <w:r w:rsidRPr="00EE4C33">
              <w:rPr>
                <w:rFonts w:ascii="Arial" w:hAnsi="Arial" w:cs="Arial"/>
                <w:sz w:val="20"/>
                <w:szCs w:val="20"/>
              </w:rPr>
              <w:tab/>
              <w:t xml:space="preserve">-5.777   </w:t>
            </w:r>
            <w:r w:rsidRPr="00EE4C33">
              <w:rPr>
                <w:rFonts w:ascii="Arial" w:hAnsi="Arial" w:cs="Arial"/>
                <w:sz w:val="20"/>
                <w:szCs w:val="20"/>
              </w:rPr>
              <w:tab/>
              <w:t>0.000</w:t>
            </w:r>
          </w:p>
        </w:tc>
      </w:tr>
      <w:tr w:rsidR="00385CAF" w:rsidRPr="00EE4C33" w14:paraId="4DE0D0F7" w14:textId="77777777" w:rsidTr="003A76BC">
        <w:tc>
          <w:tcPr>
            <w:tcW w:w="7508" w:type="dxa"/>
          </w:tcPr>
          <w:p w14:paraId="0C8B0F90"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lastRenderedPageBreak/>
              <w:t>PD(</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2.068   </w:t>
            </w:r>
            <w:r w:rsidRPr="00EE4C33">
              <w:rPr>
                <w:rFonts w:ascii="Arial" w:hAnsi="Arial" w:cs="Arial"/>
                <w:sz w:val="20"/>
                <w:szCs w:val="20"/>
              </w:rPr>
              <w:tab/>
              <w:t xml:space="preserve">0.349    </w:t>
            </w:r>
            <w:r w:rsidRPr="00EE4C33">
              <w:rPr>
                <w:rFonts w:ascii="Arial" w:hAnsi="Arial" w:cs="Arial"/>
                <w:sz w:val="20"/>
                <w:szCs w:val="20"/>
              </w:rPr>
              <w:tab/>
              <w:t xml:space="preserve"> 5.928   </w:t>
            </w:r>
            <w:r w:rsidRPr="00EE4C33">
              <w:rPr>
                <w:rFonts w:ascii="Arial" w:hAnsi="Arial" w:cs="Arial"/>
                <w:sz w:val="20"/>
                <w:szCs w:val="20"/>
              </w:rPr>
              <w:tab/>
              <w:t>0.000</w:t>
            </w:r>
          </w:p>
        </w:tc>
      </w:tr>
      <w:tr w:rsidR="00385CAF" w:rsidRPr="00EE4C33" w14:paraId="354EC71D" w14:textId="77777777" w:rsidTr="003A76BC">
        <w:tc>
          <w:tcPr>
            <w:tcW w:w="7508" w:type="dxa"/>
          </w:tcPr>
          <w:p w14:paraId="44BD82C6"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PD(</w:t>
            </w:r>
            <w:proofErr w:type="gramEnd"/>
            <w:r w:rsidRPr="00EE4C33">
              <w:rPr>
                <w:rFonts w:ascii="Arial" w:hAnsi="Arial" w:cs="Arial"/>
                <w:sz w:val="20"/>
                <w:szCs w:val="20"/>
              </w:rPr>
              <w:t>-2)</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0.</w:t>
            </w:r>
            <w:proofErr w:type="gramStart"/>
            <w:r w:rsidRPr="00EE4C33">
              <w:rPr>
                <w:rFonts w:ascii="Arial" w:hAnsi="Arial" w:cs="Arial"/>
                <w:sz w:val="20"/>
                <w:szCs w:val="20"/>
              </w:rPr>
              <w:t xml:space="preserve">746  </w:t>
            </w:r>
            <w:r w:rsidRPr="00EE4C33">
              <w:rPr>
                <w:rFonts w:ascii="Arial" w:hAnsi="Arial" w:cs="Arial"/>
                <w:sz w:val="20"/>
                <w:szCs w:val="20"/>
              </w:rPr>
              <w:tab/>
            </w:r>
            <w:proofErr w:type="gramEnd"/>
            <w:r w:rsidRPr="00EE4C33">
              <w:rPr>
                <w:rFonts w:ascii="Arial" w:hAnsi="Arial" w:cs="Arial"/>
                <w:sz w:val="20"/>
                <w:szCs w:val="20"/>
              </w:rPr>
              <w:t xml:space="preserve">0.194    </w:t>
            </w:r>
            <w:r w:rsidRPr="00EE4C33">
              <w:rPr>
                <w:rFonts w:ascii="Arial" w:hAnsi="Arial" w:cs="Arial"/>
                <w:sz w:val="20"/>
                <w:szCs w:val="20"/>
              </w:rPr>
              <w:tab/>
              <w:t xml:space="preserve">-3.855   </w:t>
            </w:r>
            <w:r w:rsidRPr="00EE4C33">
              <w:rPr>
                <w:rFonts w:ascii="Arial" w:hAnsi="Arial" w:cs="Arial"/>
                <w:sz w:val="20"/>
                <w:szCs w:val="20"/>
              </w:rPr>
              <w:tab/>
              <w:t>0.001</w:t>
            </w:r>
          </w:p>
        </w:tc>
      </w:tr>
      <w:tr w:rsidR="00385CAF" w:rsidRPr="00EE4C33" w14:paraId="782D18D5" w14:textId="77777777" w:rsidTr="003A76BC">
        <w:tc>
          <w:tcPr>
            <w:tcW w:w="7508" w:type="dxa"/>
          </w:tcPr>
          <w:p w14:paraId="2A396D91"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FD_PD</w:t>
            </w:r>
            <w:r w:rsidRPr="00EE4C33">
              <w:rPr>
                <w:rFonts w:ascii="Arial" w:hAnsi="Arial" w:cs="Arial"/>
                <w:sz w:val="20"/>
                <w:szCs w:val="20"/>
              </w:rPr>
              <w:tab/>
            </w:r>
            <w:r w:rsidRPr="00EE4C33">
              <w:rPr>
                <w:rFonts w:ascii="Arial" w:hAnsi="Arial" w:cs="Arial"/>
                <w:sz w:val="20"/>
                <w:szCs w:val="20"/>
              </w:rPr>
              <w:tab/>
              <w:t xml:space="preserve">               -0.</w:t>
            </w:r>
            <w:proofErr w:type="gramStart"/>
            <w:r w:rsidRPr="00EE4C33">
              <w:rPr>
                <w:rFonts w:ascii="Arial" w:hAnsi="Arial" w:cs="Arial"/>
                <w:sz w:val="20"/>
                <w:szCs w:val="20"/>
              </w:rPr>
              <w:t xml:space="preserve">100  </w:t>
            </w:r>
            <w:r w:rsidRPr="00EE4C33">
              <w:rPr>
                <w:rFonts w:ascii="Arial" w:hAnsi="Arial" w:cs="Arial"/>
                <w:sz w:val="20"/>
                <w:szCs w:val="20"/>
              </w:rPr>
              <w:tab/>
            </w:r>
            <w:proofErr w:type="gramEnd"/>
            <w:r w:rsidRPr="00EE4C33">
              <w:rPr>
                <w:rFonts w:ascii="Arial" w:hAnsi="Arial" w:cs="Arial"/>
                <w:sz w:val="20"/>
                <w:szCs w:val="20"/>
              </w:rPr>
              <w:t xml:space="preserve">0.026    </w:t>
            </w:r>
            <w:r w:rsidRPr="00EE4C33">
              <w:rPr>
                <w:rFonts w:ascii="Arial" w:hAnsi="Arial" w:cs="Arial"/>
                <w:sz w:val="20"/>
                <w:szCs w:val="20"/>
              </w:rPr>
              <w:tab/>
              <w:t>-3.816                0.001</w:t>
            </w:r>
          </w:p>
        </w:tc>
      </w:tr>
      <w:tr w:rsidR="00385CAF" w:rsidRPr="00EE4C33" w14:paraId="317993D8" w14:textId="77777777" w:rsidTr="003A76BC">
        <w:tc>
          <w:tcPr>
            <w:tcW w:w="7508" w:type="dxa"/>
          </w:tcPr>
          <w:p w14:paraId="751E9651"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FD_</w:t>
            </w:r>
            <w:proofErr w:type="gramStart"/>
            <w:r w:rsidRPr="00EE4C33">
              <w:rPr>
                <w:rFonts w:ascii="Arial" w:hAnsi="Arial" w:cs="Arial"/>
                <w:sz w:val="20"/>
                <w:szCs w:val="20"/>
              </w:rPr>
              <w:t>PD(</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t xml:space="preserve">   0.061   </w:t>
            </w:r>
            <w:r w:rsidRPr="00EE4C33">
              <w:rPr>
                <w:rFonts w:ascii="Arial" w:hAnsi="Arial" w:cs="Arial"/>
                <w:sz w:val="20"/>
                <w:szCs w:val="20"/>
              </w:rPr>
              <w:tab/>
              <w:t>0.028                  2.215                0.040</w:t>
            </w:r>
          </w:p>
        </w:tc>
      </w:tr>
      <w:tr w:rsidR="00385CAF" w:rsidRPr="00EE4C33" w14:paraId="742E1545" w14:textId="77777777" w:rsidTr="003A76BC">
        <w:tc>
          <w:tcPr>
            <w:tcW w:w="7508" w:type="dxa"/>
          </w:tcPr>
          <w:p w14:paraId="20298709"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LEXR</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26.585              7.016                  3.789    </w:t>
            </w:r>
            <w:r w:rsidRPr="00EE4C33">
              <w:rPr>
                <w:rFonts w:ascii="Arial" w:hAnsi="Arial" w:cs="Arial"/>
                <w:sz w:val="20"/>
                <w:szCs w:val="20"/>
              </w:rPr>
              <w:tab/>
              <w:t>0.001</w:t>
            </w:r>
          </w:p>
        </w:tc>
      </w:tr>
      <w:tr w:rsidR="00385CAF" w:rsidRPr="00EE4C33" w14:paraId="50FA8E85" w14:textId="77777777" w:rsidTr="003A76BC">
        <w:tc>
          <w:tcPr>
            <w:tcW w:w="7508" w:type="dxa"/>
          </w:tcPr>
          <w:p w14:paraId="26F2F054"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LEXR(</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t xml:space="preserve">-33.762              7.203     </w:t>
            </w:r>
            <w:r w:rsidRPr="00EE4C33">
              <w:rPr>
                <w:rFonts w:ascii="Arial" w:hAnsi="Arial" w:cs="Arial"/>
                <w:sz w:val="20"/>
                <w:szCs w:val="20"/>
              </w:rPr>
              <w:tab/>
              <w:t xml:space="preserve">-4.687             </w:t>
            </w:r>
            <w:r w:rsidRPr="00EE4C33">
              <w:rPr>
                <w:rFonts w:ascii="Arial" w:hAnsi="Arial" w:cs="Arial"/>
                <w:sz w:val="20"/>
                <w:szCs w:val="20"/>
              </w:rPr>
              <w:tab/>
              <w:t>0.000</w:t>
            </w:r>
          </w:p>
        </w:tc>
      </w:tr>
      <w:tr w:rsidR="00385CAF" w:rsidRPr="00EE4C33" w14:paraId="586E3158" w14:textId="77777777" w:rsidTr="003A76BC">
        <w:tc>
          <w:tcPr>
            <w:tcW w:w="7508" w:type="dxa"/>
          </w:tcPr>
          <w:p w14:paraId="373A7383"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LEXR(</w:t>
            </w:r>
            <w:proofErr w:type="gramEnd"/>
            <w:r w:rsidRPr="00EE4C33">
              <w:rPr>
                <w:rFonts w:ascii="Arial" w:hAnsi="Arial" w:cs="Arial"/>
                <w:sz w:val="20"/>
                <w:szCs w:val="20"/>
              </w:rPr>
              <w:t>-2)</w:t>
            </w:r>
            <w:r w:rsidRPr="00EE4C33">
              <w:rPr>
                <w:rFonts w:ascii="Arial" w:hAnsi="Arial" w:cs="Arial"/>
                <w:sz w:val="20"/>
                <w:szCs w:val="20"/>
              </w:rPr>
              <w:tab/>
            </w:r>
            <w:r w:rsidRPr="00EE4C33">
              <w:rPr>
                <w:rFonts w:ascii="Arial" w:hAnsi="Arial" w:cs="Arial"/>
                <w:sz w:val="20"/>
                <w:szCs w:val="20"/>
              </w:rPr>
              <w:tab/>
              <w:t xml:space="preserve">   9.059   </w:t>
            </w:r>
            <w:r w:rsidRPr="00EE4C33">
              <w:rPr>
                <w:rFonts w:ascii="Arial" w:hAnsi="Arial" w:cs="Arial"/>
                <w:sz w:val="20"/>
                <w:szCs w:val="20"/>
              </w:rPr>
              <w:tab/>
              <w:t xml:space="preserve">2.878    </w:t>
            </w:r>
            <w:r w:rsidRPr="00EE4C33">
              <w:rPr>
                <w:rFonts w:ascii="Arial" w:hAnsi="Arial" w:cs="Arial"/>
                <w:sz w:val="20"/>
                <w:szCs w:val="20"/>
              </w:rPr>
              <w:tab/>
              <w:t xml:space="preserve"> 3.148    </w:t>
            </w:r>
            <w:r w:rsidRPr="00EE4C33">
              <w:rPr>
                <w:rFonts w:ascii="Arial" w:hAnsi="Arial" w:cs="Arial"/>
                <w:sz w:val="20"/>
                <w:szCs w:val="20"/>
              </w:rPr>
              <w:tab/>
              <w:t>0.006</w:t>
            </w:r>
          </w:p>
        </w:tc>
      </w:tr>
      <w:tr w:rsidR="00385CAF" w:rsidRPr="00EE4C33" w14:paraId="2ACD9C2C" w14:textId="77777777" w:rsidTr="003A76BC">
        <w:tc>
          <w:tcPr>
            <w:tcW w:w="7508" w:type="dxa"/>
          </w:tcPr>
          <w:p w14:paraId="1667E51F"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M2</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0.228   </w:t>
            </w:r>
            <w:r w:rsidRPr="00EE4C33">
              <w:rPr>
                <w:rFonts w:ascii="Arial" w:hAnsi="Arial" w:cs="Arial"/>
                <w:sz w:val="20"/>
                <w:szCs w:val="20"/>
              </w:rPr>
              <w:tab/>
              <w:t xml:space="preserve">0.047    </w:t>
            </w:r>
            <w:r w:rsidRPr="00EE4C33">
              <w:rPr>
                <w:rFonts w:ascii="Arial" w:hAnsi="Arial" w:cs="Arial"/>
                <w:sz w:val="20"/>
                <w:szCs w:val="20"/>
              </w:rPr>
              <w:tab/>
              <w:t xml:space="preserve"> 4.824    </w:t>
            </w:r>
            <w:r w:rsidRPr="00EE4C33">
              <w:rPr>
                <w:rFonts w:ascii="Arial" w:hAnsi="Arial" w:cs="Arial"/>
                <w:sz w:val="20"/>
                <w:szCs w:val="20"/>
              </w:rPr>
              <w:tab/>
              <w:t>0.000</w:t>
            </w:r>
          </w:p>
        </w:tc>
      </w:tr>
      <w:tr w:rsidR="00385CAF" w:rsidRPr="00EE4C33" w14:paraId="1C92FC60" w14:textId="77777777" w:rsidTr="003A76BC">
        <w:tc>
          <w:tcPr>
            <w:tcW w:w="7508" w:type="dxa"/>
          </w:tcPr>
          <w:p w14:paraId="2CED0985"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M2(-1)</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0.088   </w:t>
            </w:r>
            <w:r w:rsidRPr="00EE4C33">
              <w:rPr>
                <w:rFonts w:ascii="Arial" w:hAnsi="Arial" w:cs="Arial"/>
                <w:sz w:val="20"/>
                <w:szCs w:val="20"/>
              </w:rPr>
              <w:tab/>
              <w:t xml:space="preserve">0.066                  1.332    </w:t>
            </w:r>
            <w:r w:rsidRPr="00EE4C33">
              <w:rPr>
                <w:rFonts w:ascii="Arial" w:hAnsi="Arial" w:cs="Arial"/>
                <w:sz w:val="20"/>
                <w:szCs w:val="20"/>
              </w:rPr>
              <w:tab/>
              <w:t>0.200</w:t>
            </w:r>
          </w:p>
        </w:tc>
      </w:tr>
      <w:tr w:rsidR="00385CAF" w:rsidRPr="00EE4C33" w14:paraId="713BC1C5" w14:textId="77777777" w:rsidTr="003A76BC">
        <w:tc>
          <w:tcPr>
            <w:tcW w:w="7508" w:type="dxa"/>
          </w:tcPr>
          <w:p w14:paraId="4DE8A62C"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M2(-2)</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0.059   </w:t>
            </w:r>
            <w:r w:rsidRPr="00EE4C33">
              <w:rPr>
                <w:rFonts w:ascii="Arial" w:hAnsi="Arial" w:cs="Arial"/>
                <w:sz w:val="20"/>
                <w:szCs w:val="20"/>
              </w:rPr>
              <w:tab/>
              <w:t xml:space="preserve">0.047    </w:t>
            </w:r>
            <w:r w:rsidRPr="00EE4C33">
              <w:rPr>
                <w:rFonts w:ascii="Arial" w:hAnsi="Arial" w:cs="Arial"/>
                <w:sz w:val="20"/>
                <w:szCs w:val="20"/>
              </w:rPr>
              <w:tab/>
              <w:t xml:space="preserve"> 1.255     </w:t>
            </w:r>
            <w:r w:rsidRPr="00EE4C33">
              <w:rPr>
                <w:rFonts w:ascii="Arial" w:hAnsi="Arial" w:cs="Arial"/>
                <w:sz w:val="20"/>
                <w:szCs w:val="20"/>
              </w:rPr>
              <w:tab/>
              <w:t>0.226</w:t>
            </w:r>
          </w:p>
        </w:tc>
      </w:tr>
      <w:tr w:rsidR="00385CAF" w:rsidRPr="00EE4C33" w14:paraId="4AF0B1B3" w14:textId="77777777" w:rsidTr="003A76BC">
        <w:tc>
          <w:tcPr>
            <w:tcW w:w="7508" w:type="dxa"/>
          </w:tcPr>
          <w:p w14:paraId="1C858FF7"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RGDPG</w:t>
            </w:r>
            <w:r w:rsidRPr="00EE4C33">
              <w:rPr>
                <w:rFonts w:ascii="Arial" w:hAnsi="Arial" w:cs="Arial"/>
                <w:sz w:val="20"/>
                <w:szCs w:val="20"/>
              </w:rPr>
              <w:tab/>
              <w:t xml:space="preserve">                -0.166 </w:t>
            </w:r>
            <w:r w:rsidRPr="00EE4C33">
              <w:rPr>
                <w:rFonts w:ascii="Arial" w:hAnsi="Arial" w:cs="Arial"/>
                <w:sz w:val="20"/>
                <w:szCs w:val="20"/>
              </w:rPr>
              <w:tab/>
              <w:t xml:space="preserve">0.397     </w:t>
            </w:r>
            <w:r w:rsidRPr="00EE4C33">
              <w:rPr>
                <w:rFonts w:ascii="Arial" w:hAnsi="Arial" w:cs="Arial"/>
                <w:sz w:val="20"/>
                <w:szCs w:val="20"/>
              </w:rPr>
              <w:tab/>
              <w:t>-0.418                0.681</w:t>
            </w:r>
          </w:p>
        </w:tc>
      </w:tr>
      <w:tr w:rsidR="00385CAF" w:rsidRPr="00EE4C33" w14:paraId="747FAE8D" w14:textId="77777777" w:rsidTr="003A76BC">
        <w:tc>
          <w:tcPr>
            <w:tcW w:w="7508" w:type="dxa"/>
          </w:tcPr>
          <w:p w14:paraId="0EDDF7FF"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RGDPG(</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t xml:space="preserve">   0.634   </w:t>
            </w:r>
            <w:r w:rsidRPr="00EE4C33">
              <w:rPr>
                <w:rFonts w:ascii="Arial" w:hAnsi="Arial" w:cs="Arial"/>
                <w:sz w:val="20"/>
                <w:szCs w:val="20"/>
              </w:rPr>
              <w:tab/>
              <w:t xml:space="preserve">0.159     </w:t>
            </w:r>
            <w:r w:rsidRPr="00EE4C33">
              <w:rPr>
                <w:rFonts w:ascii="Arial" w:hAnsi="Arial" w:cs="Arial"/>
                <w:sz w:val="20"/>
                <w:szCs w:val="20"/>
              </w:rPr>
              <w:tab/>
              <w:t xml:space="preserve"> 3.984                0.001</w:t>
            </w:r>
          </w:p>
        </w:tc>
      </w:tr>
      <w:tr w:rsidR="00385CAF" w:rsidRPr="00EE4C33" w14:paraId="133EB7DF" w14:textId="77777777" w:rsidTr="003A76BC">
        <w:tc>
          <w:tcPr>
            <w:tcW w:w="7508" w:type="dxa"/>
          </w:tcPr>
          <w:p w14:paraId="61584AE9"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RGDPG(</w:t>
            </w:r>
            <w:proofErr w:type="gramEnd"/>
            <w:r w:rsidRPr="00EE4C33">
              <w:rPr>
                <w:rFonts w:ascii="Arial" w:hAnsi="Arial" w:cs="Arial"/>
                <w:sz w:val="20"/>
                <w:szCs w:val="20"/>
              </w:rPr>
              <w:t>-2)</w:t>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0.</w:t>
            </w:r>
            <w:proofErr w:type="gramStart"/>
            <w:r w:rsidRPr="00EE4C33">
              <w:rPr>
                <w:rFonts w:ascii="Arial" w:hAnsi="Arial" w:cs="Arial"/>
                <w:sz w:val="20"/>
                <w:szCs w:val="20"/>
              </w:rPr>
              <w:t xml:space="preserve">501  </w:t>
            </w:r>
            <w:r w:rsidRPr="00EE4C33">
              <w:rPr>
                <w:rFonts w:ascii="Arial" w:hAnsi="Arial" w:cs="Arial"/>
                <w:sz w:val="20"/>
                <w:szCs w:val="20"/>
              </w:rPr>
              <w:tab/>
            </w:r>
            <w:proofErr w:type="gramEnd"/>
            <w:r w:rsidRPr="00EE4C33">
              <w:rPr>
                <w:rFonts w:ascii="Arial" w:hAnsi="Arial" w:cs="Arial"/>
                <w:sz w:val="20"/>
                <w:szCs w:val="20"/>
              </w:rPr>
              <w:t xml:space="preserve">0.232    </w:t>
            </w:r>
            <w:r w:rsidRPr="00EE4C33">
              <w:rPr>
                <w:rFonts w:ascii="Arial" w:hAnsi="Arial" w:cs="Arial"/>
                <w:sz w:val="20"/>
                <w:szCs w:val="20"/>
              </w:rPr>
              <w:tab/>
              <w:t>-2.156                0.045</w:t>
            </w:r>
          </w:p>
        </w:tc>
      </w:tr>
      <w:tr w:rsidR="00385CAF" w:rsidRPr="00EE4C33" w14:paraId="4542C6DE" w14:textId="77777777" w:rsidTr="003A76BC">
        <w:tc>
          <w:tcPr>
            <w:tcW w:w="7508" w:type="dxa"/>
          </w:tcPr>
          <w:p w14:paraId="682096B7"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LR</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0.118   </w:t>
            </w:r>
            <w:r w:rsidRPr="00EE4C33">
              <w:rPr>
                <w:rFonts w:ascii="Arial" w:hAnsi="Arial" w:cs="Arial"/>
                <w:sz w:val="20"/>
                <w:szCs w:val="20"/>
              </w:rPr>
              <w:tab/>
              <w:t>0.629                  0.188                0.853</w:t>
            </w:r>
          </w:p>
        </w:tc>
      </w:tr>
      <w:tr w:rsidR="00385CAF" w:rsidRPr="00EE4C33" w14:paraId="3AB94B8A" w14:textId="77777777" w:rsidTr="003A76BC">
        <w:tc>
          <w:tcPr>
            <w:tcW w:w="7508" w:type="dxa"/>
          </w:tcPr>
          <w:p w14:paraId="2DD40B11"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LR(</w:t>
            </w:r>
            <w:proofErr w:type="gramEnd"/>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ab/>
              <w:t xml:space="preserve">  -</w:t>
            </w:r>
            <w:proofErr w:type="gramEnd"/>
            <w:r w:rsidRPr="00EE4C33">
              <w:rPr>
                <w:rFonts w:ascii="Arial" w:hAnsi="Arial" w:cs="Arial"/>
                <w:sz w:val="20"/>
                <w:szCs w:val="20"/>
              </w:rPr>
              <w:t>1.</w:t>
            </w:r>
            <w:proofErr w:type="gramStart"/>
            <w:r w:rsidRPr="00EE4C33">
              <w:rPr>
                <w:rFonts w:ascii="Arial" w:hAnsi="Arial" w:cs="Arial"/>
                <w:sz w:val="20"/>
                <w:szCs w:val="20"/>
              </w:rPr>
              <w:t xml:space="preserve">026  </w:t>
            </w:r>
            <w:r w:rsidRPr="00EE4C33">
              <w:rPr>
                <w:rFonts w:ascii="Arial" w:hAnsi="Arial" w:cs="Arial"/>
                <w:sz w:val="20"/>
                <w:szCs w:val="20"/>
              </w:rPr>
              <w:tab/>
            </w:r>
            <w:proofErr w:type="gramEnd"/>
            <w:r w:rsidRPr="00EE4C33">
              <w:rPr>
                <w:rFonts w:ascii="Arial" w:hAnsi="Arial" w:cs="Arial"/>
                <w:sz w:val="20"/>
                <w:szCs w:val="20"/>
              </w:rPr>
              <w:t xml:space="preserve">0.315     </w:t>
            </w:r>
            <w:r w:rsidRPr="00EE4C33">
              <w:rPr>
                <w:rFonts w:ascii="Arial" w:hAnsi="Arial" w:cs="Arial"/>
                <w:sz w:val="20"/>
                <w:szCs w:val="20"/>
              </w:rPr>
              <w:tab/>
              <w:t>-3.255                0.004</w:t>
            </w:r>
          </w:p>
        </w:tc>
      </w:tr>
      <w:tr w:rsidR="00385CAF" w:rsidRPr="00EE4C33" w14:paraId="4D702E30" w14:textId="77777777" w:rsidTr="003A76BC">
        <w:tc>
          <w:tcPr>
            <w:tcW w:w="7508" w:type="dxa"/>
          </w:tcPr>
          <w:p w14:paraId="7193C818" w14:textId="77777777" w:rsidR="00385CAF" w:rsidRPr="00EE4C33" w:rsidRDefault="00385CAF" w:rsidP="003A76BC">
            <w:pPr>
              <w:spacing w:line="360" w:lineRule="auto"/>
              <w:jc w:val="both"/>
              <w:rPr>
                <w:rFonts w:ascii="Arial" w:hAnsi="Arial" w:cs="Arial"/>
                <w:sz w:val="20"/>
                <w:szCs w:val="20"/>
              </w:rPr>
            </w:pPr>
            <w:proofErr w:type="gramStart"/>
            <w:r w:rsidRPr="00EE4C33">
              <w:rPr>
                <w:rFonts w:ascii="Arial" w:hAnsi="Arial" w:cs="Arial"/>
                <w:sz w:val="20"/>
                <w:szCs w:val="20"/>
              </w:rPr>
              <w:t>LR(</w:t>
            </w:r>
            <w:proofErr w:type="gramEnd"/>
            <w:r w:rsidRPr="00EE4C33">
              <w:rPr>
                <w:rFonts w:ascii="Arial" w:hAnsi="Arial" w:cs="Arial"/>
                <w:sz w:val="20"/>
                <w:szCs w:val="20"/>
              </w:rPr>
              <w:t>-2)</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   2.628   </w:t>
            </w:r>
            <w:r w:rsidRPr="00EE4C33">
              <w:rPr>
                <w:rFonts w:ascii="Arial" w:hAnsi="Arial" w:cs="Arial"/>
                <w:sz w:val="20"/>
                <w:szCs w:val="20"/>
              </w:rPr>
              <w:tab/>
              <w:t xml:space="preserve">0.376     </w:t>
            </w:r>
            <w:r w:rsidRPr="00EE4C33">
              <w:rPr>
                <w:rFonts w:ascii="Arial" w:hAnsi="Arial" w:cs="Arial"/>
                <w:sz w:val="20"/>
                <w:szCs w:val="20"/>
              </w:rPr>
              <w:tab/>
              <w:t xml:space="preserve"> 6.986                0.000</w:t>
            </w:r>
          </w:p>
        </w:tc>
      </w:tr>
      <w:tr w:rsidR="00385CAF" w:rsidRPr="00EE4C33" w14:paraId="5E393960" w14:textId="77777777" w:rsidTr="003A76BC">
        <w:tc>
          <w:tcPr>
            <w:tcW w:w="7508" w:type="dxa"/>
          </w:tcPr>
          <w:p w14:paraId="63A8CFD0"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DUM86</w:t>
            </w:r>
            <w:r w:rsidRPr="00EE4C33">
              <w:rPr>
                <w:rFonts w:ascii="Arial" w:hAnsi="Arial" w:cs="Arial"/>
                <w:sz w:val="20"/>
                <w:szCs w:val="20"/>
              </w:rPr>
              <w:tab/>
            </w:r>
            <w:r w:rsidRPr="00EE4C33">
              <w:rPr>
                <w:rFonts w:ascii="Arial" w:hAnsi="Arial" w:cs="Arial"/>
                <w:sz w:val="20"/>
                <w:szCs w:val="20"/>
              </w:rPr>
              <w:tab/>
              <w:t xml:space="preserve">               -23.401</w:t>
            </w:r>
            <w:r w:rsidRPr="00EE4C33">
              <w:rPr>
                <w:rFonts w:ascii="Arial" w:hAnsi="Arial" w:cs="Arial"/>
                <w:sz w:val="20"/>
                <w:szCs w:val="20"/>
              </w:rPr>
              <w:tab/>
              <w:t>6.346                 -3.688                0.002</w:t>
            </w:r>
          </w:p>
        </w:tc>
      </w:tr>
      <w:tr w:rsidR="00385CAF" w:rsidRPr="00EE4C33" w14:paraId="40D24153" w14:textId="77777777" w:rsidTr="003A76BC">
        <w:tc>
          <w:tcPr>
            <w:tcW w:w="7508" w:type="dxa"/>
          </w:tcPr>
          <w:p w14:paraId="545AF768"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DUM88</w:t>
            </w:r>
            <w:r w:rsidRPr="00EE4C33">
              <w:rPr>
                <w:rFonts w:ascii="Arial" w:hAnsi="Arial" w:cs="Arial"/>
                <w:sz w:val="20"/>
                <w:szCs w:val="20"/>
              </w:rPr>
              <w:tab/>
              <w:t xml:space="preserve">               </w:t>
            </w:r>
            <w:r w:rsidRPr="00EE4C33">
              <w:rPr>
                <w:rFonts w:ascii="Arial" w:hAnsi="Arial" w:cs="Arial"/>
                <w:sz w:val="20"/>
                <w:szCs w:val="20"/>
              </w:rPr>
              <w:tab/>
              <w:t xml:space="preserve">   47.623 </w:t>
            </w:r>
            <w:r w:rsidRPr="00EE4C33">
              <w:rPr>
                <w:rFonts w:ascii="Arial" w:hAnsi="Arial" w:cs="Arial"/>
                <w:sz w:val="20"/>
                <w:szCs w:val="20"/>
              </w:rPr>
              <w:tab/>
              <w:t xml:space="preserve">2.016    </w:t>
            </w:r>
            <w:r w:rsidRPr="00EE4C33">
              <w:rPr>
                <w:rFonts w:ascii="Arial" w:hAnsi="Arial" w:cs="Arial"/>
                <w:sz w:val="20"/>
                <w:szCs w:val="20"/>
              </w:rPr>
              <w:tab/>
              <w:t>23.627               0.000</w:t>
            </w:r>
          </w:p>
        </w:tc>
      </w:tr>
      <w:tr w:rsidR="00385CAF" w:rsidRPr="00EE4C33" w14:paraId="5147BB95" w14:textId="77777777" w:rsidTr="003A76BC">
        <w:tc>
          <w:tcPr>
            <w:tcW w:w="7508" w:type="dxa"/>
          </w:tcPr>
          <w:p w14:paraId="5D20E03F"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DUM90</w:t>
            </w:r>
            <w:r w:rsidRPr="00EE4C33">
              <w:rPr>
                <w:rFonts w:ascii="Arial" w:hAnsi="Arial" w:cs="Arial"/>
                <w:sz w:val="20"/>
                <w:szCs w:val="20"/>
              </w:rPr>
              <w:tab/>
            </w:r>
            <w:r w:rsidRPr="00EE4C33">
              <w:rPr>
                <w:rFonts w:ascii="Arial" w:hAnsi="Arial" w:cs="Arial"/>
                <w:sz w:val="20"/>
                <w:szCs w:val="20"/>
              </w:rPr>
              <w:tab/>
              <w:t xml:space="preserve">                 9.412   </w:t>
            </w:r>
            <w:r w:rsidRPr="00EE4C33">
              <w:rPr>
                <w:rFonts w:ascii="Arial" w:hAnsi="Arial" w:cs="Arial"/>
                <w:sz w:val="20"/>
                <w:szCs w:val="20"/>
              </w:rPr>
              <w:tab/>
              <w:t xml:space="preserve">6.747    </w:t>
            </w:r>
            <w:r w:rsidRPr="00EE4C33">
              <w:rPr>
                <w:rFonts w:ascii="Arial" w:hAnsi="Arial" w:cs="Arial"/>
                <w:sz w:val="20"/>
                <w:szCs w:val="20"/>
              </w:rPr>
              <w:tab/>
              <w:t xml:space="preserve"> 1.395                0.180</w:t>
            </w:r>
          </w:p>
        </w:tc>
      </w:tr>
      <w:tr w:rsidR="00385CAF" w:rsidRPr="00EE4C33" w14:paraId="7ECDFC4F" w14:textId="77777777" w:rsidTr="003A76BC">
        <w:tc>
          <w:tcPr>
            <w:tcW w:w="7508" w:type="dxa"/>
          </w:tcPr>
          <w:p w14:paraId="47F43625"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DUM92</w:t>
            </w:r>
            <w:r w:rsidRPr="00EE4C33">
              <w:rPr>
                <w:rFonts w:ascii="Arial" w:hAnsi="Arial" w:cs="Arial"/>
                <w:sz w:val="20"/>
                <w:szCs w:val="20"/>
              </w:rPr>
              <w:tab/>
            </w:r>
            <w:r w:rsidRPr="00EE4C33">
              <w:rPr>
                <w:rFonts w:ascii="Arial" w:hAnsi="Arial" w:cs="Arial"/>
                <w:sz w:val="20"/>
                <w:szCs w:val="20"/>
              </w:rPr>
              <w:tab/>
              <w:t xml:space="preserve">               14.880 </w:t>
            </w:r>
            <w:r w:rsidRPr="00EE4C33">
              <w:rPr>
                <w:rFonts w:ascii="Arial" w:hAnsi="Arial" w:cs="Arial"/>
                <w:sz w:val="20"/>
                <w:szCs w:val="20"/>
              </w:rPr>
              <w:tab/>
              <w:t>3.470                  4.289                0.000</w:t>
            </w:r>
          </w:p>
        </w:tc>
      </w:tr>
      <w:tr w:rsidR="00385CAF" w:rsidRPr="00EE4C33" w14:paraId="4924D0A6" w14:textId="77777777" w:rsidTr="003A76BC">
        <w:tc>
          <w:tcPr>
            <w:tcW w:w="7508" w:type="dxa"/>
          </w:tcPr>
          <w:p w14:paraId="3F555EDB" w14:textId="77777777" w:rsidR="00385CAF" w:rsidRPr="00EE4C33" w:rsidRDefault="00385CAF" w:rsidP="003A76BC">
            <w:pPr>
              <w:spacing w:line="360" w:lineRule="auto"/>
              <w:jc w:val="both"/>
              <w:rPr>
                <w:rFonts w:ascii="Arial" w:hAnsi="Arial" w:cs="Arial"/>
                <w:sz w:val="20"/>
                <w:szCs w:val="20"/>
              </w:rPr>
            </w:pPr>
            <w:r w:rsidRPr="00EE4C33">
              <w:rPr>
                <w:rFonts w:ascii="Arial" w:hAnsi="Arial" w:cs="Arial"/>
                <w:sz w:val="20"/>
                <w:szCs w:val="20"/>
              </w:rPr>
              <w:t>C</w:t>
            </w:r>
            <w:r w:rsidRPr="00EE4C33">
              <w:rPr>
                <w:rFonts w:ascii="Arial" w:hAnsi="Arial" w:cs="Arial"/>
                <w:sz w:val="20"/>
                <w:szCs w:val="20"/>
              </w:rPr>
              <w:tab/>
            </w:r>
            <w:r w:rsidRPr="00EE4C33">
              <w:rPr>
                <w:rFonts w:ascii="Arial" w:hAnsi="Arial" w:cs="Arial"/>
                <w:sz w:val="20"/>
                <w:szCs w:val="20"/>
              </w:rPr>
              <w:tab/>
            </w:r>
            <w:r w:rsidRPr="00EE4C33">
              <w:rPr>
                <w:rFonts w:ascii="Arial" w:hAnsi="Arial" w:cs="Arial"/>
                <w:sz w:val="20"/>
                <w:szCs w:val="20"/>
              </w:rPr>
              <w:tab/>
              <w:t xml:space="preserve">-42.871 </w:t>
            </w:r>
            <w:r w:rsidRPr="00EE4C33">
              <w:rPr>
                <w:rFonts w:ascii="Arial" w:hAnsi="Arial" w:cs="Arial"/>
                <w:sz w:val="20"/>
                <w:szCs w:val="20"/>
              </w:rPr>
              <w:tab/>
              <w:t xml:space="preserve">4.614    </w:t>
            </w:r>
            <w:r w:rsidRPr="00EE4C33">
              <w:rPr>
                <w:rFonts w:ascii="Arial" w:hAnsi="Arial" w:cs="Arial"/>
                <w:sz w:val="20"/>
                <w:szCs w:val="20"/>
              </w:rPr>
              <w:tab/>
              <w:t>-9.291                0.000</w:t>
            </w:r>
          </w:p>
        </w:tc>
      </w:tr>
    </w:tbl>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85CAF" w:rsidRPr="00EE4C33" w14:paraId="038E1B60" w14:textId="77777777" w:rsidTr="003A76BC">
        <w:trPr>
          <w:trHeight w:val="225"/>
        </w:trPr>
        <w:tc>
          <w:tcPr>
            <w:tcW w:w="2017" w:type="dxa"/>
            <w:vAlign w:val="bottom"/>
          </w:tcPr>
          <w:p w14:paraId="24654906"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R-squared</w:t>
            </w:r>
          </w:p>
        </w:tc>
        <w:tc>
          <w:tcPr>
            <w:tcW w:w="1103" w:type="dxa"/>
            <w:vAlign w:val="bottom"/>
          </w:tcPr>
          <w:p w14:paraId="5CAF210D"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0.982</w:t>
            </w:r>
          </w:p>
        </w:tc>
        <w:tc>
          <w:tcPr>
            <w:tcW w:w="2415" w:type="dxa"/>
            <w:gridSpan w:val="2"/>
            <w:vAlign w:val="bottom"/>
          </w:tcPr>
          <w:p w14:paraId="4593E091"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Mean dependent var</w:t>
            </w:r>
          </w:p>
        </w:tc>
        <w:tc>
          <w:tcPr>
            <w:tcW w:w="997" w:type="dxa"/>
            <w:vAlign w:val="bottom"/>
          </w:tcPr>
          <w:p w14:paraId="551AE348"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19.369</w:t>
            </w:r>
          </w:p>
        </w:tc>
      </w:tr>
      <w:tr w:rsidR="00385CAF" w:rsidRPr="00EE4C33" w14:paraId="629C5964" w14:textId="77777777" w:rsidTr="003A76BC">
        <w:trPr>
          <w:trHeight w:val="225"/>
        </w:trPr>
        <w:tc>
          <w:tcPr>
            <w:tcW w:w="2017" w:type="dxa"/>
            <w:vAlign w:val="bottom"/>
          </w:tcPr>
          <w:p w14:paraId="7DBCD9A9"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Adjusted R-squared</w:t>
            </w:r>
          </w:p>
        </w:tc>
        <w:tc>
          <w:tcPr>
            <w:tcW w:w="1103" w:type="dxa"/>
            <w:vAlign w:val="bottom"/>
          </w:tcPr>
          <w:p w14:paraId="50F7138B"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0.959</w:t>
            </w:r>
          </w:p>
        </w:tc>
        <w:tc>
          <w:tcPr>
            <w:tcW w:w="2415" w:type="dxa"/>
            <w:gridSpan w:val="2"/>
            <w:vAlign w:val="bottom"/>
          </w:tcPr>
          <w:p w14:paraId="31B58BBF"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S.D. dependent var</w:t>
            </w:r>
          </w:p>
        </w:tc>
        <w:tc>
          <w:tcPr>
            <w:tcW w:w="997" w:type="dxa"/>
            <w:vAlign w:val="bottom"/>
          </w:tcPr>
          <w:p w14:paraId="1CBEE678"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16.422</w:t>
            </w:r>
          </w:p>
        </w:tc>
      </w:tr>
      <w:tr w:rsidR="00385CAF" w:rsidRPr="00EE4C33" w14:paraId="6014814D" w14:textId="77777777" w:rsidTr="003A76BC">
        <w:trPr>
          <w:trHeight w:val="225"/>
        </w:trPr>
        <w:tc>
          <w:tcPr>
            <w:tcW w:w="2017" w:type="dxa"/>
            <w:vAlign w:val="bottom"/>
          </w:tcPr>
          <w:p w14:paraId="231E3C54"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S.E. of regression</w:t>
            </w:r>
          </w:p>
        </w:tc>
        <w:tc>
          <w:tcPr>
            <w:tcW w:w="1103" w:type="dxa"/>
            <w:vAlign w:val="bottom"/>
          </w:tcPr>
          <w:p w14:paraId="59FD24AD"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3.329</w:t>
            </w:r>
          </w:p>
        </w:tc>
        <w:tc>
          <w:tcPr>
            <w:tcW w:w="2415" w:type="dxa"/>
            <w:gridSpan w:val="2"/>
            <w:vAlign w:val="bottom"/>
          </w:tcPr>
          <w:p w14:paraId="5F74E999"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Akaike info criterion</w:t>
            </w:r>
          </w:p>
        </w:tc>
        <w:tc>
          <w:tcPr>
            <w:tcW w:w="997" w:type="dxa"/>
            <w:vAlign w:val="bottom"/>
          </w:tcPr>
          <w:p w14:paraId="233269E0"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5.535</w:t>
            </w:r>
          </w:p>
        </w:tc>
      </w:tr>
      <w:tr w:rsidR="00385CAF" w:rsidRPr="00EE4C33" w14:paraId="1F31D98B" w14:textId="77777777" w:rsidTr="003A76BC">
        <w:trPr>
          <w:trHeight w:val="225"/>
        </w:trPr>
        <w:tc>
          <w:tcPr>
            <w:tcW w:w="2017" w:type="dxa"/>
            <w:vAlign w:val="bottom"/>
          </w:tcPr>
          <w:p w14:paraId="0DB15964"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Sum squared resid</w:t>
            </w:r>
          </w:p>
        </w:tc>
        <w:tc>
          <w:tcPr>
            <w:tcW w:w="1103" w:type="dxa"/>
            <w:vAlign w:val="bottom"/>
          </w:tcPr>
          <w:p w14:paraId="67BF12D0"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199.503</w:t>
            </w:r>
          </w:p>
        </w:tc>
        <w:tc>
          <w:tcPr>
            <w:tcW w:w="2415" w:type="dxa"/>
            <w:gridSpan w:val="2"/>
            <w:vAlign w:val="bottom"/>
          </w:tcPr>
          <w:p w14:paraId="2841AC53"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Schwarz criterion</w:t>
            </w:r>
          </w:p>
        </w:tc>
        <w:tc>
          <w:tcPr>
            <w:tcW w:w="997" w:type="dxa"/>
            <w:vAlign w:val="bottom"/>
          </w:tcPr>
          <w:p w14:paraId="7A7CC22B"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6.559</w:t>
            </w:r>
          </w:p>
        </w:tc>
      </w:tr>
      <w:tr w:rsidR="00385CAF" w:rsidRPr="00EE4C33" w14:paraId="49554D8B" w14:textId="77777777" w:rsidTr="003A76BC">
        <w:trPr>
          <w:trHeight w:val="225"/>
        </w:trPr>
        <w:tc>
          <w:tcPr>
            <w:tcW w:w="2017" w:type="dxa"/>
            <w:vAlign w:val="bottom"/>
          </w:tcPr>
          <w:p w14:paraId="56736EF4"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Log likelihood</w:t>
            </w:r>
          </w:p>
        </w:tc>
        <w:tc>
          <w:tcPr>
            <w:tcW w:w="1103" w:type="dxa"/>
            <w:vAlign w:val="bottom"/>
          </w:tcPr>
          <w:p w14:paraId="25746F18"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-94.009</w:t>
            </w:r>
          </w:p>
        </w:tc>
        <w:tc>
          <w:tcPr>
            <w:tcW w:w="2415" w:type="dxa"/>
            <w:gridSpan w:val="2"/>
            <w:vAlign w:val="bottom"/>
          </w:tcPr>
          <w:p w14:paraId="7ED6A722"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xml:space="preserve">    Hannan-Quinn </w:t>
            </w:r>
            <w:proofErr w:type="spellStart"/>
            <w:r w:rsidRPr="00EE4C33">
              <w:rPr>
                <w:rFonts w:ascii="Arial" w:hAnsi="Arial" w:cs="Arial"/>
                <w:color w:val="000000"/>
              </w:rPr>
              <w:t>criter</w:t>
            </w:r>
            <w:proofErr w:type="spellEnd"/>
            <w:r w:rsidRPr="00EE4C33">
              <w:rPr>
                <w:rFonts w:ascii="Arial" w:hAnsi="Arial" w:cs="Arial"/>
                <w:color w:val="000000"/>
              </w:rPr>
              <w:t>.</w:t>
            </w:r>
          </w:p>
        </w:tc>
        <w:tc>
          <w:tcPr>
            <w:tcW w:w="997" w:type="dxa"/>
            <w:vAlign w:val="bottom"/>
          </w:tcPr>
          <w:p w14:paraId="0BD6C522"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5.913</w:t>
            </w:r>
          </w:p>
        </w:tc>
      </w:tr>
      <w:tr w:rsidR="00385CAF" w:rsidRPr="00EE4C33" w14:paraId="2C29445C" w14:textId="77777777" w:rsidTr="003A76BC">
        <w:trPr>
          <w:trHeight w:val="225"/>
        </w:trPr>
        <w:tc>
          <w:tcPr>
            <w:tcW w:w="2017" w:type="dxa"/>
            <w:vAlign w:val="bottom"/>
          </w:tcPr>
          <w:p w14:paraId="688C9D11"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F-statistic</w:t>
            </w:r>
          </w:p>
        </w:tc>
        <w:tc>
          <w:tcPr>
            <w:tcW w:w="1103" w:type="dxa"/>
            <w:vAlign w:val="bottom"/>
          </w:tcPr>
          <w:p w14:paraId="757291A1"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41.833</w:t>
            </w:r>
          </w:p>
        </w:tc>
        <w:tc>
          <w:tcPr>
            <w:tcW w:w="2415" w:type="dxa"/>
            <w:gridSpan w:val="2"/>
            <w:tcBorders>
              <w:bottom w:val="single" w:sz="4" w:space="0" w:color="auto"/>
            </w:tcBorders>
            <w:vAlign w:val="bottom"/>
          </w:tcPr>
          <w:p w14:paraId="4749C260" w14:textId="77777777" w:rsidR="00385CAF" w:rsidRPr="00EE4C33" w:rsidRDefault="00385CAF" w:rsidP="003A76BC">
            <w:pPr>
              <w:autoSpaceDE w:val="0"/>
              <w:autoSpaceDN w:val="0"/>
              <w:adjustRightInd w:val="0"/>
              <w:ind w:right="10"/>
              <w:rPr>
                <w:rFonts w:ascii="Arial" w:hAnsi="Arial" w:cs="Arial"/>
                <w:color w:val="000000"/>
              </w:rPr>
            </w:pPr>
            <w:r w:rsidRPr="00EE4C33">
              <w:rPr>
                <w:rFonts w:ascii="Arial" w:hAnsi="Arial" w:cs="Arial"/>
                <w:color w:val="000000"/>
              </w:rPr>
              <w:t>    Durbin-Watson stat</w:t>
            </w:r>
          </w:p>
        </w:tc>
        <w:tc>
          <w:tcPr>
            <w:tcW w:w="997" w:type="dxa"/>
            <w:vAlign w:val="bottom"/>
          </w:tcPr>
          <w:p w14:paraId="73B2C47F"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1.936</w:t>
            </w:r>
          </w:p>
        </w:tc>
      </w:tr>
      <w:tr w:rsidR="00385CAF" w:rsidRPr="00EE4C33" w14:paraId="2C8C7328" w14:textId="77777777" w:rsidTr="003A76BC">
        <w:trPr>
          <w:trHeight w:val="225"/>
        </w:trPr>
        <w:tc>
          <w:tcPr>
            <w:tcW w:w="2017" w:type="dxa"/>
            <w:vAlign w:val="bottom"/>
          </w:tcPr>
          <w:p w14:paraId="46303997" w14:textId="77777777" w:rsidR="00385CAF" w:rsidRPr="00EE4C33" w:rsidRDefault="00385CAF" w:rsidP="003A76BC">
            <w:pPr>
              <w:autoSpaceDE w:val="0"/>
              <w:autoSpaceDN w:val="0"/>
              <w:adjustRightInd w:val="0"/>
              <w:rPr>
                <w:rFonts w:ascii="Arial" w:hAnsi="Arial" w:cs="Arial"/>
                <w:color w:val="000000"/>
              </w:rPr>
            </w:pPr>
            <w:r w:rsidRPr="00EE4C33">
              <w:rPr>
                <w:rFonts w:ascii="Arial" w:hAnsi="Arial" w:cs="Arial"/>
                <w:color w:val="000000"/>
              </w:rPr>
              <w:t>Prob(F-statistic)</w:t>
            </w:r>
          </w:p>
        </w:tc>
        <w:tc>
          <w:tcPr>
            <w:tcW w:w="1103" w:type="dxa"/>
            <w:vAlign w:val="bottom"/>
          </w:tcPr>
          <w:p w14:paraId="431E2A3A" w14:textId="77777777" w:rsidR="00385CAF" w:rsidRPr="00EE4C33" w:rsidRDefault="00385CAF" w:rsidP="003A76BC">
            <w:pPr>
              <w:autoSpaceDE w:val="0"/>
              <w:autoSpaceDN w:val="0"/>
              <w:adjustRightInd w:val="0"/>
              <w:ind w:right="10"/>
              <w:jc w:val="right"/>
              <w:rPr>
                <w:rFonts w:ascii="Arial" w:hAnsi="Arial" w:cs="Arial"/>
                <w:color w:val="000000"/>
              </w:rPr>
            </w:pPr>
            <w:r w:rsidRPr="00EE4C33">
              <w:rPr>
                <w:rFonts w:ascii="Arial" w:hAnsi="Arial" w:cs="Arial"/>
                <w:color w:val="000000"/>
              </w:rPr>
              <w:t>0.000</w:t>
            </w:r>
          </w:p>
        </w:tc>
        <w:tc>
          <w:tcPr>
            <w:tcW w:w="1207" w:type="dxa"/>
            <w:tcBorders>
              <w:right w:val="nil"/>
            </w:tcBorders>
            <w:vAlign w:val="bottom"/>
          </w:tcPr>
          <w:p w14:paraId="7746BAC6" w14:textId="77777777" w:rsidR="00385CAF" w:rsidRPr="00EE4C33" w:rsidRDefault="00385CAF" w:rsidP="003A76BC">
            <w:pPr>
              <w:autoSpaceDE w:val="0"/>
              <w:autoSpaceDN w:val="0"/>
              <w:adjustRightInd w:val="0"/>
              <w:ind w:right="10"/>
              <w:jc w:val="center"/>
              <w:rPr>
                <w:rFonts w:ascii="Arial" w:hAnsi="Arial" w:cs="Arial"/>
                <w:color w:val="000000"/>
              </w:rPr>
            </w:pPr>
          </w:p>
        </w:tc>
        <w:tc>
          <w:tcPr>
            <w:tcW w:w="1208" w:type="dxa"/>
            <w:tcBorders>
              <w:left w:val="nil"/>
            </w:tcBorders>
            <w:vAlign w:val="bottom"/>
          </w:tcPr>
          <w:p w14:paraId="6F78379C" w14:textId="77777777" w:rsidR="00385CAF" w:rsidRPr="00EE4C33" w:rsidRDefault="00385CAF" w:rsidP="003A76BC">
            <w:pPr>
              <w:autoSpaceDE w:val="0"/>
              <w:autoSpaceDN w:val="0"/>
              <w:adjustRightInd w:val="0"/>
              <w:ind w:right="10"/>
              <w:jc w:val="center"/>
              <w:rPr>
                <w:rFonts w:ascii="Arial" w:hAnsi="Arial" w:cs="Arial"/>
                <w:color w:val="000000"/>
              </w:rPr>
            </w:pPr>
          </w:p>
        </w:tc>
        <w:tc>
          <w:tcPr>
            <w:tcW w:w="997" w:type="dxa"/>
            <w:vAlign w:val="bottom"/>
          </w:tcPr>
          <w:p w14:paraId="71FA5B46" w14:textId="77777777" w:rsidR="00385CAF" w:rsidRPr="00EE4C33" w:rsidRDefault="00385CAF" w:rsidP="003A76BC">
            <w:pPr>
              <w:autoSpaceDE w:val="0"/>
              <w:autoSpaceDN w:val="0"/>
              <w:adjustRightInd w:val="0"/>
              <w:ind w:right="10"/>
              <w:jc w:val="center"/>
              <w:rPr>
                <w:rFonts w:ascii="Arial" w:hAnsi="Arial" w:cs="Arial"/>
                <w:color w:val="000000"/>
              </w:rPr>
            </w:pPr>
          </w:p>
        </w:tc>
      </w:tr>
    </w:tbl>
    <w:p w14:paraId="232AA092"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Source: Author’s computation using EViews 13 </w:t>
      </w:r>
    </w:p>
    <w:p w14:paraId="355ECF1E" w14:textId="77777777" w:rsidR="00385CAF" w:rsidRPr="00EE4C33" w:rsidRDefault="00385CAF" w:rsidP="00385CAF">
      <w:pPr>
        <w:spacing w:line="360" w:lineRule="auto"/>
        <w:rPr>
          <w:rFonts w:ascii="Arial" w:hAnsi="Arial" w:cs="Arial"/>
          <w:b/>
          <w:bCs/>
        </w:rPr>
      </w:pPr>
      <w:r w:rsidRPr="00EE4C33">
        <w:rPr>
          <w:rFonts w:ascii="Arial" w:hAnsi="Arial" w:cs="Arial"/>
          <w:b/>
          <w:bCs/>
        </w:rPr>
        <w:t>4.4.1 Interpretation of Regressors</w:t>
      </w:r>
    </w:p>
    <w:p w14:paraId="113C6FB8" w14:textId="77777777" w:rsidR="00385CAF" w:rsidRPr="00EE4C33" w:rsidRDefault="00385CAF" w:rsidP="00385CAF">
      <w:pPr>
        <w:jc w:val="both"/>
        <w:rPr>
          <w:rFonts w:ascii="Arial" w:hAnsi="Arial" w:cs="Arial"/>
        </w:rPr>
      </w:pPr>
      <w:r w:rsidRPr="00EE4C33">
        <w:t>The findings indicate that inflation demonstrates considerable inertia, as shown by the first lag of inflation (INF-1), which is positive and highly significant (coefficient = 0.595, p = 0.000). Regarding fiscal variables, the immediate effect of the fiscal deficit (FD) is not significant (p = 0.868); however, the first lag of the fiscal deficit (FD-1) negatively influences current inflation with strong significance (coefficient = -2.850, p = 0.000). Public debt (PD) is significant across all specified lags; the contemporaneous and second-period lags are negative, whereas the first lag (PD-1) has a positive coefficient (coefficient = 2.067, p = 0.000). The interaction between fiscal deficits and public debt (FD*PD) is significantly negative in the contemporaneous period (coefficient = -0.100, p = 0.001) but positive at the first lag (coefficient = 0.061, p = 0.039).</w:t>
      </w:r>
    </w:p>
    <w:p w14:paraId="569693B3" w14:textId="77777777" w:rsidR="00385CAF" w:rsidRPr="00EE4C33" w:rsidRDefault="00385CAF" w:rsidP="00385CAF">
      <w:pPr>
        <w:jc w:val="both"/>
        <w:rPr>
          <w:rFonts w:ascii="Arial" w:hAnsi="Arial" w:cs="Arial"/>
        </w:rPr>
      </w:pPr>
      <w:r w:rsidRPr="00EE4C33">
        <w:lastRenderedPageBreak/>
        <w:t>For the control variables, the exchange rate (LEXR) is highly significant at all lag levels. Broad money growth (M2) has a significant contemporaneous impact (coefficient = 0.228, p = 0.000), although its lags are statistically insignificant. Real GDP growth (RGDPG) shows significant effects at the first lag (positive) and second lag (negative). The lending rate (LR) is significant at its first lag (negative) and second lag (positive), while the contemporaneous effect is insignificant.</w:t>
      </w:r>
    </w:p>
    <w:p w14:paraId="69AD1A28" w14:textId="77777777" w:rsidR="00385CAF" w:rsidRPr="00EE4C33" w:rsidRDefault="00385CAF" w:rsidP="00385CAF">
      <w:pPr>
        <w:jc w:val="both"/>
        <w:rPr>
          <w:rFonts w:ascii="Arial" w:hAnsi="Arial" w:cs="Arial"/>
        </w:rPr>
      </w:pPr>
    </w:p>
    <w:p w14:paraId="30D17275" w14:textId="77777777" w:rsidR="00385CAF" w:rsidRPr="00EE4C33" w:rsidRDefault="00385CAF" w:rsidP="00385CAF">
      <w:pPr>
        <w:spacing w:line="360" w:lineRule="auto"/>
        <w:rPr>
          <w:rFonts w:ascii="Arial" w:hAnsi="Arial" w:cs="Arial"/>
          <w:b/>
          <w:bCs/>
        </w:rPr>
      </w:pPr>
      <w:r w:rsidRPr="00EE4C33">
        <w:rPr>
          <w:rFonts w:ascii="Arial" w:hAnsi="Arial" w:cs="Arial"/>
          <w:b/>
          <w:bCs/>
        </w:rPr>
        <w:t>4.4.2 Structural Break Analysis (Dummy Variables)</w:t>
      </w:r>
    </w:p>
    <w:p w14:paraId="6E20CAFE" w14:textId="77777777" w:rsidR="00385CAF" w:rsidRPr="00EE4C33" w:rsidRDefault="00385CAF" w:rsidP="00385CAF">
      <w:pPr>
        <w:jc w:val="both"/>
        <w:rPr>
          <w:rFonts w:ascii="Arial" w:hAnsi="Arial" w:cs="Arial"/>
        </w:rPr>
      </w:pPr>
      <w:r w:rsidRPr="00EE4C33">
        <w:t xml:space="preserve">The dynamic model includes four structural dummy variables. DUM86, representing the 1986 Structural Adjustment </w:t>
      </w:r>
      <w:proofErr w:type="spellStart"/>
      <w:r w:rsidRPr="00EE4C33">
        <w:t>Programme</w:t>
      </w:r>
      <w:proofErr w:type="spellEnd"/>
      <w:r w:rsidRPr="00EE4C33">
        <w:t>, has a substantial negative coefficient of -23.402 (p = 0.000). This indicates that, all else being equal, inflation was reduced by 23.4 percentage points during this period. DUM88, associated with the oil price shock of 1988-1989, has a sizeable positive coefficient of 47.622 (p = 0.000), suggesting that inflation increased by 47.6 percentage points during this period. DUM90, associated with the Gulf War of 1990-1991, has a positive but statistically insignificant effect of 9.412 (p = 0.180), while DUM92, associated with the political crisis of 1992-1993, has a significant positive coefficient of 14.880 (p = 0.000), indicating a substantial impact on inflation.</w:t>
      </w:r>
    </w:p>
    <w:p w14:paraId="7B185FF7" w14:textId="77777777" w:rsidR="00385CAF" w:rsidRPr="00EE4C33" w:rsidRDefault="00385CAF" w:rsidP="00385CAF">
      <w:pPr>
        <w:spacing w:line="360" w:lineRule="auto"/>
        <w:rPr>
          <w:rFonts w:ascii="Arial" w:hAnsi="Arial" w:cs="Arial"/>
          <w:b/>
          <w:bCs/>
        </w:rPr>
      </w:pPr>
    </w:p>
    <w:p w14:paraId="712683EF" w14:textId="77777777" w:rsidR="00385CAF" w:rsidRPr="00EE4C33" w:rsidRDefault="00385CAF" w:rsidP="00385CAF">
      <w:pPr>
        <w:spacing w:line="360" w:lineRule="auto"/>
        <w:rPr>
          <w:rFonts w:ascii="Arial" w:hAnsi="Arial" w:cs="Arial"/>
          <w:b/>
          <w:bCs/>
        </w:rPr>
      </w:pPr>
      <w:r w:rsidRPr="00EE4C33">
        <w:rPr>
          <w:rFonts w:ascii="Arial" w:hAnsi="Arial" w:cs="Arial"/>
          <w:b/>
          <w:bCs/>
        </w:rPr>
        <w:t>4.5. ARDL Bounds Test for Cointegration</w:t>
      </w:r>
    </w:p>
    <w:p w14:paraId="6DA055BE" w14:textId="77777777" w:rsidR="00385CAF" w:rsidRPr="00EE4C33" w:rsidRDefault="00385CAF" w:rsidP="00385CAF">
      <w:pPr>
        <w:spacing w:line="360" w:lineRule="auto"/>
        <w:rPr>
          <w:rFonts w:ascii="Arial" w:hAnsi="Arial" w:cs="Arial"/>
          <w:b/>
          <w:bCs/>
        </w:rPr>
      </w:pPr>
      <w:r w:rsidRPr="00EE4C33">
        <w:rPr>
          <w:rFonts w:ascii="Arial" w:hAnsi="Arial" w:cs="Arial"/>
          <w:b/>
          <w:bCs/>
        </w:rPr>
        <w:t>Table 5: ARDL Bounds Test Results</w:t>
      </w:r>
    </w:p>
    <w:tbl>
      <w:tblPr>
        <w:tblW w:w="0" w:type="auto"/>
        <w:tblInd w:w="30" w:type="dxa"/>
        <w:tblLayout w:type="fixed"/>
        <w:tblCellMar>
          <w:left w:w="0" w:type="dxa"/>
          <w:right w:w="0" w:type="dxa"/>
        </w:tblCellMar>
        <w:tblLook w:val="0000" w:firstRow="0" w:lastRow="0" w:firstColumn="0" w:lastColumn="0" w:noHBand="0" w:noVBand="0"/>
      </w:tblPr>
      <w:tblGrid>
        <w:gridCol w:w="1282"/>
        <w:gridCol w:w="1103"/>
        <w:gridCol w:w="1102"/>
        <w:gridCol w:w="1103"/>
      </w:tblGrid>
      <w:tr w:rsidR="00385CAF" w:rsidRPr="00EE4C33" w14:paraId="2B7E89A1" w14:textId="77777777" w:rsidTr="003A76BC">
        <w:trPr>
          <w:trHeight w:hRule="exact" w:val="90"/>
        </w:trPr>
        <w:tc>
          <w:tcPr>
            <w:tcW w:w="1282" w:type="dxa"/>
            <w:tcBorders>
              <w:top w:val="nil"/>
              <w:left w:val="nil"/>
              <w:bottom w:val="double" w:sz="6" w:space="2" w:color="auto"/>
              <w:right w:val="nil"/>
            </w:tcBorders>
            <w:vAlign w:val="bottom"/>
          </w:tcPr>
          <w:p w14:paraId="3B0645D9" w14:textId="77777777" w:rsidR="00385CAF" w:rsidRPr="00EE4C33" w:rsidRDefault="00385CAF" w:rsidP="003A76B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7AB257FE" w14:textId="77777777" w:rsidR="00385CAF" w:rsidRPr="00EE4C33" w:rsidRDefault="00385CAF" w:rsidP="003A76BC">
            <w:pPr>
              <w:autoSpaceDE w:val="0"/>
              <w:autoSpaceDN w:val="0"/>
              <w:adjustRightInd w:val="0"/>
              <w:spacing w:line="360" w:lineRule="auto"/>
              <w:rPr>
                <w:rFonts w:ascii="Times New Roman" w:hAnsi="Times New Roman"/>
                <w:sz w:val="24"/>
                <w:szCs w:val="24"/>
              </w:rPr>
            </w:pPr>
          </w:p>
        </w:tc>
        <w:tc>
          <w:tcPr>
            <w:tcW w:w="1102" w:type="dxa"/>
            <w:tcBorders>
              <w:top w:val="nil"/>
              <w:left w:val="nil"/>
              <w:bottom w:val="double" w:sz="6" w:space="2" w:color="auto"/>
              <w:right w:val="nil"/>
            </w:tcBorders>
            <w:vAlign w:val="bottom"/>
          </w:tcPr>
          <w:p w14:paraId="26E69406" w14:textId="77777777" w:rsidR="00385CAF" w:rsidRPr="00EE4C33" w:rsidRDefault="00385CAF" w:rsidP="003A76BC">
            <w:pPr>
              <w:autoSpaceDE w:val="0"/>
              <w:autoSpaceDN w:val="0"/>
              <w:adjustRightInd w:val="0"/>
              <w:spacing w:line="360" w:lineRule="auto"/>
              <w:rPr>
                <w:rFonts w:ascii="Times New Roman" w:hAnsi="Times New Roman"/>
                <w:sz w:val="24"/>
                <w:szCs w:val="24"/>
              </w:rPr>
            </w:pPr>
          </w:p>
        </w:tc>
        <w:tc>
          <w:tcPr>
            <w:tcW w:w="1103" w:type="dxa"/>
            <w:tcBorders>
              <w:top w:val="nil"/>
              <w:left w:val="nil"/>
              <w:bottom w:val="double" w:sz="6" w:space="2" w:color="auto"/>
              <w:right w:val="nil"/>
            </w:tcBorders>
            <w:vAlign w:val="bottom"/>
          </w:tcPr>
          <w:p w14:paraId="76C9819E" w14:textId="77777777" w:rsidR="00385CAF" w:rsidRPr="00EE4C33" w:rsidRDefault="00385CAF" w:rsidP="003A76BC">
            <w:pPr>
              <w:autoSpaceDE w:val="0"/>
              <w:autoSpaceDN w:val="0"/>
              <w:adjustRightInd w:val="0"/>
              <w:spacing w:line="360" w:lineRule="auto"/>
              <w:rPr>
                <w:rFonts w:ascii="Times New Roman" w:hAnsi="Times New Roman"/>
                <w:sz w:val="24"/>
                <w:szCs w:val="24"/>
              </w:rPr>
            </w:pPr>
          </w:p>
        </w:tc>
      </w:tr>
      <w:tr w:rsidR="00385CAF" w:rsidRPr="00EE4C33" w14:paraId="3E07A688" w14:textId="77777777" w:rsidTr="003A76BC">
        <w:trPr>
          <w:trHeight w:hRule="exact" w:val="135"/>
        </w:trPr>
        <w:tc>
          <w:tcPr>
            <w:tcW w:w="1282" w:type="dxa"/>
            <w:tcBorders>
              <w:top w:val="nil"/>
              <w:left w:val="nil"/>
              <w:bottom w:val="nil"/>
              <w:right w:val="nil"/>
            </w:tcBorders>
            <w:vAlign w:val="bottom"/>
          </w:tcPr>
          <w:p w14:paraId="3072A973"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39DB70F4" w14:textId="77777777" w:rsidR="00385CAF" w:rsidRPr="00EE4C33" w:rsidRDefault="00385CAF" w:rsidP="003A76B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328901C1"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4D151D08" w14:textId="77777777" w:rsidR="00385CAF" w:rsidRPr="00EE4C33" w:rsidRDefault="00385CAF" w:rsidP="003A76BC">
            <w:pPr>
              <w:autoSpaceDE w:val="0"/>
              <w:autoSpaceDN w:val="0"/>
              <w:adjustRightInd w:val="0"/>
              <w:spacing w:line="360" w:lineRule="auto"/>
              <w:rPr>
                <w:rFonts w:ascii="Arial" w:hAnsi="Arial" w:cs="Arial"/>
              </w:rPr>
            </w:pPr>
          </w:p>
        </w:tc>
      </w:tr>
      <w:tr w:rsidR="00385CAF" w:rsidRPr="00EE4C33" w14:paraId="1DE1DB4A" w14:textId="77777777" w:rsidTr="003A76BC">
        <w:trPr>
          <w:trHeight w:val="225"/>
        </w:trPr>
        <w:tc>
          <w:tcPr>
            <w:tcW w:w="2385" w:type="dxa"/>
            <w:gridSpan w:val="2"/>
            <w:tcBorders>
              <w:top w:val="nil"/>
              <w:left w:val="nil"/>
              <w:bottom w:val="nil"/>
              <w:right w:val="nil"/>
            </w:tcBorders>
            <w:vAlign w:val="bottom"/>
          </w:tcPr>
          <w:p w14:paraId="468C7517" w14:textId="77777777" w:rsidR="00385CAF" w:rsidRPr="00EE4C33" w:rsidRDefault="00385CAF" w:rsidP="003A76BC">
            <w:pPr>
              <w:autoSpaceDE w:val="0"/>
              <w:autoSpaceDN w:val="0"/>
              <w:adjustRightInd w:val="0"/>
              <w:spacing w:line="360" w:lineRule="auto"/>
              <w:rPr>
                <w:rFonts w:ascii="Arial" w:hAnsi="Arial" w:cs="Arial"/>
              </w:rPr>
            </w:pPr>
            <w:r w:rsidRPr="00EE4C33">
              <w:rPr>
                <w:rFonts w:ascii="Arial" w:hAnsi="Arial" w:cs="Arial"/>
              </w:rPr>
              <w:t>Test Statistic</w:t>
            </w:r>
          </w:p>
        </w:tc>
        <w:tc>
          <w:tcPr>
            <w:tcW w:w="1102" w:type="dxa"/>
            <w:tcBorders>
              <w:top w:val="nil"/>
              <w:left w:val="nil"/>
              <w:bottom w:val="nil"/>
              <w:right w:val="nil"/>
            </w:tcBorders>
            <w:vAlign w:val="bottom"/>
          </w:tcPr>
          <w:p w14:paraId="1574CA5A" w14:textId="77777777" w:rsidR="00385CAF" w:rsidRPr="00EE4C33" w:rsidRDefault="00385CAF" w:rsidP="003A76B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3C838DC0" w14:textId="77777777" w:rsidR="00385CAF" w:rsidRPr="00EE4C33" w:rsidRDefault="00385CAF" w:rsidP="003A76BC">
            <w:pPr>
              <w:autoSpaceDE w:val="0"/>
              <w:autoSpaceDN w:val="0"/>
              <w:adjustRightInd w:val="0"/>
              <w:spacing w:line="360" w:lineRule="auto"/>
              <w:ind w:right="10"/>
              <w:jc w:val="right"/>
              <w:rPr>
                <w:rFonts w:ascii="Arial" w:hAnsi="Arial" w:cs="Arial"/>
              </w:rPr>
            </w:pPr>
            <w:r w:rsidRPr="00EE4C33">
              <w:rPr>
                <w:rFonts w:ascii="Arial" w:hAnsi="Arial" w:cs="Arial"/>
              </w:rPr>
              <w:t>Value</w:t>
            </w:r>
          </w:p>
        </w:tc>
      </w:tr>
      <w:tr w:rsidR="00385CAF" w:rsidRPr="00EE4C33" w14:paraId="0CCA2F53" w14:textId="77777777" w:rsidTr="003A76BC">
        <w:trPr>
          <w:trHeight w:hRule="exact" w:val="90"/>
        </w:trPr>
        <w:tc>
          <w:tcPr>
            <w:tcW w:w="1282" w:type="dxa"/>
            <w:tcBorders>
              <w:top w:val="nil"/>
              <w:left w:val="nil"/>
              <w:bottom w:val="double" w:sz="6" w:space="2" w:color="auto"/>
              <w:right w:val="nil"/>
            </w:tcBorders>
            <w:vAlign w:val="bottom"/>
          </w:tcPr>
          <w:p w14:paraId="7CA665DE"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169EFA80" w14:textId="77777777" w:rsidR="00385CAF" w:rsidRPr="00EE4C33" w:rsidRDefault="00385CAF" w:rsidP="003A76BC">
            <w:pPr>
              <w:autoSpaceDE w:val="0"/>
              <w:autoSpaceDN w:val="0"/>
              <w:adjustRightInd w:val="0"/>
              <w:spacing w:line="360" w:lineRule="auto"/>
              <w:rPr>
                <w:rFonts w:ascii="Arial" w:hAnsi="Arial" w:cs="Arial"/>
              </w:rPr>
            </w:pPr>
          </w:p>
        </w:tc>
        <w:tc>
          <w:tcPr>
            <w:tcW w:w="1102" w:type="dxa"/>
            <w:tcBorders>
              <w:top w:val="nil"/>
              <w:left w:val="nil"/>
              <w:bottom w:val="double" w:sz="6" w:space="2" w:color="auto"/>
              <w:right w:val="nil"/>
            </w:tcBorders>
            <w:vAlign w:val="bottom"/>
          </w:tcPr>
          <w:p w14:paraId="6BFCB5EC"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2" w:color="auto"/>
              <w:right w:val="nil"/>
            </w:tcBorders>
            <w:vAlign w:val="bottom"/>
          </w:tcPr>
          <w:p w14:paraId="58DC0C21" w14:textId="77777777" w:rsidR="00385CAF" w:rsidRPr="00EE4C33" w:rsidRDefault="00385CAF" w:rsidP="003A76BC">
            <w:pPr>
              <w:autoSpaceDE w:val="0"/>
              <w:autoSpaceDN w:val="0"/>
              <w:adjustRightInd w:val="0"/>
              <w:spacing w:line="360" w:lineRule="auto"/>
              <w:rPr>
                <w:rFonts w:ascii="Arial" w:hAnsi="Arial" w:cs="Arial"/>
              </w:rPr>
            </w:pPr>
          </w:p>
        </w:tc>
      </w:tr>
      <w:tr w:rsidR="00385CAF" w:rsidRPr="00EE4C33" w14:paraId="57CCA6EA" w14:textId="77777777" w:rsidTr="003A76BC">
        <w:trPr>
          <w:trHeight w:hRule="exact" w:val="135"/>
        </w:trPr>
        <w:tc>
          <w:tcPr>
            <w:tcW w:w="1282" w:type="dxa"/>
            <w:tcBorders>
              <w:top w:val="nil"/>
              <w:left w:val="nil"/>
              <w:bottom w:val="nil"/>
              <w:right w:val="nil"/>
            </w:tcBorders>
            <w:vAlign w:val="bottom"/>
          </w:tcPr>
          <w:p w14:paraId="438634C1"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0EA2B366" w14:textId="77777777" w:rsidR="00385CAF" w:rsidRPr="00EE4C33" w:rsidRDefault="00385CAF" w:rsidP="003A76BC">
            <w:pPr>
              <w:autoSpaceDE w:val="0"/>
              <w:autoSpaceDN w:val="0"/>
              <w:adjustRightInd w:val="0"/>
              <w:spacing w:line="360" w:lineRule="auto"/>
              <w:rPr>
                <w:rFonts w:ascii="Arial" w:hAnsi="Arial" w:cs="Arial"/>
              </w:rPr>
            </w:pPr>
          </w:p>
        </w:tc>
        <w:tc>
          <w:tcPr>
            <w:tcW w:w="1102" w:type="dxa"/>
            <w:tcBorders>
              <w:top w:val="nil"/>
              <w:left w:val="nil"/>
              <w:bottom w:val="nil"/>
              <w:right w:val="nil"/>
            </w:tcBorders>
            <w:vAlign w:val="bottom"/>
          </w:tcPr>
          <w:p w14:paraId="12C8F705"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nil"/>
              <w:right w:val="nil"/>
            </w:tcBorders>
            <w:vAlign w:val="bottom"/>
          </w:tcPr>
          <w:p w14:paraId="42B93FAD" w14:textId="77777777" w:rsidR="00385CAF" w:rsidRPr="00EE4C33" w:rsidRDefault="00385CAF" w:rsidP="003A76BC">
            <w:pPr>
              <w:autoSpaceDE w:val="0"/>
              <w:autoSpaceDN w:val="0"/>
              <w:adjustRightInd w:val="0"/>
              <w:spacing w:line="360" w:lineRule="auto"/>
              <w:rPr>
                <w:rFonts w:ascii="Arial" w:hAnsi="Arial" w:cs="Arial"/>
              </w:rPr>
            </w:pPr>
          </w:p>
        </w:tc>
      </w:tr>
      <w:tr w:rsidR="00385CAF" w:rsidRPr="00EE4C33" w14:paraId="3F7186CF" w14:textId="77777777" w:rsidTr="003A76BC">
        <w:trPr>
          <w:trHeight w:val="225"/>
        </w:trPr>
        <w:tc>
          <w:tcPr>
            <w:tcW w:w="2385" w:type="dxa"/>
            <w:gridSpan w:val="2"/>
            <w:tcBorders>
              <w:top w:val="nil"/>
              <w:left w:val="nil"/>
              <w:bottom w:val="nil"/>
              <w:right w:val="nil"/>
            </w:tcBorders>
            <w:vAlign w:val="bottom"/>
          </w:tcPr>
          <w:p w14:paraId="612C3B65" w14:textId="77777777" w:rsidR="00385CAF" w:rsidRPr="00EE4C33" w:rsidRDefault="00385CAF" w:rsidP="003A76BC">
            <w:pPr>
              <w:autoSpaceDE w:val="0"/>
              <w:autoSpaceDN w:val="0"/>
              <w:adjustRightInd w:val="0"/>
              <w:spacing w:line="360" w:lineRule="auto"/>
              <w:rPr>
                <w:rFonts w:ascii="Arial" w:hAnsi="Arial" w:cs="Arial"/>
              </w:rPr>
            </w:pPr>
            <w:r w:rsidRPr="00EE4C33">
              <w:rPr>
                <w:rFonts w:ascii="Arial" w:hAnsi="Arial" w:cs="Arial"/>
              </w:rPr>
              <w:t>F-statistic</w:t>
            </w:r>
          </w:p>
        </w:tc>
        <w:tc>
          <w:tcPr>
            <w:tcW w:w="1102" w:type="dxa"/>
            <w:tcBorders>
              <w:top w:val="nil"/>
              <w:left w:val="nil"/>
              <w:bottom w:val="nil"/>
              <w:right w:val="nil"/>
            </w:tcBorders>
            <w:vAlign w:val="bottom"/>
          </w:tcPr>
          <w:p w14:paraId="78EF6A1B" w14:textId="77777777" w:rsidR="00385CAF" w:rsidRPr="00EE4C33" w:rsidRDefault="00385CAF" w:rsidP="003A76BC">
            <w:pPr>
              <w:autoSpaceDE w:val="0"/>
              <w:autoSpaceDN w:val="0"/>
              <w:adjustRightInd w:val="0"/>
              <w:spacing w:line="360" w:lineRule="auto"/>
              <w:jc w:val="center"/>
              <w:rPr>
                <w:rFonts w:ascii="Arial" w:hAnsi="Arial" w:cs="Arial"/>
              </w:rPr>
            </w:pPr>
          </w:p>
        </w:tc>
        <w:tc>
          <w:tcPr>
            <w:tcW w:w="1103" w:type="dxa"/>
            <w:tcBorders>
              <w:top w:val="nil"/>
              <w:left w:val="nil"/>
              <w:bottom w:val="nil"/>
              <w:right w:val="nil"/>
            </w:tcBorders>
            <w:vAlign w:val="bottom"/>
          </w:tcPr>
          <w:p w14:paraId="13C6748A" w14:textId="77777777" w:rsidR="00385CAF" w:rsidRPr="00EE4C33" w:rsidRDefault="00385CAF" w:rsidP="003A76BC">
            <w:pPr>
              <w:autoSpaceDE w:val="0"/>
              <w:autoSpaceDN w:val="0"/>
              <w:adjustRightInd w:val="0"/>
              <w:spacing w:line="360" w:lineRule="auto"/>
              <w:ind w:right="10"/>
              <w:jc w:val="right"/>
              <w:rPr>
                <w:rFonts w:ascii="Arial" w:hAnsi="Arial" w:cs="Arial"/>
              </w:rPr>
            </w:pPr>
            <w:r w:rsidRPr="00EE4C33">
              <w:rPr>
                <w:rFonts w:ascii="Arial" w:hAnsi="Arial" w:cs="Arial"/>
              </w:rPr>
              <w:t>21.829</w:t>
            </w:r>
          </w:p>
        </w:tc>
      </w:tr>
      <w:tr w:rsidR="00385CAF" w:rsidRPr="00EE4C33" w14:paraId="6BB8A11D" w14:textId="77777777" w:rsidTr="003A76BC">
        <w:trPr>
          <w:trHeight w:hRule="exact" w:val="90"/>
        </w:trPr>
        <w:tc>
          <w:tcPr>
            <w:tcW w:w="1282" w:type="dxa"/>
            <w:tcBorders>
              <w:top w:val="nil"/>
              <w:left w:val="nil"/>
              <w:bottom w:val="double" w:sz="6" w:space="0" w:color="auto"/>
              <w:right w:val="nil"/>
            </w:tcBorders>
            <w:vAlign w:val="bottom"/>
          </w:tcPr>
          <w:p w14:paraId="014D8147"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15653E9D" w14:textId="77777777" w:rsidR="00385CAF" w:rsidRPr="00EE4C33" w:rsidRDefault="00385CAF" w:rsidP="003A76BC">
            <w:pPr>
              <w:autoSpaceDE w:val="0"/>
              <w:autoSpaceDN w:val="0"/>
              <w:adjustRightInd w:val="0"/>
              <w:spacing w:line="360" w:lineRule="auto"/>
              <w:rPr>
                <w:rFonts w:ascii="Arial" w:hAnsi="Arial" w:cs="Arial"/>
              </w:rPr>
            </w:pPr>
          </w:p>
        </w:tc>
        <w:tc>
          <w:tcPr>
            <w:tcW w:w="1102" w:type="dxa"/>
            <w:tcBorders>
              <w:top w:val="nil"/>
              <w:left w:val="nil"/>
              <w:bottom w:val="double" w:sz="6" w:space="0" w:color="auto"/>
              <w:right w:val="nil"/>
            </w:tcBorders>
            <w:vAlign w:val="bottom"/>
          </w:tcPr>
          <w:p w14:paraId="681FBAE4" w14:textId="77777777" w:rsidR="00385CAF" w:rsidRPr="00EE4C33" w:rsidRDefault="00385CAF" w:rsidP="003A76BC">
            <w:pPr>
              <w:autoSpaceDE w:val="0"/>
              <w:autoSpaceDN w:val="0"/>
              <w:adjustRightInd w:val="0"/>
              <w:spacing w:line="360" w:lineRule="auto"/>
              <w:rPr>
                <w:rFonts w:ascii="Arial" w:hAnsi="Arial" w:cs="Arial"/>
              </w:rPr>
            </w:pPr>
          </w:p>
        </w:tc>
        <w:tc>
          <w:tcPr>
            <w:tcW w:w="1103" w:type="dxa"/>
            <w:tcBorders>
              <w:top w:val="nil"/>
              <w:left w:val="nil"/>
              <w:bottom w:val="double" w:sz="6" w:space="0" w:color="auto"/>
              <w:right w:val="nil"/>
            </w:tcBorders>
            <w:vAlign w:val="bottom"/>
          </w:tcPr>
          <w:p w14:paraId="2451A877" w14:textId="77777777" w:rsidR="00385CAF" w:rsidRPr="00EE4C33" w:rsidRDefault="00385CAF" w:rsidP="003A76BC">
            <w:pPr>
              <w:autoSpaceDE w:val="0"/>
              <w:autoSpaceDN w:val="0"/>
              <w:adjustRightInd w:val="0"/>
              <w:spacing w:line="360" w:lineRule="auto"/>
              <w:rPr>
                <w:rFonts w:ascii="Arial" w:hAnsi="Arial" w:cs="Arial"/>
              </w:rPr>
            </w:pPr>
          </w:p>
        </w:tc>
      </w:tr>
    </w:tbl>
    <w:p w14:paraId="2509C51B" w14:textId="77777777" w:rsidR="00385CAF" w:rsidRPr="00EE4C33" w:rsidRDefault="00385CAF" w:rsidP="00385CAF">
      <w:pPr>
        <w:pStyle w:val="ListParagraph"/>
        <w:spacing w:after="0" w:line="360" w:lineRule="auto"/>
        <w:ind w:left="1080"/>
        <w:rPr>
          <w:rFonts w:ascii="Arial" w:hAnsi="Arial" w:cs="Arial"/>
          <w:sz w:val="20"/>
          <w:szCs w:val="20"/>
        </w:rPr>
      </w:pPr>
      <w:r w:rsidRPr="00EE4C33">
        <w:rPr>
          <w:rFonts w:ascii="Arial" w:hAnsi="Arial" w:cs="Arial"/>
          <w:b/>
          <w:bCs/>
          <w:sz w:val="20"/>
          <w:szCs w:val="20"/>
          <w:u w:val="single"/>
        </w:rPr>
        <w:t>Bounds Critical Values</w:t>
      </w:r>
    </w:p>
    <w:tbl>
      <w:tblPr>
        <w:tblStyle w:val="TableGrid"/>
        <w:tblW w:w="0" w:type="auto"/>
        <w:tblLook w:val="04A0" w:firstRow="1" w:lastRow="0" w:firstColumn="1" w:lastColumn="0" w:noHBand="0" w:noVBand="1"/>
      </w:tblPr>
      <w:tblGrid>
        <w:gridCol w:w="4673"/>
      </w:tblGrid>
      <w:tr w:rsidR="00385CAF" w:rsidRPr="00EE4C33" w14:paraId="354FF36A" w14:textId="77777777" w:rsidTr="003A76BC">
        <w:tc>
          <w:tcPr>
            <w:tcW w:w="4673" w:type="dxa"/>
          </w:tcPr>
          <w:p w14:paraId="02DB621F" w14:textId="77777777" w:rsidR="00385CAF" w:rsidRPr="00EE4C33" w:rsidRDefault="00385CAF" w:rsidP="003A76BC">
            <w:pPr>
              <w:spacing w:line="360" w:lineRule="auto"/>
              <w:rPr>
                <w:rFonts w:ascii="Arial" w:hAnsi="Arial" w:cs="Arial"/>
                <w:sz w:val="20"/>
                <w:szCs w:val="20"/>
              </w:rPr>
            </w:pPr>
            <w:proofErr w:type="spellStart"/>
            <w:r w:rsidRPr="00EE4C33">
              <w:rPr>
                <w:rFonts w:ascii="Arial" w:hAnsi="Arial" w:cs="Arial"/>
                <w:sz w:val="20"/>
                <w:szCs w:val="20"/>
              </w:rPr>
              <w:t>Signif</w:t>
            </w:r>
            <w:proofErr w:type="spellEnd"/>
            <w:r w:rsidRPr="00EE4C33">
              <w:rPr>
                <w:rFonts w:ascii="Arial" w:hAnsi="Arial" w:cs="Arial"/>
                <w:sz w:val="20"/>
                <w:szCs w:val="20"/>
              </w:rPr>
              <w:t>.</w:t>
            </w:r>
            <w:r w:rsidRPr="00EE4C33">
              <w:rPr>
                <w:rFonts w:ascii="Arial" w:hAnsi="Arial" w:cs="Arial"/>
                <w:sz w:val="20"/>
                <w:szCs w:val="20"/>
              </w:rPr>
              <w:tab/>
            </w:r>
            <w:r w:rsidRPr="00EE4C33">
              <w:rPr>
                <w:rFonts w:ascii="Arial" w:hAnsi="Arial" w:cs="Arial"/>
                <w:sz w:val="20"/>
                <w:szCs w:val="20"/>
              </w:rPr>
              <w:tab/>
            </w:r>
            <w:proofErr w:type="gramStart"/>
            <w:r w:rsidRPr="00EE4C33">
              <w:rPr>
                <w:rFonts w:ascii="Arial" w:hAnsi="Arial" w:cs="Arial"/>
                <w:sz w:val="20"/>
                <w:szCs w:val="20"/>
              </w:rPr>
              <w:t>I(</w:t>
            </w:r>
            <w:proofErr w:type="gramEnd"/>
            <w:r w:rsidRPr="00EE4C33">
              <w:rPr>
                <w:rFonts w:ascii="Arial" w:hAnsi="Arial" w:cs="Arial"/>
                <w:sz w:val="20"/>
                <w:szCs w:val="20"/>
              </w:rPr>
              <w:t>0) Bound</w:t>
            </w:r>
            <w:r w:rsidRPr="00EE4C33">
              <w:rPr>
                <w:rFonts w:ascii="Arial" w:hAnsi="Arial" w:cs="Arial"/>
                <w:sz w:val="20"/>
                <w:szCs w:val="20"/>
              </w:rPr>
              <w:tab/>
            </w:r>
            <w:proofErr w:type="gramStart"/>
            <w:r w:rsidRPr="00EE4C33">
              <w:rPr>
                <w:rFonts w:ascii="Arial" w:hAnsi="Arial" w:cs="Arial"/>
                <w:sz w:val="20"/>
                <w:szCs w:val="20"/>
              </w:rPr>
              <w:t>I(</w:t>
            </w:r>
            <w:proofErr w:type="gramEnd"/>
            <w:r w:rsidRPr="00EE4C33">
              <w:rPr>
                <w:rFonts w:ascii="Arial" w:hAnsi="Arial" w:cs="Arial"/>
                <w:sz w:val="20"/>
                <w:szCs w:val="20"/>
              </w:rPr>
              <w:t>1) Bound</w:t>
            </w:r>
          </w:p>
        </w:tc>
      </w:tr>
      <w:tr w:rsidR="00385CAF" w:rsidRPr="00EE4C33" w14:paraId="644C7C49" w14:textId="77777777" w:rsidTr="003A76BC">
        <w:tc>
          <w:tcPr>
            <w:tcW w:w="4673" w:type="dxa"/>
          </w:tcPr>
          <w:p w14:paraId="5739ED2B"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10%</w:t>
            </w:r>
            <w:r w:rsidRPr="00EE4C33">
              <w:rPr>
                <w:rFonts w:ascii="Arial" w:hAnsi="Arial" w:cs="Arial"/>
                <w:sz w:val="20"/>
                <w:szCs w:val="20"/>
              </w:rPr>
              <w:tab/>
            </w:r>
            <w:r w:rsidRPr="00EE4C33">
              <w:rPr>
                <w:rFonts w:ascii="Arial" w:hAnsi="Arial" w:cs="Arial"/>
                <w:sz w:val="20"/>
                <w:szCs w:val="20"/>
              </w:rPr>
              <w:tab/>
              <w:t>2.131</w:t>
            </w:r>
            <w:r w:rsidRPr="00EE4C33">
              <w:rPr>
                <w:rFonts w:ascii="Arial" w:hAnsi="Arial" w:cs="Arial"/>
                <w:sz w:val="20"/>
                <w:szCs w:val="20"/>
              </w:rPr>
              <w:tab/>
            </w:r>
            <w:r w:rsidRPr="00EE4C33">
              <w:rPr>
                <w:rFonts w:ascii="Arial" w:hAnsi="Arial" w:cs="Arial"/>
                <w:sz w:val="20"/>
                <w:szCs w:val="20"/>
              </w:rPr>
              <w:tab/>
              <w:t>3.223</w:t>
            </w:r>
          </w:p>
        </w:tc>
      </w:tr>
      <w:tr w:rsidR="00385CAF" w:rsidRPr="00EE4C33" w14:paraId="397C14C1" w14:textId="77777777" w:rsidTr="003A76BC">
        <w:tc>
          <w:tcPr>
            <w:tcW w:w="4673" w:type="dxa"/>
          </w:tcPr>
          <w:p w14:paraId="6548EB69"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5%</w:t>
            </w:r>
            <w:r w:rsidRPr="00EE4C33">
              <w:rPr>
                <w:rFonts w:ascii="Arial" w:hAnsi="Arial" w:cs="Arial"/>
                <w:sz w:val="20"/>
                <w:szCs w:val="20"/>
              </w:rPr>
              <w:tab/>
            </w:r>
            <w:r w:rsidRPr="00EE4C33">
              <w:rPr>
                <w:rFonts w:ascii="Arial" w:hAnsi="Arial" w:cs="Arial"/>
                <w:sz w:val="20"/>
                <w:szCs w:val="20"/>
              </w:rPr>
              <w:tab/>
              <w:t>2.504</w:t>
            </w:r>
            <w:r w:rsidRPr="00EE4C33">
              <w:rPr>
                <w:rFonts w:ascii="Arial" w:hAnsi="Arial" w:cs="Arial"/>
                <w:sz w:val="20"/>
                <w:szCs w:val="20"/>
              </w:rPr>
              <w:tab/>
            </w:r>
            <w:r w:rsidRPr="00EE4C33">
              <w:rPr>
                <w:rFonts w:ascii="Arial" w:hAnsi="Arial" w:cs="Arial"/>
                <w:sz w:val="20"/>
                <w:szCs w:val="20"/>
              </w:rPr>
              <w:tab/>
              <w:t>3.723</w:t>
            </w:r>
          </w:p>
        </w:tc>
      </w:tr>
      <w:tr w:rsidR="00385CAF" w:rsidRPr="00EE4C33" w14:paraId="54A95460" w14:textId="77777777" w:rsidTr="003A76BC">
        <w:tc>
          <w:tcPr>
            <w:tcW w:w="4673" w:type="dxa"/>
          </w:tcPr>
          <w:p w14:paraId="68350262"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1%</w:t>
            </w:r>
            <w:r w:rsidRPr="00EE4C33">
              <w:rPr>
                <w:rFonts w:ascii="Arial" w:hAnsi="Arial" w:cs="Arial"/>
                <w:sz w:val="20"/>
                <w:szCs w:val="20"/>
              </w:rPr>
              <w:tab/>
            </w:r>
            <w:r w:rsidRPr="00EE4C33">
              <w:rPr>
                <w:rFonts w:ascii="Arial" w:hAnsi="Arial" w:cs="Arial"/>
                <w:sz w:val="20"/>
                <w:szCs w:val="20"/>
              </w:rPr>
              <w:tab/>
              <w:t>3.383</w:t>
            </w:r>
            <w:r w:rsidRPr="00EE4C33">
              <w:rPr>
                <w:rFonts w:ascii="Arial" w:hAnsi="Arial" w:cs="Arial"/>
                <w:sz w:val="20"/>
                <w:szCs w:val="20"/>
              </w:rPr>
              <w:tab/>
            </w:r>
            <w:r w:rsidRPr="00EE4C33">
              <w:rPr>
                <w:rFonts w:ascii="Arial" w:hAnsi="Arial" w:cs="Arial"/>
                <w:sz w:val="20"/>
                <w:szCs w:val="20"/>
              </w:rPr>
              <w:tab/>
              <w:t>4.832</w:t>
            </w:r>
          </w:p>
        </w:tc>
      </w:tr>
    </w:tbl>
    <w:p w14:paraId="7F16BA7E"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Source: Author’s computation using EViews 13 </w:t>
      </w:r>
    </w:p>
    <w:p w14:paraId="25FD68E3" w14:textId="77777777" w:rsidR="00385CAF" w:rsidRPr="00EE4C33" w:rsidRDefault="00385CAF" w:rsidP="00385CAF">
      <w:pPr>
        <w:jc w:val="both"/>
        <w:rPr>
          <w:rFonts w:ascii="Arial" w:hAnsi="Arial" w:cs="Arial"/>
        </w:rPr>
      </w:pPr>
      <w:r w:rsidRPr="00EE4C33">
        <w:t xml:space="preserve">The existence of a long-run relationship was confirmed using the bounds test for cointegration. The computed F-statistic for cointegration is 21.828, as </w:t>
      </w:r>
      <w:proofErr w:type="spellStart"/>
      <w:r w:rsidRPr="00EE4C33">
        <w:t>summarised</w:t>
      </w:r>
      <w:proofErr w:type="spellEnd"/>
      <w:r w:rsidRPr="00EE4C33">
        <w:t xml:space="preserve"> in Table 5. This exceeds the </w:t>
      </w:r>
      <w:proofErr w:type="gramStart"/>
      <w:r w:rsidRPr="00EE4C33">
        <w:t>I(</w:t>
      </w:r>
      <w:proofErr w:type="gramEnd"/>
      <w:r w:rsidRPr="00EE4C33">
        <w:t>1) critical value of 4.832 at the 1% significance level and 3.723 at the 5% significance level. Therefore, the null hypothesis of no cointegration is rejected, confirming the presence of a cointegrating relationship.</w:t>
      </w:r>
    </w:p>
    <w:p w14:paraId="05ADA2B6" w14:textId="77777777" w:rsidR="00385CAF" w:rsidRPr="00EE4C33" w:rsidRDefault="00385CAF" w:rsidP="00385CAF">
      <w:pPr>
        <w:spacing w:line="360" w:lineRule="auto"/>
        <w:rPr>
          <w:rFonts w:ascii="Arial" w:hAnsi="Arial" w:cs="Arial"/>
          <w:b/>
          <w:bCs/>
        </w:rPr>
      </w:pPr>
      <w:r w:rsidRPr="00EE4C33">
        <w:rPr>
          <w:rFonts w:ascii="Arial" w:hAnsi="Arial" w:cs="Arial"/>
          <w:b/>
          <w:bCs/>
        </w:rPr>
        <w:t>4.6. Long-Run Estimation Results</w:t>
      </w:r>
    </w:p>
    <w:p w14:paraId="7147D636" w14:textId="77777777" w:rsidR="00385CAF" w:rsidRPr="00EE4C33" w:rsidRDefault="00385CAF" w:rsidP="00385CAF">
      <w:pPr>
        <w:jc w:val="both"/>
        <w:rPr>
          <w:rFonts w:ascii="Arial" w:hAnsi="Arial" w:cs="Arial"/>
        </w:rPr>
      </w:pPr>
      <w:r w:rsidRPr="00EE4C33">
        <w:t>The long-run coefficients estimated from the ARDL model are presented in Table 6. Both fiscal deficit (FD) and public debt (PD) have significant negative long-run effects on inflation, with coefficients of -7.232 (p = 0.0105) and -0.766 (p = 0.045), respectively. The interaction term (FD*PD) has a negative but insignificant long-run coefficient (-0.096, p = 0.173). The control variables are all positively and significantly associated with inflation in the long run: exchange rate (LEXR, coefficient = 4.657, p = 0.0003), money supply (M2, coefficient = 0.926, p = 0.0003), and lending rate (LR, coefficient = 4.254, p = 0.0003). Real GDP growth (RGDPG) is an insignificant long-run determinant of inflation (p = 0.913).</w:t>
      </w:r>
    </w:p>
    <w:p w14:paraId="6BF1DB5D" w14:textId="77777777" w:rsidR="00385CAF" w:rsidRPr="00EE4C33" w:rsidRDefault="00385CAF" w:rsidP="00385CAF">
      <w:pPr>
        <w:spacing w:line="360" w:lineRule="auto"/>
        <w:rPr>
          <w:rFonts w:ascii="Arial" w:hAnsi="Arial" w:cs="Arial"/>
          <w:b/>
          <w:bCs/>
        </w:rPr>
      </w:pPr>
      <w:r w:rsidRPr="00EE4C33">
        <w:rPr>
          <w:rFonts w:ascii="Arial" w:hAnsi="Arial" w:cs="Arial"/>
          <w:b/>
          <w:bCs/>
        </w:rPr>
        <w:t>Table 6: Long-Run Coefficients (Dependent Variable: INF)</w:t>
      </w:r>
    </w:p>
    <w:tbl>
      <w:tblPr>
        <w:tblStyle w:val="TableGrid"/>
        <w:tblW w:w="0" w:type="auto"/>
        <w:tblLook w:val="04A0" w:firstRow="1" w:lastRow="0" w:firstColumn="1" w:lastColumn="0" w:noHBand="0" w:noVBand="1"/>
      </w:tblPr>
      <w:tblGrid>
        <w:gridCol w:w="6799"/>
      </w:tblGrid>
      <w:tr w:rsidR="00385CAF" w:rsidRPr="00EE4C33" w14:paraId="239CF49D" w14:textId="77777777" w:rsidTr="003A76BC">
        <w:tc>
          <w:tcPr>
            <w:tcW w:w="6799" w:type="dxa"/>
          </w:tcPr>
          <w:p w14:paraId="3879617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lastRenderedPageBreak/>
              <w:t>Variable</w:t>
            </w:r>
            <w:r w:rsidRPr="00EE4C33">
              <w:rPr>
                <w:rFonts w:ascii="Arial" w:hAnsi="Arial" w:cs="Arial"/>
                <w:sz w:val="20"/>
                <w:szCs w:val="20"/>
              </w:rPr>
              <w:tab/>
              <w:t>Coefficient</w:t>
            </w:r>
            <w:r w:rsidRPr="00EE4C33">
              <w:rPr>
                <w:rFonts w:ascii="Arial" w:hAnsi="Arial" w:cs="Arial"/>
                <w:sz w:val="20"/>
                <w:szCs w:val="20"/>
              </w:rPr>
              <w:tab/>
              <w:t>Std. Error</w:t>
            </w:r>
            <w:r w:rsidRPr="00EE4C33">
              <w:rPr>
                <w:rFonts w:ascii="Arial" w:hAnsi="Arial" w:cs="Arial"/>
                <w:sz w:val="20"/>
                <w:szCs w:val="20"/>
              </w:rPr>
              <w:tab/>
              <w:t>t-Statistic</w:t>
            </w:r>
            <w:r w:rsidRPr="00EE4C33">
              <w:rPr>
                <w:rFonts w:ascii="Arial" w:hAnsi="Arial" w:cs="Arial"/>
                <w:sz w:val="20"/>
                <w:szCs w:val="20"/>
              </w:rPr>
              <w:tab/>
              <w:t>Prob.</w:t>
            </w:r>
          </w:p>
        </w:tc>
      </w:tr>
      <w:tr w:rsidR="00385CAF" w:rsidRPr="00EE4C33" w14:paraId="3D1C588B" w14:textId="77777777" w:rsidTr="003A76BC">
        <w:tc>
          <w:tcPr>
            <w:tcW w:w="6799" w:type="dxa"/>
          </w:tcPr>
          <w:p w14:paraId="5760F17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FD</w:t>
            </w:r>
            <w:r w:rsidRPr="00EE4C33">
              <w:rPr>
                <w:rFonts w:ascii="Arial" w:hAnsi="Arial" w:cs="Arial"/>
                <w:sz w:val="20"/>
                <w:szCs w:val="20"/>
              </w:rPr>
              <w:tab/>
            </w:r>
            <w:r w:rsidRPr="00EE4C33">
              <w:rPr>
                <w:rFonts w:ascii="Arial" w:hAnsi="Arial" w:cs="Arial"/>
                <w:sz w:val="20"/>
                <w:szCs w:val="20"/>
              </w:rPr>
              <w:tab/>
              <w:t xml:space="preserve">-7.233   </w:t>
            </w:r>
            <w:r w:rsidRPr="00EE4C33">
              <w:rPr>
                <w:rFonts w:ascii="Arial" w:hAnsi="Arial" w:cs="Arial"/>
                <w:sz w:val="20"/>
                <w:szCs w:val="20"/>
              </w:rPr>
              <w:tab/>
              <w:t xml:space="preserve">2.675    </w:t>
            </w:r>
            <w:r w:rsidRPr="00EE4C33">
              <w:rPr>
                <w:rFonts w:ascii="Arial" w:hAnsi="Arial" w:cs="Arial"/>
                <w:sz w:val="20"/>
                <w:szCs w:val="20"/>
              </w:rPr>
              <w:tab/>
              <w:t xml:space="preserve">-2.704   </w:t>
            </w:r>
            <w:r w:rsidRPr="00EE4C33">
              <w:rPr>
                <w:rFonts w:ascii="Arial" w:hAnsi="Arial" w:cs="Arial"/>
                <w:sz w:val="20"/>
                <w:szCs w:val="20"/>
              </w:rPr>
              <w:tab/>
              <w:t>0.011</w:t>
            </w:r>
          </w:p>
        </w:tc>
      </w:tr>
      <w:tr w:rsidR="00385CAF" w:rsidRPr="00EE4C33" w14:paraId="054C2F76" w14:textId="77777777" w:rsidTr="003A76BC">
        <w:tc>
          <w:tcPr>
            <w:tcW w:w="6799" w:type="dxa"/>
          </w:tcPr>
          <w:p w14:paraId="037D9F12"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PD</w:t>
            </w:r>
            <w:r w:rsidRPr="00EE4C33">
              <w:rPr>
                <w:rFonts w:ascii="Arial" w:hAnsi="Arial" w:cs="Arial"/>
                <w:sz w:val="20"/>
                <w:szCs w:val="20"/>
              </w:rPr>
              <w:tab/>
            </w:r>
            <w:r w:rsidRPr="00EE4C33">
              <w:rPr>
                <w:rFonts w:ascii="Arial" w:hAnsi="Arial" w:cs="Arial"/>
                <w:sz w:val="20"/>
                <w:szCs w:val="20"/>
              </w:rPr>
              <w:tab/>
              <w:t xml:space="preserve">-0.766   </w:t>
            </w:r>
            <w:r w:rsidRPr="00EE4C33">
              <w:rPr>
                <w:rFonts w:ascii="Arial" w:hAnsi="Arial" w:cs="Arial"/>
                <w:sz w:val="20"/>
                <w:szCs w:val="20"/>
              </w:rPr>
              <w:tab/>
              <w:t xml:space="preserve">0.369    </w:t>
            </w:r>
            <w:r w:rsidRPr="00EE4C33">
              <w:rPr>
                <w:rFonts w:ascii="Arial" w:hAnsi="Arial" w:cs="Arial"/>
                <w:sz w:val="20"/>
                <w:szCs w:val="20"/>
              </w:rPr>
              <w:tab/>
              <w:t xml:space="preserve">-2.077   </w:t>
            </w:r>
            <w:r w:rsidRPr="00EE4C33">
              <w:rPr>
                <w:rFonts w:ascii="Arial" w:hAnsi="Arial" w:cs="Arial"/>
                <w:sz w:val="20"/>
                <w:szCs w:val="20"/>
              </w:rPr>
              <w:tab/>
              <w:t>0.045</w:t>
            </w:r>
          </w:p>
        </w:tc>
      </w:tr>
      <w:tr w:rsidR="00385CAF" w:rsidRPr="00EE4C33" w14:paraId="728C479C" w14:textId="77777777" w:rsidTr="003A76BC">
        <w:tc>
          <w:tcPr>
            <w:tcW w:w="6799" w:type="dxa"/>
          </w:tcPr>
          <w:p w14:paraId="56C5850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 xml:space="preserve">FD_PD   </w:t>
            </w:r>
            <w:r w:rsidRPr="00EE4C33">
              <w:rPr>
                <w:rFonts w:ascii="Arial" w:hAnsi="Arial" w:cs="Arial"/>
                <w:sz w:val="20"/>
                <w:szCs w:val="20"/>
              </w:rPr>
              <w:tab/>
              <w:t xml:space="preserve">-0.096   </w:t>
            </w:r>
            <w:r w:rsidRPr="00EE4C33">
              <w:rPr>
                <w:rFonts w:ascii="Arial" w:hAnsi="Arial" w:cs="Arial"/>
                <w:sz w:val="20"/>
                <w:szCs w:val="20"/>
              </w:rPr>
              <w:tab/>
              <w:t xml:space="preserve">0.069    </w:t>
            </w:r>
            <w:r w:rsidRPr="00EE4C33">
              <w:rPr>
                <w:rFonts w:ascii="Arial" w:hAnsi="Arial" w:cs="Arial"/>
                <w:sz w:val="20"/>
                <w:szCs w:val="20"/>
              </w:rPr>
              <w:tab/>
              <w:t xml:space="preserve">-1.390   </w:t>
            </w:r>
            <w:r w:rsidRPr="00EE4C33">
              <w:rPr>
                <w:rFonts w:ascii="Arial" w:hAnsi="Arial" w:cs="Arial"/>
                <w:sz w:val="20"/>
                <w:szCs w:val="20"/>
              </w:rPr>
              <w:tab/>
              <w:t>0.173</w:t>
            </w:r>
          </w:p>
        </w:tc>
      </w:tr>
      <w:tr w:rsidR="00385CAF" w:rsidRPr="00EE4C33" w14:paraId="548AC0D9" w14:textId="77777777" w:rsidTr="003A76BC">
        <w:tc>
          <w:tcPr>
            <w:tcW w:w="6799" w:type="dxa"/>
          </w:tcPr>
          <w:p w14:paraId="0AA41A1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LEXR</w:t>
            </w:r>
            <w:r w:rsidRPr="00EE4C33">
              <w:rPr>
                <w:rFonts w:ascii="Arial" w:hAnsi="Arial" w:cs="Arial"/>
                <w:sz w:val="20"/>
                <w:szCs w:val="20"/>
              </w:rPr>
              <w:tab/>
            </w:r>
            <w:r w:rsidRPr="00EE4C33">
              <w:rPr>
                <w:rFonts w:ascii="Arial" w:hAnsi="Arial" w:cs="Arial"/>
                <w:sz w:val="20"/>
                <w:szCs w:val="20"/>
              </w:rPr>
              <w:tab/>
              <w:t xml:space="preserve"> 4.658    </w:t>
            </w:r>
            <w:r w:rsidRPr="00EE4C33">
              <w:rPr>
                <w:rFonts w:ascii="Arial" w:hAnsi="Arial" w:cs="Arial"/>
                <w:sz w:val="20"/>
                <w:szCs w:val="20"/>
              </w:rPr>
              <w:tab/>
              <w:t xml:space="preserve">1.156    </w:t>
            </w:r>
            <w:r w:rsidRPr="00EE4C33">
              <w:rPr>
                <w:rFonts w:ascii="Arial" w:hAnsi="Arial" w:cs="Arial"/>
                <w:sz w:val="20"/>
                <w:szCs w:val="20"/>
              </w:rPr>
              <w:tab/>
              <w:t xml:space="preserve"> 4.030   </w:t>
            </w:r>
            <w:r w:rsidRPr="00EE4C33">
              <w:rPr>
                <w:rFonts w:ascii="Arial" w:hAnsi="Arial" w:cs="Arial"/>
                <w:sz w:val="20"/>
                <w:szCs w:val="20"/>
              </w:rPr>
              <w:tab/>
              <w:t>0.000</w:t>
            </w:r>
          </w:p>
        </w:tc>
      </w:tr>
      <w:tr w:rsidR="00385CAF" w:rsidRPr="00EE4C33" w14:paraId="462FAAB3" w14:textId="77777777" w:rsidTr="003A76BC">
        <w:tc>
          <w:tcPr>
            <w:tcW w:w="6799" w:type="dxa"/>
          </w:tcPr>
          <w:p w14:paraId="6A15176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M2</w:t>
            </w:r>
            <w:r w:rsidRPr="00EE4C33">
              <w:rPr>
                <w:rFonts w:ascii="Arial" w:hAnsi="Arial" w:cs="Arial"/>
                <w:sz w:val="20"/>
                <w:szCs w:val="20"/>
              </w:rPr>
              <w:tab/>
            </w:r>
            <w:r w:rsidRPr="00EE4C33">
              <w:rPr>
                <w:rFonts w:ascii="Arial" w:hAnsi="Arial" w:cs="Arial"/>
                <w:sz w:val="20"/>
                <w:szCs w:val="20"/>
              </w:rPr>
              <w:tab/>
              <w:t xml:space="preserve"> 0.927    </w:t>
            </w:r>
            <w:r w:rsidRPr="00EE4C33">
              <w:rPr>
                <w:rFonts w:ascii="Arial" w:hAnsi="Arial" w:cs="Arial"/>
                <w:sz w:val="20"/>
                <w:szCs w:val="20"/>
              </w:rPr>
              <w:tab/>
              <w:t xml:space="preserve">0.232    </w:t>
            </w:r>
            <w:r w:rsidRPr="00EE4C33">
              <w:rPr>
                <w:rFonts w:ascii="Arial" w:hAnsi="Arial" w:cs="Arial"/>
                <w:sz w:val="20"/>
                <w:szCs w:val="20"/>
              </w:rPr>
              <w:tab/>
              <w:t xml:space="preserve">3.991    </w:t>
            </w:r>
            <w:r w:rsidRPr="00EE4C33">
              <w:rPr>
                <w:rFonts w:ascii="Arial" w:hAnsi="Arial" w:cs="Arial"/>
                <w:sz w:val="20"/>
                <w:szCs w:val="20"/>
              </w:rPr>
              <w:tab/>
              <w:t>0.000</w:t>
            </w:r>
          </w:p>
        </w:tc>
      </w:tr>
      <w:tr w:rsidR="00385CAF" w:rsidRPr="00EE4C33" w14:paraId="0066D14C" w14:textId="77777777" w:rsidTr="003A76BC">
        <w:tc>
          <w:tcPr>
            <w:tcW w:w="6799" w:type="dxa"/>
          </w:tcPr>
          <w:p w14:paraId="2DB47E8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RGDPG</w:t>
            </w:r>
            <w:r w:rsidRPr="00EE4C33">
              <w:rPr>
                <w:rFonts w:ascii="Arial" w:hAnsi="Arial" w:cs="Arial"/>
                <w:sz w:val="20"/>
                <w:szCs w:val="20"/>
              </w:rPr>
              <w:tab/>
              <w:t xml:space="preserve">-0.080   </w:t>
            </w:r>
            <w:r w:rsidRPr="00EE4C33">
              <w:rPr>
                <w:rFonts w:ascii="Arial" w:hAnsi="Arial" w:cs="Arial"/>
                <w:sz w:val="20"/>
                <w:szCs w:val="20"/>
              </w:rPr>
              <w:tab/>
              <w:t xml:space="preserve">0.723    </w:t>
            </w:r>
            <w:r w:rsidRPr="00EE4C33">
              <w:rPr>
                <w:rFonts w:ascii="Arial" w:hAnsi="Arial" w:cs="Arial"/>
                <w:sz w:val="20"/>
                <w:szCs w:val="20"/>
              </w:rPr>
              <w:tab/>
              <w:t xml:space="preserve">-0.110   </w:t>
            </w:r>
            <w:r w:rsidRPr="00EE4C33">
              <w:rPr>
                <w:rFonts w:ascii="Arial" w:hAnsi="Arial" w:cs="Arial"/>
                <w:sz w:val="20"/>
                <w:szCs w:val="20"/>
              </w:rPr>
              <w:tab/>
              <w:t>0.913</w:t>
            </w:r>
          </w:p>
        </w:tc>
      </w:tr>
      <w:tr w:rsidR="00385CAF" w:rsidRPr="00EE4C33" w14:paraId="2B985051" w14:textId="77777777" w:rsidTr="003A76BC">
        <w:tc>
          <w:tcPr>
            <w:tcW w:w="6799" w:type="dxa"/>
          </w:tcPr>
          <w:p w14:paraId="0377F255"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LR</w:t>
            </w:r>
            <w:r w:rsidRPr="00EE4C33">
              <w:rPr>
                <w:rFonts w:ascii="Arial" w:hAnsi="Arial" w:cs="Arial"/>
                <w:sz w:val="20"/>
                <w:szCs w:val="20"/>
              </w:rPr>
              <w:tab/>
            </w:r>
            <w:r w:rsidRPr="00EE4C33">
              <w:rPr>
                <w:rFonts w:ascii="Arial" w:hAnsi="Arial" w:cs="Arial"/>
                <w:sz w:val="20"/>
                <w:szCs w:val="20"/>
              </w:rPr>
              <w:tab/>
              <w:t xml:space="preserve"> 4.254   </w:t>
            </w:r>
            <w:r w:rsidRPr="00EE4C33">
              <w:rPr>
                <w:rFonts w:ascii="Arial" w:hAnsi="Arial" w:cs="Arial"/>
                <w:sz w:val="20"/>
                <w:szCs w:val="20"/>
              </w:rPr>
              <w:tab/>
              <w:t xml:space="preserve">1.045    </w:t>
            </w:r>
            <w:r w:rsidRPr="00EE4C33">
              <w:rPr>
                <w:rFonts w:ascii="Arial" w:hAnsi="Arial" w:cs="Arial"/>
                <w:sz w:val="20"/>
                <w:szCs w:val="20"/>
              </w:rPr>
              <w:tab/>
              <w:t xml:space="preserve"> 4.072   </w:t>
            </w:r>
            <w:r w:rsidRPr="00EE4C33">
              <w:rPr>
                <w:rFonts w:ascii="Arial" w:hAnsi="Arial" w:cs="Arial"/>
                <w:sz w:val="20"/>
                <w:szCs w:val="20"/>
              </w:rPr>
              <w:tab/>
              <w:t>0.000</w:t>
            </w:r>
          </w:p>
        </w:tc>
      </w:tr>
      <w:tr w:rsidR="00385CAF" w:rsidRPr="00EE4C33" w14:paraId="05599D2B" w14:textId="77777777" w:rsidTr="003A76BC">
        <w:tc>
          <w:tcPr>
            <w:tcW w:w="6799" w:type="dxa"/>
          </w:tcPr>
          <w:p w14:paraId="0D4E0670"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C</w:t>
            </w:r>
            <w:r w:rsidRPr="00EE4C33">
              <w:rPr>
                <w:rFonts w:ascii="Arial" w:hAnsi="Arial" w:cs="Arial"/>
                <w:sz w:val="20"/>
                <w:szCs w:val="20"/>
              </w:rPr>
              <w:tab/>
              <w:t xml:space="preserve">         -106.058</w:t>
            </w:r>
            <w:r w:rsidRPr="00EE4C33">
              <w:rPr>
                <w:rFonts w:ascii="Arial" w:hAnsi="Arial" w:cs="Arial"/>
                <w:sz w:val="20"/>
                <w:szCs w:val="20"/>
              </w:rPr>
              <w:tab/>
              <w:t xml:space="preserve">             </w:t>
            </w:r>
            <w:proofErr w:type="gramStart"/>
            <w:r w:rsidRPr="00EE4C33">
              <w:rPr>
                <w:rFonts w:ascii="Arial" w:hAnsi="Arial" w:cs="Arial"/>
                <w:sz w:val="20"/>
                <w:szCs w:val="20"/>
              </w:rPr>
              <w:t xml:space="preserve">22.340  </w:t>
            </w:r>
            <w:r w:rsidRPr="00EE4C33">
              <w:rPr>
                <w:rFonts w:ascii="Arial" w:hAnsi="Arial" w:cs="Arial"/>
                <w:sz w:val="20"/>
                <w:szCs w:val="20"/>
              </w:rPr>
              <w:tab/>
            </w:r>
            <w:proofErr w:type="gramEnd"/>
            <w:r w:rsidRPr="00EE4C33">
              <w:rPr>
                <w:rFonts w:ascii="Arial" w:hAnsi="Arial" w:cs="Arial"/>
                <w:sz w:val="20"/>
                <w:szCs w:val="20"/>
              </w:rPr>
              <w:t xml:space="preserve">-4.748   </w:t>
            </w:r>
            <w:r w:rsidRPr="00EE4C33">
              <w:rPr>
                <w:rFonts w:ascii="Arial" w:hAnsi="Arial" w:cs="Arial"/>
                <w:sz w:val="20"/>
                <w:szCs w:val="20"/>
              </w:rPr>
              <w:tab/>
              <w:t>0.000</w:t>
            </w:r>
          </w:p>
        </w:tc>
      </w:tr>
    </w:tbl>
    <w:p w14:paraId="59EF255E"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Source: Author’s computation using EViews 13 </w:t>
      </w:r>
    </w:p>
    <w:p w14:paraId="467965D2" w14:textId="77777777" w:rsidR="00385CAF" w:rsidRPr="00EE4C33" w:rsidRDefault="00385CAF" w:rsidP="00385CAF">
      <w:pPr>
        <w:spacing w:line="360" w:lineRule="auto"/>
        <w:rPr>
          <w:rFonts w:ascii="Arial" w:hAnsi="Arial" w:cs="Arial"/>
          <w:b/>
          <w:bCs/>
        </w:rPr>
      </w:pPr>
      <w:r w:rsidRPr="00EE4C33">
        <w:rPr>
          <w:rFonts w:ascii="Arial" w:hAnsi="Arial" w:cs="Arial"/>
          <w:b/>
          <w:bCs/>
        </w:rPr>
        <w:t>4.7. Short-Run Dynamics and Error Correction Model (ECM)</w:t>
      </w:r>
    </w:p>
    <w:p w14:paraId="3A440334" w14:textId="77777777" w:rsidR="00385CAF" w:rsidRPr="00EE4C33" w:rsidRDefault="00385CAF" w:rsidP="00385CAF">
      <w:pPr>
        <w:jc w:val="both"/>
        <w:rPr>
          <w:rFonts w:ascii="Arial" w:hAnsi="Arial" w:cs="Arial"/>
        </w:rPr>
      </w:pPr>
      <w:r w:rsidRPr="00EE4C33">
        <w:t>The short-run dynamics, along with the error correction term, are presented in Table 7. The estimated COINTEQ coefficient is -0.404 and is highly statistically significant (p &lt; 0.0001). This indicates that 40.4% of any prior-period deviation from equilibrium is corrected within the current period. Regarding short-run effects, the contemporaneous impact of PD is significantly negative (-1.631; p &lt; 0.0001). The coefficient for its first lag is also significant (p &lt; 0.0001) and shows a positive influence of 0.746. The interaction term, FD*PD, also has a significant negative contemporaneous effect (-0.100; p &lt; 0.0001). Among the other independent variables, both LEXR (26.585) and M2 (0.228) exert significant positive contemporaneous effects. The dummy variables capturing discrete structural shifts indicate that DUM88 (47.622), DUM90 (9.411), and DUM92 (14.879) contribute positive shocks to inflation, while DUM86 (-23.401) is associated with a statistically significant negative shock.</w:t>
      </w:r>
    </w:p>
    <w:p w14:paraId="5E3BBA87" w14:textId="77777777" w:rsidR="00385CAF" w:rsidRPr="00EE4C33" w:rsidRDefault="00385CAF" w:rsidP="00385CAF">
      <w:pPr>
        <w:spacing w:line="360" w:lineRule="auto"/>
        <w:rPr>
          <w:rFonts w:ascii="Arial" w:hAnsi="Arial" w:cs="Arial"/>
          <w:b/>
          <w:bCs/>
        </w:rPr>
      </w:pPr>
    </w:p>
    <w:p w14:paraId="346FC8AD" w14:textId="77777777" w:rsidR="00385CAF" w:rsidRPr="00EE4C33" w:rsidRDefault="00385CAF" w:rsidP="00385CAF">
      <w:pPr>
        <w:spacing w:line="360" w:lineRule="auto"/>
        <w:rPr>
          <w:rFonts w:ascii="Arial" w:hAnsi="Arial" w:cs="Arial"/>
          <w:b/>
          <w:bCs/>
        </w:rPr>
      </w:pPr>
      <w:r w:rsidRPr="00EE4C33">
        <w:rPr>
          <w:rFonts w:ascii="Arial" w:hAnsi="Arial" w:cs="Arial"/>
          <w:b/>
          <w:bCs/>
        </w:rPr>
        <w:t>Table 7: Short-Run Estimates (Dependent Variable: D(INF))</w:t>
      </w:r>
    </w:p>
    <w:tbl>
      <w:tblPr>
        <w:tblStyle w:val="TableGrid"/>
        <w:tblW w:w="0" w:type="auto"/>
        <w:tblLook w:val="04A0" w:firstRow="1" w:lastRow="0" w:firstColumn="1" w:lastColumn="0" w:noHBand="0" w:noVBand="1"/>
      </w:tblPr>
      <w:tblGrid>
        <w:gridCol w:w="6799"/>
      </w:tblGrid>
      <w:tr w:rsidR="00385CAF" w:rsidRPr="00EE4C33" w14:paraId="225DFB03" w14:textId="77777777" w:rsidTr="003A76BC">
        <w:tc>
          <w:tcPr>
            <w:tcW w:w="6799" w:type="dxa"/>
          </w:tcPr>
          <w:p w14:paraId="3F726373"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Variable</w:t>
            </w:r>
            <w:r w:rsidRPr="00EE4C33">
              <w:rPr>
                <w:rFonts w:ascii="Arial" w:hAnsi="Arial" w:cs="Arial"/>
                <w:sz w:val="20"/>
                <w:szCs w:val="20"/>
              </w:rPr>
              <w:tab/>
              <w:t>Coefficient</w:t>
            </w:r>
            <w:r w:rsidRPr="00EE4C33">
              <w:rPr>
                <w:rFonts w:ascii="Arial" w:hAnsi="Arial" w:cs="Arial"/>
                <w:sz w:val="20"/>
                <w:szCs w:val="20"/>
              </w:rPr>
              <w:tab/>
              <w:t>Std. Error</w:t>
            </w:r>
            <w:r w:rsidRPr="00EE4C33">
              <w:rPr>
                <w:rFonts w:ascii="Arial" w:hAnsi="Arial" w:cs="Arial"/>
                <w:sz w:val="20"/>
                <w:szCs w:val="20"/>
              </w:rPr>
              <w:tab/>
              <w:t>t-Statistic</w:t>
            </w:r>
            <w:r w:rsidRPr="00EE4C33">
              <w:rPr>
                <w:rFonts w:ascii="Arial" w:hAnsi="Arial" w:cs="Arial"/>
                <w:sz w:val="20"/>
                <w:szCs w:val="20"/>
              </w:rPr>
              <w:tab/>
              <w:t>Prob.</w:t>
            </w:r>
          </w:p>
        </w:tc>
      </w:tr>
      <w:tr w:rsidR="00385CAF" w:rsidRPr="00EE4C33" w14:paraId="063BE6A0" w14:textId="77777777" w:rsidTr="003A76BC">
        <w:tc>
          <w:tcPr>
            <w:tcW w:w="6799" w:type="dxa"/>
          </w:tcPr>
          <w:p w14:paraId="0A735977"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COINTEQ</w:t>
            </w:r>
            <w:r w:rsidRPr="00EE4C33">
              <w:rPr>
                <w:rFonts w:ascii="Arial" w:hAnsi="Arial" w:cs="Arial"/>
                <w:sz w:val="20"/>
                <w:szCs w:val="20"/>
              </w:rPr>
              <w:tab/>
              <w:t xml:space="preserve">-0.404   </w:t>
            </w:r>
            <w:r w:rsidRPr="00EE4C33">
              <w:rPr>
                <w:rFonts w:ascii="Arial" w:hAnsi="Arial" w:cs="Arial"/>
                <w:sz w:val="20"/>
                <w:szCs w:val="20"/>
              </w:rPr>
              <w:tab/>
              <w:t xml:space="preserve">0.024    </w:t>
            </w:r>
            <w:r w:rsidRPr="00EE4C33">
              <w:rPr>
                <w:rFonts w:ascii="Arial" w:hAnsi="Arial" w:cs="Arial"/>
                <w:sz w:val="20"/>
                <w:szCs w:val="20"/>
              </w:rPr>
              <w:tab/>
              <w:t xml:space="preserve">-16.846 </w:t>
            </w:r>
            <w:r w:rsidRPr="00EE4C33">
              <w:rPr>
                <w:rFonts w:ascii="Arial" w:hAnsi="Arial" w:cs="Arial"/>
                <w:sz w:val="20"/>
                <w:szCs w:val="20"/>
              </w:rPr>
              <w:tab/>
              <w:t>0.000</w:t>
            </w:r>
          </w:p>
        </w:tc>
      </w:tr>
      <w:tr w:rsidR="00385CAF" w:rsidRPr="00EE4C33" w14:paraId="234A79FA" w14:textId="77777777" w:rsidTr="003A76BC">
        <w:tc>
          <w:tcPr>
            <w:tcW w:w="6799" w:type="dxa"/>
          </w:tcPr>
          <w:p w14:paraId="430B4B09"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D(PD)</w:t>
            </w:r>
            <w:r w:rsidRPr="00EE4C33">
              <w:rPr>
                <w:rFonts w:ascii="Arial" w:hAnsi="Arial" w:cs="Arial"/>
                <w:sz w:val="20"/>
                <w:szCs w:val="20"/>
              </w:rPr>
              <w:tab/>
            </w:r>
            <w:r w:rsidRPr="00EE4C33">
              <w:rPr>
                <w:rFonts w:ascii="Arial" w:hAnsi="Arial" w:cs="Arial"/>
                <w:sz w:val="20"/>
                <w:szCs w:val="20"/>
              </w:rPr>
              <w:tab/>
              <w:t xml:space="preserve">-1.631   </w:t>
            </w:r>
            <w:r w:rsidRPr="00EE4C33">
              <w:rPr>
                <w:rFonts w:ascii="Arial" w:hAnsi="Arial" w:cs="Arial"/>
                <w:sz w:val="20"/>
                <w:szCs w:val="20"/>
              </w:rPr>
              <w:tab/>
              <w:t xml:space="preserve">0.155    </w:t>
            </w:r>
            <w:r w:rsidRPr="00EE4C33">
              <w:rPr>
                <w:rFonts w:ascii="Arial" w:hAnsi="Arial" w:cs="Arial"/>
                <w:sz w:val="20"/>
                <w:szCs w:val="20"/>
              </w:rPr>
              <w:tab/>
              <w:t xml:space="preserve">-10.503 </w:t>
            </w:r>
            <w:r w:rsidRPr="00EE4C33">
              <w:rPr>
                <w:rFonts w:ascii="Arial" w:hAnsi="Arial" w:cs="Arial"/>
                <w:sz w:val="20"/>
                <w:szCs w:val="20"/>
              </w:rPr>
              <w:tab/>
              <w:t>0.000</w:t>
            </w:r>
          </w:p>
        </w:tc>
      </w:tr>
      <w:tr w:rsidR="00385CAF" w:rsidRPr="00EE4C33" w14:paraId="6B4C3F60" w14:textId="77777777" w:rsidTr="003A76BC">
        <w:tc>
          <w:tcPr>
            <w:tcW w:w="6799" w:type="dxa"/>
          </w:tcPr>
          <w:p w14:paraId="7B364043"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w:t>
            </w:r>
            <w:proofErr w:type="gramStart"/>
            <w:r w:rsidRPr="00EE4C33">
              <w:rPr>
                <w:rFonts w:ascii="Arial" w:hAnsi="Arial" w:cs="Arial"/>
                <w:sz w:val="20"/>
                <w:szCs w:val="20"/>
              </w:rPr>
              <w:t>PD(</w:t>
            </w:r>
            <w:proofErr w:type="gramEnd"/>
            <w:r w:rsidRPr="00EE4C33">
              <w:rPr>
                <w:rFonts w:ascii="Arial" w:hAnsi="Arial" w:cs="Arial"/>
                <w:sz w:val="20"/>
                <w:szCs w:val="20"/>
              </w:rPr>
              <w:t>-1))</w:t>
            </w:r>
            <w:r w:rsidRPr="00EE4C33">
              <w:rPr>
                <w:rFonts w:ascii="Arial" w:hAnsi="Arial" w:cs="Arial"/>
                <w:sz w:val="20"/>
                <w:szCs w:val="20"/>
              </w:rPr>
              <w:tab/>
              <w:t xml:space="preserve"> 0.746   </w:t>
            </w:r>
            <w:r w:rsidRPr="00EE4C33">
              <w:rPr>
                <w:rFonts w:ascii="Arial" w:hAnsi="Arial" w:cs="Arial"/>
                <w:sz w:val="20"/>
                <w:szCs w:val="20"/>
              </w:rPr>
              <w:tab/>
              <w:t xml:space="preserve">0.131   </w:t>
            </w:r>
            <w:r w:rsidRPr="00EE4C33">
              <w:rPr>
                <w:rFonts w:ascii="Arial" w:hAnsi="Arial" w:cs="Arial"/>
                <w:sz w:val="20"/>
                <w:szCs w:val="20"/>
              </w:rPr>
              <w:tab/>
              <w:t xml:space="preserve">                5.705   </w:t>
            </w:r>
            <w:r w:rsidRPr="00EE4C33">
              <w:rPr>
                <w:rFonts w:ascii="Arial" w:hAnsi="Arial" w:cs="Arial"/>
                <w:sz w:val="20"/>
                <w:szCs w:val="20"/>
              </w:rPr>
              <w:tab/>
              <w:t>0.000</w:t>
            </w:r>
          </w:p>
        </w:tc>
      </w:tr>
      <w:tr w:rsidR="00385CAF" w:rsidRPr="00EE4C33" w14:paraId="0D82D11F" w14:textId="77777777" w:rsidTr="003A76BC">
        <w:tc>
          <w:tcPr>
            <w:tcW w:w="6799" w:type="dxa"/>
          </w:tcPr>
          <w:p w14:paraId="67283B9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D(FD_PD)</w:t>
            </w:r>
            <w:r w:rsidRPr="00EE4C33">
              <w:rPr>
                <w:rFonts w:ascii="Arial" w:hAnsi="Arial" w:cs="Arial"/>
                <w:sz w:val="20"/>
                <w:szCs w:val="20"/>
              </w:rPr>
              <w:tab/>
              <w:t xml:space="preserve">-0.100   </w:t>
            </w:r>
            <w:r w:rsidRPr="00EE4C33">
              <w:rPr>
                <w:rFonts w:ascii="Arial" w:hAnsi="Arial" w:cs="Arial"/>
                <w:sz w:val="20"/>
                <w:szCs w:val="20"/>
              </w:rPr>
              <w:tab/>
              <w:t xml:space="preserve">0.013    </w:t>
            </w:r>
            <w:proofErr w:type="gramStart"/>
            <w:r w:rsidRPr="00EE4C33">
              <w:rPr>
                <w:rFonts w:ascii="Arial" w:hAnsi="Arial" w:cs="Arial"/>
                <w:sz w:val="20"/>
                <w:szCs w:val="20"/>
              </w:rPr>
              <w:tab/>
              <w:t xml:space="preserve">  -</w:t>
            </w:r>
            <w:proofErr w:type="gramEnd"/>
            <w:r w:rsidRPr="00EE4C33">
              <w:rPr>
                <w:rFonts w:ascii="Arial" w:hAnsi="Arial" w:cs="Arial"/>
                <w:sz w:val="20"/>
                <w:szCs w:val="20"/>
              </w:rPr>
              <w:t xml:space="preserve">7.797 </w:t>
            </w:r>
            <w:r w:rsidRPr="00EE4C33">
              <w:rPr>
                <w:rFonts w:ascii="Arial" w:hAnsi="Arial" w:cs="Arial"/>
                <w:sz w:val="20"/>
                <w:szCs w:val="20"/>
              </w:rPr>
              <w:tab/>
              <w:t>0.000</w:t>
            </w:r>
          </w:p>
        </w:tc>
      </w:tr>
      <w:tr w:rsidR="00385CAF" w:rsidRPr="00EE4C33" w14:paraId="23BCC77F" w14:textId="77777777" w:rsidTr="003A76BC">
        <w:tc>
          <w:tcPr>
            <w:tcW w:w="6799" w:type="dxa"/>
          </w:tcPr>
          <w:p w14:paraId="6E9D4DC1"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D(LEXR)</w:t>
            </w:r>
            <w:r w:rsidRPr="00EE4C33">
              <w:rPr>
                <w:rFonts w:ascii="Arial" w:hAnsi="Arial" w:cs="Arial"/>
                <w:sz w:val="20"/>
                <w:szCs w:val="20"/>
              </w:rPr>
              <w:tab/>
              <w:t>26.</w:t>
            </w:r>
            <w:proofErr w:type="gramStart"/>
            <w:r w:rsidRPr="00EE4C33">
              <w:rPr>
                <w:rFonts w:ascii="Arial" w:hAnsi="Arial" w:cs="Arial"/>
                <w:sz w:val="20"/>
                <w:szCs w:val="20"/>
              </w:rPr>
              <w:t xml:space="preserve">586  </w:t>
            </w:r>
            <w:r w:rsidRPr="00EE4C33">
              <w:rPr>
                <w:rFonts w:ascii="Arial" w:hAnsi="Arial" w:cs="Arial"/>
                <w:sz w:val="20"/>
                <w:szCs w:val="20"/>
              </w:rPr>
              <w:tab/>
            </w:r>
            <w:proofErr w:type="gramEnd"/>
            <w:r w:rsidRPr="00EE4C33">
              <w:rPr>
                <w:rFonts w:ascii="Arial" w:hAnsi="Arial" w:cs="Arial"/>
                <w:sz w:val="20"/>
                <w:szCs w:val="20"/>
              </w:rPr>
              <w:t xml:space="preserve">3.057    </w:t>
            </w:r>
            <w:r w:rsidRPr="00EE4C33">
              <w:rPr>
                <w:rFonts w:ascii="Arial" w:hAnsi="Arial" w:cs="Arial"/>
                <w:sz w:val="20"/>
                <w:szCs w:val="20"/>
              </w:rPr>
              <w:tab/>
              <w:t xml:space="preserve">   8.699   </w:t>
            </w:r>
            <w:r w:rsidRPr="00EE4C33">
              <w:rPr>
                <w:rFonts w:ascii="Arial" w:hAnsi="Arial" w:cs="Arial"/>
                <w:sz w:val="20"/>
                <w:szCs w:val="20"/>
              </w:rPr>
              <w:tab/>
              <w:t>0.000</w:t>
            </w:r>
          </w:p>
        </w:tc>
      </w:tr>
      <w:tr w:rsidR="00385CAF" w:rsidRPr="00EE4C33" w14:paraId="156AA5DC" w14:textId="77777777" w:rsidTr="003A76BC">
        <w:tc>
          <w:tcPr>
            <w:tcW w:w="6799" w:type="dxa"/>
          </w:tcPr>
          <w:p w14:paraId="1C3E19A6"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DUM86</w:t>
            </w:r>
            <w:r w:rsidRPr="00EE4C33">
              <w:rPr>
                <w:rFonts w:ascii="Arial" w:hAnsi="Arial" w:cs="Arial"/>
                <w:sz w:val="20"/>
                <w:szCs w:val="20"/>
              </w:rPr>
              <w:tab/>
              <w:t xml:space="preserve">            -23.</w:t>
            </w:r>
            <w:proofErr w:type="gramStart"/>
            <w:r w:rsidRPr="00EE4C33">
              <w:rPr>
                <w:rFonts w:ascii="Arial" w:hAnsi="Arial" w:cs="Arial"/>
                <w:sz w:val="20"/>
                <w:szCs w:val="20"/>
              </w:rPr>
              <w:t xml:space="preserve">402  </w:t>
            </w:r>
            <w:r w:rsidRPr="00EE4C33">
              <w:rPr>
                <w:rFonts w:ascii="Arial" w:hAnsi="Arial" w:cs="Arial"/>
                <w:sz w:val="20"/>
                <w:szCs w:val="20"/>
              </w:rPr>
              <w:tab/>
            </w:r>
            <w:proofErr w:type="gramEnd"/>
            <w:r w:rsidRPr="00EE4C33">
              <w:rPr>
                <w:rFonts w:ascii="Arial" w:hAnsi="Arial" w:cs="Arial"/>
                <w:sz w:val="20"/>
                <w:szCs w:val="20"/>
              </w:rPr>
              <w:t xml:space="preserve">3.704    </w:t>
            </w:r>
            <w:proofErr w:type="gramStart"/>
            <w:r w:rsidRPr="00EE4C33">
              <w:rPr>
                <w:rFonts w:ascii="Arial" w:hAnsi="Arial" w:cs="Arial"/>
                <w:sz w:val="20"/>
                <w:szCs w:val="20"/>
              </w:rPr>
              <w:tab/>
              <w:t xml:space="preserve">  -</w:t>
            </w:r>
            <w:proofErr w:type="gramEnd"/>
            <w:r w:rsidRPr="00EE4C33">
              <w:rPr>
                <w:rFonts w:ascii="Arial" w:hAnsi="Arial" w:cs="Arial"/>
                <w:sz w:val="20"/>
                <w:szCs w:val="20"/>
              </w:rPr>
              <w:t xml:space="preserve">6.319 </w:t>
            </w:r>
            <w:r w:rsidRPr="00EE4C33">
              <w:rPr>
                <w:rFonts w:ascii="Arial" w:hAnsi="Arial" w:cs="Arial"/>
                <w:sz w:val="20"/>
                <w:szCs w:val="20"/>
              </w:rPr>
              <w:tab/>
              <w:t>0.000</w:t>
            </w:r>
          </w:p>
        </w:tc>
      </w:tr>
      <w:tr w:rsidR="00385CAF" w:rsidRPr="00EE4C33" w14:paraId="6DAC982B" w14:textId="77777777" w:rsidTr="003A76BC">
        <w:tc>
          <w:tcPr>
            <w:tcW w:w="6799" w:type="dxa"/>
          </w:tcPr>
          <w:p w14:paraId="3769B75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DUM88</w:t>
            </w:r>
            <w:r w:rsidRPr="00EE4C33">
              <w:rPr>
                <w:rFonts w:ascii="Arial" w:hAnsi="Arial" w:cs="Arial"/>
                <w:sz w:val="20"/>
                <w:szCs w:val="20"/>
              </w:rPr>
              <w:tab/>
              <w:t xml:space="preserve">             </w:t>
            </w:r>
            <w:proofErr w:type="gramStart"/>
            <w:r w:rsidRPr="00EE4C33">
              <w:rPr>
                <w:rFonts w:ascii="Arial" w:hAnsi="Arial" w:cs="Arial"/>
                <w:sz w:val="20"/>
                <w:szCs w:val="20"/>
              </w:rPr>
              <w:t xml:space="preserve">47.623  </w:t>
            </w:r>
            <w:r w:rsidRPr="00EE4C33">
              <w:rPr>
                <w:rFonts w:ascii="Arial" w:hAnsi="Arial" w:cs="Arial"/>
                <w:sz w:val="20"/>
                <w:szCs w:val="20"/>
              </w:rPr>
              <w:tab/>
            </w:r>
            <w:proofErr w:type="gramEnd"/>
            <w:r w:rsidRPr="00EE4C33">
              <w:rPr>
                <w:rFonts w:ascii="Arial" w:hAnsi="Arial" w:cs="Arial"/>
                <w:sz w:val="20"/>
                <w:szCs w:val="20"/>
              </w:rPr>
              <w:t xml:space="preserve">3.519    </w:t>
            </w:r>
            <w:r w:rsidRPr="00EE4C33">
              <w:rPr>
                <w:rFonts w:ascii="Arial" w:hAnsi="Arial" w:cs="Arial"/>
                <w:sz w:val="20"/>
                <w:szCs w:val="20"/>
              </w:rPr>
              <w:tab/>
              <w:t xml:space="preserve"> 13.535 </w:t>
            </w:r>
            <w:r w:rsidRPr="00EE4C33">
              <w:rPr>
                <w:rFonts w:ascii="Arial" w:hAnsi="Arial" w:cs="Arial"/>
                <w:sz w:val="20"/>
                <w:szCs w:val="20"/>
              </w:rPr>
              <w:tab/>
              <w:t>0.000</w:t>
            </w:r>
          </w:p>
        </w:tc>
      </w:tr>
      <w:tr w:rsidR="00385CAF" w:rsidRPr="00EE4C33" w14:paraId="40CFC2AA" w14:textId="77777777" w:rsidTr="003A76BC">
        <w:tc>
          <w:tcPr>
            <w:tcW w:w="6799" w:type="dxa"/>
          </w:tcPr>
          <w:p w14:paraId="11568F9A"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DUM90</w:t>
            </w:r>
            <w:r w:rsidRPr="00EE4C33">
              <w:rPr>
                <w:rFonts w:ascii="Arial" w:hAnsi="Arial" w:cs="Arial"/>
                <w:sz w:val="20"/>
                <w:szCs w:val="20"/>
              </w:rPr>
              <w:tab/>
              <w:t xml:space="preserve">               9.412     </w:t>
            </w:r>
            <w:r w:rsidRPr="00EE4C33">
              <w:rPr>
                <w:rFonts w:ascii="Arial" w:hAnsi="Arial" w:cs="Arial"/>
                <w:sz w:val="20"/>
                <w:szCs w:val="20"/>
              </w:rPr>
              <w:tab/>
              <w:t xml:space="preserve">4.780    </w:t>
            </w:r>
            <w:r w:rsidRPr="00EE4C33">
              <w:rPr>
                <w:rFonts w:ascii="Arial" w:hAnsi="Arial" w:cs="Arial"/>
                <w:sz w:val="20"/>
                <w:szCs w:val="20"/>
              </w:rPr>
              <w:tab/>
              <w:t xml:space="preserve">   1.969   </w:t>
            </w:r>
            <w:r w:rsidRPr="00EE4C33">
              <w:rPr>
                <w:rFonts w:ascii="Arial" w:hAnsi="Arial" w:cs="Arial"/>
                <w:sz w:val="20"/>
                <w:szCs w:val="20"/>
              </w:rPr>
              <w:tab/>
              <w:t>0.060</w:t>
            </w:r>
          </w:p>
        </w:tc>
      </w:tr>
      <w:tr w:rsidR="00385CAF" w:rsidRPr="00EE4C33" w14:paraId="2A6527A5" w14:textId="77777777" w:rsidTr="003A76BC">
        <w:tc>
          <w:tcPr>
            <w:tcW w:w="6799" w:type="dxa"/>
          </w:tcPr>
          <w:p w14:paraId="7D6BC4AD"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DUM92</w:t>
            </w:r>
            <w:r w:rsidRPr="00EE4C33">
              <w:rPr>
                <w:rFonts w:ascii="Arial" w:hAnsi="Arial" w:cs="Arial"/>
                <w:sz w:val="20"/>
                <w:szCs w:val="20"/>
              </w:rPr>
              <w:tab/>
              <w:t xml:space="preserve">             </w:t>
            </w:r>
            <w:proofErr w:type="gramStart"/>
            <w:r w:rsidRPr="00EE4C33">
              <w:rPr>
                <w:rFonts w:ascii="Arial" w:hAnsi="Arial" w:cs="Arial"/>
                <w:sz w:val="20"/>
                <w:szCs w:val="20"/>
              </w:rPr>
              <w:t xml:space="preserve">14.880  </w:t>
            </w:r>
            <w:r w:rsidRPr="00EE4C33">
              <w:rPr>
                <w:rFonts w:ascii="Arial" w:hAnsi="Arial" w:cs="Arial"/>
                <w:sz w:val="20"/>
                <w:szCs w:val="20"/>
              </w:rPr>
              <w:tab/>
            </w:r>
            <w:proofErr w:type="gramEnd"/>
            <w:r w:rsidRPr="00EE4C33">
              <w:rPr>
                <w:rFonts w:ascii="Arial" w:hAnsi="Arial" w:cs="Arial"/>
                <w:sz w:val="20"/>
                <w:szCs w:val="20"/>
              </w:rPr>
              <w:t xml:space="preserve">3.429    </w:t>
            </w:r>
            <w:r w:rsidRPr="00EE4C33">
              <w:rPr>
                <w:rFonts w:ascii="Arial" w:hAnsi="Arial" w:cs="Arial"/>
                <w:sz w:val="20"/>
                <w:szCs w:val="20"/>
              </w:rPr>
              <w:tab/>
              <w:t xml:space="preserve">   4.339   </w:t>
            </w:r>
            <w:r w:rsidRPr="00EE4C33">
              <w:rPr>
                <w:rFonts w:ascii="Arial" w:hAnsi="Arial" w:cs="Arial"/>
                <w:sz w:val="20"/>
                <w:szCs w:val="20"/>
              </w:rPr>
              <w:tab/>
              <w:t>0.000</w:t>
            </w:r>
          </w:p>
        </w:tc>
      </w:tr>
    </w:tbl>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1239"/>
      </w:tblGrid>
      <w:tr w:rsidR="00385CAF" w:rsidRPr="00EE4C33" w14:paraId="19D72304" w14:textId="77777777" w:rsidTr="003A76BC">
        <w:trPr>
          <w:trHeight w:hRule="exact" w:val="135"/>
        </w:trPr>
        <w:tc>
          <w:tcPr>
            <w:tcW w:w="2017" w:type="dxa"/>
            <w:tcBorders>
              <w:top w:val="nil"/>
              <w:left w:val="nil"/>
              <w:bottom w:val="single" w:sz="4" w:space="0" w:color="auto"/>
              <w:right w:val="nil"/>
            </w:tcBorders>
            <w:vAlign w:val="bottom"/>
          </w:tcPr>
          <w:p w14:paraId="05AEB618" w14:textId="77777777" w:rsidR="00385CAF" w:rsidRPr="00EE4C33" w:rsidRDefault="00385CAF" w:rsidP="003A76BC">
            <w:pPr>
              <w:autoSpaceDE w:val="0"/>
              <w:autoSpaceDN w:val="0"/>
              <w:adjustRightInd w:val="0"/>
              <w:jc w:val="center"/>
              <w:rPr>
                <w:rFonts w:ascii="Arial" w:hAnsi="Arial" w:cs="Arial"/>
              </w:rPr>
            </w:pPr>
          </w:p>
        </w:tc>
        <w:tc>
          <w:tcPr>
            <w:tcW w:w="1103" w:type="dxa"/>
            <w:tcBorders>
              <w:top w:val="nil"/>
              <w:left w:val="nil"/>
              <w:bottom w:val="single" w:sz="4" w:space="0" w:color="auto"/>
              <w:right w:val="nil"/>
            </w:tcBorders>
            <w:vAlign w:val="bottom"/>
          </w:tcPr>
          <w:p w14:paraId="1A8C5F55" w14:textId="77777777" w:rsidR="00385CAF" w:rsidRPr="00EE4C33" w:rsidRDefault="00385CAF" w:rsidP="003A76BC">
            <w:pPr>
              <w:autoSpaceDE w:val="0"/>
              <w:autoSpaceDN w:val="0"/>
              <w:adjustRightInd w:val="0"/>
              <w:jc w:val="center"/>
              <w:rPr>
                <w:rFonts w:ascii="Arial" w:hAnsi="Arial" w:cs="Arial"/>
              </w:rPr>
            </w:pPr>
          </w:p>
        </w:tc>
        <w:tc>
          <w:tcPr>
            <w:tcW w:w="1207" w:type="dxa"/>
            <w:tcBorders>
              <w:top w:val="nil"/>
              <w:left w:val="nil"/>
              <w:bottom w:val="single" w:sz="4" w:space="0" w:color="auto"/>
              <w:right w:val="nil"/>
            </w:tcBorders>
            <w:vAlign w:val="bottom"/>
          </w:tcPr>
          <w:p w14:paraId="16320497" w14:textId="77777777" w:rsidR="00385CAF" w:rsidRPr="00EE4C33" w:rsidRDefault="00385CAF" w:rsidP="003A76BC">
            <w:pPr>
              <w:autoSpaceDE w:val="0"/>
              <w:autoSpaceDN w:val="0"/>
              <w:adjustRightInd w:val="0"/>
              <w:jc w:val="center"/>
              <w:rPr>
                <w:rFonts w:ascii="Arial" w:hAnsi="Arial" w:cs="Arial"/>
              </w:rPr>
            </w:pPr>
          </w:p>
        </w:tc>
        <w:tc>
          <w:tcPr>
            <w:tcW w:w="1208" w:type="dxa"/>
            <w:tcBorders>
              <w:top w:val="nil"/>
              <w:left w:val="nil"/>
              <w:bottom w:val="single" w:sz="4" w:space="0" w:color="auto"/>
              <w:right w:val="nil"/>
            </w:tcBorders>
            <w:vAlign w:val="bottom"/>
          </w:tcPr>
          <w:p w14:paraId="17E6DDFD" w14:textId="77777777" w:rsidR="00385CAF" w:rsidRPr="00EE4C33" w:rsidRDefault="00385CAF" w:rsidP="003A76BC">
            <w:pPr>
              <w:autoSpaceDE w:val="0"/>
              <w:autoSpaceDN w:val="0"/>
              <w:adjustRightInd w:val="0"/>
              <w:jc w:val="center"/>
              <w:rPr>
                <w:rFonts w:ascii="Arial" w:hAnsi="Arial" w:cs="Arial"/>
              </w:rPr>
            </w:pPr>
          </w:p>
        </w:tc>
        <w:tc>
          <w:tcPr>
            <w:tcW w:w="1239" w:type="dxa"/>
            <w:tcBorders>
              <w:top w:val="nil"/>
              <w:left w:val="nil"/>
              <w:bottom w:val="single" w:sz="4" w:space="0" w:color="auto"/>
              <w:right w:val="nil"/>
            </w:tcBorders>
            <w:vAlign w:val="bottom"/>
          </w:tcPr>
          <w:p w14:paraId="0EDEF12E" w14:textId="77777777" w:rsidR="00385CAF" w:rsidRPr="00EE4C33" w:rsidRDefault="00385CAF" w:rsidP="003A76BC">
            <w:pPr>
              <w:autoSpaceDE w:val="0"/>
              <w:autoSpaceDN w:val="0"/>
              <w:adjustRightInd w:val="0"/>
              <w:jc w:val="center"/>
              <w:rPr>
                <w:rFonts w:ascii="Arial" w:hAnsi="Arial" w:cs="Arial"/>
              </w:rPr>
            </w:pPr>
          </w:p>
        </w:tc>
      </w:tr>
      <w:tr w:rsidR="00385CAF" w:rsidRPr="00EE4C33" w14:paraId="0BE30E4F"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6D6717DB"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R-squared</w:t>
            </w:r>
          </w:p>
        </w:tc>
        <w:tc>
          <w:tcPr>
            <w:tcW w:w="1103" w:type="dxa"/>
            <w:tcBorders>
              <w:top w:val="single" w:sz="4" w:space="0" w:color="auto"/>
              <w:left w:val="single" w:sz="4" w:space="0" w:color="auto"/>
              <w:bottom w:val="single" w:sz="4" w:space="0" w:color="auto"/>
              <w:right w:val="single" w:sz="4" w:space="0" w:color="auto"/>
            </w:tcBorders>
            <w:vAlign w:val="bottom"/>
          </w:tcPr>
          <w:p w14:paraId="270B30BC"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0.977</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73595FA8"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Mean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46B7952F"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0.289</w:t>
            </w:r>
          </w:p>
        </w:tc>
      </w:tr>
      <w:tr w:rsidR="00385CAF" w:rsidRPr="00EE4C33" w14:paraId="32A997A0"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0A8A533"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Adjusted R-squared</w:t>
            </w:r>
          </w:p>
        </w:tc>
        <w:tc>
          <w:tcPr>
            <w:tcW w:w="1103" w:type="dxa"/>
            <w:tcBorders>
              <w:top w:val="single" w:sz="4" w:space="0" w:color="auto"/>
              <w:left w:val="single" w:sz="4" w:space="0" w:color="auto"/>
              <w:bottom w:val="single" w:sz="4" w:space="0" w:color="auto"/>
              <w:right w:val="single" w:sz="4" w:space="0" w:color="auto"/>
            </w:tcBorders>
            <w:vAlign w:val="bottom"/>
          </w:tcPr>
          <w:p w14:paraId="00D6475C"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0.963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377C3FE2"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S.D. dependent var</w:t>
            </w:r>
          </w:p>
        </w:tc>
        <w:tc>
          <w:tcPr>
            <w:tcW w:w="1239" w:type="dxa"/>
            <w:tcBorders>
              <w:top w:val="single" w:sz="4" w:space="0" w:color="auto"/>
              <w:left w:val="single" w:sz="4" w:space="0" w:color="auto"/>
              <w:bottom w:val="single" w:sz="4" w:space="0" w:color="auto"/>
              <w:right w:val="single" w:sz="4" w:space="0" w:color="auto"/>
            </w:tcBorders>
            <w:vAlign w:val="bottom"/>
          </w:tcPr>
          <w:p w14:paraId="34AB8211"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14.352</w:t>
            </w:r>
          </w:p>
        </w:tc>
      </w:tr>
      <w:tr w:rsidR="00385CAF" w:rsidRPr="00EE4C33" w14:paraId="6FE2C342"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F2A999C"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S.E. of regression</w:t>
            </w:r>
          </w:p>
        </w:tc>
        <w:tc>
          <w:tcPr>
            <w:tcW w:w="1103" w:type="dxa"/>
            <w:tcBorders>
              <w:top w:val="single" w:sz="4" w:space="0" w:color="auto"/>
              <w:left w:val="single" w:sz="4" w:space="0" w:color="auto"/>
              <w:bottom w:val="single" w:sz="4" w:space="0" w:color="auto"/>
              <w:right w:val="single" w:sz="4" w:space="0" w:color="auto"/>
            </w:tcBorders>
            <w:vAlign w:val="bottom"/>
          </w:tcPr>
          <w:p w14:paraId="1053D043"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2.770</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7A6964F7"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Akaike info criterion</w:t>
            </w:r>
          </w:p>
        </w:tc>
        <w:tc>
          <w:tcPr>
            <w:tcW w:w="1239" w:type="dxa"/>
            <w:tcBorders>
              <w:top w:val="single" w:sz="4" w:space="0" w:color="auto"/>
              <w:left w:val="single" w:sz="4" w:space="0" w:color="auto"/>
              <w:bottom w:val="single" w:sz="4" w:space="0" w:color="auto"/>
              <w:right w:val="single" w:sz="4" w:space="0" w:color="auto"/>
            </w:tcBorders>
            <w:vAlign w:val="bottom"/>
          </w:tcPr>
          <w:p w14:paraId="385354A3"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5.163</w:t>
            </w:r>
          </w:p>
        </w:tc>
      </w:tr>
      <w:tr w:rsidR="00385CAF" w:rsidRPr="00EE4C33" w14:paraId="2E01AB1A"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6969B735"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Sum squared resid</w:t>
            </w:r>
          </w:p>
        </w:tc>
        <w:tc>
          <w:tcPr>
            <w:tcW w:w="1103" w:type="dxa"/>
            <w:tcBorders>
              <w:top w:val="single" w:sz="4" w:space="0" w:color="auto"/>
              <w:left w:val="single" w:sz="4" w:space="0" w:color="auto"/>
              <w:bottom w:val="single" w:sz="4" w:space="0" w:color="auto"/>
              <w:right w:val="single" w:sz="4" w:space="0" w:color="auto"/>
            </w:tcBorders>
            <w:vAlign w:val="bottom"/>
          </w:tcPr>
          <w:p w14:paraId="17A64C64"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199.503</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61CD4D87"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Schwarz criterion</w:t>
            </w:r>
          </w:p>
        </w:tc>
        <w:tc>
          <w:tcPr>
            <w:tcW w:w="1239" w:type="dxa"/>
            <w:tcBorders>
              <w:top w:val="single" w:sz="4" w:space="0" w:color="auto"/>
              <w:left w:val="single" w:sz="4" w:space="0" w:color="auto"/>
              <w:bottom w:val="single" w:sz="4" w:space="0" w:color="auto"/>
              <w:right w:val="single" w:sz="4" w:space="0" w:color="auto"/>
            </w:tcBorders>
            <w:vAlign w:val="bottom"/>
          </w:tcPr>
          <w:p w14:paraId="1C240C89"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5.859</w:t>
            </w:r>
          </w:p>
        </w:tc>
      </w:tr>
      <w:tr w:rsidR="00385CAF" w:rsidRPr="00EE4C33" w14:paraId="5D948089"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110DDB4A"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Log likelihood</w:t>
            </w:r>
          </w:p>
        </w:tc>
        <w:tc>
          <w:tcPr>
            <w:tcW w:w="1103" w:type="dxa"/>
            <w:tcBorders>
              <w:top w:val="single" w:sz="4" w:space="0" w:color="auto"/>
              <w:left w:val="single" w:sz="4" w:space="0" w:color="auto"/>
              <w:bottom w:val="single" w:sz="4" w:space="0" w:color="auto"/>
              <w:right w:val="single" w:sz="4" w:space="0" w:color="auto"/>
            </w:tcBorders>
            <w:vAlign w:val="bottom"/>
          </w:tcPr>
          <w:p w14:paraId="5BA26D5D"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-94.009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014A6D91"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xml:space="preserve">    Hannan-Quinn </w:t>
            </w:r>
            <w:proofErr w:type="spellStart"/>
            <w:r w:rsidRPr="00EE4C33">
              <w:rPr>
                <w:rFonts w:ascii="Arial" w:hAnsi="Arial" w:cs="Arial"/>
              </w:rPr>
              <w:t>criter</w:t>
            </w:r>
            <w:proofErr w:type="spellEnd"/>
            <w:r w:rsidRPr="00EE4C33">
              <w:rPr>
                <w:rFonts w:ascii="Arial" w:hAnsi="Arial" w:cs="Arial"/>
              </w:rPr>
              <w:t>.</w:t>
            </w:r>
          </w:p>
        </w:tc>
        <w:tc>
          <w:tcPr>
            <w:tcW w:w="1239" w:type="dxa"/>
            <w:tcBorders>
              <w:top w:val="single" w:sz="4" w:space="0" w:color="auto"/>
              <w:left w:val="single" w:sz="4" w:space="0" w:color="auto"/>
              <w:bottom w:val="single" w:sz="4" w:space="0" w:color="auto"/>
              <w:right w:val="single" w:sz="4" w:space="0" w:color="auto"/>
            </w:tcBorders>
            <w:vAlign w:val="bottom"/>
          </w:tcPr>
          <w:p w14:paraId="1F5A12EB"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5.410</w:t>
            </w:r>
          </w:p>
        </w:tc>
      </w:tr>
      <w:tr w:rsidR="00385CAF" w:rsidRPr="00EE4C33" w14:paraId="60353E57"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2513F1D5"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t>F-statistic</w:t>
            </w:r>
          </w:p>
        </w:tc>
        <w:tc>
          <w:tcPr>
            <w:tcW w:w="1103" w:type="dxa"/>
            <w:tcBorders>
              <w:top w:val="single" w:sz="4" w:space="0" w:color="auto"/>
              <w:left w:val="single" w:sz="4" w:space="0" w:color="auto"/>
              <w:bottom w:val="single" w:sz="4" w:space="0" w:color="auto"/>
              <w:right w:val="single" w:sz="4" w:space="0" w:color="auto"/>
            </w:tcBorders>
            <w:vAlign w:val="bottom"/>
          </w:tcPr>
          <w:p w14:paraId="09314350"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68.839</w:t>
            </w:r>
          </w:p>
        </w:tc>
        <w:tc>
          <w:tcPr>
            <w:tcW w:w="2415" w:type="dxa"/>
            <w:gridSpan w:val="2"/>
            <w:tcBorders>
              <w:top w:val="single" w:sz="4" w:space="0" w:color="auto"/>
              <w:left w:val="single" w:sz="4" w:space="0" w:color="auto"/>
              <w:bottom w:val="single" w:sz="4" w:space="0" w:color="auto"/>
              <w:right w:val="single" w:sz="4" w:space="0" w:color="auto"/>
            </w:tcBorders>
            <w:vAlign w:val="bottom"/>
          </w:tcPr>
          <w:p w14:paraId="41EFF9C0" w14:textId="77777777" w:rsidR="00385CAF" w:rsidRPr="00EE4C33" w:rsidRDefault="00385CAF" w:rsidP="003A76BC">
            <w:pPr>
              <w:autoSpaceDE w:val="0"/>
              <w:autoSpaceDN w:val="0"/>
              <w:adjustRightInd w:val="0"/>
              <w:ind w:right="10"/>
              <w:rPr>
                <w:rFonts w:ascii="Arial" w:hAnsi="Arial" w:cs="Arial"/>
              </w:rPr>
            </w:pPr>
            <w:r w:rsidRPr="00EE4C33">
              <w:rPr>
                <w:rFonts w:ascii="Arial" w:hAnsi="Arial" w:cs="Arial"/>
              </w:rPr>
              <w:t>    Durbin-Watson stat</w:t>
            </w:r>
          </w:p>
        </w:tc>
        <w:tc>
          <w:tcPr>
            <w:tcW w:w="1239" w:type="dxa"/>
            <w:tcBorders>
              <w:top w:val="single" w:sz="4" w:space="0" w:color="auto"/>
              <w:left w:val="single" w:sz="4" w:space="0" w:color="auto"/>
              <w:bottom w:val="single" w:sz="4" w:space="0" w:color="auto"/>
              <w:right w:val="single" w:sz="4" w:space="0" w:color="auto"/>
            </w:tcBorders>
            <w:vAlign w:val="bottom"/>
          </w:tcPr>
          <w:p w14:paraId="2E4D229A"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1.936</w:t>
            </w:r>
          </w:p>
        </w:tc>
      </w:tr>
      <w:tr w:rsidR="00385CAF" w:rsidRPr="00EE4C33" w14:paraId="30238182" w14:textId="77777777" w:rsidTr="003A76BC">
        <w:trPr>
          <w:trHeight w:val="225"/>
        </w:trPr>
        <w:tc>
          <w:tcPr>
            <w:tcW w:w="2017" w:type="dxa"/>
            <w:tcBorders>
              <w:top w:val="single" w:sz="4" w:space="0" w:color="auto"/>
              <w:left w:val="single" w:sz="4" w:space="0" w:color="auto"/>
              <w:bottom w:val="single" w:sz="4" w:space="0" w:color="auto"/>
              <w:right w:val="single" w:sz="4" w:space="0" w:color="auto"/>
            </w:tcBorders>
            <w:vAlign w:val="bottom"/>
          </w:tcPr>
          <w:p w14:paraId="75A58BFC" w14:textId="77777777" w:rsidR="00385CAF" w:rsidRPr="00EE4C33" w:rsidRDefault="00385CAF" w:rsidP="003A76BC">
            <w:pPr>
              <w:autoSpaceDE w:val="0"/>
              <w:autoSpaceDN w:val="0"/>
              <w:adjustRightInd w:val="0"/>
              <w:rPr>
                <w:rFonts w:ascii="Arial" w:hAnsi="Arial" w:cs="Arial"/>
              </w:rPr>
            </w:pPr>
            <w:r w:rsidRPr="00EE4C33">
              <w:rPr>
                <w:rFonts w:ascii="Arial" w:hAnsi="Arial" w:cs="Arial"/>
              </w:rPr>
              <w:lastRenderedPageBreak/>
              <w:t>Prob(F-statistic)</w:t>
            </w:r>
          </w:p>
        </w:tc>
        <w:tc>
          <w:tcPr>
            <w:tcW w:w="1103" w:type="dxa"/>
            <w:tcBorders>
              <w:top w:val="single" w:sz="4" w:space="0" w:color="auto"/>
              <w:left w:val="single" w:sz="4" w:space="0" w:color="auto"/>
              <w:bottom w:val="single" w:sz="4" w:space="0" w:color="auto"/>
              <w:right w:val="single" w:sz="4" w:space="0" w:color="auto"/>
            </w:tcBorders>
            <w:vAlign w:val="bottom"/>
          </w:tcPr>
          <w:p w14:paraId="6AF83077" w14:textId="77777777" w:rsidR="00385CAF" w:rsidRPr="00EE4C33" w:rsidRDefault="00385CAF" w:rsidP="003A76BC">
            <w:pPr>
              <w:autoSpaceDE w:val="0"/>
              <w:autoSpaceDN w:val="0"/>
              <w:adjustRightInd w:val="0"/>
              <w:ind w:right="10"/>
              <w:jc w:val="right"/>
              <w:rPr>
                <w:rFonts w:ascii="Arial" w:hAnsi="Arial" w:cs="Arial"/>
              </w:rPr>
            </w:pPr>
            <w:r w:rsidRPr="00EE4C33">
              <w:rPr>
                <w:rFonts w:ascii="Arial" w:hAnsi="Arial" w:cs="Arial"/>
              </w:rPr>
              <w:t>0.000</w:t>
            </w:r>
          </w:p>
        </w:tc>
        <w:tc>
          <w:tcPr>
            <w:tcW w:w="1207" w:type="dxa"/>
            <w:tcBorders>
              <w:top w:val="single" w:sz="4" w:space="0" w:color="auto"/>
              <w:left w:val="single" w:sz="4" w:space="0" w:color="auto"/>
              <w:bottom w:val="single" w:sz="4" w:space="0" w:color="auto"/>
              <w:right w:val="single" w:sz="4" w:space="0" w:color="auto"/>
            </w:tcBorders>
            <w:vAlign w:val="bottom"/>
          </w:tcPr>
          <w:p w14:paraId="4E68310D" w14:textId="77777777" w:rsidR="00385CAF" w:rsidRPr="00EE4C33" w:rsidRDefault="00385CAF" w:rsidP="003A76BC">
            <w:pPr>
              <w:autoSpaceDE w:val="0"/>
              <w:autoSpaceDN w:val="0"/>
              <w:adjustRightInd w:val="0"/>
              <w:ind w:right="10"/>
              <w:jc w:val="center"/>
              <w:rPr>
                <w:rFonts w:ascii="Arial" w:hAnsi="Arial" w:cs="Arial"/>
              </w:rPr>
            </w:pPr>
          </w:p>
        </w:tc>
        <w:tc>
          <w:tcPr>
            <w:tcW w:w="1208" w:type="dxa"/>
            <w:tcBorders>
              <w:top w:val="single" w:sz="4" w:space="0" w:color="auto"/>
              <w:left w:val="single" w:sz="4" w:space="0" w:color="auto"/>
              <w:bottom w:val="single" w:sz="4" w:space="0" w:color="auto"/>
              <w:right w:val="single" w:sz="4" w:space="0" w:color="auto"/>
            </w:tcBorders>
            <w:vAlign w:val="bottom"/>
          </w:tcPr>
          <w:p w14:paraId="0E2EA840" w14:textId="77777777" w:rsidR="00385CAF" w:rsidRPr="00EE4C33" w:rsidRDefault="00385CAF" w:rsidP="003A76BC">
            <w:pPr>
              <w:autoSpaceDE w:val="0"/>
              <w:autoSpaceDN w:val="0"/>
              <w:adjustRightInd w:val="0"/>
              <w:ind w:right="10"/>
              <w:jc w:val="center"/>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bottom"/>
          </w:tcPr>
          <w:p w14:paraId="2EF961A3" w14:textId="77777777" w:rsidR="00385CAF" w:rsidRPr="00EE4C33" w:rsidRDefault="00385CAF" w:rsidP="003A76BC">
            <w:pPr>
              <w:autoSpaceDE w:val="0"/>
              <w:autoSpaceDN w:val="0"/>
              <w:adjustRightInd w:val="0"/>
              <w:ind w:right="10"/>
              <w:jc w:val="center"/>
              <w:rPr>
                <w:rFonts w:ascii="Arial" w:hAnsi="Arial" w:cs="Arial"/>
              </w:rPr>
            </w:pPr>
          </w:p>
        </w:tc>
      </w:tr>
    </w:tbl>
    <w:p w14:paraId="5D2C2327"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Source: Author’s computation using EViews 13 </w:t>
      </w:r>
    </w:p>
    <w:p w14:paraId="014D8196" w14:textId="77777777" w:rsidR="00385CAF" w:rsidRPr="00EE4C33" w:rsidRDefault="00385CAF" w:rsidP="00385CAF">
      <w:pPr>
        <w:spacing w:line="360" w:lineRule="auto"/>
        <w:rPr>
          <w:rFonts w:ascii="Arial" w:hAnsi="Arial" w:cs="Arial"/>
          <w:b/>
          <w:bCs/>
        </w:rPr>
      </w:pPr>
      <w:r w:rsidRPr="00EE4C33">
        <w:rPr>
          <w:rFonts w:ascii="Arial" w:hAnsi="Arial" w:cs="Arial"/>
          <w:b/>
          <w:bCs/>
        </w:rPr>
        <w:t>4.8. Diagnostic and Stability Tests</w:t>
      </w:r>
    </w:p>
    <w:p w14:paraId="157118FC" w14:textId="77777777" w:rsidR="00385CAF" w:rsidRPr="00EE4C33" w:rsidRDefault="00385CAF" w:rsidP="00385CAF">
      <w:pPr>
        <w:jc w:val="both"/>
        <w:rPr>
          <w:rFonts w:ascii="Arial" w:hAnsi="Arial" w:cs="Arial"/>
        </w:rPr>
      </w:pPr>
      <w:r w:rsidRPr="00EE4C33">
        <w:t>The model explains the dependent variable well, with an adjusted R-squared of 0.963. The F-statistic confirms the model's explanatory power, with a value of 68.84 (p = 0.000). Although these metrics are robust, post-estimation diagnostics are necessary to reduce the possibility of misleading relationships. Table 8 presents this diagnostic evaluation. There is insufficient evidence to reject residual normality, as indicated by the Jarque-Bera probability of 0.797. The classical linear regression assumptions also appear to be upheld. In particular, the data do not show concerning evidence of serial correlation or heteroscedasticity. The Breusch-Godfrey LM test (p = 0.789) and the Breusch-Pagan-Godfrey test (p = 0.497) support this conclusion. The functional form is appropriate, as shown by the Ramsey RESET test (p = 0.103). To assess potential structural breaks, graphs of the cumulative sums of recursive residuals were produced. Figures 1 and 2 show that both CUSUM and CUSUMSQ paths remain within the 5% critical bounds, confirming parameter stability throughout the study period.</w:t>
      </w:r>
    </w:p>
    <w:p w14:paraId="2ED82596" w14:textId="77777777" w:rsidR="00385CAF" w:rsidRPr="00EE4C33" w:rsidRDefault="00385CAF" w:rsidP="00385CAF">
      <w:pPr>
        <w:spacing w:line="360" w:lineRule="auto"/>
        <w:rPr>
          <w:rFonts w:ascii="Arial" w:hAnsi="Arial" w:cs="Arial"/>
          <w:b/>
          <w:bCs/>
        </w:rPr>
      </w:pPr>
    </w:p>
    <w:p w14:paraId="3526A6A6" w14:textId="77777777" w:rsidR="00385CAF" w:rsidRPr="00EE4C33" w:rsidRDefault="00385CAF" w:rsidP="00385CAF">
      <w:pPr>
        <w:spacing w:line="360" w:lineRule="auto"/>
        <w:rPr>
          <w:rFonts w:ascii="Arial" w:hAnsi="Arial" w:cs="Arial"/>
          <w:b/>
          <w:bCs/>
        </w:rPr>
      </w:pPr>
      <w:r w:rsidRPr="00EE4C33">
        <w:rPr>
          <w:rFonts w:ascii="Arial" w:hAnsi="Arial" w:cs="Arial"/>
          <w:b/>
          <w:bCs/>
        </w:rPr>
        <w:t>Table 8: Diagnostic Summary</w:t>
      </w:r>
    </w:p>
    <w:tbl>
      <w:tblPr>
        <w:tblStyle w:val="TableGrid"/>
        <w:tblW w:w="0" w:type="auto"/>
        <w:tblLook w:val="04A0" w:firstRow="1" w:lastRow="0" w:firstColumn="1" w:lastColumn="0" w:noHBand="0" w:noVBand="1"/>
      </w:tblPr>
      <w:tblGrid>
        <w:gridCol w:w="6658"/>
      </w:tblGrid>
      <w:tr w:rsidR="00385CAF" w:rsidRPr="00EE4C33" w14:paraId="2EBDDB63" w14:textId="77777777" w:rsidTr="003A76BC">
        <w:tc>
          <w:tcPr>
            <w:tcW w:w="6658" w:type="dxa"/>
          </w:tcPr>
          <w:p w14:paraId="26D40483" w14:textId="77777777" w:rsidR="00385CAF" w:rsidRPr="00EE4C33" w:rsidRDefault="00385CAF" w:rsidP="003A76BC">
            <w:pPr>
              <w:spacing w:line="360" w:lineRule="auto"/>
              <w:rPr>
                <w:rFonts w:ascii="Arial" w:hAnsi="Arial" w:cs="Arial"/>
                <w:b/>
                <w:bCs/>
                <w:sz w:val="20"/>
                <w:szCs w:val="20"/>
              </w:rPr>
            </w:pPr>
            <w:r w:rsidRPr="00EE4C33">
              <w:rPr>
                <w:rFonts w:ascii="Arial" w:hAnsi="Arial" w:cs="Arial"/>
                <w:b/>
                <w:bCs/>
                <w:sz w:val="20"/>
                <w:szCs w:val="20"/>
              </w:rPr>
              <w:t>Test</w:t>
            </w:r>
            <w:r w:rsidRPr="00EE4C33">
              <w:rPr>
                <w:rFonts w:ascii="Arial" w:hAnsi="Arial" w:cs="Arial"/>
                <w:b/>
                <w:bCs/>
                <w:sz w:val="20"/>
                <w:szCs w:val="20"/>
              </w:rPr>
              <w:tab/>
            </w:r>
            <w:r w:rsidRPr="00EE4C33">
              <w:rPr>
                <w:rFonts w:ascii="Arial" w:hAnsi="Arial" w:cs="Arial"/>
                <w:b/>
                <w:bCs/>
                <w:sz w:val="20"/>
                <w:szCs w:val="20"/>
              </w:rPr>
              <w:tab/>
            </w:r>
            <w:r w:rsidRPr="00EE4C33">
              <w:rPr>
                <w:rFonts w:ascii="Arial" w:hAnsi="Arial" w:cs="Arial"/>
                <w:b/>
                <w:bCs/>
                <w:sz w:val="20"/>
                <w:szCs w:val="20"/>
              </w:rPr>
              <w:tab/>
            </w:r>
            <w:r w:rsidRPr="00EE4C33">
              <w:rPr>
                <w:rFonts w:ascii="Arial" w:hAnsi="Arial" w:cs="Arial"/>
                <w:b/>
                <w:bCs/>
                <w:sz w:val="20"/>
                <w:szCs w:val="20"/>
              </w:rPr>
              <w:tab/>
              <w:t xml:space="preserve">            Statistic</w:t>
            </w:r>
            <w:r w:rsidRPr="00EE4C33">
              <w:rPr>
                <w:rFonts w:ascii="Arial" w:hAnsi="Arial" w:cs="Arial"/>
                <w:b/>
                <w:bCs/>
                <w:sz w:val="20"/>
                <w:szCs w:val="20"/>
              </w:rPr>
              <w:tab/>
            </w:r>
            <w:r w:rsidRPr="00EE4C33">
              <w:rPr>
                <w:rFonts w:ascii="Arial" w:hAnsi="Arial" w:cs="Arial"/>
                <w:b/>
                <w:bCs/>
                <w:sz w:val="20"/>
                <w:szCs w:val="20"/>
              </w:rPr>
              <w:tab/>
              <w:t>Prob.</w:t>
            </w:r>
          </w:p>
        </w:tc>
      </w:tr>
      <w:tr w:rsidR="00385CAF" w:rsidRPr="00EE4C33" w14:paraId="51381A7D" w14:textId="77777777" w:rsidTr="003A76BC">
        <w:tc>
          <w:tcPr>
            <w:tcW w:w="6658" w:type="dxa"/>
          </w:tcPr>
          <w:p w14:paraId="4496333A"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Jarque-Bera (Normality)</w:t>
            </w:r>
            <w:r w:rsidRPr="00EE4C33">
              <w:rPr>
                <w:rFonts w:ascii="Arial" w:hAnsi="Arial" w:cs="Arial"/>
                <w:sz w:val="20"/>
                <w:szCs w:val="20"/>
              </w:rPr>
              <w:tab/>
            </w:r>
            <w:r w:rsidRPr="00EE4C33">
              <w:rPr>
                <w:rFonts w:ascii="Arial" w:hAnsi="Arial" w:cs="Arial"/>
                <w:sz w:val="20"/>
                <w:szCs w:val="20"/>
              </w:rPr>
              <w:tab/>
              <w:t xml:space="preserve">                 0.454                </w:t>
            </w:r>
            <w:r w:rsidRPr="00EE4C33">
              <w:rPr>
                <w:rFonts w:ascii="Arial" w:hAnsi="Arial" w:cs="Arial"/>
                <w:sz w:val="20"/>
                <w:szCs w:val="20"/>
              </w:rPr>
              <w:tab/>
              <w:t>0.797</w:t>
            </w:r>
          </w:p>
        </w:tc>
      </w:tr>
      <w:tr w:rsidR="00385CAF" w:rsidRPr="00EE4C33" w14:paraId="3C678E5D" w14:textId="77777777" w:rsidTr="003A76BC">
        <w:tc>
          <w:tcPr>
            <w:tcW w:w="6658" w:type="dxa"/>
          </w:tcPr>
          <w:p w14:paraId="705D0A78"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 xml:space="preserve">Breusch-Godfrey (Serial Corr.)    </w:t>
            </w:r>
            <w:r w:rsidRPr="00EE4C33">
              <w:rPr>
                <w:rFonts w:ascii="Arial" w:hAnsi="Arial" w:cs="Arial"/>
                <w:sz w:val="20"/>
                <w:szCs w:val="20"/>
              </w:rPr>
              <w:tab/>
              <w:t>F=0.240</w:t>
            </w:r>
            <w:r w:rsidRPr="00EE4C33">
              <w:rPr>
                <w:rFonts w:ascii="Arial" w:hAnsi="Arial" w:cs="Arial"/>
                <w:sz w:val="20"/>
                <w:szCs w:val="20"/>
              </w:rPr>
              <w:tab/>
            </w:r>
            <w:r w:rsidRPr="00EE4C33">
              <w:rPr>
                <w:rFonts w:ascii="Arial" w:hAnsi="Arial" w:cs="Arial"/>
                <w:sz w:val="20"/>
                <w:szCs w:val="20"/>
              </w:rPr>
              <w:tab/>
              <w:t>0.789</w:t>
            </w:r>
          </w:p>
        </w:tc>
      </w:tr>
      <w:tr w:rsidR="00385CAF" w:rsidRPr="00EE4C33" w14:paraId="3D3CB871" w14:textId="77777777" w:rsidTr="003A76BC">
        <w:tc>
          <w:tcPr>
            <w:tcW w:w="6658" w:type="dxa"/>
          </w:tcPr>
          <w:p w14:paraId="6BCD477F"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Breusch-Pagan-Godfrey (Hetero.)</w:t>
            </w:r>
            <w:r w:rsidRPr="00EE4C33">
              <w:rPr>
                <w:rFonts w:ascii="Arial" w:hAnsi="Arial" w:cs="Arial"/>
                <w:sz w:val="20"/>
                <w:szCs w:val="20"/>
              </w:rPr>
              <w:tab/>
              <w:t>F=1.013</w:t>
            </w:r>
            <w:r w:rsidRPr="00EE4C33">
              <w:rPr>
                <w:rFonts w:ascii="Arial" w:hAnsi="Arial" w:cs="Arial"/>
                <w:sz w:val="20"/>
                <w:szCs w:val="20"/>
              </w:rPr>
              <w:tab/>
            </w:r>
            <w:r w:rsidRPr="00EE4C33">
              <w:rPr>
                <w:rFonts w:ascii="Arial" w:hAnsi="Arial" w:cs="Arial"/>
                <w:sz w:val="20"/>
                <w:szCs w:val="20"/>
              </w:rPr>
              <w:tab/>
              <w:t>0.497</w:t>
            </w:r>
          </w:p>
        </w:tc>
      </w:tr>
      <w:tr w:rsidR="00385CAF" w:rsidRPr="00EE4C33" w14:paraId="0EC83870" w14:textId="77777777" w:rsidTr="003A76BC">
        <w:tc>
          <w:tcPr>
            <w:tcW w:w="6658" w:type="dxa"/>
          </w:tcPr>
          <w:p w14:paraId="5D7C90B4" w14:textId="77777777" w:rsidR="00385CAF" w:rsidRPr="00EE4C33" w:rsidRDefault="00385CAF" w:rsidP="003A76BC">
            <w:pPr>
              <w:spacing w:line="360" w:lineRule="auto"/>
              <w:rPr>
                <w:rFonts w:ascii="Arial" w:hAnsi="Arial" w:cs="Arial"/>
                <w:sz w:val="20"/>
                <w:szCs w:val="20"/>
              </w:rPr>
            </w:pPr>
            <w:r w:rsidRPr="00EE4C33">
              <w:rPr>
                <w:rFonts w:ascii="Arial" w:hAnsi="Arial" w:cs="Arial"/>
                <w:sz w:val="20"/>
                <w:szCs w:val="20"/>
              </w:rPr>
              <w:t>Ramsey RESET (Functional Form)</w:t>
            </w:r>
            <w:r w:rsidRPr="00EE4C33">
              <w:rPr>
                <w:rFonts w:ascii="Arial" w:hAnsi="Arial" w:cs="Arial"/>
                <w:sz w:val="20"/>
                <w:szCs w:val="20"/>
              </w:rPr>
              <w:tab/>
              <w:t>F=2.975</w:t>
            </w:r>
            <w:r w:rsidRPr="00EE4C33">
              <w:rPr>
                <w:rFonts w:ascii="Arial" w:hAnsi="Arial" w:cs="Arial"/>
                <w:sz w:val="20"/>
                <w:szCs w:val="20"/>
              </w:rPr>
              <w:tab/>
            </w:r>
            <w:r w:rsidRPr="00EE4C33">
              <w:rPr>
                <w:rFonts w:ascii="Arial" w:hAnsi="Arial" w:cs="Arial"/>
                <w:sz w:val="20"/>
                <w:szCs w:val="20"/>
              </w:rPr>
              <w:tab/>
              <w:t>0.103</w:t>
            </w:r>
          </w:p>
        </w:tc>
      </w:tr>
    </w:tbl>
    <w:p w14:paraId="3229DB82" w14:textId="77777777" w:rsidR="00385CAF" w:rsidRPr="00EE4C33" w:rsidRDefault="00385CAF" w:rsidP="00385CAF">
      <w:pPr>
        <w:spacing w:line="360" w:lineRule="auto"/>
        <w:rPr>
          <w:rFonts w:ascii="Arial" w:hAnsi="Arial" w:cs="Arial"/>
          <w:b/>
          <w:bCs/>
        </w:rPr>
      </w:pPr>
      <w:r w:rsidRPr="00EE4C33">
        <w:rPr>
          <w:rFonts w:ascii="Arial" w:hAnsi="Arial" w:cs="Arial"/>
          <w:b/>
          <w:bCs/>
        </w:rPr>
        <w:t xml:space="preserve">Source: Author’s computation using EViews 13 </w:t>
      </w:r>
    </w:p>
    <w:p w14:paraId="0AD6D442" w14:textId="77777777" w:rsidR="00385CAF" w:rsidRPr="00EE4C33" w:rsidRDefault="00385CAF" w:rsidP="00385CAF">
      <w:pPr>
        <w:spacing w:line="360" w:lineRule="auto"/>
        <w:rPr>
          <w:rFonts w:ascii="Arial" w:hAnsi="Arial" w:cs="Arial"/>
          <w:b/>
          <w:bCs/>
        </w:rPr>
      </w:pPr>
    </w:p>
    <w:p w14:paraId="6E99AD22" w14:textId="77777777" w:rsidR="00EC7D28" w:rsidRPr="00EE4C33" w:rsidRDefault="00EC7D28" w:rsidP="00385CAF">
      <w:pPr>
        <w:spacing w:line="360" w:lineRule="auto"/>
        <w:rPr>
          <w:rFonts w:ascii="Arial" w:hAnsi="Arial" w:cs="Arial"/>
          <w:b/>
          <w:bCs/>
        </w:rPr>
      </w:pPr>
    </w:p>
    <w:p w14:paraId="1893E44B" w14:textId="77777777" w:rsidR="00EC7D28" w:rsidRPr="00EE4C33" w:rsidRDefault="00EC7D28" w:rsidP="00385CAF">
      <w:pPr>
        <w:spacing w:line="360" w:lineRule="auto"/>
        <w:rPr>
          <w:rFonts w:ascii="Arial" w:hAnsi="Arial" w:cs="Arial"/>
          <w:b/>
          <w:bCs/>
        </w:rPr>
      </w:pPr>
    </w:p>
    <w:p w14:paraId="7CA9DD4C" w14:textId="77777777" w:rsidR="00EC7D28" w:rsidRPr="00EE4C33" w:rsidRDefault="00EC7D28" w:rsidP="00385CAF">
      <w:pPr>
        <w:spacing w:line="360" w:lineRule="auto"/>
        <w:rPr>
          <w:rFonts w:ascii="Arial" w:hAnsi="Arial" w:cs="Arial"/>
          <w:b/>
          <w:bCs/>
        </w:rPr>
      </w:pPr>
    </w:p>
    <w:p w14:paraId="1B9B9476" w14:textId="77777777" w:rsidR="00385CAF" w:rsidRPr="00EE4C33" w:rsidRDefault="00385CAF" w:rsidP="00385CAF">
      <w:pPr>
        <w:spacing w:line="360" w:lineRule="auto"/>
        <w:rPr>
          <w:rFonts w:ascii="Arial" w:hAnsi="Arial" w:cs="Arial"/>
          <w:b/>
          <w:bCs/>
        </w:rPr>
      </w:pPr>
      <w:r w:rsidRPr="00EE4C33">
        <w:rPr>
          <w:rFonts w:ascii="Arial" w:hAnsi="Arial" w:cs="Arial"/>
          <w:b/>
          <w:bCs/>
        </w:rPr>
        <w:t>Stability Tests (CUSUM AND CUSUMSQ GRAPH PLOTS)</w:t>
      </w:r>
    </w:p>
    <w:p w14:paraId="3A9B436A" w14:textId="77777777" w:rsidR="00385CAF" w:rsidRPr="00EE4C33" w:rsidRDefault="00385CAF" w:rsidP="00385CAF">
      <w:pPr>
        <w:spacing w:line="360" w:lineRule="auto"/>
        <w:rPr>
          <w:rFonts w:ascii="Times New Roman" w:hAnsi="Times New Roman"/>
          <w:b/>
          <w:bCs/>
          <w:sz w:val="24"/>
          <w:szCs w:val="24"/>
        </w:rPr>
      </w:pPr>
    </w:p>
    <w:p w14:paraId="71761D76" w14:textId="77777777" w:rsidR="00385CAF" w:rsidRPr="00EE4C33" w:rsidRDefault="00385CAF" w:rsidP="00385CAF">
      <w:pPr>
        <w:pStyle w:val="ListParagraph"/>
        <w:spacing w:after="0" w:line="360" w:lineRule="auto"/>
        <w:ind w:left="1080"/>
        <w:rPr>
          <w:rFonts w:ascii="Times New Roman" w:hAnsi="Times New Roman" w:cs="Times New Roman"/>
          <w:sz w:val="24"/>
          <w:szCs w:val="24"/>
        </w:rPr>
      </w:pPr>
      <w:r w:rsidRPr="00EE4C33">
        <w:rPr>
          <w:noProof/>
        </w:rPr>
        <w:lastRenderedPageBreak/>
        <w:drawing>
          <wp:inline distT="0" distB="0" distL="0" distR="0" wp14:anchorId="5000D183" wp14:editId="4F7F4E2B">
            <wp:extent cx="5276850" cy="369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4599" cy="3703230"/>
                    </a:xfrm>
                    <a:prstGeom prst="rect">
                      <a:avLst/>
                    </a:prstGeom>
                    <a:noFill/>
                    <a:ln>
                      <a:noFill/>
                    </a:ln>
                  </pic:spPr>
                </pic:pic>
              </a:graphicData>
            </a:graphic>
          </wp:inline>
        </w:drawing>
      </w:r>
    </w:p>
    <w:p w14:paraId="5B551D8B" w14:textId="77777777" w:rsidR="00385CAF" w:rsidRPr="00EE4C33" w:rsidRDefault="00385CAF" w:rsidP="00385CAF">
      <w:pPr>
        <w:ind w:left="1077" w:firstLine="720"/>
        <w:rPr>
          <w:rFonts w:ascii="Arial" w:hAnsi="Arial" w:cs="Arial"/>
        </w:rPr>
      </w:pPr>
      <w:r w:rsidRPr="00EE4C33">
        <w:rPr>
          <w:rFonts w:ascii="Arial" w:hAnsi="Arial" w:cs="Arial"/>
          <w:b/>
          <w:bCs/>
        </w:rPr>
        <w:t>Figure 1:</w:t>
      </w:r>
      <w:r w:rsidRPr="00EE4C33">
        <w:rPr>
          <w:rFonts w:ascii="Arial" w:hAnsi="Arial" w:cs="Arial"/>
          <w:b/>
          <w:bCs/>
        </w:rPr>
        <w:tab/>
      </w:r>
      <w:r w:rsidRPr="00EE4C33">
        <w:rPr>
          <w:rFonts w:ascii="Arial" w:hAnsi="Arial" w:cs="Arial"/>
        </w:rPr>
        <w:t>Plot of Cumulative Sum (CUSUM) of Recursive Residuals</w:t>
      </w:r>
    </w:p>
    <w:p w14:paraId="6B5B4A11" w14:textId="77777777" w:rsidR="00385CAF" w:rsidRPr="00EE4C33" w:rsidRDefault="00385CAF" w:rsidP="00EC7D28">
      <w:pPr>
        <w:ind w:left="2877" w:hanging="1080"/>
        <w:rPr>
          <w:rFonts w:ascii="Arial" w:hAnsi="Arial" w:cs="Arial"/>
        </w:rPr>
      </w:pPr>
      <w:r w:rsidRPr="00EE4C33">
        <w:rPr>
          <w:rFonts w:ascii="Arial" w:hAnsi="Arial" w:cs="Arial"/>
          <w:b/>
          <w:bCs/>
        </w:rPr>
        <w:t>Note:</w:t>
      </w:r>
      <w:r w:rsidRPr="00EE4C33">
        <w:rPr>
          <w:rFonts w:ascii="Arial" w:hAnsi="Arial" w:cs="Arial"/>
        </w:rPr>
        <w:t xml:space="preserve"> </w:t>
      </w:r>
      <w:r w:rsidRPr="00EE4C33">
        <w:rPr>
          <w:rFonts w:ascii="Arial" w:hAnsi="Arial" w:cs="Arial"/>
        </w:rPr>
        <w:tab/>
        <w:t>The dashed lines represent critical bounds at the 5% significance level.</w:t>
      </w:r>
    </w:p>
    <w:p w14:paraId="28354F96" w14:textId="77777777" w:rsidR="00385CAF" w:rsidRPr="00EE4C33" w:rsidRDefault="00385CAF" w:rsidP="00385CAF">
      <w:pPr>
        <w:ind w:left="1077" w:firstLine="720"/>
        <w:rPr>
          <w:rFonts w:ascii="Arial" w:hAnsi="Arial" w:cs="Arial"/>
        </w:rPr>
      </w:pPr>
      <w:r w:rsidRPr="00EE4C33">
        <w:rPr>
          <w:rFonts w:ascii="Arial" w:hAnsi="Arial" w:cs="Arial"/>
          <w:b/>
          <w:bCs/>
        </w:rPr>
        <w:t>Source:</w:t>
      </w:r>
      <w:r w:rsidRPr="00EE4C33">
        <w:rPr>
          <w:rFonts w:ascii="Arial" w:hAnsi="Arial" w:cs="Arial"/>
        </w:rPr>
        <w:t xml:space="preserve"> </w:t>
      </w:r>
      <w:r w:rsidRPr="00EE4C33">
        <w:rPr>
          <w:rFonts w:ascii="Arial" w:hAnsi="Arial" w:cs="Arial"/>
        </w:rPr>
        <w:tab/>
        <w:t>Author’s computation using EViews 13.</w:t>
      </w:r>
    </w:p>
    <w:p w14:paraId="203AE611" w14:textId="77777777" w:rsidR="00385CAF" w:rsidRPr="00EE4C33" w:rsidRDefault="00385CAF" w:rsidP="00385CAF">
      <w:pPr>
        <w:pStyle w:val="ListParagraph"/>
        <w:spacing w:after="0" w:line="360" w:lineRule="auto"/>
        <w:ind w:left="1080"/>
        <w:rPr>
          <w:rFonts w:ascii="Arial" w:hAnsi="Arial" w:cs="Arial"/>
          <w:b/>
          <w:bCs/>
          <w:sz w:val="20"/>
          <w:szCs w:val="20"/>
        </w:rPr>
      </w:pPr>
    </w:p>
    <w:p w14:paraId="0E98D2FA" w14:textId="77777777" w:rsidR="00385CAF" w:rsidRPr="00EE4C33" w:rsidRDefault="00385CAF" w:rsidP="00385CAF">
      <w:pPr>
        <w:pStyle w:val="ListParagraph"/>
        <w:spacing w:after="0" w:line="360" w:lineRule="auto"/>
        <w:ind w:left="1080"/>
        <w:rPr>
          <w:rFonts w:ascii="Arial" w:hAnsi="Arial" w:cs="Arial"/>
          <w:b/>
          <w:bCs/>
          <w:sz w:val="20"/>
          <w:szCs w:val="20"/>
        </w:rPr>
      </w:pPr>
    </w:p>
    <w:p w14:paraId="17E26829" w14:textId="77777777" w:rsidR="00385CAF" w:rsidRPr="00EE4C33" w:rsidRDefault="00385CAF" w:rsidP="00385CAF">
      <w:pPr>
        <w:pStyle w:val="ListParagraph"/>
        <w:spacing w:after="0" w:line="360" w:lineRule="auto"/>
        <w:ind w:left="1080"/>
        <w:rPr>
          <w:rFonts w:ascii="Arial" w:hAnsi="Arial" w:cs="Arial"/>
          <w:b/>
          <w:bCs/>
          <w:sz w:val="20"/>
          <w:szCs w:val="20"/>
        </w:rPr>
      </w:pPr>
    </w:p>
    <w:p w14:paraId="63C2AE3B" w14:textId="77777777" w:rsidR="00385CAF" w:rsidRPr="00EE4C33" w:rsidRDefault="00385CAF" w:rsidP="00385CAF">
      <w:pPr>
        <w:pStyle w:val="ListParagraph"/>
        <w:spacing w:after="0" w:line="360" w:lineRule="auto"/>
        <w:ind w:left="1080"/>
        <w:rPr>
          <w:rFonts w:ascii="Arial" w:hAnsi="Arial" w:cs="Arial"/>
          <w:b/>
          <w:bCs/>
          <w:sz w:val="20"/>
          <w:szCs w:val="20"/>
        </w:rPr>
      </w:pPr>
    </w:p>
    <w:p w14:paraId="3EA2F642" w14:textId="77777777" w:rsidR="00385CAF" w:rsidRPr="00EE4C33" w:rsidRDefault="00385CAF" w:rsidP="00385CAF">
      <w:pPr>
        <w:pStyle w:val="ListParagraph"/>
        <w:spacing w:after="0" w:line="360" w:lineRule="auto"/>
        <w:ind w:left="1080"/>
        <w:rPr>
          <w:rFonts w:ascii="Arial" w:hAnsi="Arial" w:cs="Arial"/>
          <w:b/>
          <w:bCs/>
          <w:sz w:val="20"/>
          <w:szCs w:val="20"/>
        </w:rPr>
      </w:pPr>
    </w:p>
    <w:p w14:paraId="0CCE203D" w14:textId="77777777" w:rsidR="00385CAF" w:rsidRPr="00EE4C33" w:rsidRDefault="00385CAF" w:rsidP="00385CAF">
      <w:pPr>
        <w:pStyle w:val="ListParagraph"/>
        <w:spacing w:after="0" w:line="360" w:lineRule="auto"/>
        <w:ind w:left="1080"/>
        <w:rPr>
          <w:rFonts w:ascii="Arial" w:hAnsi="Arial" w:cs="Arial"/>
          <w:b/>
          <w:bCs/>
          <w:sz w:val="20"/>
          <w:szCs w:val="20"/>
        </w:rPr>
      </w:pPr>
    </w:p>
    <w:p w14:paraId="5AB78AF7" w14:textId="77777777" w:rsidR="00385CAF" w:rsidRPr="00EE4C33" w:rsidRDefault="00385CAF" w:rsidP="00385CAF">
      <w:pPr>
        <w:pStyle w:val="ListParagraph"/>
        <w:spacing w:after="0" w:line="360" w:lineRule="auto"/>
        <w:ind w:left="1080"/>
        <w:rPr>
          <w:rFonts w:ascii="Arial" w:hAnsi="Arial" w:cs="Arial"/>
          <w:b/>
          <w:bCs/>
          <w:sz w:val="20"/>
          <w:szCs w:val="20"/>
        </w:rPr>
      </w:pPr>
    </w:p>
    <w:p w14:paraId="4E5B1885" w14:textId="77777777" w:rsidR="00385CAF" w:rsidRPr="00EE4C33" w:rsidRDefault="00385CAF" w:rsidP="00385CAF">
      <w:pPr>
        <w:pStyle w:val="ListParagraph"/>
        <w:spacing w:after="0" w:line="360" w:lineRule="auto"/>
        <w:ind w:left="1080"/>
        <w:rPr>
          <w:rFonts w:ascii="Arial" w:hAnsi="Arial" w:cs="Arial"/>
          <w:b/>
          <w:bCs/>
          <w:sz w:val="20"/>
          <w:szCs w:val="20"/>
        </w:rPr>
      </w:pPr>
    </w:p>
    <w:p w14:paraId="17C88AA6" w14:textId="77777777" w:rsidR="00385CAF" w:rsidRPr="00EE4C33" w:rsidRDefault="00385CAF" w:rsidP="00385CAF">
      <w:pPr>
        <w:pStyle w:val="ListParagraph"/>
        <w:spacing w:after="0" w:line="360" w:lineRule="auto"/>
        <w:ind w:left="1080"/>
        <w:rPr>
          <w:rFonts w:ascii="Arial" w:hAnsi="Arial" w:cs="Arial"/>
          <w:b/>
          <w:bCs/>
          <w:sz w:val="20"/>
          <w:szCs w:val="20"/>
        </w:rPr>
      </w:pPr>
    </w:p>
    <w:p w14:paraId="037BBE1A" w14:textId="77777777" w:rsidR="00385CAF" w:rsidRPr="00EE4C33" w:rsidRDefault="00385CAF" w:rsidP="00385CAF">
      <w:pPr>
        <w:pStyle w:val="ListParagraph"/>
        <w:spacing w:after="0" w:line="360" w:lineRule="auto"/>
        <w:ind w:left="1080"/>
        <w:rPr>
          <w:rFonts w:ascii="Arial" w:hAnsi="Arial" w:cs="Arial"/>
          <w:b/>
          <w:bCs/>
          <w:sz w:val="20"/>
          <w:szCs w:val="20"/>
        </w:rPr>
      </w:pPr>
    </w:p>
    <w:p w14:paraId="3D389CF9" w14:textId="77777777" w:rsidR="00385CAF" w:rsidRPr="00EE4C33" w:rsidRDefault="00385CAF" w:rsidP="00385CAF">
      <w:pPr>
        <w:pStyle w:val="ListParagraph"/>
        <w:spacing w:after="0" w:line="360" w:lineRule="auto"/>
        <w:ind w:left="1080"/>
        <w:rPr>
          <w:rFonts w:ascii="Arial" w:hAnsi="Arial" w:cs="Arial"/>
          <w:b/>
          <w:bCs/>
          <w:sz w:val="20"/>
          <w:szCs w:val="20"/>
        </w:rPr>
      </w:pPr>
    </w:p>
    <w:p w14:paraId="3FEAD8C5" w14:textId="77777777" w:rsidR="00385CAF" w:rsidRPr="00EE4C33" w:rsidRDefault="00385CAF" w:rsidP="00385CAF">
      <w:pPr>
        <w:pStyle w:val="ListParagraph"/>
        <w:spacing w:after="0" w:line="360" w:lineRule="auto"/>
        <w:ind w:left="1080"/>
        <w:rPr>
          <w:rFonts w:ascii="Arial" w:hAnsi="Arial" w:cs="Arial"/>
          <w:b/>
          <w:bCs/>
          <w:sz w:val="20"/>
          <w:szCs w:val="20"/>
        </w:rPr>
      </w:pPr>
    </w:p>
    <w:p w14:paraId="2F8ACF04" w14:textId="77777777" w:rsidR="00385CAF" w:rsidRPr="00EE4C33" w:rsidRDefault="00385CAF" w:rsidP="00385CAF">
      <w:pPr>
        <w:pStyle w:val="ListParagraph"/>
        <w:spacing w:after="0" w:line="360" w:lineRule="auto"/>
        <w:ind w:left="1080"/>
        <w:rPr>
          <w:rFonts w:ascii="Arial" w:hAnsi="Arial" w:cs="Arial"/>
          <w:b/>
          <w:bCs/>
          <w:sz w:val="20"/>
          <w:szCs w:val="20"/>
        </w:rPr>
      </w:pPr>
    </w:p>
    <w:p w14:paraId="7B3490EF" w14:textId="77777777" w:rsidR="00385CAF" w:rsidRPr="00EE4C33" w:rsidRDefault="00385CAF" w:rsidP="00385CAF">
      <w:pPr>
        <w:pStyle w:val="ListParagraph"/>
        <w:spacing w:after="0" w:line="360" w:lineRule="auto"/>
        <w:ind w:left="1080"/>
        <w:rPr>
          <w:rFonts w:ascii="Times New Roman" w:hAnsi="Times New Roman" w:cs="Times New Roman"/>
          <w:b/>
          <w:bCs/>
          <w:sz w:val="24"/>
          <w:szCs w:val="24"/>
        </w:rPr>
      </w:pPr>
      <w:r w:rsidRPr="00EE4C33">
        <w:rPr>
          <w:b/>
          <w:bCs/>
          <w:noProof/>
        </w:rPr>
        <w:lastRenderedPageBreak/>
        <w:drawing>
          <wp:inline distT="0" distB="0" distL="0" distR="0" wp14:anchorId="20540A33" wp14:editId="4F7D39D3">
            <wp:extent cx="5448300" cy="35375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3939" cy="3541183"/>
                    </a:xfrm>
                    <a:prstGeom prst="rect">
                      <a:avLst/>
                    </a:prstGeom>
                    <a:noFill/>
                    <a:ln>
                      <a:noFill/>
                    </a:ln>
                  </pic:spPr>
                </pic:pic>
              </a:graphicData>
            </a:graphic>
          </wp:inline>
        </w:drawing>
      </w:r>
    </w:p>
    <w:p w14:paraId="2AA921C7" w14:textId="77777777" w:rsidR="00385CAF" w:rsidRPr="00EE4C33" w:rsidRDefault="00385CAF" w:rsidP="00EC7D28">
      <w:pPr>
        <w:ind w:left="2877" w:hanging="1080"/>
        <w:rPr>
          <w:rFonts w:ascii="Arial" w:hAnsi="Arial" w:cs="Arial"/>
        </w:rPr>
      </w:pPr>
      <w:r w:rsidRPr="00EE4C33">
        <w:rPr>
          <w:rFonts w:ascii="Arial" w:hAnsi="Arial" w:cs="Arial"/>
          <w:b/>
          <w:bCs/>
        </w:rPr>
        <w:t>Figure 2:</w:t>
      </w:r>
      <w:r w:rsidRPr="00EE4C33">
        <w:rPr>
          <w:rFonts w:ascii="Arial" w:hAnsi="Arial" w:cs="Arial"/>
        </w:rPr>
        <w:t xml:space="preserve"> </w:t>
      </w:r>
      <w:r w:rsidRPr="00EE4C33">
        <w:rPr>
          <w:rFonts w:ascii="Arial" w:hAnsi="Arial" w:cs="Arial"/>
        </w:rPr>
        <w:tab/>
        <w:t>Plot of Cumulative Sum of Squares (CUSUMSQ) of</w:t>
      </w:r>
      <w:r w:rsidR="00EC7D28" w:rsidRPr="00EE4C33">
        <w:rPr>
          <w:rFonts w:ascii="Arial" w:hAnsi="Arial" w:cs="Arial"/>
        </w:rPr>
        <w:t xml:space="preserve"> </w:t>
      </w:r>
      <w:r w:rsidRPr="00EE4C33">
        <w:rPr>
          <w:rFonts w:ascii="Arial" w:hAnsi="Arial" w:cs="Arial"/>
        </w:rPr>
        <w:t>Recursive Residuals</w:t>
      </w:r>
    </w:p>
    <w:p w14:paraId="358199FF" w14:textId="77777777" w:rsidR="00385CAF" w:rsidRPr="00EE4C33" w:rsidRDefault="00385CAF" w:rsidP="00EC7D28">
      <w:pPr>
        <w:ind w:left="2877" w:hanging="1080"/>
        <w:rPr>
          <w:rFonts w:ascii="Arial" w:hAnsi="Arial" w:cs="Arial"/>
        </w:rPr>
      </w:pPr>
      <w:r w:rsidRPr="00EE4C33">
        <w:rPr>
          <w:rFonts w:ascii="Arial" w:hAnsi="Arial" w:cs="Arial"/>
          <w:b/>
          <w:bCs/>
        </w:rPr>
        <w:t>Note:</w:t>
      </w:r>
      <w:r w:rsidRPr="00EE4C33">
        <w:rPr>
          <w:rFonts w:ascii="Arial" w:hAnsi="Arial" w:cs="Arial"/>
        </w:rPr>
        <w:t xml:space="preserve"> </w:t>
      </w:r>
      <w:r w:rsidRPr="00EE4C33">
        <w:rPr>
          <w:rFonts w:ascii="Arial" w:hAnsi="Arial" w:cs="Arial"/>
        </w:rPr>
        <w:tab/>
        <w:t xml:space="preserve">The straight dashed lines represent the critical bounds at the 5% </w:t>
      </w:r>
      <w:r w:rsidRPr="00EE4C33">
        <w:rPr>
          <w:rFonts w:ascii="Arial" w:hAnsi="Arial" w:cs="Arial"/>
          <w:b/>
          <w:bCs/>
        </w:rPr>
        <w:tab/>
      </w:r>
      <w:r w:rsidRPr="00EE4C33">
        <w:rPr>
          <w:rFonts w:ascii="Arial" w:hAnsi="Arial" w:cs="Arial"/>
        </w:rPr>
        <w:t>significance level, indicating the stability of the variance.</w:t>
      </w:r>
    </w:p>
    <w:p w14:paraId="47FDA926" w14:textId="77777777" w:rsidR="00385CAF" w:rsidRPr="00EE4C33" w:rsidRDefault="00385CAF" w:rsidP="00385CAF">
      <w:pPr>
        <w:ind w:left="1077" w:firstLine="720"/>
        <w:rPr>
          <w:rFonts w:ascii="Arial" w:hAnsi="Arial" w:cs="Arial"/>
        </w:rPr>
      </w:pPr>
      <w:r w:rsidRPr="00EE4C33">
        <w:rPr>
          <w:rFonts w:ascii="Arial" w:hAnsi="Arial" w:cs="Arial"/>
          <w:b/>
          <w:bCs/>
        </w:rPr>
        <w:t>Source:</w:t>
      </w:r>
      <w:r w:rsidRPr="00EE4C33">
        <w:rPr>
          <w:rFonts w:ascii="Arial" w:hAnsi="Arial" w:cs="Arial"/>
          <w:b/>
          <w:bCs/>
        </w:rPr>
        <w:tab/>
      </w:r>
      <w:r w:rsidRPr="00EE4C33">
        <w:rPr>
          <w:rFonts w:ascii="Arial" w:hAnsi="Arial" w:cs="Arial"/>
        </w:rPr>
        <w:t>Author’s computation using EViews 13.</w:t>
      </w:r>
    </w:p>
    <w:p w14:paraId="694EE4A7" w14:textId="77777777" w:rsidR="00790ADA" w:rsidRPr="00EE4C33" w:rsidRDefault="00790ADA" w:rsidP="00441B6F">
      <w:pPr>
        <w:pStyle w:val="Body"/>
        <w:spacing w:after="0"/>
        <w:rPr>
          <w:rFonts w:ascii="Arial" w:hAnsi="Arial" w:cs="Arial"/>
        </w:rPr>
      </w:pPr>
    </w:p>
    <w:p w14:paraId="12A6D04F" w14:textId="77777777" w:rsidR="00EC7D28" w:rsidRPr="00EE4C33" w:rsidRDefault="00EC7D28" w:rsidP="00441B6F">
      <w:pPr>
        <w:pStyle w:val="AcknHead"/>
        <w:spacing w:after="0"/>
        <w:jc w:val="both"/>
        <w:rPr>
          <w:rFonts w:ascii="Arial" w:hAnsi="Arial" w:cs="Arial"/>
        </w:rPr>
      </w:pPr>
    </w:p>
    <w:p w14:paraId="249220EC" w14:textId="77777777" w:rsidR="00EC7D28" w:rsidRPr="00EE4C33" w:rsidRDefault="00EC7D28" w:rsidP="00EC7D28">
      <w:pPr>
        <w:spacing w:line="360" w:lineRule="auto"/>
        <w:jc w:val="both"/>
        <w:rPr>
          <w:rFonts w:ascii="Arial" w:hAnsi="Arial" w:cs="Arial"/>
          <w:b/>
          <w:bCs/>
          <w:sz w:val="22"/>
          <w:szCs w:val="22"/>
        </w:rPr>
      </w:pPr>
      <w:r w:rsidRPr="00EE4C33">
        <w:rPr>
          <w:rFonts w:ascii="Arial" w:hAnsi="Arial" w:cs="Arial"/>
          <w:b/>
          <w:bCs/>
          <w:sz w:val="22"/>
          <w:szCs w:val="22"/>
        </w:rPr>
        <w:t>5. DISCUSSION</w:t>
      </w:r>
    </w:p>
    <w:p w14:paraId="1505B662" w14:textId="77777777" w:rsidR="00EC7D28" w:rsidRPr="00EE4C33" w:rsidRDefault="00EC7D28" w:rsidP="00EC7D28">
      <w:pPr>
        <w:jc w:val="both"/>
        <w:rPr>
          <w:rFonts w:ascii="Arial" w:hAnsi="Arial" w:cs="Arial"/>
        </w:rPr>
      </w:pPr>
      <w:r w:rsidRPr="00EE4C33">
        <w:t xml:space="preserve">The Autoregressive Distributed Lag (ARDL) estimation results reveal a multifaceted inflationary process </w:t>
      </w:r>
      <w:proofErr w:type="spellStart"/>
      <w:r w:rsidRPr="00EE4C33">
        <w:t>characterised</w:t>
      </w:r>
      <w:proofErr w:type="spellEnd"/>
      <w:r w:rsidRPr="00EE4C33">
        <w:t xml:space="preserve"> by significant persistence, complex fiscal-debt dynamics, and dominant monetary and exchange-rate transmission channels. The highly significant positive coefficient for lagged inflation confirms price-level persistence (</w:t>
      </w:r>
      <w:proofErr w:type="spellStart"/>
      <w:r w:rsidRPr="00EE4C33">
        <w:t>Fasanya</w:t>
      </w:r>
      <w:proofErr w:type="spellEnd"/>
      <w:r w:rsidRPr="00EE4C33">
        <w:t xml:space="preserve"> et al., 2021). Contrary to traditional expectations and some domestic studies (</w:t>
      </w:r>
      <w:proofErr w:type="spellStart"/>
      <w:r w:rsidRPr="00EE4C33">
        <w:t>Fasanya</w:t>
      </w:r>
      <w:proofErr w:type="spellEnd"/>
      <w:r w:rsidRPr="00EE4C33">
        <w:t xml:space="preserve"> et al., 2021; Bello et al., 2023; Nwosu et al., 2024; Batool et al., 2024), the fiscal deficit (FD) has a statistically significant negative long-run effect (-7.233, p = 0.011), while its contemporaneous coefficient is insignificant. This outcome, which aligns with research that controls for monetary and exchange-rate channels (Afolabi &amp; </w:t>
      </w:r>
      <w:proofErr w:type="spellStart"/>
      <w:r w:rsidRPr="00EE4C33">
        <w:t>Atolagbe</w:t>
      </w:r>
      <w:proofErr w:type="spellEnd"/>
      <w:r w:rsidRPr="00EE4C33">
        <w:t>, 2018), suggests that deficits financed through bond issuance or directed towards productive expenditure may exert neutral or even disinflationary pressures.</w:t>
      </w:r>
    </w:p>
    <w:p w14:paraId="17328D5E" w14:textId="3F4A341D" w:rsidR="00EC7D28" w:rsidRPr="00EE4C33" w:rsidRDefault="00EC7D28" w:rsidP="00EC7D28">
      <w:pPr>
        <w:jc w:val="both"/>
        <w:rPr>
          <w:rFonts w:ascii="Arial" w:hAnsi="Arial" w:cs="Arial"/>
        </w:rPr>
      </w:pPr>
      <w:r w:rsidRPr="00EE4C33">
        <w:t>Regarding public debt (PD), short-run dynamics show alternating signs (-1.631, p = 0.000; 2.068, p = 0.000; -0.746, p = 0.001), indicating regime-dependent effects (Duarte Urquhart, 202</w:t>
      </w:r>
      <w:r w:rsidR="00B10875">
        <w:t>2</w:t>
      </w:r>
      <w:r w:rsidRPr="00EE4C33">
        <w:t>). Crucially, the long-run estimate for public debt is significantly negative (-0.766, p = 0.045), suggesting that higher debt levels are associated with disinflation when broader macroeconomic factors are considered. These findings challenge basic fiscal-dominance theories and cross-country paradigms (Batool et al., 2024; Shah et al., 2024), aligning instead with Nigerian literature suggesting that public debt can be inflation-neutral or weakly deflationary (</w:t>
      </w:r>
      <w:proofErr w:type="spellStart"/>
      <w:r w:rsidRPr="00EE4C33">
        <w:t>Aimola</w:t>
      </w:r>
      <w:proofErr w:type="spellEnd"/>
      <w:r w:rsidRPr="00EE4C33">
        <w:t xml:space="preserve"> &amp; Odhiambo, 2021b; Shuaibu et al., 2021), potentially through bond-</w:t>
      </w:r>
      <w:r w:rsidRPr="00EE4C33">
        <w:lastRenderedPageBreak/>
        <w:t xml:space="preserve">financed deficits and complementary monetary tightening (Afolabi &amp; </w:t>
      </w:r>
      <w:proofErr w:type="spellStart"/>
      <w:r w:rsidRPr="00EE4C33">
        <w:t>Atolagbe</w:t>
      </w:r>
      <w:proofErr w:type="spellEnd"/>
      <w:r w:rsidRPr="00EE4C33">
        <w:t xml:space="preserve">, 2018; </w:t>
      </w:r>
      <w:proofErr w:type="spellStart"/>
      <w:r w:rsidRPr="00EE4C33">
        <w:t>Orisadare</w:t>
      </w:r>
      <w:proofErr w:type="spellEnd"/>
      <w:r w:rsidRPr="00EE4C33">
        <w:t xml:space="preserve"> &amp; Adeyemi, 2024).</w:t>
      </w:r>
    </w:p>
    <w:p w14:paraId="096618BB" w14:textId="089A40EA" w:rsidR="00EC7D28" w:rsidRPr="00EE4C33" w:rsidRDefault="00EC7D28" w:rsidP="00EC7D28">
      <w:pPr>
        <w:jc w:val="both"/>
        <w:rPr>
          <w:rFonts w:ascii="Arial" w:hAnsi="Arial" w:cs="Arial"/>
        </w:rPr>
      </w:pPr>
      <w:r w:rsidRPr="00EE4C33">
        <w:t>Further contesting standard fiscal-dominance assumptions, the interaction term between public debt and fiscal deficits (FD*PD) has a negative contemporaneous effect (-0.100, p = 0.001) and an insignificant long-run effect. This finding implies that deficits under high-debt constraints need not invariably cause inflation, supporting domestic evidence for non-inflationary fiscal consolidation through bond financing (</w:t>
      </w:r>
      <w:proofErr w:type="spellStart"/>
      <w:r w:rsidRPr="00EE4C33">
        <w:t>Aimola</w:t>
      </w:r>
      <w:proofErr w:type="spellEnd"/>
      <w:r w:rsidRPr="00EE4C33">
        <w:t xml:space="preserve"> &amp; Odhiambo, 2021b). It contradicts cross-country models that establish inflationary debt thresholds (Olaoye et al., 202</w:t>
      </w:r>
      <w:r w:rsidR="00764AAD">
        <w:t>4</w:t>
      </w:r>
      <w:r w:rsidRPr="00EE4C33">
        <w:t>; Kwon et al., 2009) and fiscal-dominance frameworks (Batool et al., 2024), suggesting that Nigeria did not operate under a classic fiscally dominant regime during the sample period (</w:t>
      </w:r>
      <w:proofErr w:type="spellStart"/>
      <w:r w:rsidRPr="00EE4C33">
        <w:t>Aimola</w:t>
      </w:r>
      <w:proofErr w:type="spellEnd"/>
      <w:r w:rsidRPr="00EE4C33">
        <w:t xml:space="preserve"> &amp; Odhiambo, 2021b).</w:t>
      </w:r>
    </w:p>
    <w:p w14:paraId="2CCF7FA6" w14:textId="77777777" w:rsidR="00EC7D28" w:rsidRPr="00EE4C33" w:rsidRDefault="00EC7D28" w:rsidP="00EC7D28">
      <w:pPr>
        <w:jc w:val="both"/>
        <w:rPr>
          <w:rFonts w:ascii="Arial" w:hAnsi="Arial" w:cs="Arial"/>
          <w:color w:val="FF0000"/>
        </w:rPr>
      </w:pPr>
    </w:p>
    <w:p w14:paraId="2F60C23F" w14:textId="11E13AAA" w:rsidR="00EC7D28" w:rsidRPr="00EE4C33" w:rsidRDefault="00EC7D28" w:rsidP="00EC7D28">
      <w:pPr>
        <w:jc w:val="both"/>
        <w:rPr>
          <w:rFonts w:ascii="Arial" w:hAnsi="Arial" w:cs="Arial"/>
        </w:rPr>
      </w:pPr>
      <w:r w:rsidRPr="00EE4C33">
        <w:rPr>
          <w:rFonts w:ascii="Arial" w:hAnsi="Arial" w:cs="Arial"/>
          <w:sz w:val="22"/>
          <w:szCs w:val="22"/>
        </w:rPr>
        <w:t>The macroeconomic control variables align strongly with theoretical predictions. Exchange-rate depreciation (LEXR) is a pivotal factor, with a considerable positive long-run impact (4.658, p = 0.000), validating exchange-rate pass-through in Nigeria (</w:t>
      </w:r>
      <w:proofErr w:type="spellStart"/>
      <w:r w:rsidRPr="00EE4C33">
        <w:rPr>
          <w:rFonts w:ascii="Arial" w:hAnsi="Arial" w:cs="Arial"/>
          <w:sz w:val="22"/>
          <w:szCs w:val="22"/>
        </w:rPr>
        <w:t>Akinbobola</w:t>
      </w:r>
      <w:proofErr w:type="spellEnd"/>
      <w:r w:rsidRPr="00EE4C33">
        <w:rPr>
          <w:rFonts w:ascii="Arial" w:hAnsi="Arial" w:cs="Arial"/>
          <w:sz w:val="22"/>
          <w:szCs w:val="22"/>
        </w:rPr>
        <w:t xml:space="preserve">, 2012). Broad money supply (M2) also has a significant positive long-run effect (0.927, p = 0.000), supporting monetarist perspectives on liquidity-induced inflation (Jung, 2024; </w:t>
      </w:r>
      <w:r w:rsidR="00B10875" w:rsidRPr="00B10875">
        <w:rPr>
          <w:rFonts w:ascii="Arial" w:hAnsi="Arial" w:cs="Arial"/>
          <w:sz w:val="22"/>
          <w:szCs w:val="22"/>
        </w:rPr>
        <w:t>Dockery</w:t>
      </w:r>
      <w:r w:rsidR="00B10875" w:rsidRPr="00B10875">
        <w:rPr>
          <w:rFonts w:ascii="Arial" w:hAnsi="Arial" w:cs="Arial"/>
          <w:sz w:val="22"/>
          <w:szCs w:val="22"/>
        </w:rPr>
        <w:t xml:space="preserve"> </w:t>
      </w:r>
      <w:r w:rsidRPr="00EE4C33">
        <w:rPr>
          <w:rFonts w:ascii="Arial" w:hAnsi="Arial" w:cs="Arial"/>
          <w:sz w:val="22"/>
          <w:szCs w:val="22"/>
        </w:rPr>
        <w:t>et al., 2012,</w:t>
      </w:r>
      <w:r w:rsidR="00764AAD" w:rsidRPr="00764AAD">
        <w:t xml:space="preserve"> </w:t>
      </w:r>
      <w:proofErr w:type="spellStart"/>
      <w:r w:rsidR="00764AAD" w:rsidRPr="00764AAD">
        <w:rPr>
          <w:rFonts w:ascii="Arial" w:hAnsi="Arial" w:cs="Arial"/>
          <w:sz w:val="22"/>
          <w:szCs w:val="22"/>
        </w:rPr>
        <w:t>Ezeabasili</w:t>
      </w:r>
      <w:proofErr w:type="spellEnd"/>
      <w:r w:rsidR="00764AAD" w:rsidRPr="00764AAD">
        <w:rPr>
          <w:rFonts w:ascii="Arial" w:hAnsi="Arial" w:cs="Arial"/>
          <w:sz w:val="22"/>
          <w:szCs w:val="22"/>
        </w:rPr>
        <w:t xml:space="preserve"> et al.,</w:t>
      </w:r>
      <w:r w:rsidRPr="00EE4C33">
        <w:rPr>
          <w:rFonts w:ascii="Arial" w:hAnsi="Arial" w:cs="Arial"/>
          <w:sz w:val="22"/>
          <w:szCs w:val="22"/>
        </w:rPr>
        <w:t xml:space="preserve"> 2012b; </w:t>
      </w:r>
      <w:proofErr w:type="spellStart"/>
      <w:r w:rsidRPr="00EE4C33">
        <w:rPr>
          <w:rFonts w:ascii="Arial" w:hAnsi="Arial" w:cs="Arial"/>
          <w:sz w:val="22"/>
          <w:szCs w:val="22"/>
        </w:rPr>
        <w:t>Akinbobola</w:t>
      </w:r>
      <w:proofErr w:type="spellEnd"/>
      <w:r w:rsidRPr="00EE4C33">
        <w:rPr>
          <w:rFonts w:ascii="Arial" w:hAnsi="Arial" w:cs="Arial"/>
          <w:sz w:val="22"/>
          <w:szCs w:val="22"/>
        </w:rPr>
        <w:t>, 2012). The lending rate (LR) has a notable positive long-run impact (4.254, p = 0.000), reflecting cost-push influences on inflation. By contrast, real GDP growth (RGDPG) is statistically insignificant in the long run, indicating that demand-side output gaps do not serve as the main nominal anchor for inflation (</w:t>
      </w:r>
      <w:proofErr w:type="spellStart"/>
      <w:r w:rsidRPr="00EE4C33">
        <w:rPr>
          <w:rFonts w:ascii="Arial" w:hAnsi="Arial" w:cs="Arial"/>
          <w:sz w:val="22"/>
          <w:szCs w:val="22"/>
        </w:rPr>
        <w:t>Fasanya</w:t>
      </w:r>
      <w:proofErr w:type="spellEnd"/>
      <w:r w:rsidRPr="00EE4C33">
        <w:rPr>
          <w:rFonts w:ascii="Arial" w:hAnsi="Arial" w:cs="Arial"/>
          <w:sz w:val="22"/>
          <w:szCs w:val="22"/>
        </w:rPr>
        <w:t xml:space="preserve"> et al., 2021). Structural dummy variables underscore the influence of institutional and external shocks. The 1986 Structural Adjustment </w:t>
      </w:r>
      <w:proofErr w:type="spellStart"/>
      <w:r w:rsidRPr="00EE4C33">
        <w:rPr>
          <w:rFonts w:ascii="Arial" w:hAnsi="Arial" w:cs="Arial"/>
          <w:sz w:val="22"/>
          <w:szCs w:val="22"/>
        </w:rPr>
        <w:t>Programme</w:t>
      </w:r>
      <w:proofErr w:type="spellEnd"/>
      <w:r w:rsidRPr="00EE4C33">
        <w:rPr>
          <w:rFonts w:ascii="Arial" w:hAnsi="Arial" w:cs="Arial"/>
          <w:sz w:val="22"/>
          <w:szCs w:val="22"/>
        </w:rPr>
        <w:t xml:space="preserve"> (DUM86) produced a notable deflationary effect, reducing inflation by 23.4 percentage points (p = 0.002) through measures associated with fiscal consolidation. Conversely, the 1988-1989 oil price shock (DUM88) and the 1992-1993 political crisis (DUM92) triggered pronounced inflationary increases of 47.6 percentage points (p = 0.000) and 14.9 percentage points (p = 0.000), respectively. These distinct impacts affirm the importance of accounting for structural breaks in the fiscal policy-inflation relationship (</w:t>
      </w:r>
      <w:proofErr w:type="spellStart"/>
      <w:r w:rsidRPr="00EE4C33">
        <w:rPr>
          <w:rFonts w:ascii="Arial" w:hAnsi="Arial" w:cs="Arial"/>
          <w:sz w:val="22"/>
          <w:szCs w:val="22"/>
        </w:rPr>
        <w:t>Fasanya</w:t>
      </w:r>
      <w:proofErr w:type="spellEnd"/>
      <w:r w:rsidRPr="00EE4C33">
        <w:rPr>
          <w:rFonts w:ascii="Arial" w:hAnsi="Arial" w:cs="Arial"/>
          <w:sz w:val="22"/>
          <w:szCs w:val="22"/>
        </w:rPr>
        <w:t xml:space="preserve"> et al., 2021).</w:t>
      </w:r>
    </w:p>
    <w:p w14:paraId="2E08B48B" w14:textId="77777777" w:rsidR="00EC7D28" w:rsidRPr="00EE4C33" w:rsidRDefault="00EC7D28" w:rsidP="00EC7D28">
      <w:pPr>
        <w:jc w:val="both"/>
        <w:rPr>
          <w:rFonts w:ascii="Arial" w:hAnsi="Arial" w:cs="Arial"/>
          <w:color w:val="FF0000"/>
        </w:rPr>
      </w:pPr>
    </w:p>
    <w:p w14:paraId="1F03012E" w14:textId="77777777" w:rsidR="00EC7D28" w:rsidRPr="00EE4C33" w:rsidRDefault="00EC7D28" w:rsidP="00EC7D28">
      <w:pPr>
        <w:jc w:val="both"/>
        <w:rPr>
          <w:rFonts w:ascii="Arial" w:hAnsi="Arial" w:cs="Arial"/>
        </w:rPr>
      </w:pPr>
      <w:r w:rsidRPr="00EE4C33">
        <w:t xml:space="preserve">In conclusion, although a stable long-run cointegrating relationship is confirmed, the results do not support a persistently fiscally driven inflation regime dictated by deficit </w:t>
      </w:r>
      <w:proofErr w:type="spellStart"/>
      <w:r w:rsidRPr="00EE4C33">
        <w:t>monetisation</w:t>
      </w:r>
      <w:proofErr w:type="spellEnd"/>
      <w:r w:rsidRPr="00EE4C33">
        <w:t xml:space="preserve">. Instead, they suggest that market-based deficit financing and monetary independence can yield </w:t>
      </w:r>
      <w:proofErr w:type="spellStart"/>
      <w:r w:rsidRPr="00EE4C33">
        <w:t>stabilising</w:t>
      </w:r>
      <w:proofErr w:type="spellEnd"/>
      <w:r w:rsidRPr="00EE4C33">
        <w:t xml:space="preserve"> price effects (Afolabi &amp; </w:t>
      </w:r>
      <w:proofErr w:type="spellStart"/>
      <w:r w:rsidRPr="00EE4C33">
        <w:t>Atolagbe</w:t>
      </w:r>
      <w:proofErr w:type="spellEnd"/>
      <w:r w:rsidRPr="00EE4C33">
        <w:t xml:space="preserve">, 2018; </w:t>
      </w:r>
      <w:proofErr w:type="spellStart"/>
      <w:r w:rsidRPr="00EE4C33">
        <w:t>Orisadare</w:t>
      </w:r>
      <w:proofErr w:type="spellEnd"/>
      <w:r w:rsidRPr="00EE4C33">
        <w:t xml:space="preserve"> &amp; Adeyemi, 2024). The negative and significant error correction term of 40.4% indicates a moderate annual adjustment speed towards long-run equilibrium (</w:t>
      </w:r>
      <w:proofErr w:type="spellStart"/>
      <w:r w:rsidRPr="00EE4C33">
        <w:t>Fasanya</w:t>
      </w:r>
      <w:proofErr w:type="spellEnd"/>
      <w:r w:rsidRPr="00EE4C33">
        <w:t xml:space="preserve"> et al., 2021; </w:t>
      </w:r>
      <w:proofErr w:type="spellStart"/>
      <w:r w:rsidRPr="00EE4C33">
        <w:t>Aimola</w:t>
      </w:r>
      <w:proofErr w:type="spellEnd"/>
      <w:r w:rsidRPr="00EE4C33">
        <w:t xml:space="preserve"> &amp; Odhiambo, 2021b). Overall, the study concludes that fiscal deficits have a disinflationary long-run impact, public debt is associated with lower long-run inflation, and elevated debt does not significantly amplify the inflationary impact of fiscal deficits in Nigeria.</w:t>
      </w:r>
    </w:p>
    <w:p w14:paraId="5150FC87" w14:textId="77777777" w:rsidR="00EC7D28" w:rsidRPr="00EE4C33" w:rsidRDefault="00EC7D28" w:rsidP="00EC7D28">
      <w:pPr>
        <w:spacing w:line="360" w:lineRule="auto"/>
        <w:rPr>
          <w:rFonts w:ascii="Arial" w:hAnsi="Arial" w:cs="Arial"/>
          <w:sz w:val="22"/>
          <w:szCs w:val="22"/>
        </w:rPr>
      </w:pPr>
    </w:p>
    <w:p w14:paraId="2AF4B770" w14:textId="77777777" w:rsidR="00EC7D28" w:rsidRPr="00EE4C33" w:rsidRDefault="00EC7D28" w:rsidP="00EC7D28">
      <w:pPr>
        <w:spacing w:line="360" w:lineRule="auto"/>
        <w:rPr>
          <w:rFonts w:ascii="Arial" w:hAnsi="Arial" w:cs="Arial"/>
          <w:b/>
          <w:bCs/>
          <w:sz w:val="22"/>
          <w:szCs w:val="22"/>
        </w:rPr>
      </w:pPr>
      <w:r w:rsidRPr="00EE4C33">
        <w:rPr>
          <w:rFonts w:ascii="Arial" w:hAnsi="Arial" w:cs="Arial"/>
          <w:b/>
          <w:bCs/>
          <w:sz w:val="22"/>
          <w:szCs w:val="22"/>
        </w:rPr>
        <w:t>6. CONCLUSION</w:t>
      </w:r>
    </w:p>
    <w:p w14:paraId="092E08DA" w14:textId="77777777" w:rsidR="001A061B" w:rsidRPr="00EE4C33" w:rsidRDefault="001A061B" w:rsidP="001A061B">
      <w:pPr>
        <w:pStyle w:val="pdq2pgselectionanchorcontainer"/>
        <w:jc w:val="both"/>
      </w:pPr>
      <w:r w:rsidRPr="00EE4C33">
        <w:t xml:space="preserve">This study examined the effects of fiscal deficit, public debt, and their interaction on inflation in Nigeria from 1980 to 2024. The findings show that inflation is persistent and that a stable long-run relationship exists among the variables. Fiscal deficit and public debt have significant negative long-run relationships with inflation, while the long-run interaction between fiscal deficit and public debt is negative but statistically </w:t>
      </w:r>
      <w:r w:rsidRPr="00EE4C33">
        <w:lastRenderedPageBreak/>
        <w:t>insignificant. In the short run, the interaction term has a significant negative effect, indicating that the inflationary effect of fiscal imbalance may depend on the level and structure of public debt. Exchange-rate depreciation, broad money growth, and lending rate are important positive determinants of inflation, whereas real GDP growth does not show a significant long-run effect. Overall, the results indicate that Nigeria’s inflation dynamics cannot be explained by fiscal deficit and public debt alone. Effective price stability requires stronger fiscal-monetary coordination, improved debt management, market-oriented deficit financing, and policy measures that limit liquidity-driven and exchange-rate-induced inflationary pressures.</w:t>
      </w:r>
    </w:p>
    <w:p w14:paraId="46163969" w14:textId="77777777" w:rsidR="00FE011B" w:rsidRPr="00EE4C33" w:rsidRDefault="00FE011B" w:rsidP="00FE011B">
      <w:pPr>
        <w:spacing w:before="100" w:beforeAutospacing="1" w:after="100" w:afterAutospacing="1"/>
        <w:outlineLvl w:val="2"/>
        <w:rPr>
          <w:rFonts w:ascii="Times New Roman" w:hAnsi="Times New Roman"/>
          <w:b/>
          <w:bCs/>
          <w:sz w:val="27"/>
          <w:szCs w:val="27"/>
          <w:lang w:val="en-IN" w:eastAsia="en-IN"/>
        </w:rPr>
      </w:pPr>
      <w:r w:rsidRPr="00EE4C33">
        <w:rPr>
          <w:rFonts w:ascii="Times New Roman" w:hAnsi="Times New Roman"/>
          <w:b/>
          <w:bCs/>
          <w:sz w:val="27"/>
          <w:szCs w:val="27"/>
          <w:lang w:val="en-IN" w:eastAsia="en-IN"/>
        </w:rPr>
        <w:t>Limitation</w:t>
      </w:r>
    </w:p>
    <w:p w14:paraId="5DA53D0C" w14:textId="77777777" w:rsidR="00FE011B" w:rsidRPr="00EE4C33" w:rsidRDefault="001A061B" w:rsidP="00FE011B">
      <w:r w:rsidRPr="00EE4C33">
        <w:t>The study is limited by its use of aggregate annual data, which may not capture short-term changes in inflation, fiscal operations, debt composition, and monetary conditions. Fiscal deficit and public debt are also examined in aggregate form, without separating domestic and external debt or recurrent and capital expenditure. Although structural break dummies are included, the ARDL model may not fully capture nonlinear or threshold effects. Future studies may use disaggregated, higher-frequency data and nonlinear models.</w:t>
      </w:r>
    </w:p>
    <w:p w14:paraId="2723CF46" w14:textId="77777777" w:rsidR="00FE011B" w:rsidRPr="00EE4C33" w:rsidRDefault="00FE011B" w:rsidP="00FE011B">
      <w:pPr>
        <w:shd w:val="clear" w:color="auto" w:fill="FFFFFF"/>
        <w:rPr>
          <w:rFonts w:ascii="Arial" w:hAnsi="Arial" w:cs="Arial"/>
          <w:color w:val="222222"/>
          <w:sz w:val="24"/>
          <w:szCs w:val="24"/>
          <w:lang w:val="en-IN" w:eastAsia="en-IN"/>
        </w:rPr>
      </w:pPr>
      <w:bookmarkStart w:id="1" w:name="_Hlk232854992"/>
    </w:p>
    <w:p w14:paraId="23D38912" w14:textId="77777777" w:rsidR="00FE011B" w:rsidRPr="00EE4C33" w:rsidRDefault="00FE011B" w:rsidP="00FE011B">
      <w:pPr>
        <w:rPr>
          <w:rFonts w:ascii="Times New Roman" w:hAnsi="Times New Roman"/>
          <w:b/>
        </w:rPr>
      </w:pPr>
      <w:bookmarkStart w:id="2" w:name="_Hlk232755622"/>
      <w:r w:rsidRPr="00EE4C33">
        <w:rPr>
          <w:rFonts w:ascii="Times New Roman" w:hAnsi="Times New Roman"/>
          <w:b/>
        </w:rPr>
        <w:t>Declaration of AI Use</w:t>
      </w:r>
    </w:p>
    <w:p w14:paraId="053E4CD0" w14:textId="77777777" w:rsidR="00FE011B" w:rsidRPr="00EE4C33" w:rsidRDefault="00FE011B" w:rsidP="00FE011B">
      <w:pPr>
        <w:rPr>
          <w:rFonts w:ascii="Times New Roman" w:hAnsi="Times New Roman"/>
        </w:rPr>
      </w:pPr>
    </w:p>
    <w:p w14:paraId="42156FCD" w14:textId="77777777" w:rsidR="00FE011B" w:rsidRPr="00EE4C33" w:rsidRDefault="00FE011B" w:rsidP="00FE011B">
      <w:pPr>
        <w:jc w:val="both"/>
        <w:rPr>
          <w:rFonts w:ascii="Times New Roman" w:hAnsi="Times New Roman"/>
        </w:rPr>
      </w:pPr>
      <w:r w:rsidRPr="00EE4C33">
        <w:rPr>
          <w:rFonts w:ascii="Arial" w:hAnsi="Arial" w:cs="Arial"/>
          <w:sz w:val="22"/>
          <w:szCs w:val="22"/>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
    <w:bookmarkEnd w:id="2"/>
    <w:p w14:paraId="4B6ED3B4" w14:textId="77777777" w:rsidR="00EC7D28" w:rsidRPr="00EE4C33" w:rsidRDefault="00EC7D28" w:rsidP="00441B6F">
      <w:pPr>
        <w:pStyle w:val="AcknHead"/>
        <w:spacing w:after="0"/>
        <w:jc w:val="both"/>
        <w:rPr>
          <w:rFonts w:ascii="Arial" w:hAnsi="Arial" w:cs="Arial"/>
          <w:b w:val="0"/>
          <w:bCs/>
        </w:rPr>
      </w:pPr>
    </w:p>
    <w:p w14:paraId="75BC7E1F" w14:textId="77777777" w:rsidR="00315186" w:rsidRPr="00EE4C33" w:rsidRDefault="00315186" w:rsidP="00441B6F"/>
    <w:p w14:paraId="5B3F7461" w14:textId="77777777" w:rsidR="00315186" w:rsidRPr="00EE4C33" w:rsidRDefault="00315186" w:rsidP="00441B6F"/>
    <w:p w14:paraId="2C6096AA" w14:textId="77777777" w:rsidR="00236ADE" w:rsidRPr="00EE4C33" w:rsidRDefault="00236ADE" w:rsidP="00441B6F">
      <w:pPr>
        <w:pStyle w:val="ReferHead"/>
        <w:spacing w:after="0"/>
        <w:jc w:val="both"/>
        <w:rPr>
          <w:rFonts w:ascii="Arial" w:hAnsi="Arial" w:cs="Arial"/>
          <w:b w:val="0"/>
          <w:bCs/>
          <w:caps w:val="0"/>
          <w:sz w:val="20"/>
        </w:rPr>
      </w:pPr>
    </w:p>
    <w:p w14:paraId="1080C10A" w14:textId="77777777" w:rsidR="00860000" w:rsidRPr="00EE4C33" w:rsidRDefault="00860000" w:rsidP="00441B6F">
      <w:pPr>
        <w:pStyle w:val="ReferHead"/>
        <w:spacing w:after="0"/>
        <w:jc w:val="both"/>
        <w:rPr>
          <w:rFonts w:ascii="Arial" w:hAnsi="Arial" w:cs="Arial"/>
        </w:rPr>
      </w:pPr>
    </w:p>
    <w:p w14:paraId="367A68D6" w14:textId="77777777" w:rsidR="00B01FCD" w:rsidRPr="00EE4C33" w:rsidRDefault="00B01FCD" w:rsidP="00441B6F">
      <w:pPr>
        <w:pStyle w:val="ReferHead"/>
        <w:spacing w:after="0"/>
        <w:jc w:val="both"/>
        <w:rPr>
          <w:rFonts w:ascii="Arial" w:hAnsi="Arial" w:cs="Arial"/>
        </w:rPr>
      </w:pPr>
      <w:r w:rsidRPr="00EE4C33">
        <w:rPr>
          <w:rFonts w:ascii="Arial" w:hAnsi="Arial" w:cs="Arial"/>
        </w:rPr>
        <w:t>References</w:t>
      </w:r>
    </w:p>
    <w:p w14:paraId="1114A92B" w14:textId="77777777" w:rsidR="00326021" w:rsidRPr="00EE4C33" w:rsidRDefault="00326021" w:rsidP="00441B6F">
      <w:pPr>
        <w:pStyle w:val="Appendix"/>
        <w:spacing w:after="0"/>
        <w:jc w:val="both"/>
        <w:rPr>
          <w:rFonts w:ascii="Arial" w:hAnsi="Arial" w:cs="Arial"/>
          <w:b w:val="0"/>
        </w:rPr>
        <w:sectPr w:rsidR="00326021" w:rsidRPr="00EE4C33" w:rsidSect="009E2C1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0AA9EC6" w14:textId="77777777" w:rsidR="00326021" w:rsidRPr="00EE4C33" w:rsidRDefault="00326021" w:rsidP="00326021">
      <w:pPr>
        <w:ind w:hanging="720"/>
        <w:jc w:val="both"/>
        <w:rPr>
          <w:rFonts w:ascii="Arial" w:hAnsi="Arial" w:cs="Arial"/>
        </w:rPr>
      </w:pPr>
      <w:bookmarkStart w:id="3" w:name="_Hlk232973623"/>
    </w:p>
    <w:bookmarkEnd w:id="3"/>
    <w:p w14:paraId="63ADE078"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Abubakar, M., </w:t>
      </w:r>
      <w:proofErr w:type="spellStart"/>
      <w:r w:rsidRPr="000D77D9">
        <w:rPr>
          <w:rFonts w:ascii="Times New Roman" w:hAnsi="Times New Roman"/>
          <w:sz w:val="24"/>
          <w:szCs w:val="24"/>
        </w:rPr>
        <w:t>Aliero</w:t>
      </w:r>
      <w:proofErr w:type="spellEnd"/>
      <w:r w:rsidRPr="000D77D9">
        <w:rPr>
          <w:rFonts w:ascii="Times New Roman" w:hAnsi="Times New Roman"/>
          <w:sz w:val="24"/>
          <w:szCs w:val="24"/>
        </w:rPr>
        <w:t xml:space="preserve">, H. M., &amp; Umaru, A. D. (2014). An empirical analysis on the relationship between fiscal deficit and inflation in Nigeria. </w:t>
      </w:r>
      <w:r w:rsidRPr="000D77D9">
        <w:rPr>
          <w:rFonts w:ascii="Times New Roman" w:hAnsi="Times New Roman"/>
          <w:i/>
          <w:iCs/>
          <w:sz w:val="24"/>
          <w:szCs w:val="24"/>
        </w:rPr>
        <w:t>Economics and Applied Informatics, 20</w:t>
      </w:r>
      <w:r w:rsidRPr="000D77D9">
        <w:rPr>
          <w:rFonts w:ascii="Times New Roman" w:hAnsi="Times New Roman"/>
          <w:sz w:val="24"/>
          <w:szCs w:val="24"/>
        </w:rPr>
        <w:t>(2), 67–74. https://www.eia.feaa.ugal.ro/images/eia/2014_2/AbubakarAlieroUmaru.pdf</w:t>
      </w:r>
    </w:p>
    <w:p w14:paraId="2089368F"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Afolabi, J. O., &amp; </w:t>
      </w:r>
      <w:proofErr w:type="spellStart"/>
      <w:r w:rsidRPr="000D77D9">
        <w:rPr>
          <w:rFonts w:ascii="Times New Roman" w:hAnsi="Times New Roman"/>
          <w:sz w:val="24"/>
          <w:szCs w:val="24"/>
        </w:rPr>
        <w:t>Atolagbe</w:t>
      </w:r>
      <w:proofErr w:type="spellEnd"/>
      <w:r w:rsidRPr="000D77D9">
        <w:rPr>
          <w:rFonts w:ascii="Times New Roman" w:hAnsi="Times New Roman"/>
          <w:sz w:val="24"/>
          <w:szCs w:val="24"/>
        </w:rPr>
        <w:t xml:space="preserve">, O. A. (2018). </w:t>
      </w:r>
      <w:r w:rsidRPr="000D77D9">
        <w:rPr>
          <w:rFonts w:ascii="Times New Roman" w:hAnsi="Times New Roman"/>
          <w:i/>
          <w:iCs/>
          <w:sz w:val="24"/>
          <w:szCs w:val="24"/>
        </w:rPr>
        <w:t>Empirical analysis of fiscal dominance and the conduct of monetary policy in Nigeria</w:t>
      </w:r>
      <w:r w:rsidRPr="000D77D9">
        <w:rPr>
          <w:rFonts w:ascii="Times New Roman" w:hAnsi="Times New Roman"/>
          <w:sz w:val="24"/>
          <w:szCs w:val="24"/>
        </w:rPr>
        <w:t xml:space="preserve"> (MPRA Paper No. 88786). Munich Personal </w:t>
      </w:r>
      <w:proofErr w:type="spellStart"/>
      <w:r w:rsidRPr="000D77D9">
        <w:rPr>
          <w:rFonts w:ascii="Times New Roman" w:hAnsi="Times New Roman"/>
          <w:sz w:val="24"/>
          <w:szCs w:val="24"/>
        </w:rPr>
        <w:t>RePEc</w:t>
      </w:r>
      <w:proofErr w:type="spellEnd"/>
      <w:r w:rsidRPr="000D77D9">
        <w:rPr>
          <w:rFonts w:ascii="Times New Roman" w:hAnsi="Times New Roman"/>
          <w:sz w:val="24"/>
          <w:szCs w:val="24"/>
        </w:rPr>
        <w:t xml:space="preserve"> Archive. </w:t>
      </w:r>
      <w:hyperlink r:id="rId18" w:tgtFrame="_new" w:history="1">
        <w:r w:rsidRPr="000D77D9">
          <w:rPr>
            <w:rFonts w:ascii="Times New Roman" w:hAnsi="Times New Roman"/>
            <w:color w:val="0000FF"/>
            <w:sz w:val="24"/>
            <w:szCs w:val="24"/>
            <w:u w:val="single"/>
          </w:rPr>
          <w:t>https://mpra.ub.uni-muenchen.de/88786/</w:t>
        </w:r>
      </w:hyperlink>
    </w:p>
    <w:p w14:paraId="4AFED30E" w14:textId="140874C2"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lastRenderedPageBreak/>
        <w:t xml:space="preserve">Afonso, A., &amp; </w:t>
      </w:r>
      <w:proofErr w:type="spellStart"/>
      <w:r w:rsidRPr="000D77D9">
        <w:rPr>
          <w:rFonts w:ascii="Times New Roman" w:hAnsi="Times New Roman"/>
          <w:sz w:val="24"/>
          <w:szCs w:val="24"/>
        </w:rPr>
        <w:t>Ibraimo</w:t>
      </w:r>
      <w:proofErr w:type="spellEnd"/>
      <w:r w:rsidRPr="000D77D9">
        <w:rPr>
          <w:rFonts w:ascii="Times New Roman" w:hAnsi="Times New Roman"/>
          <w:sz w:val="24"/>
          <w:szCs w:val="24"/>
        </w:rPr>
        <w:t xml:space="preserve">, Y. (2020). The macroeconomic effects of public debt: An empirical analysis of Mozambique. </w:t>
      </w:r>
      <w:r w:rsidRPr="000D77D9">
        <w:rPr>
          <w:rFonts w:ascii="Times New Roman" w:hAnsi="Times New Roman"/>
          <w:i/>
          <w:iCs/>
          <w:sz w:val="24"/>
          <w:szCs w:val="24"/>
        </w:rPr>
        <w:t>Applied Economics, 52</w:t>
      </w:r>
      <w:r w:rsidRPr="000D77D9">
        <w:rPr>
          <w:rFonts w:ascii="Times New Roman" w:hAnsi="Times New Roman"/>
          <w:sz w:val="24"/>
          <w:szCs w:val="24"/>
        </w:rPr>
        <w:t xml:space="preserve">(2), 212–226. https://doi.org/10.1080/00036846.2019.1644445 </w:t>
      </w:r>
    </w:p>
    <w:p w14:paraId="2CF3A863"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Ahmad, M. J., Sheikh, M. R., &amp; Tariq, K. (2012). Domestic debt and inflationary effects: </w:t>
      </w:r>
      <w:proofErr w:type="gramStart"/>
      <w:r w:rsidRPr="000D77D9">
        <w:rPr>
          <w:rFonts w:ascii="Times New Roman" w:hAnsi="Times New Roman"/>
          <w:sz w:val="24"/>
          <w:szCs w:val="24"/>
        </w:rPr>
        <w:t>An evidence</w:t>
      </w:r>
      <w:proofErr w:type="gramEnd"/>
      <w:r w:rsidRPr="000D77D9">
        <w:rPr>
          <w:rFonts w:ascii="Times New Roman" w:hAnsi="Times New Roman"/>
          <w:sz w:val="24"/>
          <w:szCs w:val="24"/>
        </w:rPr>
        <w:t xml:space="preserve"> from Pakistan. </w:t>
      </w:r>
      <w:r w:rsidRPr="000D77D9">
        <w:rPr>
          <w:rFonts w:ascii="Times New Roman" w:hAnsi="Times New Roman"/>
          <w:i/>
          <w:iCs/>
          <w:sz w:val="24"/>
          <w:szCs w:val="24"/>
        </w:rPr>
        <w:t>International Journal of Humanities and Social Science, 2</w:t>
      </w:r>
      <w:r w:rsidRPr="000D77D9">
        <w:rPr>
          <w:rFonts w:ascii="Times New Roman" w:hAnsi="Times New Roman"/>
          <w:sz w:val="24"/>
          <w:szCs w:val="24"/>
        </w:rPr>
        <w:t xml:space="preserve">(18), 256–263. </w:t>
      </w:r>
      <w:hyperlink r:id="rId19" w:tgtFrame="_new" w:history="1">
        <w:r w:rsidRPr="000D77D9">
          <w:rPr>
            <w:rFonts w:ascii="Times New Roman" w:hAnsi="Times New Roman"/>
            <w:color w:val="0000FF"/>
            <w:sz w:val="24"/>
            <w:szCs w:val="24"/>
            <w:u w:val="single"/>
          </w:rPr>
          <w:t>https://ijhss.thebrpi.org/journals/Vol_2_No_18_October_2012/30.pdf</w:t>
        </w:r>
      </w:hyperlink>
    </w:p>
    <w:p w14:paraId="1A8FB1D0"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Aimola</w:t>
      </w:r>
      <w:proofErr w:type="spellEnd"/>
      <w:r w:rsidRPr="000D77D9">
        <w:rPr>
          <w:rFonts w:ascii="Times New Roman" w:hAnsi="Times New Roman"/>
          <w:sz w:val="24"/>
          <w:szCs w:val="24"/>
        </w:rPr>
        <w:t xml:space="preserve">, A. U., &amp; Odhiambo, N. M. (2021a). Public debt and inflation: Empirical evidence from Ghana. </w:t>
      </w:r>
      <w:r w:rsidRPr="000D77D9">
        <w:rPr>
          <w:rFonts w:ascii="Times New Roman" w:hAnsi="Times New Roman"/>
          <w:i/>
          <w:iCs/>
          <w:sz w:val="24"/>
          <w:szCs w:val="24"/>
        </w:rPr>
        <w:t>Development Studies Research, 8</w:t>
      </w:r>
      <w:r w:rsidRPr="000D77D9">
        <w:rPr>
          <w:rFonts w:ascii="Times New Roman" w:hAnsi="Times New Roman"/>
          <w:sz w:val="24"/>
          <w:szCs w:val="24"/>
        </w:rPr>
        <w:t xml:space="preserve">(1), 1–13. </w:t>
      </w:r>
      <w:hyperlink r:id="rId20" w:tgtFrame="_new" w:history="1">
        <w:r w:rsidRPr="000D77D9">
          <w:rPr>
            <w:rFonts w:ascii="Times New Roman" w:hAnsi="Times New Roman"/>
            <w:color w:val="0000FF"/>
            <w:sz w:val="24"/>
            <w:szCs w:val="24"/>
            <w:u w:val="single"/>
          </w:rPr>
          <w:t>https://doi.org/10.1080/21665095.2021.1872392</w:t>
        </w:r>
      </w:hyperlink>
    </w:p>
    <w:p w14:paraId="15A535DB"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Aimola</w:t>
      </w:r>
      <w:proofErr w:type="spellEnd"/>
      <w:r w:rsidRPr="000D77D9">
        <w:rPr>
          <w:rFonts w:ascii="Times New Roman" w:hAnsi="Times New Roman"/>
          <w:sz w:val="24"/>
          <w:szCs w:val="24"/>
        </w:rPr>
        <w:t xml:space="preserve">, A. U., &amp; Odhiambo, N. M. (2021b). Public debt and inflation nexus in Nigeria: An ARDL bounds test approach. </w:t>
      </w:r>
      <w:r w:rsidRPr="000D77D9">
        <w:rPr>
          <w:rFonts w:ascii="Times New Roman" w:hAnsi="Times New Roman"/>
          <w:i/>
          <w:iCs/>
          <w:sz w:val="24"/>
          <w:szCs w:val="24"/>
        </w:rPr>
        <w:t>Cogent Economics &amp; Finance, 9</w:t>
      </w:r>
      <w:r w:rsidRPr="000D77D9">
        <w:rPr>
          <w:rFonts w:ascii="Times New Roman" w:hAnsi="Times New Roman"/>
          <w:sz w:val="24"/>
          <w:szCs w:val="24"/>
        </w:rPr>
        <w:t xml:space="preserve">(1), Article 1921905. </w:t>
      </w:r>
      <w:hyperlink r:id="rId21" w:tgtFrame="_new" w:history="1">
        <w:r w:rsidRPr="000D77D9">
          <w:rPr>
            <w:rFonts w:ascii="Times New Roman" w:hAnsi="Times New Roman"/>
            <w:color w:val="0000FF"/>
            <w:sz w:val="24"/>
            <w:szCs w:val="24"/>
            <w:u w:val="single"/>
          </w:rPr>
          <w:t>https://doi.org/10.1080/23322039.2021.1921905</w:t>
        </w:r>
      </w:hyperlink>
    </w:p>
    <w:p w14:paraId="7E0FDC5C"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Akinbobola</w:t>
      </w:r>
      <w:proofErr w:type="spellEnd"/>
      <w:r w:rsidRPr="000D77D9">
        <w:rPr>
          <w:rFonts w:ascii="Times New Roman" w:hAnsi="Times New Roman"/>
          <w:sz w:val="24"/>
          <w:szCs w:val="24"/>
        </w:rPr>
        <w:t xml:space="preserve">, T. O. (2012). The dynamics of money supply, exchange rate and inflation in Nigeria. </w:t>
      </w:r>
      <w:r w:rsidRPr="000D77D9">
        <w:rPr>
          <w:rFonts w:ascii="Times New Roman" w:hAnsi="Times New Roman"/>
          <w:i/>
          <w:iCs/>
          <w:sz w:val="24"/>
          <w:szCs w:val="24"/>
        </w:rPr>
        <w:t>Journal of Applied Finance &amp; Banking, 2</w:t>
      </w:r>
      <w:r w:rsidRPr="000D77D9">
        <w:rPr>
          <w:rFonts w:ascii="Times New Roman" w:hAnsi="Times New Roman"/>
          <w:sz w:val="24"/>
          <w:szCs w:val="24"/>
        </w:rPr>
        <w:t xml:space="preserve">(4), 117–141. </w:t>
      </w:r>
      <w:hyperlink r:id="rId22" w:tgtFrame="_new" w:history="1">
        <w:r w:rsidRPr="000D77D9">
          <w:rPr>
            <w:rFonts w:ascii="Times New Roman" w:hAnsi="Times New Roman"/>
            <w:color w:val="0000FF"/>
            <w:sz w:val="24"/>
            <w:szCs w:val="24"/>
            <w:u w:val="single"/>
          </w:rPr>
          <w:t>https://www.scienpress.com/upload/jafb/vol%202_4_8.pdf</w:t>
        </w:r>
      </w:hyperlink>
    </w:p>
    <w:p w14:paraId="4185B267"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Akpan, G. E., </w:t>
      </w:r>
      <w:proofErr w:type="spellStart"/>
      <w:r w:rsidRPr="000D77D9">
        <w:rPr>
          <w:rFonts w:ascii="Times New Roman" w:hAnsi="Times New Roman"/>
          <w:sz w:val="24"/>
          <w:szCs w:val="24"/>
        </w:rPr>
        <w:t>Orebiyi</w:t>
      </w:r>
      <w:proofErr w:type="spellEnd"/>
      <w:r w:rsidRPr="000D77D9">
        <w:rPr>
          <w:rFonts w:ascii="Times New Roman" w:hAnsi="Times New Roman"/>
          <w:sz w:val="24"/>
          <w:szCs w:val="24"/>
        </w:rPr>
        <w:t xml:space="preserve">, P. A., &amp; Akinbode, O. Y. (2026). An assessment of inflation, exchange rate, and poverty in selected West African countries. </w:t>
      </w:r>
      <w:r w:rsidRPr="000D77D9">
        <w:rPr>
          <w:rFonts w:ascii="Times New Roman" w:hAnsi="Times New Roman"/>
          <w:i/>
          <w:iCs/>
          <w:sz w:val="24"/>
          <w:szCs w:val="24"/>
        </w:rPr>
        <w:t>Journal of Economics and Trade, 11</w:t>
      </w:r>
      <w:r w:rsidRPr="000D77D9">
        <w:rPr>
          <w:rFonts w:ascii="Times New Roman" w:hAnsi="Times New Roman"/>
          <w:sz w:val="24"/>
          <w:szCs w:val="24"/>
        </w:rPr>
        <w:t xml:space="preserve">(1), 60–77. </w:t>
      </w:r>
      <w:hyperlink r:id="rId23" w:tgtFrame="_new" w:history="1">
        <w:r w:rsidRPr="000D77D9">
          <w:rPr>
            <w:rFonts w:ascii="Times New Roman" w:hAnsi="Times New Roman"/>
            <w:color w:val="0000FF"/>
            <w:sz w:val="24"/>
            <w:szCs w:val="24"/>
            <w:u w:val="single"/>
          </w:rPr>
          <w:t>https://doi.org/10.56557/jet/2026/v11i110103</w:t>
        </w:r>
      </w:hyperlink>
    </w:p>
    <w:p w14:paraId="4119F25C"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Amaefula</w:t>
      </w:r>
      <w:proofErr w:type="spellEnd"/>
      <w:r w:rsidRPr="000D77D9">
        <w:rPr>
          <w:rFonts w:ascii="Times New Roman" w:hAnsi="Times New Roman"/>
          <w:sz w:val="24"/>
          <w:szCs w:val="24"/>
        </w:rPr>
        <w:t xml:space="preserve">, C. G., &amp; Egba, O. L. (2024). Do money supply, interest rates, external debt and exchange rates explain inflation in Nigeria? An econometric approach. </w:t>
      </w:r>
      <w:r w:rsidRPr="000D77D9">
        <w:rPr>
          <w:rFonts w:ascii="Times New Roman" w:hAnsi="Times New Roman"/>
          <w:i/>
          <w:iCs/>
          <w:sz w:val="24"/>
          <w:szCs w:val="24"/>
        </w:rPr>
        <w:t>World Journal of Advanced Research and Reviews, 22</w:t>
      </w:r>
      <w:r w:rsidRPr="000D77D9">
        <w:rPr>
          <w:rFonts w:ascii="Times New Roman" w:hAnsi="Times New Roman"/>
          <w:sz w:val="24"/>
          <w:szCs w:val="24"/>
        </w:rPr>
        <w:t>(2), 713–723. https://doi.org/10.30574/wjarr.2024.22.2.1421</w:t>
      </w:r>
    </w:p>
    <w:p w14:paraId="1B737E34"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Amassoma</w:t>
      </w:r>
      <w:proofErr w:type="spellEnd"/>
      <w:r w:rsidRPr="000D77D9">
        <w:rPr>
          <w:rFonts w:ascii="Times New Roman" w:hAnsi="Times New Roman"/>
          <w:sz w:val="24"/>
          <w:szCs w:val="24"/>
        </w:rPr>
        <w:t xml:space="preserve">, D., Sunday, K., &amp; Onyedikachi, E.-E. (2018). The influence of money supply on inflation in Nigeria. </w:t>
      </w:r>
      <w:r w:rsidRPr="000D77D9">
        <w:rPr>
          <w:rFonts w:ascii="Times New Roman" w:hAnsi="Times New Roman"/>
          <w:i/>
          <w:iCs/>
          <w:sz w:val="24"/>
          <w:szCs w:val="24"/>
        </w:rPr>
        <w:t>Journal of Economics and Management, 31</w:t>
      </w:r>
      <w:r w:rsidRPr="000D77D9">
        <w:rPr>
          <w:rFonts w:ascii="Times New Roman" w:hAnsi="Times New Roman"/>
          <w:sz w:val="24"/>
          <w:szCs w:val="24"/>
        </w:rPr>
        <w:t xml:space="preserve">(1), 5–23. </w:t>
      </w:r>
      <w:hyperlink r:id="rId24" w:tgtFrame="_new" w:history="1">
        <w:r w:rsidRPr="000D77D9">
          <w:rPr>
            <w:rFonts w:ascii="Times New Roman" w:hAnsi="Times New Roman"/>
            <w:color w:val="0000FF"/>
            <w:sz w:val="24"/>
            <w:szCs w:val="24"/>
            <w:u w:val="single"/>
          </w:rPr>
          <w:t>https://doi.org/10.22367/jem.2018.31.01</w:t>
        </w:r>
      </w:hyperlink>
    </w:p>
    <w:p w14:paraId="38BD4F02"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Anisiobi</w:t>
      </w:r>
      <w:proofErr w:type="spellEnd"/>
      <w:r w:rsidRPr="000D77D9">
        <w:rPr>
          <w:rFonts w:ascii="Times New Roman" w:hAnsi="Times New Roman"/>
          <w:sz w:val="24"/>
          <w:szCs w:val="24"/>
        </w:rPr>
        <w:t xml:space="preserve">, C. A., Okeke, C. T., &amp; </w:t>
      </w:r>
      <w:proofErr w:type="spellStart"/>
      <w:r w:rsidRPr="000D77D9">
        <w:rPr>
          <w:rFonts w:ascii="Times New Roman" w:hAnsi="Times New Roman"/>
          <w:sz w:val="24"/>
          <w:szCs w:val="24"/>
        </w:rPr>
        <w:t>Okaforocha</w:t>
      </w:r>
      <w:proofErr w:type="spellEnd"/>
      <w:r w:rsidRPr="000D77D9">
        <w:rPr>
          <w:rFonts w:ascii="Times New Roman" w:hAnsi="Times New Roman"/>
          <w:sz w:val="24"/>
          <w:szCs w:val="24"/>
        </w:rPr>
        <w:t xml:space="preserve">, C. M. (2023). Public debt sustainability in Nigeria. </w:t>
      </w:r>
      <w:r w:rsidRPr="000D77D9">
        <w:rPr>
          <w:rFonts w:ascii="Times New Roman" w:hAnsi="Times New Roman"/>
          <w:i/>
          <w:iCs/>
          <w:sz w:val="24"/>
          <w:szCs w:val="24"/>
        </w:rPr>
        <w:t>International Journal of Research and Innovation in Social Science, 7</w:t>
      </w:r>
      <w:r w:rsidRPr="000D77D9">
        <w:rPr>
          <w:rFonts w:ascii="Times New Roman" w:hAnsi="Times New Roman"/>
          <w:sz w:val="24"/>
          <w:szCs w:val="24"/>
        </w:rPr>
        <w:t>(3), 484–494. https://doi.org/10.47772/IJRISS.2023.7307</w:t>
      </w:r>
    </w:p>
    <w:p w14:paraId="518CC975"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Ashra, S., Chattopadhyay, S., &amp; Chaudhuri, K. (2004). Deficit, money and price: The Indian experience. </w:t>
      </w:r>
      <w:r w:rsidRPr="000D77D9">
        <w:rPr>
          <w:rFonts w:ascii="Times New Roman" w:hAnsi="Times New Roman"/>
          <w:i/>
          <w:iCs/>
          <w:sz w:val="24"/>
          <w:szCs w:val="24"/>
        </w:rPr>
        <w:t>Journal of Policy Modeling, 26</w:t>
      </w:r>
      <w:r w:rsidRPr="000D77D9">
        <w:rPr>
          <w:rFonts w:ascii="Times New Roman" w:hAnsi="Times New Roman"/>
          <w:sz w:val="24"/>
          <w:szCs w:val="24"/>
        </w:rPr>
        <w:t>(3), 289–299. https://doi.org/10.1016/j.jpolmod.2004.03.010</w:t>
      </w:r>
    </w:p>
    <w:p w14:paraId="21195D28" w14:textId="6C50BC73"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Auclert, A., Rognlie, M., &amp; Straub, L. (2024). The intertemporal Keynesian cross. </w:t>
      </w:r>
      <w:r w:rsidRPr="000D77D9">
        <w:rPr>
          <w:rFonts w:ascii="Times New Roman" w:hAnsi="Times New Roman"/>
          <w:i/>
          <w:iCs/>
          <w:sz w:val="24"/>
          <w:szCs w:val="24"/>
        </w:rPr>
        <w:t>Journal of Political Economy, 132</w:t>
      </w:r>
      <w:r w:rsidRPr="000D77D9">
        <w:rPr>
          <w:rFonts w:ascii="Times New Roman" w:hAnsi="Times New Roman"/>
          <w:sz w:val="24"/>
          <w:szCs w:val="24"/>
        </w:rPr>
        <w:t>(12), 4068–4121. https://doi.org/10.1086/732531</w:t>
      </w:r>
    </w:p>
    <w:p w14:paraId="65177E3A"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Augustine, O. I., </w:t>
      </w:r>
      <w:proofErr w:type="spellStart"/>
      <w:r w:rsidRPr="000D77D9">
        <w:rPr>
          <w:rFonts w:ascii="Times New Roman" w:hAnsi="Times New Roman"/>
          <w:sz w:val="24"/>
          <w:szCs w:val="24"/>
        </w:rPr>
        <w:t>Nwogwugwu</w:t>
      </w:r>
      <w:proofErr w:type="spellEnd"/>
      <w:r w:rsidRPr="000D77D9">
        <w:rPr>
          <w:rFonts w:ascii="Times New Roman" w:hAnsi="Times New Roman"/>
          <w:sz w:val="24"/>
          <w:szCs w:val="24"/>
        </w:rPr>
        <w:t xml:space="preserve">, C. C. U., &amp; Joan, N. O. (2020). Inflation dynamics in Nigeria. </w:t>
      </w:r>
      <w:r w:rsidRPr="000D77D9">
        <w:rPr>
          <w:rFonts w:ascii="Times New Roman" w:hAnsi="Times New Roman"/>
          <w:i/>
          <w:iCs/>
          <w:sz w:val="24"/>
          <w:szCs w:val="24"/>
        </w:rPr>
        <w:t>Journal of Economics, Management and Trade, 26</w:t>
      </w:r>
      <w:r w:rsidRPr="000D77D9">
        <w:rPr>
          <w:rFonts w:ascii="Times New Roman" w:hAnsi="Times New Roman"/>
          <w:sz w:val="24"/>
          <w:szCs w:val="24"/>
        </w:rPr>
        <w:t>(1), 61–77. https://doi.org/10.9734/jemt/2020/v26i130220</w:t>
      </w:r>
    </w:p>
    <w:p w14:paraId="515267D6"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lastRenderedPageBreak/>
        <w:t>Bajaro</w:t>
      </w:r>
      <w:proofErr w:type="spellEnd"/>
      <w:r w:rsidRPr="000D77D9">
        <w:rPr>
          <w:rFonts w:ascii="Times New Roman" w:hAnsi="Times New Roman"/>
          <w:sz w:val="24"/>
          <w:szCs w:val="24"/>
        </w:rPr>
        <w:t xml:space="preserve">, D. F. E., Galimberti, J. K., &amp; Qureshi, I. A. (2025). Monetary policy under fiscal stress: A forward-looking analysis of fiscal dominance. </w:t>
      </w:r>
      <w:r w:rsidRPr="000D77D9">
        <w:rPr>
          <w:rFonts w:ascii="Times New Roman" w:hAnsi="Times New Roman"/>
          <w:i/>
          <w:iCs/>
          <w:sz w:val="24"/>
          <w:szCs w:val="24"/>
        </w:rPr>
        <w:t>Journal of Macroeconomics, 86</w:t>
      </w:r>
      <w:r w:rsidRPr="000D77D9">
        <w:rPr>
          <w:rFonts w:ascii="Times New Roman" w:hAnsi="Times New Roman"/>
          <w:sz w:val="24"/>
          <w:szCs w:val="24"/>
        </w:rPr>
        <w:t xml:space="preserve">, Article 103701. </w:t>
      </w:r>
      <w:hyperlink r:id="rId25" w:tgtFrame="_new" w:history="1">
        <w:r w:rsidRPr="000D77D9">
          <w:rPr>
            <w:rFonts w:ascii="Times New Roman" w:hAnsi="Times New Roman"/>
            <w:color w:val="0000FF"/>
            <w:sz w:val="24"/>
            <w:szCs w:val="24"/>
            <w:u w:val="single"/>
          </w:rPr>
          <w:t>https://doi.org/10.1016/j.jmacro.2025.103701</w:t>
        </w:r>
      </w:hyperlink>
    </w:p>
    <w:p w14:paraId="616664BE"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Baldini, A., &amp; Ribeiro, M. P. (2008). Fiscal and monetary anchors for price stability: Evidence from Sub-Saharan Africa. </w:t>
      </w:r>
      <w:r w:rsidRPr="000D77D9">
        <w:rPr>
          <w:rFonts w:ascii="Times New Roman" w:hAnsi="Times New Roman"/>
          <w:i/>
          <w:iCs/>
          <w:sz w:val="24"/>
          <w:szCs w:val="24"/>
        </w:rPr>
        <w:t>IMF Working Papers, 2008</w:t>
      </w:r>
      <w:r w:rsidRPr="000D77D9">
        <w:rPr>
          <w:rFonts w:ascii="Times New Roman" w:hAnsi="Times New Roman"/>
          <w:sz w:val="24"/>
          <w:szCs w:val="24"/>
        </w:rPr>
        <w:t>(121), 1–37. https://doi.org/10.5089/9781451869811.001</w:t>
      </w:r>
    </w:p>
    <w:p w14:paraId="3033AB5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Barro, R. J., &amp; Bianchi, F. (2026). Fiscal influences on inflation in OECD countries, 2020–2023. </w:t>
      </w:r>
      <w:r w:rsidRPr="000D77D9">
        <w:rPr>
          <w:rFonts w:ascii="Times New Roman" w:hAnsi="Times New Roman"/>
          <w:i/>
          <w:iCs/>
          <w:sz w:val="24"/>
          <w:szCs w:val="24"/>
        </w:rPr>
        <w:t>The Economic Journal, 136</w:t>
      </w:r>
      <w:r w:rsidRPr="000D77D9">
        <w:rPr>
          <w:rFonts w:ascii="Times New Roman" w:hAnsi="Times New Roman"/>
          <w:sz w:val="24"/>
          <w:szCs w:val="24"/>
        </w:rPr>
        <w:t xml:space="preserve">(674), 626–654. </w:t>
      </w:r>
      <w:hyperlink r:id="rId26" w:tgtFrame="_new" w:history="1">
        <w:r w:rsidRPr="000D77D9">
          <w:rPr>
            <w:rFonts w:ascii="Times New Roman" w:hAnsi="Times New Roman"/>
            <w:color w:val="0000FF"/>
            <w:sz w:val="24"/>
            <w:szCs w:val="24"/>
            <w:u w:val="single"/>
          </w:rPr>
          <w:t>https://doi.org/10.1093/ej/ueaf066</w:t>
        </w:r>
      </w:hyperlink>
    </w:p>
    <w:p w14:paraId="4941B632"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Batool, I., Chandia, K. E., Sarwar, B., &amp; Iqbal, M. B. (2024). Fiscal dominance and the inflation dynamics in Pakistan: An empirical analysis. </w:t>
      </w:r>
      <w:r w:rsidRPr="000D77D9">
        <w:rPr>
          <w:rFonts w:ascii="Times New Roman" w:hAnsi="Times New Roman"/>
          <w:i/>
          <w:iCs/>
          <w:sz w:val="24"/>
          <w:szCs w:val="24"/>
        </w:rPr>
        <w:t>Millennial Asia, 15</w:t>
      </w:r>
      <w:r w:rsidRPr="000D77D9">
        <w:rPr>
          <w:rFonts w:ascii="Times New Roman" w:hAnsi="Times New Roman"/>
          <w:sz w:val="24"/>
          <w:szCs w:val="24"/>
        </w:rPr>
        <w:t xml:space="preserve">(1), 51–71. </w:t>
      </w:r>
      <w:hyperlink r:id="rId27" w:tgtFrame="_new" w:history="1">
        <w:r w:rsidRPr="000D77D9">
          <w:rPr>
            <w:rFonts w:ascii="Times New Roman" w:hAnsi="Times New Roman"/>
            <w:color w:val="0000FF"/>
            <w:sz w:val="24"/>
            <w:szCs w:val="24"/>
            <w:u w:val="single"/>
          </w:rPr>
          <w:t>https://doi.org/10.1177/09763996221103003</w:t>
        </w:r>
      </w:hyperlink>
    </w:p>
    <w:p w14:paraId="78F78AD4" w14:textId="5A480F23"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Beirne, J., &amp; Renzhi, N. (2024). Debt shocks and the dynamics of output and inflation in emerging economies. </w:t>
      </w:r>
      <w:r w:rsidRPr="000D77D9">
        <w:rPr>
          <w:rFonts w:ascii="Times New Roman" w:hAnsi="Times New Roman"/>
          <w:i/>
          <w:iCs/>
          <w:sz w:val="24"/>
          <w:szCs w:val="24"/>
        </w:rPr>
        <w:t>Journal of International Money and Finance, 148</w:t>
      </w:r>
      <w:r w:rsidRPr="000D77D9">
        <w:rPr>
          <w:rFonts w:ascii="Times New Roman" w:hAnsi="Times New Roman"/>
          <w:sz w:val="24"/>
          <w:szCs w:val="24"/>
        </w:rPr>
        <w:t xml:space="preserve">, Article 103167. https://doi.org/10.1016/j.jimonfin.2024.103167 </w:t>
      </w:r>
    </w:p>
    <w:p w14:paraId="4B95F215"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Bello, A. K., </w:t>
      </w:r>
      <w:proofErr w:type="spellStart"/>
      <w:r w:rsidRPr="000D77D9">
        <w:rPr>
          <w:rFonts w:ascii="Times New Roman" w:hAnsi="Times New Roman"/>
          <w:sz w:val="24"/>
          <w:szCs w:val="24"/>
        </w:rPr>
        <w:t>Ndako</w:t>
      </w:r>
      <w:proofErr w:type="spellEnd"/>
      <w:r w:rsidRPr="000D77D9">
        <w:rPr>
          <w:rFonts w:ascii="Times New Roman" w:hAnsi="Times New Roman"/>
          <w:sz w:val="24"/>
          <w:szCs w:val="24"/>
        </w:rPr>
        <w:t xml:space="preserve">, J. A., Yusuf, F., &amp; </w:t>
      </w:r>
      <w:proofErr w:type="spellStart"/>
      <w:r w:rsidRPr="000D77D9">
        <w:rPr>
          <w:rFonts w:ascii="Times New Roman" w:hAnsi="Times New Roman"/>
          <w:sz w:val="24"/>
          <w:szCs w:val="24"/>
        </w:rPr>
        <w:t>Ejura</w:t>
      </w:r>
      <w:proofErr w:type="spellEnd"/>
      <w:r w:rsidRPr="000D77D9">
        <w:rPr>
          <w:rFonts w:ascii="Times New Roman" w:hAnsi="Times New Roman"/>
          <w:sz w:val="24"/>
          <w:szCs w:val="24"/>
        </w:rPr>
        <w:t xml:space="preserve">, A. A. (2023). Fiscal dominance and monetary policy efficacy in Nigeria. </w:t>
      </w:r>
      <w:r w:rsidRPr="000D77D9">
        <w:rPr>
          <w:rFonts w:ascii="Times New Roman" w:hAnsi="Times New Roman"/>
          <w:i/>
          <w:iCs/>
          <w:sz w:val="24"/>
          <w:szCs w:val="24"/>
        </w:rPr>
        <w:t>International Journal of Research and Innovation in Social Science, 7</w:t>
      </w:r>
      <w:r w:rsidRPr="000D77D9">
        <w:rPr>
          <w:rFonts w:ascii="Times New Roman" w:hAnsi="Times New Roman"/>
          <w:sz w:val="24"/>
          <w:szCs w:val="24"/>
        </w:rPr>
        <w:t>(10), 857–877. https://doi.org/10.47772/IJRISS.2023.701068</w:t>
      </w:r>
    </w:p>
    <w:p w14:paraId="5274EE43"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Bernanke, B., &amp; Blanchard, O. (2025). What caused the US pandemic-era inflation? </w:t>
      </w:r>
      <w:r w:rsidRPr="000D77D9">
        <w:rPr>
          <w:rFonts w:ascii="Times New Roman" w:hAnsi="Times New Roman"/>
          <w:i/>
          <w:iCs/>
          <w:sz w:val="24"/>
          <w:szCs w:val="24"/>
        </w:rPr>
        <w:t>American Economic Journal: Macroeconomics, 17</w:t>
      </w:r>
      <w:r w:rsidRPr="000D77D9">
        <w:rPr>
          <w:rFonts w:ascii="Times New Roman" w:hAnsi="Times New Roman"/>
          <w:sz w:val="24"/>
          <w:szCs w:val="24"/>
        </w:rPr>
        <w:t xml:space="preserve">(3), 1–35. </w:t>
      </w:r>
      <w:hyperlink r:id="rId28" w:tgtFrame="_new" w:history="1">
        <w:r w:rsidRPr="000D77D9">
          <w:rPr>
            <w:rFonts w:ascii="Times New Roman" w:hAnsi="Times New Roman"/>
            <w:color w:val="0000FF"/>
            <w:sz w:val="24"/>
            <w:szCs w:val="24"/>
            <w:u w:val="single"/>
          </w:rPr>
          <w:t>https://doi.org/10.1257/mac.20230195</w:t>
        </w:r>
      </w:hyperlink>
    </w:p>
    <w:p w14:paraId="6AE569FD"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Bianchi, F., Faccini, R., &amp; </w:t>
      </w:r>
      <w:proofErr w:type="spellStart"/>
      <w:r w:rsidRPr="000D77D9">
        <w:rPr>
          <w:rFonts w:ascii="Times New Roman" w:hAnsi="Times New Roman"/>
          <w:sz w:val="24"/>
          <w:szCs w:val="24"/>
        </w:rPr>
        <w:t>Melosi</w:t>
      </w:r>
      <w:proofErr w:type="spellEnd"/>
      <w:r w:rsidRPr="000D77D9">
        <w:rPr>
          <w:rFonts w:ascii="Times New Roman" w:hAnsi="Times New Roman"/>
          <w:sz w:val="24"/>
          <w:szCs w:val="24"/>
        </w:rPr>
        <w:t xml:space="preserve">, L. (2023). A fiscal theory of persistent inflation. </w:t>
      </w:r>
      <w:r w:rsidRPr="000D77D9">
        <w:rPr>
          <w:rFonts w:ascii="Times New Roman" w:hAnsi="Times New Roman"/>
          <w:i/>
          <w:iCs/>
          <w:sz w:val="24"/>
          <w:szCs w:val="24"/>
        </w:rPr>
        <w:t>The Quarterly Journal of Economics, 138</w:t>
      </w:r>
      <w:r w:rsidRPr="000D77D9">
        <w:rPr>
          <w:rFonts w:ascii="Times New Roman" w:hAnsi="Times New Roman"/>
          <w:sz w:val="24"/>
          <w:szCs w:val="24"/>
        </w:rPr>
        <w:t xml:space="preserve">(4), 2127–2179. </w:t>
      </w:r>
      <w:hyperlink r:id="rId29" w:tgtFrame="_new" w:history="1">
        <w:r w:rsidRPr="000D77D9">
          <w:rPr>
            <w:rFonts w:ascii="Times New Roman" w:hAnsi="Times New Roman"/>
            <w:color w:val="0000FF"/>
            <w:sz w:val="24"/>
            <w:szCs w:val="24"/>
            <w:u w:val="single"/>
          </w:rPr>
          <w:t>https://doi.org/10.1093/qje/qjad027</w:t>
        </w:r>
      </w:hyperlink>
    </w:p>
    <w:p w14:paraId="7E1FED17" w14:textId="793B1953"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Bordo, M. D., &amp; Levy, M. D. (2021). Do enlarged fiscal deficits cause inflation? The historical record. </w:t>
      </w:r>
      <w:r w:rsidRPr="000D77D9">
        <w:rPr>
          <w:rFonts w:ascii="Times New Roman" w:hAnsi="Times New Roman"/>
          <w:i/>
          <w:iCs/>
          <w:sz w:val="24"/>
          <w:szCs w:val="24"/>
        </w:rPr>
        <w:t>Economic Affairs, 41</w:t>
      </w:r>
      <w:r w:rsidRPr="000D77D9">
        <w:rPr>
          <w:rFonts w:ascii="Times New Roman" w:hAnsi="Times New Roman"/>
          <w:sz w:val="24"/>
          <w:szCs w:val="24"/>
        </w:rPr>
        <w:t xml:space="preserve">(1), 59–83. https://doi.org/10.1111/ecaf.12446 </w:t>
      </w:r>
    </w:p>
    <w:p w14:paraId="29D797FF" w14:textId="16C9D99C"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Brandao-Marques, L., Casiraghi, M., </w:t>
      </w:r>
      <w:proofErr w:type="spellStart"/>
      <w:r w:rsidRPr="000D77D9">
        <w:rPr>
          <w:rFonts w:ascii="Times New Roman" w:hAnsi="Times New Roman"/>
          <w:sz w:val="24"/>
          <w:szCs w:val="24"/>
        </w:rPr>
        <w:t>Gelos</w:t>
      </w:r>
      <w:proofErr w:type="spellEnd"/>
      <w:r w:rsidRPr="000D77D9">
        <w:rPr>
          <w:rFonts w:ascii="Times New Roman" w:hAnsi="Times New Roman"/>
          <w:sz w:val="24"/>
          <w:szCs w:val="24"/>
        </w:rPr>
        <w:t xml:space="preserve">, G., Harrison, O., &amp; Kamber, G. (2024). Is high debt constraining monetary policy? Evidence from inflation expectations. </w:t>
      </w:r>
      <w:r w:rsidRPr="000D77D9">
        <w:rPr>
          <w:rFonts w:ascii="Times New Roman" w:hAnsi="Times New Roman"/>
          <w:i/>
          <w:iCs/>
          <w:sz w:val="24"/>
          <w:szCs w:val="24"/>
        </w:rPr>
        <w:t>Journal of International Money and Finance, 149</w:t>
      </w:r>
      <w:r w:rsidRPr="000D77D9">
        <w:rPr>
          <w:rFonts w:ascii="Times New Roman" w:hAnsi="Times New Roman"/>
          <w:sz w:val="24"/>
          <w:szCs w:val="24"/>
        </w:rPr>
        <w:t xml:space="preserve">, Article 103206. https://doi.org/10.1016/j.jimonfin.2024.103206 </w:t>
      </w:r>
    </w:p>
    <w:p w14:paraId="03D906F9"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Brandner, P., </w:t>
      </w:r>
      <w:proofErr w:type="spellStart"/>
      <w:r w:rsidRPr="000D77D9">
        <w:rPr>
          <w:rFonts w:ascii="Times New Roman" w:hAnsi="Times New Roman"/>
          <w:sz w:val="24"/>
          <w:szCs w:val="24"/>
        </w:rPr>
        <w:t>Diebalek</w:t>
      </w:r>
      <w:proofErr w:type="spellEnd"/>
      <w:r w:rsidRPr="000D77D9">
        <w:rPr>
          <w:rFonts w:ascii="Times New Roman" w:hAnsi="Times New Roman"/>
          <w:sz w:val="24"/>
          <w:szCs w:val="24"/>
        </w:rPr>
        <w:t xml:space="preserve">, L., &amp; Schuberth, H. (1998). </w:t>
      </w:r>
      <w:r w:rsidRPr="000D77D9">
        <w:rPr>
          <w:rFonts w:ascii="Times New Roman" w:hAnsi="Times New Roman"/>
          <w:i/>
          <w:iCs/>
          <w:sz w:val="24"/>
          <w:szCs w:val="24"/>
        </w:rPr>
        <w:t>Structural budget deficits and sustainability of fiscal positions in the European Union</w:t>
      </w:r>
      <w:r w:rsidRPr="000D77D9">
        <w:rPr>
          <w:rFonts w:ascii="Times New Roman" w:hAnsi="Times New Roman"/>
          <w:sz w:val="24"/>
          <w:szCs w:val="24"/>
        </w:rPr>
        <w:t xml:space="preserve"> (Working Paper No. 26). Oesterreichische </w:t>
      </w:r>
      <w:proofErr w:type="spellStart"/>
      <w:r w:rsidRPr="000D77D9">
        <w:rPr>
          <w:rFonts w:ascii="Times New Roman" w:hAnsi="Times New Roman"/>
          <w:sz w:val="24"/>
          <w:szCs w:val="24"/>
        </w:rPr>
        <w:t>Nationalbank</w:t>
      </w:r>
      <w:proofErr w:type="spellEnd"/>
      <w:r w:rsidRPr="000D77D9">
        <w:rPr>
          <w:rFonts w:ascii="Times New Roman" w:hAnsi="Times New Roman"/>
          <w:sz w:val="24"/>
          <w:szCs w:val="24"/>
        </w:rPr>
        <w:t xml:space="preserve">. </w:t>
      </w:r>
      <w:hyperlink r:id="rId30" w:tgtFrame="_new" w:history="1">
        <w:r w:rsidRPr="000D77D9">
          <w:rPr>
            <w:rFonts w:ascii="Times New Roman" w:hAnsi="Times New Roman"/>
            <w:color w:val="0000FF"/>
            <w:sz w:val="24"/>
            <w:szCs w:val="24"/>
            <w:u w:val="single"/>
          </w:rPr>
          <w:t>https://www.oenb.at/en/Publications/Economics/Working-Papers/1998/Working-Paper-26.html</w:t>
        </w:r>
      </w:hyperlink>
    </w:p>
    <w:p w14:paraId="37ED3575" w14:textId="24EB0F83"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Batool, I., Chandia, K. E., Sarwar, B., &amp; Iqbal, M. B. (2024). Fiscal dominance and the inflation dynamics in Pakistan: An empirical analysis. </w:t>
      </w:r>
      <w:r w:rsidRPr="000D77D9">
        <w:rPr>
          <w:rFonts w:ascii="Times New Roman" w:hAnsi="Times New Roman"/>
          <w:i/>
          <w:iCs/>
          <w:sz w:val="24"/>
          <w:szCs w:val="24"/>
        </w:rPr>
        <w:t>Millennial Asia, 15</w:t>
      </w:r>
      <w:r w:rsidRPr="000D77D9">
        <w:rPr>
          <w:rFonts w:ascii="Times New Roman" w:hAnsi="Times New Roman"/>
          <w:sz w:val="24"/>
          <w:szCs w:val="24"/>
        </w:rPr>
        <w:t xml:space="preserve">(1), 51–71. </w:t>
      </w:r>
      <w:hyperlink r:id="rId31" w:tgtFrame="_new" w:history="1">
        <w:r w:rsidRPr="000D77D9">
          <w:rPr>
            <w:rFonts w:ascii="Times New Roman" w:hAnsi="Times New Roman"/>
            <w:color w:val="0000FF"/>
            <w:sz w:val="24"/>
            <w:szCs w:val="24"/>
            <w:u w:val="single"/>
          </w:rPr>
          <w:t>https://doi.org/10.1177/09763996221103003</w:t>
        </w:r>
      </w:hyperlink>
      <w:r w:rsidRPr="000D77D9">
        <w:rPr>
          <w:rFonts w:ascii="Times New Roman" w:hAnsi="Times New Roman"/>
          <w:sz w:val="24"/>
          <w:szCs w:val="24"/>
        </w:rPr>
        <w:t xml:space="preserve"> </w:t>
      </w:r>
    </w:p>
    <w:p w14:paraId="2228896B"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lastRenderedPageBreak/>
        <w:t xml:space="preserve">Ciaffi, G., Deleidi, M., &amp; Di Domenico, L. (2024). Fiscal policy and public debt: Government investment is most effective to promote sustainability. </w:t>
      </w:r>
      <w:r w:rsidRPr="000D77D9">
        <w:rPr>
          <w:rFonts w:ascii="Times New Roman" w:hAnsi="Times New Roman"/>
          <w:i/>
          <w:iCs/>
          <w:sz w:val="24"/>
          <w:szCs w:val="24"/>
        </w:rPr>
        <w:t>Journal of Policy Modeling, 46</w:t>
      </w:r>
      <w:r w:rsidRPr="000D77D9">
        <w:rPr>
          <w:rFonts w:ascii="Times New Roman" w:hAnsi="Times New Roman"/>
          <w:sz w:val="24"/>
          <w:szCs w:val="24"/>
        </w:rPr>
        <w:t xml:space="preserve">(6), 1186–1209. </w:t>
      </w:r>
      <w:hyperlink r:id="rId32" w:tgtFrame="_new" w:history="1">
        <w:r w:rsidRPr="000D77D9">
          <w:rPr>
            <w:rFonts w:ascii="Times New Roman" w:hAnsi="Times New Roman"/>
            <w:color w:val="0000FF"/>
            <w:sz w:val="24"/>
            <w:szCs w:val="24"/>
            <w:u w:val="single"/>
          </w:rPr>
          <w:t>https://doi.org/10.1016/j.jpolmod.2024.07.002</w:t>
        </w:r>
      </w:hyperlink>
    </w:p>
    <w:p w14:paraId="082CA564"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Cochrane, J. H. (1998). </w:t>
      </w:r>
      <w:r w:rsidRPr="000D77D9">
        <w:rPr>
          <w:rFonts w:ascii="Times New Roman" w:hAnsi="Times New Roman"/>
          <w:i/>
          <w:iCs/>
          <w:sz w:val="24"/>
          <w:szCs w:val="24"/>
        </w:rPr>
        <w:t>Long-term debt and optimal policy in the fiscal theory of the price level</w:t>
      </w:r>
      <w:r w:rsidRPr="000D77D9">
        <w:rPr>
          <w:rFonts w:ascii="Times New Roman" w:hAnsi="Times New Roman"/>
          <w:sz w:val="24"/>
          <w:szCs w:val="24"/>
        </w:rPr>
        <w:t xml:space="preserve"> (NBER Working Paper No. 6771). National Bureau of Economic Research. https://doi.org/10.3386/w6771</w:t>
      </w:r>
    </w:p>
    <w:p w14:paraId="33D1A6CD" w14:textId="1C09DBA9"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Cochrane, J. H. (2022). A fiscal theory of monetary policy with partially repaid long-term debt. </w:t>
      </w:r>
      <w:r w:rsidRPr="000D77D9">
        <w:rPr>
          <w:rFonts w:ascii="Times New Roman" w:hAnsi="Times New Roman"/>
          <w:i/>
          <w:iCs/>
          <w:sz w:val="24"/>
          <w:szCs w:val="24"/>
        </w:rPr>
        <w:t>Review of Economic Dynamics, 45</w:t>
      </w:r>
      <w:r w:rsidRPr="000D77D9">
        <w:rPr>
          <w:rFonts w:ascii="Times New Roman" w:hAnsi="Times New Roman"/>
          <w:sz w:val="24"/>
          <w:szCs w:val="24"/>
        </w:rPr>
        <w:t xml:space="preserve">, 1–21. https://doi.org/10.1016/j.red.2021.06.001 </w:t>
      </w:r>
    </w:p>
    <w:p w14:paraId="0CF8C62A" w14:textId="021129B3"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Cochrane, J. H. (2023). </w:t>
      </w:r>
      <w:r w:rsidRPr="000D77D9">
        <w:rPr>
          <w:rFonts w:ascii="Times New Roman" w:hAnsi="Times New Roman"/>
          <w:i/>
          <w:iCs/>
          <w:sz w:val="24"/>
          <w:szCs w:val="24"/>
        </w:rPr>
        <w:t>The fiscal theory of the price level</w:t>
      </w:r>
      <w:r w:rsidRPr="000D77D9">
        <w:rPr>
          <w:rFonts w:ascii="Times New Roman" w:hAnsi="Times New Roman"/>
          <w:sz w:val="24"/>
          <w:szCs w:val="24"/>
        </w:rPr>
        <w:t xml:space="preserve">. Princeton University Press. </w:t>
      </w:r>
      <w:hyperlink r:id="rId33" w:tgtFrame="_new" w:history="1">
        <w:r w:rsidRPr="000D77D9">
          <w:rPr>
            <w:rFonts w:ascii="Times New Roman" w:hAnsi="Times New Roman"/>
            <w:color w:val="0000FF"/>
            <w:sz w:val="24"/>
            <w:szCs w:val="24"/>
            <w:u w:val="single"/>
          </w:rPr>
          <w:t>https://doi.org/10.2307/j.ctv2sbm8kh</w:t>
        </w:r>
      </w:hyperlink>
      <w:r w:rsidRPr="000D77D9">
        <w:rPr>
          <w:rFonts w:ascii="Times New Roman" w:hAnsi="Times New Roman"/>
          <w:sz w:val="24"/>
          <w:szCs w:val="24"/>
        </w:rPr>
        <w:t xml:space="preserve"> </w:t>
      </w:r>
    </w:p>
    <w:p w14:paraId="3ED6FBDF"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Danlami, I. A., </w:t>
      </w:r>
      <w:proofErr w:type="spellStart"/>
      <w:r w:rsidRPr="000D77D9">
        <w:rPr>
          <w:rFonts w:ascii="Times New Roman" w:hAnsi="Times New Roman"/>
          <w:sz w:val="24"/>
          <w:szCs w:val="24"/>
        </w:rPr>
        <w:t>Hidthiir</w:t>
      </w:r>
      <w:proofErr w:type="spellEnd"/>
      <w:r w:rsidRPr="000D77D9">
        <w:rPr>
          <w:rFonts w:ascii="Times New Roman" w:hAnsi="Times New Roman"/>
          <w:sz w:val="24"/>
          <w:szCs w:val="24"/>
        </w:rPr>
        <w:t xml:space="preserve">, M. H. B., &amp; Hassan, S. (2019). Dynamic analysis of the effect of fiscal deficit on inflation in Nigeria. </w:t>
      </w:r>
      <w:r w:rsidRPr="000D77D9">
        <w:rPr>
          <w:rFonts w:ascii="Times New Roman" w:hAnsi="Times New Roman"/>
          <w:i/>
          <w:iCs/>
          <w:sz w:val="24"/>
          <w:szCs w:val="24"/>
        </w:rPr>
        <w:t>Academic Journal of Economic Studies, 5</w:t>
      </w:r>
      <w:r w:rsidRPr="000D77D9">
        <w:rPr>
          <w:rFonts w:ascii="Times New Roman" w:hAnsi="Times New Roman"/>
          <w:sz w:val="24"/>
          <w:szCs w:val="24"/>
        </w:rPr>
        <w:t xml:space="preserve">(2), 159–165. </w:t>
      </w:r>
      <w:hyperlink r:id="rId34" w:tgtFrame="_new" w:history="1">
        <w:r w:rsidRPr="000D77D9">
          <w:rPr>
            <w:rFonts w:ascii="Times New Roman" w:hAnsi="Times New Roman"/>
            <w:color w:val="0000FF"/>
            <w:sz w:val="24"/>
            <w:szCs w:val="24"/>
            <w:u w:val="single"/>
          </w:rPr>
          <w:t>https://ideas.repec.org/a/khe/scajes/v5y2019i2p159-165.html</w:t>
        </w:r>
      </w:hyperlink>
    </w:p>
    <w:p w14:paraId="58895FD8"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Denwi</w:t>
      </w:r>
      <w:proofErr w:type="spellEnd"/>
      <w:r w:rsidRPr="000D77D9">
        <w:rPr>
          <w:rFonts w:ascii="Times New Roman" w:hAnsi="Times New Roman"/>
          <w:sz w:val="24"/>
          <w:szCs w:val="24"/>
        </w:rPr>
        <w:t xml:space="preserve">, J. O., Medee, P. N., Ikue, N. J., &amp; </w:t>
      </w:r>
      <w:proofErr w:type="spellStart"/>
      <w:r w:rsidRPr="000D77D9">
        <w:rPr>
          <w:rFonts w:ascii="Times New Roman" w:hAnsi="Times New Roman"/>
          <w:sz w:val="24"/>
          <w:szCs w:val="24"/>
        </w:rPr>
        <w:t>Ikemenjima</w:t>
      </w:r>
      <w:proofErr w:type="spellEnd"/>
      <w:r w:rsidRPr="000D77D9">
        <w:rPr>
          <w:rFonts w:ascii="Times New Roman" w:hAnsi="Times New Roman"/>
          <w:sz w:val="24"/>
          <w:szCs w:val="24"/>
        </w:rPr>
        <w:t xml:space="preserve">, I. O. (2023). Fiscal dominance and inflationary pressure: Empirical evidence from Nigeria. </w:t>
      </w:r>
      <w:proofErr w:type="spellStart"/>
      <w:r w:rsidRPr="000D77D9">
        <w:rPr>
          <w:rFonts w:ascii="Times New Roman" w:hAnsi="Times New Roman"/>
          <w:i/>
          <w:iCs/>
          <w:sz w:val="24"/>
          <w:szCs w:val="24"/>
        </w:rPr>
        <w:t>DiamondBridge</w:t>
      </w:r>
      <w:proofErr w:type="spellEnd"/>
      <w:r w:rsidRPr="000D77D9">
        <w:rPr>
          <w:rFonts w:ascii="Times New Roman" w:hAnsi="Times New Roman"/>
          <w:i/>
          <w:iCs/>
          <w:sz w:val="24"/>
          <w:szCs w:val="24"/>
        </w:rPr>
        <w:t xml:space="preserve"> Economics and Business Journal, 3</w:t>
      </w:r>
      <w:r w:rsidRPr="000D77D9">
        <w:rPr>
          <w:rFonts w:ascii="Times New Roman" w:hAnsi="Times New Roman"/>
          <w:sz w:val="24"/>
          <w:szCs w:val="24"/>
        </w:rPr>
        <w:t xml:space="preserve">(3). </w:t>
      </w:r>
      <w:hyperlink r:id="rId35" w:tgtFrame="_new" w:history="1">
        <w:r w:rsidRPr="000D77D9">
          <w:rPr>
            <w:rFonts w:ascii="Times New Roman" w:hAnsi="Times New Roman"/>
            <w:color w:val="0000FF"/>
            <w:sz w:val="24"/>
            <w:szCs w:val="24"/>
            <w:u w:val="single"/>
          </w:rPr>
          <w:t>https://doi.org/10.60089/dbebj.2023.3.3.13</w:t>
        </w:r>
      </w:hyperlink>
    </w:p>
    <w:p w14:paraId="292EC666" w14:textId="45AC18AF"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Duarte Urquhart, M. (2022). Public debt, inflation, and the fiscal theory of price level in emerging markets: The case of Paraguay. </w:t>
      </w:r>
      <w:r w:rsidRPr="000D77D9">
        <w:rPr>
          <w:rFonts w:ascii="Times New Roman" w:hAnsi="Times New Roman"/>
          <w:i/>
          <w:iCs/>
          <w:sz w:val="24"/>
          <w:szCs w:val="24"/>
        </w:rPr>
        <w:t>Macroeconomics and Finance in Emerging Market Economies, 15</w:t>
      </w:r>
      <w:r w:rsidRPr="000D77D9">
        <w:rPr>
          <w:rFonts w:ascii="Times New Roman" w:hAnsi="Times New Roman"/>
          <w:sz w:val="24"/>
          <w:szCs w:val="24"/>
        </w:rPr>
        <w:t xml:space="preserve">(3), 246–272. </w:t>
      </w:r>
      <w:hyperlink r:id="rId36" w:tgtFrame="_new" w:history="1">
        <w:r w:rsidRPr="000D77D9">
          <w:rPr>
            <w:rFonts w:ascii="Times New Roman" w:hAnsi="Times New Roman"/>
            <w:color w:val="0000FF"/>
            <w:sz w:val="24"/>
            <w:szCs w:val="24"/>
            <w:u w:val="single"/>
          </w:rPr>
          <w:t>https://doi.org/10.1080/17520843.2021.1927128</w:t>
        </w:r>
      </w:hyperlink>
      <w:r w:rsidRPr="000D77D9">
        <w:rPr>
          <w:rFonts w:ascii="Times New Roman" w:hAnsi="Times New Roman"/>
          <w:sz w:val="24"/>
          <w:szCs w:val="24"/>
        </w:rPr>
        <w:t xml:space="preserve"> </w:t>
      </w:r>
    </w:p>
    <w:p w14:paraId="027E043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Dubey, R. A. (2023). Deficits, crowding out and inflation in monetarily sovereign nations. </w:t>
      </w:r>
      <w:r w:rsidRPr="000D77D9">
        <w:rPr>
          <w:rFonts w:ascii="Times New Roman" w:hAnsi="Times New Roman"/>
          <w:i/>
          <w:iCs/>
          <w:sz w:val="24"/>
          <w:szCs w:val="24"/>
        </w:rPr>
        <w:t>International Journal of Science and Research, 12</w:t>
      </w:r>
      <w:r w:rsidRPr="000D77D9">
        <w:rPr>
          <w:rFonts w:ascii="Times New Roman" w:hAnsi="Times New Roman"/>
          <w:sz w:val="24"/>
          <w:szCs w:val="24"/>
        </w:rPr>
        <w:t>(10), 687–701. https://doi.org/10.21275/SR231007190020</w:t>
      </w:r>
    </w:p>
    <w:p w14:paraId="377528B8" w14:textId="6C1D540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Dumitrescu, B. A., </w:t>
      </w:r>
      <w:proofErr w:type="spellStart"/>
      <w:r w:rsidRPr="000D77D9">
        <w:rPr>
          <w:rFonts w:ascii="Times New Roman" w:hAnsi="Times New Roman"/>
          <w:sz w:val="24"/>
          <w:szCs w:val="24"/>
        </w:rPr>
        <w:t>Kagitci</w:t>
      </w:r>
      <w:proofErr w:type="spellEnd"/>
      <w:r w:rsidRPr="000D77D9">
        <w:rPr>
          <w:rFonts w:ascii="Times New Roman" w:hAnsi="Times New Roman"/>
          <w:sz w:val="24"/>
          <w:szCs w:val="24"/>
        </w:rPr>
        <w:t xml:space="preserve">, M., &amp; </w:t>
      </w:r>
      <w:proofErr w:type="spellStart"/>
      <w:r w:rsidRPr="000D77D9">
        <w:rPr>
          <w:rFonts w:ascii="Times New Roman" w:hAnsi="Times New Roman"/>
          <w:sz w:val="24"/>
          <w:szCs w:val="24"/>
        </w:rPr>
        <w:t>Cepoi</w:t>
      </w:r>
      <w:proofErr w:type="spellEnd"/>
      <w:r w:rsidRPr="000D77D9">
        <w:rPr>
          <w:rFonts w:ascii="Times New Roman" w:hAnsi="Times New Roman"/>
          <w:sz w:val="24"/>
          <w:szCs w:val="24"/>
        </w:rPr>
        <w:t xml:space="preserve">, C. O. (2022). Nonlinear effects of public debt on inflation: Does the size of the shadow economy matter? </w:t>
      </w:r>
      <w:r w:rsidRPr="000D77D9">
        <w:rPr>
          <w:rFonts w:ascii="Times New Roman" w:hAnsi="Times New Roman"/>
          <w:i/>
          <w:iCs/>
          <w:sz w:val="24"/>
          <w:szCs w:val="24"/>
        </w:rPr>
        <w:t>Finance Research Letters, 46</w:t>
      </w:r>
      <w:r w:rsidRPr="000D77D9">
        <w:rPr>
          <w:rFonts w:ascii="Times New Roman" w:hAnsi="Times New Roman"/>
          <w:sz w:val="24"/>
          <w:szCs w:val="24"/>
        </w:rPr>
        <w:t xml:space="preserve">, Article 102255. https://doi.org/10.1016/j.frl.2021.102255 </w:t>
      </w:r>
    </w:p>
    <w:p w14:paraId="24A7FA28"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Ekong, C. N., &amp; Effiong, U. E. (2020). Monetary policy and inflation targeting in Nigeria: The need for monetary-fiscal coordination. </w:t>
      </w:r>
      <w:r w:rsidRPr="000D77D9">
        <w:rPr>
          <w:rFonts w:ascii="Times New Roman" w:hAnsi="Times New Roman"/>
          <w:i/>
          <w:iCs/>
          <w:sz w:val="24"/>
          <w:szCs w:val="24"/>
        </w:rPr>
        <w:t>American Journal of Theoretical and Applied Business, 6</w:t>
      </w:r>
      <w:r w:rsidRPr="000D77D9">
        <w:rPr>
          <w:rFonts w:ascii="Times New Roman" w:hAnsi="Times New Roman"/>
          <w:sz w:val="24"/>
          <w:szCs w:val="24"/>
        </w:rPr>
        <w:t xml:space="preserve">(3), 37–46. </w:t>
      </w:r>
      <w:hyperlink r:id="rId37" w:tgtFrame="_new" w:history="1">
        <w:r w:rsidRPr="000D77D9">
          <w:rPr>
            <w:rFonts w:ascii="Times New Roman" w:hAnsi="Times New Roman"/>
            <w:color w:val="0000FF"/>
            <w:sz w:val="24"/>
            <w:szCs w:val="24"/>
            <w:u w:val="single"/>
          </w:rPr>
          <w:t>https://doi.org/10.11648/j.ajtab.20200603.14</w:t>
        </w:r>
      </w:hyperlink>
    </w:p>
    <w:p w14:paraId="5B349CCF" w14:textId="40095914" w:rsidR="000D77D9" w:rsidRPr="00B10875" w:rsidRDefault="000D77D9" w:rsidP="000D77D9">
      <w:pPr>
        <w:spacing w:before="100" w:beforeAutospacing="1" w:after="100" w:afterAutospacing="1"/>
        <w:rPr>
          <w:rFonts w:ascii="Times New Roman" w:hAnsi="Times New Roman"/>
          <w:sz w:val="24"/>
          <w:szCs w:val="24"/>
        </w:rPr>
      </w:pPr>
      <w:r w:rsidRPr="00B10875">
        <w:rPr>
          <w:rFonts w:ascii="Times New Roman" w:hAnsi="Times New Roman"/>
          <w:sz w:val="24"/>
          <w:szCs w:val="24"/>
        </w:rPr>
        <w:t xml:space="preserve">Dockery, E., </w:t>
      </w:r>
      <w:proofErr w:type="spellStart"/>
      <w:r w:rsidRPr="00B10875">
        <w:rPr>
          <w:rFonts w:ascii="Times New Roman" w:hAnsi="Times New Roman"/>
          <w:sz w:val="24"/>
          <w:szCs w:val="24"/>
        </w:rPr>
        <w:t>Ezeabasili</w:t>
      </w:r>
      <w:proofErr w:type="spellEnd"/>
      <w:r w:rsidRPr="00B10875">
        <w:rPr>
          <w:rFonts w:ascii="Times New Roman" w:hAnsi="Times New Roman"/>
          <w:sz w:val="24"/>
          <w:szCs w:val="24"/>
        </w:rPr>
        <w:t xml:space="preserve">, V. N., &amp; Herbert, W. E. (2012). On the relationship between fiscal deficits and inflation: Econometric evidence for Nigeria. </w:t>
      </w:r>
      <w:r w:rsidRPr="00B10875">
        <w:rPr>
          <w:rFonts w:ascii="Times New Roman" w:hAnsi="Times New Roman"/>
          <w:i/>
          <w:iCs/>
          <w:sz w:val="24"/>
          <w:szCs w:val="24"/>
        </w:rPr>
        <w:t>Economics and Finance Review, 2</w:t>
      </w:r>
      <w:r w:rsidRPr="00B10875">
        <w:rPr>
          <w:rFonts w:ascii="Times New Roman" w:hAnsi="Times New Roman"/>
          <w:sz w:val="24"/>
          <w:szCs w:val="24"/>
        </w:rPr>
        <w:t xml:space="preserve">(7), 17–30. </w:t>
      </w:r>
      <w:hyperlink r:id="rId38" w:tgtFrame="_new" w:history="1">
        <w:r w:rsidRPr="00B10875">
          <w:rPr>
            <w:rFonts w:ascii="Times New Roman" w:hAnsi="Times New Roman"/>
            <w:color w:val="0000FF"/>
            <w:sz w:val="24"/>
            <w:szCs w:val="24"/>
            <w:u w:val="single"/>
          </w:rPr>
          <w:t>https://researchportal.port.ac.uk/en/publications/on-the-relationship-between-fiscal-deficits-and-inflation-econome/</w:t>
        </w:r>
      </w:hyperlink>
    </w:p>
    <w:p w14:paraId="0C708798"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Ezeabasili, V. N., </w:t>
      </w:r>
      <w:proofErr w:type="spellStart"/>
      <w:r w:rsidRPr="000D77D9">
        <w:rPr>
          <w:rFonts w:ascii="Times New Roman" w:hAnsi="Times New Roman"/>
          <w:sz w:val="24"/>
          <w:szCs w:val="24"/>
        </w:rPr>
        <w:t>Mojekwu</w:t>
      </w:r>
      <w:proofErr w:type="spellEnd"/>
      <w:r w:rsidRPr="000D77D9">
        <w:rPr>
          <w:rFonts w:ascii="Times New Roman" w:hAnsi="Times New Roman"/>
          <w:sz w:val="24"/>
          <w:szCs w:val="24"/>
        </w:rPr>
        <w:t xml:space="preserve">, J. N., &amp; Herbert, W. E. (2012b). An empirical analysis of fiscal deficits and inflation in Nigeria. </w:t>
      </w:r>
      <w:r w:rsidRPr="000D77D9">
        <w:rPr>
          <w:rFonts w:ascii="Times New Roman" w:hAnsi="Times New Roman"/>
          <w:i/>
          <w:iCs/>
          <w:sz w:val="24"/>
          <w:szCs w:val="24"/>
        </w:rPr>
        <w:t>International Business and Management, 4</w:t>
      </w:r>
      <w:r w:rsidRPr="000D77D9">
        <w:rPr>
          <w:rFonts w:ascii="Times New Roman" w:hAnsi="Times New Roman"/>
          <w:sz w:val="24"/>
          <w:szCs w:val="24"/>
        </w:rPr>
        <w:t>(1), 105–120. https://doi.org/10.3968/j.ibm.1923842820120401.0185</w:t>
      </w:r>
    </w:p>
    <w:p w14:paraId="540E9641"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lastRenderedPageBreak/>
        <w:t xml:space="preserve">Falade, O. E. (2024). The causal relationship between government expenditure and inflation in Nigeria: Smooth transition regression approach. </w:t>
      </w:r>
      <w:r w:rsidRPr="000D77D9">
        <w:rPr>
          <w:rFonts w:ascii="Times New Roman" w:hAnsi="Times New Roman"/>
          <w:i/>
          <w:iCs/>
          <w:sz w:val="24"/>
          <w:szCs w:val="24"/>
        </w:rPr>
        <w:t>Asian Journal of Economics, Business and Accounting, 24</w:t>
      </w:r>
      <w:r w:rsidRPr="000D77D9">
        <w:rPr>
          <w:rFonts w:ascii="Times New Roman" w:hAnsi="Times New Roman"/>
          <w:sz w:val="24"/>
          <w:szCs w:val="24"/>
        </w:rPr>
        <w:t xml:space="preserve">(4), 291–297. </w:t>
      </w:r>
      <w:hyperlink r:id="rId39" w:tgtFrame="_new" w:history="1">
        <w:r w:rsidRPr="000D77D9">
          <w:rPr>
            <w:rFonts w:ascii="Times New Roman" w:hAnsi="Times New Roman"/>
            <w:color w:val="0000FF"/>
            <w:sz w:val="24"/>
            <w:szCs w:val="24"/>
            <w:u w:val="single"/>
          </w:rPr>
          <w:t>https://doi.org/10.9734/ajeba/2024/v24i41280</w:t>
        </w:r>
      </w:hyperlink>
    </w:p>
    <w:p w14:paraId="4EA712C1"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Fasanya</w:t>
      </w:r>
      <w:proofErr w:type="spellEnd"/>
      <w:r w:rsidRPr="000D77D9">
        <w:rPr>
          <w:rFonts w:ascii="Times New Roman" w:hAnsi="Times New Roman"/>
          <w:sz w:val="24"/>
          <w:szCs w:val="24"/>
        </w:rPr>
        <w:t xml:space="preserve">, I. O., </w:t>
      </w:r>
      <w:proofErr w:type="spellStart"/>
      <w:r w:rsidRPr="000D77D9">
        <w:rPr>
          <w:rFonts w:ascii="Times New Roman" w:hAnsi="Times New Roman"/>
          <w:sz w:val="24"/>
          <w:szCs w:val="24"/>
        </w:rPr>
        <w:t>Fajobi</w:t>
      </w:r>
      <w:proofErr w:type="spellEnd"/>
      <w:r w:rsidRPr="000D77D9">
        <w:rPr>
          <w:rFonts w:ascii="Times New Roman" w:hAnsi="Times New Roman"/>
          <w:sz w:val="24"/>
          <w:szCs w:val="24"/>
        </w:rPr>
        <w:t xml:space="preserve">, A., &amp; Adetokunbo, A. (2021). Are fiscal deficits inflationary in Nigeria? New evidence from bounds testing to cointegration with structural breaks. </w:t>
      </w:r>
      <w:r w:rsidRPr="000D77D9">
        <w:rPr>
          <w:rFonts w:ascii="Times New Roman" w:hAnsi="Times New Roman"/>
          <w:i/>
          <w:iCs/>
          <w:sz w:val="24"/>
          <w:szCs w:val="24"/>
        </w:rPr>
        <w:t>Economic Annals, 66</w:t>
      </w:r>
      <w:r w:rsidRPr="000D77D9">
        <w:rPr>
          <w:rFonts w:ascii="Times New Roman" w:hAnsi="Times New Roman"/>
          <w:sz w:val="24"/>
          <w:szCs w:val="24"/>
        </w:rPr>
        <w:t>(228), 123–148. https://doi.org/10.2298/EKA2128123F</w:t>
      </w:r>
    </w:p>
    <w:p w14:paraId="7A875977"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Fournier, J.-M., &amp; Lieberknecht, P. (2020). </w:t>
      </w:r>
      <w:r w:rsidRPr="000D77D9">
        <w:rPr>
          <w:rFonts w:ascii="Times New Roman" w:hAnsi="Times New Roman"/>
          <w:i/>
          <w:iCs/>
          <w:sz w:val="24"/>
          <w:szCs w:val="24"/>
        </w:rPr>
        <w:t>A model-based fiscal Taylor rule and a toolkit to assess the fiscal stance</w:t>
      </w:r>
      <w:r w:rsidRPr="000D77D9">
        <w:rPr>
          <w:rFonts w:ascii="Times New Roman" w:hAnsi="Times New Roman"/>
          <w:sz w:val="24"/>
          <w:szCs w:val="24"/>
        </w:rPr>
        <w:t xml:space="preserve"> (IMF Working Paper No. 2020/033). International Monetary Fund. https://doi.org/10.5089/9781513529240.001</w:t>
      </w:r>
    </w:p>
    <w:p w14:paraId="358024E4"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Garba, A. M. (2023). The threshold level of budget deficit and money supply that stabilize inflation in Nigeria. </w:t>
      </w:r>
      <w:r w:rsidRPr="000D77D9">
        <w:rPr>
          <w:rFonts w:ascii="Times New Roman" w:hAnsi="Times New Roman"/>
          <w:i/>
          <w:iCs/>
          <w:sz w:val="24"/>
          <w:szCs w:val="24"/>
        </w:rPr>
        <w:t>Journal of Global Economics and Business, 4</w:t>
      </w:r>
      <w:r w:rsidRPr="000D77D9">
        <w:rPr>
          <w:rFonts w:ascii="Times New Roman" w:hAnsi="Times New Roman"/>
          <w:sz w:val="24"/>
          <w:szCs w:val="24"/>
        </w:rPr>
        <w:t xml:space="preserve">(13), 86–96. </w:t>
      </w:r>
      <w:hyperlink r:id="rId40" w:tgtFrame="_new" w:history="1">
        <w:r w:rsidRPr="000D77D9">
          <w:rPr>
            <w:rFonts w:ascii="Times New Roman" w:hAnsi="Times New Roman"/>
            <w:color w:val="0000FF"/>
            <w:sz w:val="24"/>
            <w:szCs w:val="24"/>
            <w:u w:val="single"/>
          </w:rPr>
          <w:t>https://journalsglobal.com/index.php/jgeb/article/view/142</w:t>
        </w:r>
      </w:hyperlink>
    </w:p>
    <w:p w14:paraId="1013FFA5"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Harmon, E. Y. (2012). </w:t>
      </w:r>
      <w:r w:rsidRPr="000D77D9">
        <w:rPr>
          <w:rFonts w:ascii="Times New Roman" w:hAnsi="Times New Roman"/>
          <w:i/>
          <w:iCs/>
          <w:sz w:val="24"/>
          <w:szCs w:val="24"/>
        </w:rPr>
        <w:t>The impact of public debt on inflation, GDP growth and interest rates in Kenya</w:t>
      </w:r>
      <w:r w:rsidRPr="000D77D9">
        <w:rPr>
          <w:rFonts w:ascii="Times New Roman" w:hAnsi="Times New Roman"/>
          <w:sz w:val="24"/>
          <w:szCs w:val="24"/>
        </w:rPr>
        <w:t xml:space="preserve"> [Master’s thesis, University of Nairobi]. University of Nairobi Research Archive. https://erepository.uonbi.ac.ke/items/dba6cbb9-7460-4ba4-a8b8-77763d8ad71e</w:t>
      </w:r>
    </w:p>
    <w:p w14:paraId="6A4314F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Hilton, S. K. (2021). Public debt and economic growth: Contemporary evidence from a developing economy. </w:t>
      </w:r>
      <w:r w:rsidRPr="000D77D9">
        <w:rPr>
          <w:rFonts w:ascii="Times New Roman" w:hAnsi="Times New Roman"/>
          <w:i/>
          <w:iCs/>
          <w:sz w:val="24"/>
          <w:szCs w:val="24"/>
        </w:rPr>
        <w:t>Asian Journal of Economics and Banking, 5</w:t>
      </w:r>
      <w:r w:rsidRPr="000D77D9">
        <w:rPr>
          <w:rFonts w:ascii="Times New Roman" w:hAnsi="Times New Roman"/>
          <w:sz w:val="24"/>
          <w:szCs w:val="24"/>
        </w:rPr>
        <w:t>(2), 173–193. https://doi.org/10.1108/AJEB-11-2020-0096</w:t>
      </w:r>
    </w:p>
    <w:p w14:paraId="2A8902A8" w14:textId="64BE1182"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Olaoye, O. O., </w:t>
      </w:r>
      <w:proofErr w:type="spellStart"/>
      <w:r w:rsidRPr="000D77D9">
        <w:rPr>
          <w:rFonts w:ascii="Times New Roman" w:hAnsi="Times New Roman"/>
          <w:sz w:val="24"/>
          <w:szCs w:val="24"/>
        </w:rPr>
        <w:t>Omokanmi</w:t>
      </w:r>
      <w:proofErr w:type="spellEnd"/>
      <w:r w:rsidRPr="000D77D9">
        <w:rPr>
          <w:rFonts w:ascii="Times New Roman" w:hAnsi="Times New Roman"/>
          <w:sz w:val="24"/>
          <w:szCs w:val="24"/>
        </w:rPr>
        <w:t xml:space="preserve">, O. J., Tabash, M. I., </w:t>
      </w:r>
      <w:proofErr w:type="spellStart"/>
      <w:r w:rsidRPr="000D77D9">
        <w:rPr>
          <w:rFonts w:ascii="Times New Roman" w:hAnsi="Times New Roman"/>
          <w:sz w:val="24"/>
          <w:szCs w:val="24"/>
        </w:rPr>
        <w:t>Olofinlade</w:t>
      </w:r>
      <w:proofErr w:type="spellEnd"/>
      <w:r w:rsidRPr="000D77D9">
        <w:rPr>
          <w:rFonts w:ascii="Times New Roman" w:hAnsi="Times New Roman"/>
          <w:sz w:val="24"/>
          <w:szCs w:val="24"/>
        </w:rPr>
        <w:t xml:space="preserve">, S. O., &amp; </w:t>
      </w:r>
      <w:proofErr w:type="spellStart"/>
      <w:r w:rsidRPr="000D77D9">
        <w:rPr>
          <w:rFonts w:ascii="Times New Roman" w:hAnsi="Times New Roman"/>
          <w:sz w:val="24"/>
          <w:szCs w:val="24"/>
        </w:rPr>
        <w:t>Ojelade</w:t>
      </w:r>
      <w:proofErr w:type="spellEnd"/>
      <w:r w:rsidRPr="000D77D9">
        <w:rPr>
          <w:rFonts w:ascii="Times New Roman" w:hAnsi="Times New Roman"/>
          <w:sz w:val="24"/>
          <w:szCs w:val="24"/>
        </w:rPr>
        <w:t xml:space="preserve">, M. O. (2024). Soaring inflation in sub-Saharan Africa: A fiscal root? </w:t>
      </w:r>
      <w:r w:rsidRPr="000D77D9">
        <w:rPr>
          <w:rFonts w:ascii="Times New Roman" w:hAnsi="Times New Roman"/>
          <w:i/>
          <w:iCs/>
          <w:sz w:val="24"/>
          <w:szCs w:val="24"/>
        </w:rPr>
        <w:t>Quality &amp; Quantity, 58</w:t>
      </w:r>
      <w:r w:rsidRPr="000D77D9">
        <w:rPr>
          <w:rFonts w:ascii="Times New Roman" w:hAnsi="Times New Roman"/>
          <w:sz w:val="24"/>
          <w:szCs w:val="24"/>
        </w:rPr>
        <w:t xml:space="preserve">, 987–1009. https://doi.org/10.1007/s11135-023-01682-z </w:t>
      </w:r>
    </w:p>
    <w:p w14:paraId="6537AB37" w14:textId="5E9627F0"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Hooley, J., Nguyen, L., Saito, M., &amp; </w:t>
      </w:r>
      <w:proofErr w:type="spellStart"/>
      <w:r w:rsidRPr="000D77D9">
        <w:rPr>
          <w:rFonts w:ascii="Times New Roman" w:hAnsi="Times New Roman"/>
          <w:sz w:val="24"/>
          <w:szCs w:val="24"/>
        </w:rPr>
        <w:t>Nikaein</w:t>
      </w:r>
      <w:proofErr w:type="spellEnd"/>
      <w:r w:rsidRPr="000D77D9">
        <w:rPr>
          <w:rFonts w:ascii="Times New Roman" w:hAnsi="Times New Roman"/>
          <w:sz w:val="24"/>
          <w:szCs w:val="24"/>
        </w:rPr>
        <w:t xml:space="preserve"> </w:t>
      </w:r>
      <w:proofErr w:type="spellStart"/>
      <w:r w:rsidRPr="000D77D9">
        <w:rPr>
          <w:rFonts w:ascii="Times New Roman" w:hAnsi="Times New Roman"/>
          <w:sz w:val="24"/>
          <w:szCs w:val="24"/>
        </w:rPr>
        <w:t>Towfighian</w:t>
      </w:r>
      <w:proofErr w:type="spellEnd"/>
      <w:r w:rsidRPr="000D77D9">
        <w:rPr>
          <w:rFonts w:ascii="Times New Roman" w:hAnsi="Times New Roman"/>
          <w:sz w:val="24"/>
          <w:szCs w:val="24"/>
        </w:rPr>
        <w:t xml:space="preserve">, S. (2024). Fiscal dominance and inflation: Evidence from Sub-Saharan Africa. </w:t>
      </w:r>
      <w:r w:rsidRPr="000D77D9">
        <w:rPr>
          <w:rFonts w:ascii="Times New Roman" w:hAnsi="Times New Roman"/>
          <w:i/>
          <w:iCs/>
          <w:sz w:val="24"/>
          <w:szCs w:val="24"/>
        </w:rPr>
        <w:t>Public Sector Economics, 48</w:t>
      </w:r>
      <w:r w:rsidRPr="000D77D9">
        <w:rPr>
          <w:rFonts w:ascii="Times New Roman" w:hAnsi="Times New Roman"/>
          <w:sz w:val="24"/>
          <w:szCs w:val="24"/>
        </w:rPr>
        <w:t xml:space="preserve">(3), 363–391. https://doi.org/10.3326/pse.48.3.5 </w:t>
      </w:r>
    </w:p>
    <w:p w14:paraId="23B04210"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Howard, C. C. (2025). An analysis of exchange rate fluctuations and inflation dynamics in Nigeria. </w:t>
      </w:r>
      <w:r w:rsidRPr="000D77D9">
        <w:rPr>
          <w:rFonts w:ascii="Times New Roman" w:hAnsi="Times New Roman"/>
          <w:i/>
          <w:iCs/>
          <w:sz w:val="24"/>
          <w:szCs w:val="24"/>
        </w:rPr>
        <w:t>Asian Basic and Applied Research Journal, 7</w:t>
      </w:r>
      <w:r w:rsidRPr="000D77D9">
        <w:rPr>
          <w:rFonts w:ascii="Times New Roman" w:hAnsi="Times New Roman"/>
          <w:sz w:val="24"/>
          <w:szCs w:val="24"/>
        </w:rPr>
        <w:t xml:space="preserve">(1), 459–476. </w:t>
      </w:r>
      <w:hyperlink r:id="rId41" w:tgtFrame="_new" w:history="1">
        <w:r w:rsidRPr="000D77D9">
          <w:rPr>
            <w:rFonts w:ascii="Times New Roman" w:hAnsi="Times New Roman"/>
            <w:color w:val="0000FF"/>
            <w:sz w:val="24"/>
            <w:szCs w:val="24"/>
            <w:u w:val="single"/>
          </w:rPr>
          <w:t>https://doi.org/10.56557/abaarj/2025/v7i1189</w:t>
        </w:r>
      </w:hyperlink>
    </w:p>
    <w:p w14:paraId="3BE31490"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Ichime</w:t>
      </w:r>
      <w:proofErr w:type="spellEnd"/>
      <w:r w:rsidRPr="000D77D9">
        <w:rPr>
          <w:rFonts w:ascii="Times New Roman" w:hAnsi="Times New Roman"/>
          <w:sz w:val="24"/>
          <w:szCs w:val="24"/>
        </w:rPr>
        <w:t xml:space="preserve">, M. O., Awogbemi, T. O., &amp; Ezi, C. T. (2024). Deficit financing and macroeconomic performance: The Nigeria experience. </w:t>
      </w:r>
      <w:r w:rsidRPr="000D77D9">
        <w:rPr>
          <w:rFonts w:ascii="Times New Roman" w:hAnsi="Times New Roman"/>
          <w:i/>
          <w:iCs/>
          <w:sz w:val="24"/>
          <w:szCs w:val="24"/>
        </w:rPr>
        <w:t>International Journal of Management Studies and Social Science Research, 6</w:t>
      </w:r>
      <w:r w:rsidRPr="000D77D9">
        <w:rPr>
          <w:rFonts w:ascii="Times New Roman" w:hAnsi="Times New Roman"/>
          <w:sz w:val="24"/>
          <w:szCs w:val="24"/>
        </w:rPr>
        <w:t xml:space="preserve">(2), 291–298. </w:t>
      </w:r>
      <w:hyperlink r:id="rId42" w:tgtFrame="_new" w:history="1">
        <w:r w:rsidRPr="000D77D9">
          <w:rPr>
            <w:rFonts w:ascii="Times New Roman" w:hAnsi="Times New Roman"/>
            <w:color w:val="0000FF"/>
            <w:sz w:val="24"/>
            <w:szCs w:val="24"/>
            <w:u w:val="single"/>
          </w:rPr>
          <w:t>https://doi.org/10.56293/IJMSSSR.2024.4927</w:t>
        </w:r>
      </w:hyperlink>
    </w:p>
    <w:p w14:paraId="1198AD5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Imimole, B., &amp; </w:t>
      </w:r>
      <w:proofErr w:type="spellStart"/>
      <w:r w:rsidRPr="000D77D9">
        <w:rPr>
          <w:rFonts w:ascii="Times New Roman" w:hAnsi="Times New Roman"/>
          <w:sz w:val="24"/>
          <w:szCs w:val="24"/>
        </w:rPr>
        <w:t>Enoma</w:t>
      </w:r>
      <w:proofErr w:type="spellEnd"/>
      <w:r w:rsidRPr="000D77D9">
        <w:rPr>
          <w:rFonts w:ascii="Times New Roman" w:hAnsi="Times New Roman"/>
          <w:sz w:val="24"/>
          <w:szCs w:val="24"/>
        </w:rPr>
        <w:t xml:space="preserve">, A. (2011). Exchange rate depreciation and inflation in Nigeria (1986–2008). </w:t>
      </w:r>
      <w:r w:rsidRPr="000D77D9">
        <w:rPr>
          <w:rFonts w:ascii="Times New Roman" w:hAnsi="Times New Roman"/>
          <w:i/>
          <w:iCs/>
          <w:sz w:val="24"/>
          <w:szCs w:val="24"/>
        </w:rPr>
        <w:t>Business and Economics Journal, 2011</w:t>
      </w:r>
      <w:r w:rsidRPr="000D77D9">
        <w:rPr>
          <w:rFonts w:ascii="Times New Roman" w:hAnsi="Times New Roman"/>
          <w:sz w:val="24"/>
          <w:szCs w:val="24"/>
        </w:rPr>
        <w:t>, Article BEJ-28. https://doi.org/10.4172/2151-6219.1000028</w:t>
      </w:r>
    </w:p>
    <w:p w14:paraId="18510DB1"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Imoisi, A. I. (2021). </w:t>
      </w:r>
      <w:r w:rsidRPr="000D77D9">
        <w:rPr>
          <w:rFonts w:ascii="Times New Roman" w:hAnsi="Times New Roman"/>
          <w:i/>
          <w:iCs/>
          <w:sz w:val="24"/>
          <w:szCs w:val="24"/>
        </w:rPr>
        <w:t>Fiscal policy and sustainability of public debt: The Nigerian experience</w:t>
      </w:r>
      <w:r w:rsidRPr="000D77D9">
        <w:rPr>
          <w:rFonts w:ascii="Times New Roman" w:hAnsi="Times New Roman"/>
          <w:sz w:val="24"/>
          <w:szCs w:val="24"/>
        </w:rPr>
        <w:t>. Research Square. https://doi.org/10.21203/rs.3.rs-617833/v1</w:t>
      </w:r>
    </w:p>
    <w:p w14:paraId="78870475"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lastRenderedPageBreak/>
        <w:t xml:space="preserve">Isiaka, M. A., Lamidi, L. O., Kareem, R. O., &amp; </w:t>
      </w:r>
      <w:proofErr w:type="spellStart"/>
      <w:r w:rsidRPr="000D77D9">
        <w:rPr>
          <w:rFonts w:ascii="Times New Roman" w:hAnsi="Times New Roman"/>
          <w:sz w:val="24"/>
          <w:szCs w:val="24"/>
        </w:rPr>
        <w:t>Oladotun</w:t>
      </w:r>
      <w:proofErr w:type="spellEnd"/>
      <w:r w:rsidRPr="000D77D9">
        <w:rPr>
          <w:rFonts w:ascii="Times New Roman" w:hAnsi="Times New Roman"/>
          <w:sz w:val="24"/>
          <w:szCs w:val="24"/>
        </w:rPr>
        <w:t xml:space="preserve">, P. F. (2022). Long-run and short-run relationship between budget deficits and inflation rate in Nigeria. </w:t>
      </w:r>
      <w:r w:rsidRPr="000D77D9">
        <w:rPr>
          <w:rFonts w:ascii="Times New Roman" w:hAnsi="Times New Roman"/>
          <w:i/>
          <w:iCs/>
          <w:sz w:val="24"/>
          <w:szCs w:val="24"/>
        </w:rPr>
        <w:t>African Journal of Economics and Sustainable Development, 5</w:t>
      </w:r>
      <w:r w:rsidRPr="000D77D9">
        <w:rPr>
          <w:rFonts w:ascii="Times New Roman" w:hAnsi="Times New Roman"/>
          <w:sz w:val="24"/>
          <w:szCs w:val="24"/>
        </w:rPr>
        <w:t>(1), 75–82. https://doi.org/10.52589/AJESD-R4V56ZPL</w:t>
      </w:r>
    </w:p>
    <w:p w14:paraId="6EC2EF71"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Jung, A. (2024). </w:t>
      </w:r>
      <w:r w:rsidRPr="000D77D9">
        <w:rPr>
          <w:rFonts w:ascii="Times New Roman" w:hAnsi="Times New Roman"/>
          <w:i/>
          <w:iCs/>
          <w:sz w:val="24"/>
          <w:szCs w:val="24"/>
        </w:rPr>
        <w:t>The quantity theory of money, 1870–2020</w:t>
      </w:r>
      <w:r w:rsidRPr="000D77D9">
        <w:rPr>
          <w:rFonts w:ascii="Times New Roman" w:hAnsi="Times New Roman"/>
          <w:sz w:val="24"/>
          <w:szCs w:val="24"/>
        </w:rPr>
        <w:t xml:space="preserve"> (ECB Working Paper No. 2940). European Central Bank. </w:t>
      </w:r>
      <w:hyperlink r:id="rId43" w:tgtFrame="_new" w:history="1">
        <w:r w:rsidRPr="000D77D9">
          <w:rPr>
            <w:rFonts w:ascii="Times New Roman" w:hAnsi="Times New Roman"/>
            <w:color w:val="0000FF"/>
            <w:sz w:val="24"/>
            <w:szCs w:val="24"/>
            <w:u w:val="single"/>
          </w:rPr>
          <w:t>https://doi.org/10.2866/983455</w:t>
        </w:r>
      </w:hyperlink>
    </w:p>
    <w:p w14:paraId="4768B477" w14:textId="5F4D011F"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Khah</w:t>
      </w:r>
      <w:proofErr w:type="spellEnd"/>
      <w:r w:rsidRPr="000D77D9">
        <w:rPr>
          <w:rFonts w:ascii="Times New Roman" w:hAnsi="Times New Roman"/>
          <w:sz w:val="24"/>
          <w:szCs w:val="24"/>
        </w:rPr>
        <w:t xml:space="preserve">, A. M., &amp; Ahmad, M. (2025). Investigating the dynamic nexus between fiscal deficit and inflation: Empirical evidence from BRICS economies. </w:t>
      </w:r>
      <w:r w:rsidRPr="000D77D9">
        <w:rPr>
          <w:rFonts w:ascii="Times New Roman" w:hAnsi="Times New Roman"/>
          <w:i/>
          <w:iCs/>
          <w:sz w:val="24"/>
          <w:szCs w:val="24"/>
        </w:rPr>
        <w:t>International Journal of Emerging Markets, 20</w:t>
      </w:r>
      <w:r w:rsidRPr="000D77D9">
        <w:rPr>
          <w:rFonts w:ascii="Times New Roman" w:hAnsi="Times New Roman"/>
          <w:sz w:val="24"/>
          <w:szCs w:val="24"/>
        </w:rPr>
        <w:t xml:space="preserve">(11), 4714–4738. </w:t>
      </w:r>
      <w:hyperlink r:id="rId44" w:tgtFrame="_new" w:history="1">
        <w:r w:rsidRPr="000D77D9">
          <w:rPr>
            <w:rFonts w:ascii="Times New Roman" w:hAnsi="Times New Roman"/>
            <w:color w:val="0000FF"/>
            <w:sz w:val="24"/>
            <w:szCs w:val="24"/>
            <w:u w:val="single"/>
          </w:rPr>
          <w:t>https://doi.org/10.1108/IJOEM-03-2024-0515</w:t>
        </w:r>
      </w:hyperlink>
      <w:r w:rsidRPr="000D77D9">
        <w:rPr>
          <w:rFonts w:ascii="Times New Roman" w:hAnsi="Times New Roman"/>
          <w:sz w:val="24"/>
          <w:szCs w:val="24"/>
        </w:rPr>
        <w:t xml:space="preserve"> </w:t>
      </w:r>
    </w:p>
    <w:p w14:paraId="16E02129"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Kwon, G., McFarlane, L., &amp; Robinson, W. (2006). </w:t>
      </w:r>
      <w:r w:rsidRPr="000D77D9">
        <w:rPr>
          <w:rFonts w:ascii="Times New Roman" w:hAnsi="Times New Roman"/>
          <w:i/>
          <w:iCs/>
          <w:sz w:val="24"/>
          <w:szCs w:val="24"/>
        </w:rPr>
        <w:t>Public debt, money supply, and inflation: A cross-country study and its application to Jamaica</w:t>
      </w:r>
      <w:r w:rsidRPr="000D77D9">
        <w:rPr>
          <w:rFonts w:ascii="Times New Roman" w:hAnsi="Times New Roman"/>
          <w:sz w:val="24"/>
          <w:szCs w:val="24"/>
        </w:rPr>
        <w:t xml:space="preserve"> (IMF Working Paper No. 2006/121). International Monetary Fund. https://doi.org/10.5089/9781451863819.001</w:t>
      </w:r>
    </w:p>
    <w:p w14:paraId="2F64D2E6"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Kwon, G., McFarlane, L., &amp; Robinson, W. (2009). Public debt, money supply, and inflation: A cross-country study. </w:t>
      </w:r>
      <w:r w:rsidRPr="000D77D9">
        <w:rPr>
          <w:rFonts w:ascii="Times New Roman" w:hAnsi="Times New Roman"/>
          <w:i/>
          <w:iCs/>
          <w:sz w:val="24"/>
          <w:szCs w:val="24"/>
        </w:rPr>
        <w:t>IMF Staff Papers, 56</w:t>
      </w:r>
      <w:r w:rsidRPr="000D77D9">
        <w:rPr>
          <w:rFonts w:ascii="Times New Roman" w:hAnsi="Times New Roman"/>
          <w:sz w:val="24"/>
          <w:szCs w:val="24"/>
        </w:rPr>
        <w:t>(3), 476–515. https://doi.org/10.1057/imfsp.2008.26</w:t>
      </w:r>
    </w:p>
    <w:p w14:paraId="49FB9373"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Law, S. H., Ng, C. H., </w:t>
      </w:r>
      <w:proofErr w:type="spellStart"/>
      <w:r w:rsidRPr="000D77D9">
        <w:rPr>
          <w:rFonts w:ascii="Times New Roman" w:hAnsi="Times New Roman"/>
          <w:sz w:val="24"/>
          <w:szCs w:val="24"/>
        </w:rPr>
        <w:t>Kutan</w:t>
      </w:r>
      <w:proofErr w:type="spellEnd"/>
      <w:r w:rsidRPr="000D77D9">
        <w:rPr>
          <w:rFonts w:ascii="Times New Roman" w:hAnsi="Times New Roman"/>
          <w:sz w:val="24"/>
          <w:szCs w:val="24"/>
        </w:rPr>
        <w:t xml:space="preserve">, A. M., &amp; Law, Z. K. (2021). Public debt and economic growth in developing countries: Nonlinearity and threshold analysis. </w:t>
      </w:r>
      <w:r w:rsidRPr="000D77D9">
        <w:rPr>
          <w:rFonts w:ascii="Times New Roman" w:hAnsi="Times New Roman"/>
          <w:i/>
          <w:iCs/>
          <w:sz w:val="24"/>
          <w:szCs w:val="24"/>
        </w:rPr>
        <w:t>Economic Modelling, 98</w:t>
      </w:r>
      <w:r w:rsidRPr="000D77D9">
        <w:rPr>
          <w:rFonts w:ascii="Times New Roman" w:hAnsi="Times New Roman"/>
          <w:sz w:val="24"/>
          <w:szCs w:val="24"/>
        </w:rPr>
        <w:t xml:space="preserve">, 26–40. </w:t>
      </w:r>
      <w:hyperlink r:id="rId45" w:tgtFrame="_new" w:history="1">
        <w:r w:rsidRPr="000D77D9">
          <w:rPr>
            <w:rFonts w:ascii="Times New Roman" w:hAnsi="Times New Roman"/>
            <w:color w:val="0000FF"/>
            <w:sz w:val="24"/>
            <w:szCs w:val="24"/>
            <w:u w:val="single"/>
          </w:rPr>
          <w:t>https://doi.org/10.1016/j.econmod.2021.02.004</w:t>
        </w:r>
      </w:hyperlink>
    </w:p>
    <w:p w14:paraId="53549112"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Miao, J., &amp; Su, D. (2024). Fiscal and monetary policy interactions in a model with low interest rates. </w:t>
      </w:r>
      <w:r w:rsidRPr="000D77D9">
        <w:rPr>
          <w:rFonts w:ascii="Times New Roman" w:hAnsi="Times New Roman"/>
          <w:i/>
          <w:iCs/>
          <w:sz w:val="24"/>
          <w:szCs w:val="24"/>
        </w:rPr>
        <w:t>American Economic Journal: Macroeconomics, 16</w:t>
      </w:r>
      <w:r w:rsidRPr="000D77D9">
        <w:rPr>
          <w:rFonts w:ascii="Times New Roman" w:hAnsi="Times New Roman"/>
          <w:sz w:val="24"/>
          <w:szCs w:val="24"/>
        </w:rPr>
        <w:t xml:space="preserve">(4), 35–76. </w:t>
      </w:r>
      <w:hyperlink r:id="rId46" w:tgtFrame="_new" w:history="1">
        <w:r w:rsidRPr="000D77D9">
          <w:rPr>
            <w:rFonts w:ascii="Times New Roman" w:hAnsi="Times New Roman"/>
            <w:color w:val="0000FF"/>
            <w:sz w:val="24"/>
            <w:szCs w:val="24"/>
            <w:u w:val="single"/>
          </w:rPr>
          <w:t>https://doi.org/10.1257/mac.20220232</w:t>
        </w:r>
      </w:hyperlink>
    </w:p>
    <w:p w14:paraId="6E4E47C3"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Muller, P., &amp; Price, R. W. R. (1984). </w:t>
      </w:r>
      <w:r w:rsidRPr="000D77D9">
        <w:rPr>
          <w:rFonts w:ascii="Times New Roman" w:hAnsi="Times New Roman"/>
          <w:i/>
          <w:iCs/>
          <w:sz w:val="24"/>
          <w:szCs w:val="24"/>
        </w:rPr>
        <w:t>Structural budget deficits and fiscal stance</w:t>
      </w:r>
      <w:r w:rsidRPr="000D77D9">
        <w:rPr>
          <w:rFonts w:ascii="Times New Roman" w:hAnsi="Times New Roman"/>
          <w:sz w:val="24"/>
          <w:szCs w:val="24"/>
        </w:rPr>
        <w:t xml:space="preserve"> (OECD Economics Department Working Papers No. 15). OECD Publishing. </w:t>
      </w:r>
      <w:hyperlink r:id="rId47" w:tgtFrame="_new" w:history="1">
        <w:r w:rsidRPr="000D77D9">
          <w:rPr>
            <w:rFonts w:ascii="Times New Roman" w:hAnsi="Times New Roman"/>
            <w:color w:val="0000FF"/>
            <w:sz w:val="24"/>
            <w:szCs w:val="24"/>
            <w:u w:val="single"/>
          </w:rPr>
          <w:t>https://doi.org/10.1787/050184860264</w:t>
        </w:r>
      </w:hyperlink>
    </w:p>
    <w:p w14:paraId="4C23F714"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Natsiopoulos</w:t>
      </w:r>
      <w:proofErr w:type="spellEnd"/>
      <w:r w:rsidRPr="000D77D9">
        <w:rPr>
          <w:rFonts w:ascii="Times New Roman" w:hAnsi="Times New Roman"/>
          <w:sz w:val="24"/>
          <w:szCs w:val="24"/>
        </w:rPr>
        <w:t xml:space="preserve">, K., &amp; Tzeremes, N. G. (2022). ARDL bounds test for cointegration: Replicating the </w:t>
      </w:r>
      <w:proofErr w:type="spellStart"/>
      <w:r w:rsidRPr="000D77D9">
        <w:rPr>
          <w:rFonts w:ascii="Times New Roman" w:hAnsi="Times New Roman"/>
          <w:sz w:val="24"/>
          <w:szCs w:val="24"/>
        </w:rPr>
        <w:t>Pesaran</w:t>
      </w:r>
      <w:proofErr w:type="spellEnd"/>
      <w:r w:rsidRPr="000D77D9">
        <w:rPr>
          <w:rFonts w:ascii="Times New Roman" w:hAnsi="Times New Roman"/>
          <w:sz w:val="24"/>
          <w:szCs w:val="24"/>
        </w:rPr>
        <w:t xml:space="preserve"> et al. (2001) results for the UK earnings equation using R. </w:t>
      </w:r>
      <w:r w:rsidRPr="000D77D9">
        <w:rPr>
          <w:rFonts w:ascii="Times New Roman" w:hAnsi="Times New Roman"/>
          <w:i/>
          <w:iCs/>
          <w:sz w:val="24"/>
          <w:szCs w:val="24"/>
        </w:rPr>
        <w:t>Journal of Applied Econometrics, 37</w:t>
      </w:r>
      <w:r w:rsidRPr="000D77D9">
        <w:rPr>
          <w:rFonts w:ascii="Times New Roman" w:hAnsi="Times New Roman"/>
          <w:sz w:val="24"/>
          <w:szCs w:val="24"/>
        </w:rPr>
        <w:t>(5), 1079–1090. https://doi.org/10.1002/jae.2919</w:t>
      </w:r>
    </w:p>
    <w:p w14:paraId="1ACAA232"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Ndoricimpa</w:t>
      </w:r>
      <w:proofErr w:type="spellEnd"/>
      <w:r w:rsidRPr="000D77D9">
        <w:rPr>
          <w:rFonts w:ascii="Times New Roman" w:hAnsi="Times New Roman"/>
          <w:sz w:val="24"/>
          <w:szCs w:val="24"/>
        </w:rPr>
        <w:t xml:space="preserve">, A. (2020). Threshold effects of public debt on economic growth in Africa: </w:t>
      </w:r>
      <w:proofErr w:type="gramStart"/>
      <w:r w:rsidRPr="000D77D9">
        <w:rPr>
          <w:rFonts w:ascii="Times New Roman" w:hAnsi="Times New Roman"/>
          <w:sz w:val="24"/>
          <w:szCs w:val="24"/>
        </w:rPr>
        <w:t>A new evidence</w:t>
      </w:r>
      <w:proofErr w:type="gramEnd"/>
      <w:r w:rsidRPr="000D77D9">
        <w:rPr>
          <w:rFonts w:ascii="Times New Roman" w:hAnsi="Times New Roman"/>
          <w:sz w:val="24"/>
          <w:szCs w:val="24"/>
        </w:rPr>
        <w:t xml:space="preserve">. </w:t>
      </w:r>
      <w:r w:rsidRPr="000D77D9">
        <w:rPr>
          <w:rFonts w:ascii="Times New Roman" w:hAnsi="Times New Roman"/>
          <w:i/>
          <w:iCs/>
          <w:sz w:val="24"/>
          <w:szCs w:val="24"/>
        </w:rPr>
        <w:t>Journal of Economics and Development, 22</w:t>
      </w:r>
      <w:r w:rsidRPr="000D77D9">
        <w:rPr>
          <w:rFonts w:ascii="Times New Roman" w:hAnsi="Times New Roman"/>
          <w:sz w:val="24"/>
          <w:szCs w:val="24"/>
        </w:rPr>
        <w:t>(2), 187–207. https://doi.org/10.1108/JED-01-2020-0001</w:t>
      </w:r>
    </w:p>
    <w:p w14:paraId="6ABD092A"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Nguyen, V. B. (2015). The relationship between public debt and inflation in developing countries: Empirical evidence based on difference panel GMM. </w:t>
      </w:r>
      <w:r w:rsidRPr="000D77D9">
        <w:rPr>
          <w:rFonts w:ascii="Times New Roman" w:hAnsi="Times New Roman"/>
          <w:i/>
          <w:iCs/>
          <w:sz w:val="24"/>
          <w:szCs w:val="24"/>
        </w:rPr>
        <w:t>Asian Journal of Empirical Research, 5</w:t>
      </w:r>
      <w:r w:rsidRPr="000D77D9">
        <w:rPr>
          <w:rFonts w:ascii="Times New Roman" w:hAnsi="Times New Roman"/>
          <w:sz w:val="24"/>
          <w:szCs w:val="24"/>
        </w:rPr>
        <w:t xml:space="preserve">(9), 128–142. </w:t>
      </w:r>
      <w:hyperlink r:id="rId48" w:tgtFrame="_new" w:history="1">
        <w:r w:rsidRPr="000D77D9">
          <w:rPr>
            <w:rFonts w:ascii="Times New Roman" w:hAnsi="Times New Roman"/>
            <w:color w:val="0000FF"/>
            <w:sz w:val="24"/>
            <w:szCs w:val="24"/>
            <w:u w:val="single"/>
          </w:rPr>
          <w:t>https://archive.aessweb.com/index.php/5004/article/view/3852</w:t>
        </w:r>
      </w:hyperlink>
    </w:p>
    <w:p w14:paraId="71158884"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Nguyen, V. B. (2022). Does governance matter for the public debt–inflation relationship in developed countries? Panel quantile regression approach. </w:t>
      </w:r>
      <w:r w:rsidRPr="000D77D9">
        <w:rPr>
          <w:rFonts w:ascii="Times New Roman" w:hAnsi="Times New Roman"/>
          <w:i/>
          <w:iCs/>
          <w:sz w:val="24"/>
          <w:szCs w:val="24"/>
        </w:rPr>
        <w:t>Annals of Public and Cooperative Economics, 93</w:t>
      </w:r>
      <w:r w:rsidRPr="000D77D9">
        <w:rPr>
          <w:rFonts w:ascii="Times New Roman" w:hAnsi="Times New Roman"/>
          <w:sz w:val="24"/>
          <w:szCs w:val="24"/>
        </w:rPr>
        <w:t xml:space="preserve">(4), 1153–1173. </w:t>
      </w:r>
      <w:hyperlink r:id="rId49" w:tgtFrame="_new" w:history="1">
        <w:r w:rsidRPr="000D77D9">
          <w:rPr>
            <w:rFonts w:ascii="Times New Roman" w:hAnsi="Times New Roman"/>
            <w:color w:val="0000FF"/>
            <w:sz w:val="24"/>
            <w:szCs w:val="24"/>
            <w:u w:val="single"/>
          </w:rPr>
          <w:t>https://doi.org/10.1111/apce.12367</w:t>
        </w:r>
      </w:hyperlink>
    </w:p>
    <w:p w14:paraId="62231E3F"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lastRenderedPageBreak/>
        <w:t xml:space="preserve">Nuhu, M. (2021). Impact of exchange rate volatility on inflation in Nigeria. </w:t>
      </w:r>
      <w:r w:rsidRPr="000D77D9">
        <w:rPr>
          <w:rFonts w:ascii="Times New Roman" w:hAnsi="Times New Roman"/>
          <w:i/>
          <w:iCs/>
          <w:sz w:val="24"/>
          <w:szCs w:val="24"/>
        </w:rPr>
        <w:t>Journal of Contemporary Research in Business, Economics and Finance, 3</w:t>
      </w:r>
      <w:r w:rsidRPr="000D77D9">
        <w:rPr>
          <w:rFonts w:ascii="Times New Roman" w:hAnsi="Times New Roman"/>
          <w:sz w:val="24"/>
          <w:szCs w:val="24"/>
        </w:rPr>
        <w:t>(1), 26–38. https://doi.org/10.33094/26410265.2021.31.26.38</w:t>
      </w:r>
    </w:p>
    <w:p w14:paraId="784C3F1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Nwosu, N., Inam, U. S., &amp; </w:t>
      </w:r>
      <w:proofErr w:type="spellStart"/>
      <w:r w:rsidRPr="000D77D9">
        <w:rPr>
          <w:rFonts w:ascii="Times New Roman" w:hAnsi="Times New Roman"/>
          <w:sz w:val="24"/>
          <w:szCs w:val="24"/>
        </w:rPr>
        <w:t>Orebiyi</w:t>
      </w:r>
      <w:proofErr w:type="spellEnd"/>
      <w:r w:rsidRPr="000D77D9">
        <w:rPr>
          <w:rFonts w:ascii="Times New Roman" w:hAnsi="Times New Roman"/>
          <w:sz w:val="24"/>
          <w:szCs w:val="24"/>
        </w:rPr>
        <w:t xml:space="preserve">, P. A. (2024). Fiscal deficit inflation nexus in Nigeria. </w:t>
      </w:r>
      <w:r w:rsidRPr="000D77D9">
        <w:rPr>
          <w:rFonts w:ascii="Times New Roman" w:hAnsi="Times New Roman"/>
          <w:i/>
          <w:iCs/>
          <w:sz w:val="24"/>
          <w:szCs w:val="24"/>
        </w:rPr>
        <w:t>International Journal of Research and Innovation in Social Science, 8</w:t>
      </w:r>
      <w:r w:rsidRPr="000D77D9">
        <w:rPr>
          <w:rFonts w:ascii="Times New Roman" w:hAnsi="Times New Roman"/>
          <w:sz w:val="24"/>
          <w:szCs w:val="24"/>
        </w:rPr>
        <w:t>(7), 3274–3287. https://doi.org/10.47772/IJRISS.2024.807249</w:t>
      </w:r>
    </w:p>
    <w:p w14:paraId="201E086A"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Nzeh, I. C. (2020). Public debt and economic growth in Nigeria: Investigating the optimal threshold level. </w:t>
      </w:r>
      <w:r w:rsidRPr="000D77D9">
        <w:rPr>
          <w:rFonts w:ascii="Times New Roman" w:hAnsi="Times New Roman"/>
          <w:i/>
          <w:iCs/>
          <w:sz w:val="24"/>
          <w:szCs w:val="24"/>
        </w:rPr>
        <w:t>Asian Development Policy Review, 8</w:t>
      </w:r>
      <w:r w:rsidRPr="000D77D9">
        <w:rPr>
          <w:rFonts w:ascii="Times New Roman" w:hAnsi="Times New Roman"/>
          <w:sz w:val="24"/>
          <w:szCs w:val="24"/>
        </w:rPr>
        <w:t>(2), 112–127. https://doi.org/10.18488/journal.107.2020.82.112.127</w:t>
      </w:r>
    </w:p>
    <w:p w14:paraId="3B358C12" w14:textId="74165B69"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Olaoye, O. O., </w:t>
      </w:r>
      <w:proofErr w:type="spellStart"/>
      <w:r w:rsidRPr="000D77D9">
        <w:rPr>
          <w:rFonts w:ascii="Times New Roman" w:hAnsi="Times New Roman"/>
          <w:sz w:val="24"/>
          <w:szCs w:val="24"/>
        </w:rPr>
        <w:t>Omokanmi</w:t>
      </w:r>
      <w:proofErr w:type="spellEnd"/>
      <w:r w:rsidRPr="000D77D9">
        <w:rPr>
          <w:rFonts w:ascii="Times New Roman" w:hAnsi="Times New Roman"/>
          <w:sz w:val="24"/>
          <w:szCs w:val="24"/>
        </w:rPr>
        <w:t xml:space="preserve">, O. J., Tabash, M. I., </w:t>
      </w:r>
      <w:proofErr w:type="spellStart"/>
      <w:r w:rsidRPr="000D77D9">
        <w:rPr>
          <w:rFonts w:ascii="Times New Roman" w:hAnsi="Times New Roman"/>
          <w:sz w:val="24"/>
          <w:szCs w:val="24"/>
        </w:rPr>
        <w:t>Olofinlade</w:t>
      </w:r>
      <w:proofErr w:type="spellEnd"/>
      <w:r w:rsidRPr="000D77D9">
        <w:rPr>
          <w:rFonts w:ascii="Times New Roman" w:hAnsi="Times New Roman"/>
          <w:sz w:val="24"/>
          <w:szCs w:val="24"/>
        </w:rPr>
        <w:t xml:space="preserve">, S. O., &amp; </w:t>
      </w:r>
      <w:proofErr w:type="spellStart"/>
      <w:r w:rsidRPr="000D77D9">
        <w:rPr>
          <w:rFonts w:ascii="Times New Roman" w:hAnsi="Times New Roman"/>
          <w:sz w:val="24"/>
          <w:szCs w:val="24"/>
        </w:rPr>
        <w:t>Ojelade</w:t>
      </w:r>
      <w:proofErr w:type="spellEnd"/>
      <w:r w:rsidRPr="000D77D9">
        <w:rPr>
          <w:rFonts w:ascii="Times New Roman" w:hAnsi="Times New Roman"/>
          <w:sz w:val="24"/>
          <w:szCs w:val="24"/>
        </w:rPr>
        <w:t xml:space="preserve">, M. O. (2024). Soaring inflation in sub-Saharan Africa: A fiscal root? </w:t>
      </w:r>
      <w:r w:rsidRPr="000D77D9">
        <w:rPr>
          <w:rFonts w:ascii="Times New Roman" w:hAnsi="Times New Roman"/>
          <w:i/>
          <w:iCs/>
          <w:sz w:val="24"/>
          <w:szCs w:val="24"/>
        </w:rPr>
        <w:t>Quality &amp; Quantity, 58</w:t>
      </w:r>
      <w:r w:rsidRPr="000D77D9">
        <w:rPr>
          <w:rFonts w:ascii="Times New Roman" w:hAnsi="Times New Roman"/>
          <w:sz w:val="24"/>
          <w:szCs w:val="24"/>
        </w:rPr>
        <w:t xml:space="preserve">, 987–1009. https://doi.org/10.1007/s11135-023-01682-z </w:t>
      </w:r>
    </w:p>
    <w:p w14:paraId="104B65E9"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Olaoye, O. O., Tabash, M. I., </w:t>
      </w:r>
      <w:proofErr w:type="spellStart"/>
      <w:r w:rsidRPr="000D77D9">
        <w:rPr>
          <w:rFonts w:ascii="Times New Roman" w:hAnsi="Times New Roman"/>
          <w:sz w:val="24"/>
          <w:szCs w:val="24"/>
        </w:rPr>
        <w:t>Omokanmi</w:t>
      </w:r>
      <w:proofErr w:type="spellEnd"/>
      <w:r w:rsidRPr="000D77D9">
        <w:rPr>
          <w:rFonts w:ascii="Times New Roman" w:hAnsi="Times New Roman"/>
          <w:sz w:val="24"/>
          <w:szCs w:val="24"/>
        </w:rPr>
        <w:t xml:space="preserve">, O. J., </w:t>
      </w:r>
      <w:proofErr w:type="spellStart"/>
      <w:r w:rsidRPr="000D77D9">
        <w:rPr>
          <w:rFonts w:ascii="Times New Roman" w:hAnsi="Times New Roman"/>
          <w:sz w:val="24"/>
          <w:szCs w:val="24"/>
        </w:rPr>
        <w:t>Ogunjumo</w:t>
      </w:r>
      <w:proofErr w:type="spellEnd"/>
      <w:r w:rsidRPr="000D77D9">
        <w:rPr>
          <w:rFonts w:ascii="Times New Roman" w:hAnsi="Times New Roman"/>
          <w:sz w:val="24"/>
          <w:szCs w:val="24"/>
        </w:rPr>
        <w:t xml:space="preserve">, R. A., </w:t>
      </w:r>
      <w:proofErr w:type="spellStart"/>
      <w:r w:rsidRPr="000D77D9">
        <w:rPr>
          <w:rFonts w:ascii="Times New Roman" w:hAnsi="Times New Roman"/>
          <w:sz w:val="24"/>
          <w:szCs w:val="24"/>
        </w:rPr>
        <w:t>Ojelade</w:t>
      </w:r>
      <w:proofErr w:type="spellEnd"/>
      <w:r w:rsidRPr="000D77D9">
        <w:rPr>
          <w:rFonts w:ascii="Times New Roman" w:hAnsi="Times New Roman"/>
          <w:sz w:val="24"/>
          <w:szCs w:val="24"/>
        </w:rPr>
        <w:t xml:space="preserve">, M. O., &amp; Ishola, J. A. (2022). Macroeconomic implications of the escalating stock of public debt: Evidence from sub-Saharan African economies. </w:t>
      </w:r>
      <w:r w:rsidRPr="000D77D9">
        <w:rPr>
          <w:rFonts w:ascii="Times New Roman" w:hAnsi="Times New Roman"/>
          <w:i/>
          <w:iCs/>
          <w:sz w:val="24"/>
          <w:szCs w:val="24"/>
        </w:rPr>
        <w:t>African Development Review, 34</w:t>
      </w:r>
      <w:r w:rsidRPr="000D77D9">
        <w:rPr>
          <w:rFonts w:ascii="Times New Roman" w:hAnsi="Times New Roman"/>
          <w:sz w:val="24"/>
          <w:szCs w:val="24"/>
        </w:rPr>
        <w:t>(4), 527–540. https://doi.org/10.1111/1467-8268.12677</w:t>
      </w:r>
    </w:p>
    <w:p w14:paraId="3791472E"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Omotosho, B. S., Bawa, S., &amp; </w:t>
      </w:r>
      <w:proofErr w:type="spellStart"/>
      <w:r w:rsidRPr="000D77D9">
        <w:rPr>
          <w:rFonts w:ascii="Times New Roman" w:hAnsi="Times New Roman"/>
          <w:sz w:val="24"/>
          <w:szCs w:val="24"/>
        </w:rPr>
        <w:t>Doguwa</w:t>
      </w:r>
      <w:proofErr w:type="spellEnd"/>
      <w:r w:rsidRPr="000D77D9">
        <w:rPr>
          <w:rFonts w:ascii="Times New Roman" w:hAnsi="Times New Roman"/>
          <w:sz w:val="24"/>
          <w:szCs w:val="24"/>
        </w:rPr>
        <w:t xml:space="preserve">, S. I. (2016). Determining the optimal public debt threshold for Nigeria. </w:t>
      </w:r>
      <w:r w:rsidRPr="000D77D9">
        <w:rPr>
          <w:rFonts w:ascii="Times New Roman" w:hAnsi="Times New Roman"/>
          <w:i/>
          <w:iCs/>
          <w:sz w:val="24"/>
          <w:szCs w:val="24"/>
        </w:rPr>
        <w:t>CBN Journal of Applied Statistics, 7</w:t>
      </w:r>
      <w:r w:rsidRPr="000D77D9">
        <w:rPr>
          <w:rFonts w:ascii="Times New Roman" w:hAnsi="Times New Roman"/>
          <w:sz w:val="24"/>
          <w:szCs w:val="24"/>
        </w:rPr>
        <w:t xml:space="preserve">(2), 1–25. </w:t>
      </w:r>
      <w:hyperlink r:id="rId50" w:tgtFrame="_new" w:history="1">
        <w:r w:rsidRPr="000D77D9">
          <w:rPr>
            <w:rFonts w:ascii="Times New Roman" w:hAnsi="Times New Roman"/>
            <w:color w:val="0000FF"/>
            <w:sz w:val="24"/>
            <w:szCs w:val="24"/>
            <w:u w:val="single"/>
          </w:rPr>
          <w:t>https://dc.cbn.gov.ng/jas/vol7/iss2/1/</w:t>
        </w:r>
      </w:hyperlink>
    </w:p>
    <w:p w14:paraId="5B6477A4"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Orisadare</w:t>
      </w:r>
      <w:proofErr w:type="spellEnd"/>
      <w:r w:rsidRPr="000D77D9">
        <w:rPr>
          <w:rFonts w:ascii="Times New Roman" w:hAnsi="Times New Roman"/>
          <w:sz w:val="24"/>
          <w:szCs w:val="24"/>
        </w:rPr>
        <w:t xml:space="preserve">, M. A., &amp; Adeyemi, O. W. (2024). Fiscal dominance and the effectiveness of monetary authority in Nigeria 1980–2020. </w:t>
      </w:r>
      <w:r w:rsidRPr="000D77D9">
        <w:rPr>
          <w:rFonts w:ascii="Times New Roman" w:hAnsi="Times New Roman"/>
          <w:i/>
          <w:iCs/>
          <w:sz w:val="24"/>
          <w:szCs w:val="24"/>
        </w:rPr>
        <w:t>Asian Journal of Economics, Business and Accounting, 24</w:t>
      </w:r>
      <w:r w:rsidRPr="000D77D9">
        <w:rPr>
          <w:rFonts w:ascii="Times New Roman" w:hAnsi="Times New Roman"/>
          <w:sz w:val="24"/>
          <w:szCs w:val="24"/>
        </w:rPr>
        <w:t xml:space="preserve">(6), 192–203. </w:t>
      </w:r>
      <w:hyperlink r:id="rId51" w:tgtFrame="_new" w:history="1">
        <w:r w:rsidRPr="000D77D9">
          <w:rPr>
            <w:rFonts w:ascii="Times New Roman" w:hAnsi="Times New Roman"/>
            <w:color w:val="0000FF"/>
            <w:sz w:val="24"/>
            <w:szCs w:val="24"/>
            <w:u w:val="single"/>
          </w:rPr>
          <w:t>https://doi.org/10.9734/ajeba/2024/v24i61353</w:t>
        </w:r>
      </w:hyperlink>
    </w:p>
    <w:p w14:paraId="384EB6CE"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Oyeleke, O. J. (2021). On the non-linear relationship between fiscal deficit and inflation: The Nigeria experience. </w:t>
      </w:r>
      <w:r w:rsidRPr="000D77D9">
        <w:rPr>
          <w:rFonts w:ascii="Times New Roman" w:hAnsi="Times New Roman"/>
          <w:i/>
          <w:iCs/>
          <w:sz w:val="24"/>
          <w:szCs w:val="24"/>
        </w:rPr>
        <w:t>International Advances in Economic Research, 27</w:t>
      </w:r>
      <w:r w:rsidRPr="000D77D9">
        <w:rPr>
          <w:rFonts w:ascii="Times New Roman" w:hAnsi="Times New Roman"/>
          <w:sz w:val="24"/>
          <w:szCs w:val="24"/>
        </w:rPr>
        <w:t>(2), 105–117. https://doi.org/10.1007/s11294-021-09822-7</w:t>
      </w:r>
    </w:p>
    <w:p w14:paraId="3EC7C9B6"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Oyeleke, O. J., &amp; </w:t>
      </w:r>
      <w:proofErr w:type="spellStart"/>
      <w:r w:rsidRPr="000D77D9">
        <w:rPr>
          <w:rFonts w:ascii="Times New Roman" w:hAnsi="Times New Roman"/>
          <w:sz w:val="24"/>
          <w:szCs w:val="24"/>
        </w:rPr>
        <w:t>Orisadare</w:t>
      </w:r>
      <w:proofErr w:type="spellEnd"/>
      <w:r w:rsidRPr="000D77D9">
        <w:rPr>
          <w:rFonts w:ascii="Times New Roman" w:hAnsi="Times New Roman"/>
          <w:sz w:val="24"/>
          <w:szCs w:val="24"/>
        </w:rPr>
        <w:t xml:space="preserve">, M. A. (2018). Relative importance of public debts and money growth on inflation in Nigeria. </w:t>
      </w:r>
      <w:r w:rsidRPr="000D77D9">
        <w:rPr>
          <w:rFonts w:ascii="Times New Roman" w:hAnsi="Times New Roman"/>
          <w:i/>
          <w:iCs/>
          <w:sz w:val="24"/>
          <w:szCs w:val="24"/>
        </w:rPr>
        <w:t>International Journal of Economics and Finance, 10</w:t>
      </w:r>
      <w:r w:rsidRPr="000D77D9">
        <w:rPr>
          <w:rFonts w:ascii="Times New Roman" w:hAnsi="Times New Roman"/>
          <w:sz w:val="24"/>
          <w:szCs w:val="24"/>
        </w:rPr>
        <w:t>(7), 99–107. https://doi.org/10.5539/ijef.v10n7p99</w:t>
      </w:r>
    </w:p>
    <w:p w14:paraId="119232E5" w14:textId="7674A4A6"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Ozurumba</w:t>
      </w:r>
      <w:proofErr w:type="spellEnd"/>
      <w:r w:rsidRPr="000D77D9">
        <w:rPr>
          <w:rFonts w:ascii="Times New Roman" w:hAnsi="Times New Roman"/>
          <w:sz w:val="24"/>
          <w:szCs w:val="24"/>
        </w:rPr>
        <w:t xml:space="preserve">, B. A. (2012). Fiscal deficits and inflation in Nigeria: The causality approach. </w:t>
      </w:r>
      <w:r w:rsidRPr="000D77D9">
        <w:rPr>
          <w:rFonts w:ascii="Times New Roman" w:hAnsi="Times New Roman"/>
          <w:i/>
          <w:iCs/>
          <w:sz w:val="24"/>
          <w:szCs w:val="24"/>
        </w:rPr>
        <w:t>International Journal of Scientific &amp; Technology Research, 1</w:t>
      </w:r>
      <w:r w:rsidRPr="000D77D9">
        <w:rPr>
          <w:rFonts w:ascii="Times New Roman" w:hAnsi="Times New Roman"/>
          <w:sz w:val="24"/>
          <w:szCs w:val="24"/>
        </w:rPr>
        <w:t xml:space="preserve">(8), 6–12. </w:t>
      </w:r>
    </w:p>
    <w:p w14:paraId="30B7449F"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Panizza, U. (2008). </w:t>
      </w:r>
      <w:r w:rsidRPr="000D77D9">
        <w:rPr>
          <w:rFonts w:ascii="Times New Roman" w:hAnsi="Times New Roman"/>
          <w:i/>
          <w:iCs/>
          <w:sz w:val="24"/>
          <w:szCs w:val="24"/>
        </w:rPr>
        <w:t>Domestic and external public debt in developing countries</w:t>
      </w:r>
      <w:r w:rsidRPr="000D77D9">
        <w:rPr>
          <w:rFonts w:ascii="Times New Roman" w:hAnsi="Times New Roman"/>
          <w:sz w:val="24"/>
          <w:szCs w:val="24"/>
        </w:rPr>
        <w:t xml:space="preserve"> (UNCTAD Discussion Paper No. 188). United Nations Conference on Trade and Development. </w:t>
      </w:r>
      <w:hyperlink r:id="rId52" w:tgtFrame="_new" w:history="1">
        <w:r w:rsidRPr="000D77D9">
          <w:rPr>
            <w:rFonts w:ascii="Times New Roman" w:hAnsi="Times New Roman"/>
            <w:color w:val="0000FF"/>
            <w:sz w:val="24"/>
            <w:szCs w:val="24"/>
            <w:u w:val="single"/>
          </w:rPr>
          <w:t>https://unctad.org/system/files/official-document/osgdp20083_en.pdf</w:t>
        </w:r>
      </w:hyperlink>
    </w:p>
    <w:p w14:paraId="01D061E8"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t>Pesaran</w:t>
      </w:r>
      <w:proofErr w:type="spellEnd"/>
      <w:r w:rsidRPr="000D77D9">
        <w:rPr>
          <w:rFonts w:ascii="Times New Roman" w:hAnsi="Times New Roman"/>
          <w:sz w:val="24"/>
          <w:szCs w:val="24"/>
        </w:rPr>
        <w:t xml:space="preserve">, M. H. (2015). </w:t>
      </w:r>
      <w:r w:rsidRPr="000D77D9">
        <w:rPr>
          <w:rFonts w:ascii="Times New Roman" w:hAnsi="Times New Roman"/>
          <w:i/>
          <w:iCs/>
          <w:sz w:val="24"/>
          <w:szCs w:val="24"/>
        </w:rPr>
        <w:t>Time series and panel data econometrics</w:t>
      </w:r>
      <w:r w:rsidRPr="000D77D9">
        <w:rPr>
          <w:rFonts w:ascii="Times New Roman" w:hAnsi="Times New Roman"/>
          <w:sz w:val="24"/>
          <w:szCs w:val="24"/>
        </w:rPr>
        <w:t xml:space="preserve">. Oxford University Press. </w:t>
      </w:r>
      <w:hyperlink r:id="rId53" w:tgtFrame="_new" w:history="1">
        <w:r w:rsidRPr="000D77D9">
          <w:rPr>
            <w:rFonts w:ascii="Times New Roman" w:hAnsi="Times New Roman"/>
            <w:color w:val="0000FF"/>
            <w:sz w:val="24"/>
            <w:szCs w:val="24"/>
            <w:u w:val="single"/>
          </w:rPr>
          <w:t>https://doi.org/10.1093/acprof:oso/9780198736912.001.0001</w:t>
        </w:r>
      </w:hyperlink>
    </w:p>
    <w:p w14:paraId="54A5F0FA" w14:textId="77777777" w:rsidR="000D77D9" w:rsidRPr="000D77D9" w:rsidRDefault="000D77D9" w:rsidP="000D77D9">
      <w:pPr>
        <w:spacing w:before="100" w:beforeAutospacing="1" w:after="100" w:afterAutospacing="1"/>
        <w:rPr>
          <w:rFonts w:ascii="Times New Roman" w:hAnsi="Times New Roman"/>
          <w:sz w:val="24"/>
          <w:szCs w:val="24"/>
        </w:rPr>
      </w:pPr>
      <w:proofErr w:type="spellStart"/>
      <w:r w:rsidRPr="000D77D9">
        <w:rPr>
          <w:rFonts w:ascii="Times New Roman" w:hAnsi="Times New Roman"/>
          <w:sz w:val="24"/>
          <w:szCs w:val="24"/>
        </w:rPr>
        <w:lastRenderedPageBreak/>
        <w:t>Pesaran</w:t>
      </w:r>
      <w:proofErr w:type="spellEnd"/>
      <w:r w:rsidRPr="000D77D9">
        <w:rPr>
          <w:rFonts w:ascii="Times New Roman" w:hAnsi="Times New Roman"/>
          <w:sz w:val="24"/>
          <w:szCs w:val="24"/>
        </w:rPr>
        <w:t xml:space="preserve">, M. H., Shin, Y., &amp; Smith, R. J. (2001). Bounds testing approaches to the analysis of level relationships. </w:t>
      </w:r>
      <w:r w:rsidRPr="000D77D9">
        <w:rPr>
          <w:rFonts w:ascii="Times New Roman" w:hAnsi="Times New Roman"/>
          <w:i/>
          <w:iCs/>
          <w:sz w:val="24"/>
          <w:szCs w:val="24"/>
        </w:rPr>
        <w:t>Journal of Applied Econometrics, 16</w:t>
      </w:r>
      <w:r w:rsidRPr="000D77D9">
        <w:rPr>
          <w:rFonts w:ascii="Times New Roman" w:hAnsi="Times New Roman"/>
          <w:sz w:val="24"/>
          <w:szCs w:val="24"/>
        </w:rPr>
        <w:t xml:space="preserve">(3), 289–326. </w:t>
      </w:r>
      <w:hyperlink r:id="rId54" w:tgtFrame="_new" w:history="1">
        <w:r w:rsidRPr="000D77D9">
          <w:rPr>
            <w:rFonts w:ascii="Times New Roman" w:hAnsi="Times New Roman"/>
            <w:color w:val="0000FF"/>
            <w:sz w:val="24"/>
            <w:szCs w:val="24"/>
            <w:u w:val="single"/>
          </w:rPr>
          <w:t>https://doi.org/10.1002/jae.616</w:t>
        </w:r>
      </w:hyperlink>
    </w:p>
    <w:p w14:paraId="7D1A7AD0"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Reinhart, C. M., &amp; Rogoff, K. S. (2010). Growth in a time of debt. </w:t>
      </w:r>
      <w:r w:rsidRPr="000D77D9">
        <w:rPr>
          <w:rFonts w:ascii="Times New Roman" w:hAnsi="Times New Roman"/>
          <w:i/>
          <w:iCs/>
          <w:sz w:val="24"/>
          <w:szCs w:val="24"/>
        </w:rPr>
        <w:t>American Economic Review, 100</w:t>
      </w:r>
      <w:r w:rsidRPr="000D77D9">
        <w:rPr>
          <w:rFonts w:ascii="Times New Roman" w:hAnsi="Times New Roman"/>
          <w:sz w:val="24"/>
          <w:szCs w:val="24"/>
        </w:rPr>
        <w:t xml:space="preserve">(2), 573–578. </w:t>
      </w:r>
      <w:hyperlink r:id="rId55" w:tgtFrame="_new" w:history="1">
        <w:r w:rsidRPr="000D77D9">
          <w:rPr>
            <w:rFonts w:ascii="Times New Roman" w:hAnsi="Times New Roman"/>
            <w:color w:val="0000FF"/>
            <w:sz w:val="24"/>
            <w:szCs w:val="24"/>
            <w:u w:val="single"/>
          </w:rPr>
          <w:t>https://doi.org/10.1257/aer.100.2.573</w:t>
        </w:r>
      </w:hyperlink>
    </w:p>
    <w:p w14:paraId="7BE66F27"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Sanusi, K. A. (2020). Fiscal dominance and inflation: Evidence from Nigerian and South African’s experiences. </w:t>
      </w:r>
      <w:r w:rsidRPr="000D77D9">
        <w:rPr>
          <w:rFonts w:ascii="Times New Roman" w:hAnsi="Times New Roman"/>
          <w:i/>
          <w:iCs/>
          <w:sz w:val="24"/>
          <w:szCs w:val="24"/>
        </w:rPr>
        <w:t>Cogent Economics &amp; Finance, 8</w:t>
      </w:r>
      <w:r w:rsidRPr="000D77D9">
        <w:rPr>
          <w:rFonts w:ascii="Times New Roman" w:hAnsi="Times New Roman"/>
          <w:sz w:val="24"/>
          <w:szCs w:val="24"/>
        </w:rPr>
        <w:t xml:space="preserve">(1), Article 1814508. </w:t>
      </w:r>
      <w:hyperlink r:id="rId56" w:tgtFrame="_new" w:history="1">
        <w:r w:rsidRPr="000D77D9">
          <w:rPr>
            <w:rFonts w:ascii="Times New Roman" w:hAnsi="Times New Roman"/>
            <w:color w:val="0000FF"/>
            <w:sz w:val="24"/>
            <w:szCs w:val="24"/>
            <w:u w:val="single"/>
          </w:rPr>
          <w:t>https://doi.org/10.1080/23322039.2020.1814508</w:t>
        </w:r>
      </w:hyperlink>
    </w:p>
    <w:p w14:paraId="52431318"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Sargent, T. J., &amp; Wallace, N. (1981). Some unpleasant monetarist arithmetic. </w:t>
      </w:r>
      <w:r w:rsidRPr="000D77D9">
        <w:rPr>
          <w:rFonts w:ascii="Times New Roman" w:hAnsi="Times New Roman"/>
          <w:i/>
          <w:iCs/>
          <w:sz w:val="24"/>
          <w:szCs w:val="24"/>
        </w:rPr>
        <w:t>Federal Reserve Bank of Minneapolis Quarterly Review, 5</w:t>
      </w:r>
      <w:r w:rsidRPr="000D77D9">
        <w:rPr>
          <w:rFonts w:ascii="Times New Roman" w:hAnsi="Times New Roman"/>
          <w:sz w:val="24"/>
          <w:szCs w:val="24"/>
        </w:rPr>
        <w:t xml:space="preserve">(3), 1–17. </w:t>
      </w:r>
      <w:hyperlink r:id="rId57" w:tgtFrame="_new" w:history="1">
        <w:r w:rsidRPr="000D77D9">
          <w:rPr>
            <w:rFonts w:ascii="Times New Roman" w:hAnsi="Times New Roman"/>
            <w:color w:val="0000FF"/>
            <w:sz w:val="24"/>
            <w:szCs w:val="24"/>
            <w:u w:val="single"/>
          </w:rPr>
          <w:t>https://doi.org/10.21034/qr.531</w:t>
        </w:r>
      </w:hyperlink>
    </w:p>
    <w:p w14:paraId="72405728"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Shah, S. S. A., Khan, N., &amp; Sun, J. S. (2024). Is public debt inflationary in developing countries? New empirical insights from a panel data analysis. </w:t>
      </w:r>
      <w:r w:rsidRPr="000D77D9">
        <w:rPr>
          <w:rFonts w:ascii="Times New Roman" w:hAnsi="Times New Roman"/>
          <w:i/>
          <w:iCs/>
          <w:sz w:val="24"/>
          <w:szCs w:val="24"/>
        </w:rPr>
        <w:t>Studies in Economics and Econometrics, 48</w:t>
      </w:r>
      <w:r w:rsidRPr="000D77D9">
        <w:rPr>
          <w:rFonts w:ascii="Times New Roman" w:hAnsi="Times New Roman"/>
          <w:sz w:val="24"/>
          <w:szCs w:val="24"/>
        </w:rPr>
        <w:t>(3), 205–220. https://doi.org/10.1080/03796205.2024.2343709</w:t>
      </w:r>
    </w:p>
    <w:p w14:paraId="295C98C3"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Shuaibu, M., Muhammad, H. M., Abdullahi, S. I., &amp; </w:t>
      </w:r>
      <w:proofErr w:type="spellStart"/>
      <w:r w:rsidRPr="000D77D9">
        <w:rPr>
          <w:rFonts w:ascii="Times New Roman" w:hAnsi="Times New Roman"/>
          <w:sz w:val="24"/>
          <w:szCs w:val="24"/>
        </w:rPr>
        <w:t>Gwazawa</w:t>
      </w:r>
      <w:proofErr w:type="spellEnd"/>
      <w:r w:rsidRPr="000D77D9">
        <w:rPr>
          <w:rFonts w:ascii="Times New Roman" w:hAnsi="Times New Roman"/>
          <w:sz w:val="24"/>
          <w:szCs w:val="24"/>
        </w:rPr>
        <w:t xml:space="preserve">, U. G. (2021). Impact of public debt on inflation and unemployment in Nigeria: An ARDL vector error correction model. </w:t>
      </w:r>
      <w:r w:rsidRPr="000D77D9">
        <w:rPr>
          <w:rFonts w:ascii="Times New Roman" w:hAnsi="Times New Roman"/>
          <w:i/>
          <w:iCs/>
          <w:sz w:val="24"/>
          <w:szCs w:val="24"/>
        </w:rPr>
        <w:t>Noble International Journal of Economics and Financial Research, 6</w:t>
      </w:r>
      <w:r w:rsidRPr="000D77D9">
        <w:rPr>
          <w:rFonts w:ascii="Times New Roman" w:hAnsi="Times New Roman"/>
          <w:sz w:val="24"/>
          <w:szCs w:val="24"/>
        </w:rPr>
        <w:t>(5), 91–98. https://www.napublisher.org/pdf-files/NIJEFR-6(5)-91-98.pdf</w:t>
      </w:r>
    </w:p>
    <w:p w14:paraId="605D34CC"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Stella, P. (2021). Interpreting modern monetary reality. </w:t>
      </w:r>
      <w:r w:rsidRPr="000D77D9">
        <w:rPr>
          <w:rFonts w:ascii="Times New Roman" w:hAnsi="Times New Roman"/>
          <w:i/>
          <w:iCs/>
          <w:sz w:val="24"/>
          <w:szCs w:val="24"/>
        </w:rPr>
        <w:t>Journal of Applied Corporate Finance, 33</w:t>
      </w:r>
      <w:r w:rsidRPr="000D77D9">
        <w:rPr>
          <w:rFonts w:ascii="Times New Roman" w:hAnsi="Times New Roman"/>
          <w:sz w:val="24"/>
          <w:szCs w:val="24"/>
        </w:rPr>
        <w:t>(4), 8–23. https://doi.org/10.1111/jacf.12475</w:t>
      </w:r>
    </w:p>
    <w:p w14:paraId="72BF6CA5"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Sumba, J. O., </w:t>
      </w:r>
      <w:proofErr w:type="spellStart"/>
      <w:r w:rsidRPr="000D77D9">
        <w:rPr>
          <w:rFonts w:ascii="Times New Roman" w:hAnsi="Times New Roman"/>
          <w:sz w:val="24"/>
          <w:szCs w:val="24"/>
        </w:rPr>
        <w:t>Ochenge</w:t>
      </w:r>
      <w:proofErr w:type="spellEnd"/>
      <w:r w:rsidRPr="000D77D9">
        <w:rPr>
          <w:rFonts w:ascii="Times New Roman" w:hAnsi="Times New Roman"/>
          <w:sz w:val="24"/>
          <w:szCs w:val="24"/>
        </w:rPr>
        <w:t xml:space="preserve">, R., Mugambi, P., &amp; Musafiri, C. M. (2024). Public debt and macroeconomic stability among sub-Saharan African countries: A system GMM test approach. </w:t>
      </w:r>
      <w:r w:rsidRPr="000D77D9">
        <w:rPr>
          <w:rFonts w:ascii="Times New Roman" w:hAnsi="Times New Roman"/>
          <w:i/>
          <w:iCs/>
          <w:sz w:val="24"/>
          <w:szCs w:val="24"/>
        </w:rPr>
        <w:t>Cogent Economics &amp; Finance, 12</w:t>
      </w:r>
      <w:r w:rsidRPr="000D77D9">
        <w:rPr>
          <w:rFonts w:ascii="Times New Roman" w:hAnsi="Times New Roman"/>
          <w:sz w:val="24"/>
          <w:szCs w:val="24"/>
        </w:rPr>
        <w:t xml:space="preserve">(1), Article 2326451. </w:t>
      </w:r>
      <w:hyperlink r:id="rId58" w:tgtFrame="_new" w:history="1">
        <w:r w:rsidRPr="000D77D9">
          <w:rPr>
            <w:rFonts w:ascii="Times New Roman" w:hAnsi="Times New Roman"/>
            <w:color w:val="0000FF"/>
            <w:sz w:val="24"/>
            <w:szCs w:val="24"/>
            <w:u w:val="single"/>
          </w:rPr>
          <w:t>https://doi.org/10.1080/23322039.2024.2326451</w:t>
        </w:r>
      </w:hyperlink>
    </w:p>
    <w:p w14:paraId="34B7DD6B"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Sutherland, A. (1997). Fiscal crises and aggregate demand: Can high public debt reverse the effects of fiscal policy? </w:t>
      </w:r>
      <w:r w:rsidRPr="000D77D9">
        <w:rPr>
          <w:rFonts w:ascii="Times New Roman" w:hAnsi="Times New Roman"/>
          <w:i/>
          <w:iCs/>
          <w:sz w:val="24"/>
          <w:szCs w:val="24"/>
        </w:rPr>
        <w:t>Journal of Public Economics, 65</w:t>
      </w:r>
      <w:r w:rsidRPr="000D77D9">
        <w:rPr>
          <w:rFonts w:ascii="Times New Roman" w:hAnsi="Times New Roman"/>
          <w:sz w:val="24"/>
          <w:szCs w:val="24"/>
        </w:rPr>
        <w:t>(2), 147–162. https://doi.org/10.1016/S0047-2727(97)00027-3</w:t>
      </w:r>
    </w:p>
    <w:p w14:paraId="0CB625DF"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Udoh, I. E., &amp; </w:t>
      </w:r>
      <w:proofErr w:type="spellStart"/>
      <w:r w:rsidRPr="000D77D9">
        <w:rPr>
          <w:rFonts w:ascii="Times New Roman" w:hAnsi="Times New Roman"/>
          <w:sz w:val="24"/>
          <w:szCs w:val="24"/>
        </w:rPr>
        <w:t>Kokoette</w:t>
      </w:r>
      <w:proofErr w:type="spellEnd"/>
      <w:r w:rsidRPr="000D77D9">
        <w:rPr>
          <w:rFonts w:ascii="Times New Roman" w:hAnsi="Times New Roman"/>
          <w:sz w:val="24"/>
          <w:szCs w:val="24"/>
        </w:rPr>
        <w:t xml:space="preserve">, I. U. (2023). Fiscal policy and inflation in Nigeria. </w:t>
      </w:r>
      <w:r w:rsidRPr="000D77D9">
        <w:rPr>
          <w:rFonts w:ascii="Times New Roman" w:hAnsi="Times New Roman"/>
          <w:i/>
          <w:iCs/>
          <w:sz w:val="24"/>
          <w:szCs w:val="24"/>
        </w:rPr>
        <w:t>Asian Journal of Economics, Business and Accounting, 23</w:t>
      </w:r>
      <w:r w:rsidRPr="000D77D9">
        <w:rPr>
          <w:rFonts w:ascii="Times New Roman" w:hAnsi="Times New Roman"/>
          <w:sz w:val="24"/>
          <w:szCs w:val="24"/>
        </w:rPr>
        <w:t xml:space="preserve">(22), 96–108. </w:t>
      </w:r>
      <w:hyperlink r:id="rId59" w:tgtFrame="_new" w:history="1">
        <w:r w:rsidRPr="000D77D9">
          <w:rPr>
            <w:rFonts w:ascii="Times New Roman" w:hAnsi="Times New Roman"/>
            <w:color w:val="0000FF"/>
            <w:sz w:val="24"/>
            <w:szCs w:val="24"/>
            <w:u w:val="single"/>
          </w:rPr>
          <w:t>https://doi.org/10.9734/ajeba/2023/v23i221139</w:t>
        </w:r>
      </w:hyperlink>
    </w:p>
    <w:p w14:paraId="42D780E0" w14:textId="77777777" w:rsidR="000D77D9" w:rsidRPr="000D77D9" w:rsidRDefault="000D77D9" w:rsidP="000D77D9">
      <w:pPr>
        <w:spacing w:before="100" w:beforeAutospacing="1" w:after="100" w:afterAutospacing="1"/>
        <w:rPr>
          <w:rFonts w:ascii="Times New Roman" w:hAnsi="Times New Roman"/>
          <w:sz w:val="24"/>
          <w:szCs w:val="24"/>
        </w:rPr>
      </w:pPr>
      <w:r w:rsidRPr="000D77D9">
        <w:rPr>
          <w:rFonts w:ascii="Times New Roman" w:hAnsi="Times New Roman"/>
          <w:sz w:val="24"/>
          <w:szCs w:val="24"/>
        </w:rPr>
        <w:t xml:space="preserve">Uribe, M. (2016). </w:t>
      </w:r>
      <w:r w:rsidRPr="000D77D9">
        <w:rPr>
          <w:rFonts w:ascii="Times New Roman" w:hAnsi="Times New Roman"/>
          <w:i/>
          <w:iCs/>
          <w:sz w:val="24"/>
          <w:szCs w:val="24"/>
        </w:rPr>
        <w:t>Is the monetarist arithmetic unpleasant?</w:t>
      </w:r>
      <w:r w:rsidRPr="000D77D9">
        <w:rPr>
          <w:rFonts w:ascii="Times New Roman" w:hAnsi="Times New Roman"/>
          <w:sz w:val="24"/>
          <w:szCs w:val="24"/>
        </w:rPr>
        <w:t xml:space="preserve"> (NBER Working Paper No. 22866). National Bureau of Economic Research. https://doi.org/10.3386/w22866</w:t>
      </w:r>
    </w:p>
    <w:p w14:paraId="7CED26A8" w14:textId="77777777" w:rsidR="00326021" w:rsidRPr="003866C4" w:rsidRDefault="00326021" w:rsidP="00326021"/>
    <w:p w14:paraId="30F0FA56" w14:textId="77777777" w:rsidR="00B01FCD" w:rsidRPr="00FB3A86" w:rsidRDefault="00B01FCD" w:rsidP="00326021">
      <w:pPr>
        <w:pStyle w:val="Appendix"/>
        <w:spacing w:after="0"/>
        <w:jc w:val="both"/>
        <w:rPr>
          <w:rFonts w:ascii="Arial" w:hAnsi="Arial" w:cs="Arial"/>
          <w:b w:val="0"/>
        </w:rPr>
      </w:pPr>
    </w:p>
    <w:sectPr w:rsidR="00B01FCD" w:rsidRPr="00FB3A86" w:rsidSect="009E2C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422D" w14:textId="77777777" w:rsidR="00ED3D95" w:rsidRDefault="00ED3D95" w:rsidP="00C37E61">
      <w:r>
        <w:separator/>
      </w:r>
    </w:p>
  </w:endnote>
  <w:endnote w:type="continuationSeparator" w:id="0">
    <w:p w14:paraId="52D13CDF" w14:textId="77777777" w:rsidR="00ED3D95" w:rsidRDefault="00ED3D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AEFB" w14:textId="77777777" w:rsidR="009E048A" w:rsidRDefault="009E048A">
    <w:pPr>
      <w:pStyle w:val="Footer"/>
      <w:rPr>
        <w:rFonts w:ascii="Arial" w:hAnsi="Arial" w:cs="Arial"/>
        <w:sz w:val="16"/>
      </w:rPr>
    </w:pPr>
  </w:p>
  <w:p w14:paraId="5E9BC2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90EB17" w14:textId="77777777" w:rsidR="009E048A" w:rsidRDefault="009E048A">
    <w:pPr>
      <w:pStyle w:val="Footer"/>
      <w:rPr>
        <w:rFonts w:ascii="Arial" w:hAnsi="Arial" w:cs="Arial"/>
        <w:sz w:val="16"/>
      </w:rPr>
    </w:pPr>
  </w:p>
  <w:p w14:paraId="0A979CA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D2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D1D6" w14:textId="77777777" w:rsidR="00ED3D95" w:rsidRDefault="00ED3D95" w:rsidP="00C37E61">
      <w:r>
        <w:separator/>
      </w:r>
    </w:p>
  </w:footnote>
  <w:footnote w:type="continuationSeparator" w:id="0">
    <w:p w14:paraId="30127142" w14:textId="77777777" w:rsidR="00ED3D95" w:rsidRDefault="00ED3D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4253" w14:textId="77777777" w:rsidR="00AD2E6C" w:rsidRDefault="00000000">
    <w:pPr>
      <w:pStyle w:val="Header"/>
    </w:pPr>
    <w:r>
      <w:rPr>
        <w:noProof/>
      </w:rPr>
      <w:pict w14:anchorId="7AD11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4463" w14:textId="77777777" w:rsidR="00AD2E6C" w:rsidRDefault="00000000">
    <w:pPr>
      <w:pStyle w:val="Header"/>
    </w:pPr>
    <w:r>
      <w:rPr>
        <w:noProof/>
      </w:rPr>
      <w:pict w14:anchorId="2F619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AFAB" w14:textId="77777777" w:rsidR="00296529" w:rsidRPr="00296529" w:rsidRDefault="00000000" w:rsidP="00296529">
    <w:pPr>
      <w:ind w:left="2160"/>
      <w:jc w:val="center"/>
      <w:rPr>
        <w:rFonts w:ascii="Times New Roman" w:eastAsia="Calibri" w:hAnsi="Times New Roman"/>
        <w:i/>
        <w:sz w:val="18"/>
        <w:szCs w:val="22"/>
      </w:rPr>
    </w:pPr>
    <w:r>
      <w:rPr>
        <w:noProof/>
      </w:rPr>
      <w:pict w14:anchorId="72BA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8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5830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4E4D7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FF3B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CCC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3E51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BD04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A258" w14:textId="77777777" w:rsidR="00AD2E6C" w:rsidRDefault="00000000">
    <w:pPr>
      <w:pStyle w:val="Header"/>
    </w:pPr>
    <w:r>
      <w:rPr>
        <w:noProof/>
      </w:rPr>
      <w:pict w14:anchorId="25644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DACD" w14:textId="77777777" w:rsidR="00AD2E6C" w:rsidRDefault="00000000">
    <w:pPr>
      <w:pStyle w:val="Header"/>
    </w:pPr>
    <w:r>
      <w:rPr>
        <w:noProof/>
      </w:rPr>
      <w:pict w14:anchorId="7A3C1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C771" w14:textId="77777777" w:rsidR="00AD2E6C" w:rsidRDefault="00000000">
    <w:pPr>
      <w:pStyle w:val="Header"/>
    </w:pPr>
    <w:r>
      <w:rPr>
        <w:noProof/>
      </w:rPr>
      <w:pict w14:anchorId="228E3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1119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613F78"/>
    <w:multiLevelType w:val="hybridMultilevel"/>
    <w:tmpl w:val="AF4A5DB0"/>
    <w:lvl w:ilvl="0" w:tplc="D0D8A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A29A1"/>
    <w:multiLevelType w:val="hybridMultilevel"/>
    <w:tmpl w:val="BF2C8C3E"/>
    <w:lvl w:ilvl="0" w:tplc="62CC88D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3A0335"/>
    <w:multiLevelType w:val="hybridMultilevel"/>
    <w:tmpl w:val="24763838"/>
    <w:lvl w:ilvl="0" w:tplc="E4D2E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50CE4"/>
    <w:multiLevelType w:val="hybridMultilevel"/>
    <w:tmpl w:val="86CA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5661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269157">
    <w:abstractNumId w:val="16"/>
  </w:num>
  <w:num w:numId="3" w16cid:durableId="1436555920">
    <w:abstractNumId w:val="27"/>
  </w:num>
  <w:num w:numId="4" w16cid:durableId="20487999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78103202">
    <w:abstractNumId w:val="7"/>
  </w:num>
  <w:num w:numId="6" w16cid:durableId="614749854">
    <w:abstractNumId w:val="6"/>
  </w:num>
  <w:num w:numId="7" w16cid:durableId="27993972">
    <w:abstractNumId w:val="1"/>
  </w:num>
  <w:num w:numId="8" w16cid:durableId="205989544">
    <w:abstractNumId w:val="13"/>
  </w:num>
  <w:num w:numId="9" w16cid:durableId="1508327126">
    <w:abstractNumId w:val="29"/>
  </w:num>
  <w:num w:numId="10" w16cid:durableId="1558930799">
    <w:abstractNumId w:val="2"/>
  </w:num>
  <w:num w:numId="11" w16cid:durableId="1159538700">
    <w:abstractNumId w:val="21"/>
  </w:num>
  <w:num w:numId="12" w16cid:durableId="814637854">
    <w:abstractNumId w:val="3"/>
  </w:num>
  <w:num w:numId="13" w16cid:durableId="1485927102">
    <w:abstractNumId w:val="18"/>
  </w:num>
  <w:num w:numId="14" w16cid:durableId="1601644864">
    <w:abstractNumId w:val="8"/>
  </w:num>
  <w:num w:numId="15" w16cid:durableId="940989562">
    <w:abstractNumId w:val="25"/>
  </w:num>
  <w:num w:numId="16" w16cid:durableId="1187132384">
    <w:abstractNumId w:val="5"/>
  </w:num>
  <w:num w:numId="17" w16cid:durableId="1808545600">
    <w:abstractNumId w:val="26"/>
  </w:num>
  <w:num w:numId="18" w16cid:durableId="1404717910">
    <w:abstractNumId w:val="15"/>
  </w:num>
  <w:num w:numId="19" w16cid:durableId="1550993310">
    <w:abstractNumId w:val="32"/>
  </w:num>
  <w:num w:numId="20" w16cid:durableId="2010283620">
    <w:abstractNumId w:val="12"/>
  </w:num>
  <w:num w:numId="21" w16cid:durableId="1129124061">
    <w:abstractNumId w:val="10"/>
  </w:num>
  <w:num w:numId="22" w16cid:durableId="337853311">
    <w:abstractNumId w:val="14"/>
  </w:num>
  <w:num w:numId="23" w16cid:durableId="1633975929">
    <w:abstractNumId w:val="22"/>
  </w:num>
  <w:num w:numId="24" w16cid:durableId="323701393">
    <w:abstractNumId w:val="30"/>
  </w:num>
  <w:num w:numId="25" w16cid:durableId="368839869">
    <w:abstractNumId w:val="4"/>
  </w:num>
  <w:num w:numId="26" w16cid:durableId="470444836">
    <w:abstractNumId w:val="17"/>
  </w:num>
  <w:num w:numId="27" w16cid:durableId="938483259">
    <w:abstractNumId w:val="23"/>
  </w:num>
  <w:num w:numId="28" w16cid:durableId="1422530785">
    <w:abstractNumId w:val="31"/>
  </w:num>
  <w:num w:numId="29" w16cid:durableId="457722173">
    <w:abstractNumId w:val="28"/>
  </w:num>
  <w:num w:numId="30" w16cid:durableId="372116278">
    <w:abstractNumId w:val="11"/>
  </w:num>
  <w:num w:numId="31" w16cid:durableId="1787653753">
    <w:abstractNumId w:val="20"/>
  </w:num>
  <w:num w:numId="32" w16cid:durableId="10448923">
    <w:abstractNumId w:val="9"/>
  </w:num>
  <w:num w:numId="33" w16cid:durableId="1823693813">
    <w:abstractNumId w:val="19"/>
  </w:num>
  <w:num w:numId="34" w16cid:durableId="7157389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Nzc0sDS1tDA2MTZW0lEKTi0uzszPAykwqgUAkOJGKSwAAAA="/>
  </w:docVars>
  <w:rsids>
    <w:rsidRoot w:val="00AA6219"/>
    <w:rsid w:val="00000F8F"/>
    <w:rsid w:val="00030174"/>
    <w:rsid w:val="0004579C"/>
    <w:rsid w:val="000A47FA"/>
    <w:rsid w:val="000A65D3"/>
    <w:rsid w:val="000B1E33"/>
    <w:rsid w:val="000B3598"/>
    <w:rsid w:val="000D689F"/>
    <w:rsid w:val="000D77D9"/>
    <w:rsid w:val="000E7B7B"/>
    <w:rsid w:val="000E7D62"/>
    <w:rsid w:val="00103357"/>
    <w:rsid w:val="00123C9F"/>
    <w:rsid w:val="00126190"/>
    <w:rsid w:val="00130F17"/>
    <w:rsid w:val="001320BF"/>
    <w:rsid w:val="00163BC4"/>
    <w:rsid w:val="00191062"/>
    <w:rsid w:val="00192B72"/>
    <w:rsid w:val="001A061B"/>
    <w:rsid w:val="001A29D8"/>
    <w:rsid w:val="001A5CAA"/>
    <w:rsid w:val="001B0427"/>
    <w:rsid w:val="001D3A51"/>
    <w:rsid w:val="001D6B91"/>
    <w:rsid w:val="001E10D2"/>
    <w:rsid w:val="001E25B4"/>
    <w:rsid w:val="001E44FE"/>
    <w:rsid w:val="00200595"/>
    <w:rsid w:val="00204835"/>
    <w:rsid w:val="00225636"/>
    <w:rsid w:val="00231920"/>
    <w:rsid w:val="0023195C"/>
    <w:rsid w:val="00236ADE"/>
    <w:rsid w:val="0024282C"/>
    <w:rsid w:val="002460DC"/>
    <w:rsid w:val="00250985"/>
    <w:rsid w:val="002556F6"/>
    <w:rsid w:val="00283105"/>
    <w:rsid w:val="00284C4C"/>
    <w:rsid w:val="00287E68"/>
    <w:rsid w:val="00296529"/>
    <w:rsid w:val="002B27FB"/>
    <w:rsid w:val="002B685A"/>
    <w:rsid w:val="002C57D2"/>
    <w:rsid w:val="002E0D56"/>
    <w:rsid w:val="00315186"/>
    <w:rsid w:val="00317537"/>
    <w:rsid w:val="00326021"/>
    <w:rsid w:val="0033343E"/>
    <w:rsid w:val="003512C2"/>
    <w:rsid w:val="00362554"/>
    <w:rsid w:val="00371FB6"/>
    <w:rsid w:val="003763C1"/>
    <w:rsid w:val="00376BBE"/>
    <w:rsid w:val="00385CAF"/>
    <w:rsid w:val="0039224F"/>
    <w:rsid w:val="003A43A4"/>
    <w:rsid w:val="003A7E18"/>
    <w:rsid w:val="003C4C86"/>
    <w:rsid w:val="003C6258"/>
    <w:rsid w:val="003E2904"/>
    <w:rsid w:val="00401236"/>
    <w:rsid w:val="00401927"/>
    <w:rsid w:val="0041027F"/>
    <w:rsid w:val="00412475"/>
    <w:rsid w:val="00423789"/>
    <w:rsid w:val="00440F43"/>
    <w:rsid w:val="00441B6F"/>
    <w:rsid w:val="00446221"/>
    <w:rsid w:val="00450E62"/>
    <w:rsid w:val="004539DB"/>
    <w:rsid w:val="004550F4"/>
    <w:rsid w:val="00471A80"/>
    <w:rsid w:val="004B61C6"/>
    <w:rsid w:val="004D305E"/>
    <w:rsid w:val="004D4277"/>
    <w:rsid w:val="004E5289"/>
    <w:rsid w:val="00502516"/>
    <w:rsid w:val="00505F06"/>
    <w:rsid w:val="00506828"/>
    <w:rsid w:val="0053056E"/>
    <w:rsid w:val="00554FDA"/>
    <w:rsid w:val="00585081"/>
    <w:rsid w:val="00597C7A"/>
    <w:rsid w:val="005C3C89"/>
    <w:rsid w:val="005C784C"/>
    <w:rsid w:val="005D17F6"/>
    <w:rsid w:val="005E5539"/>
    <w:rsid w:val="005F257F"/>
    <w:rsid w:val="00602BF5"/>
    <w:rsid w:val="00615351"/>
    <w:rsid w:val="00617FDD"/>
    <w:rsid w:val="00633614"/>
    <w:rsid w:val="00633F68"/>
    <w:rsid w:val="00636EB2"/>
    <w:rsid w:val="006375B8"/>
    <w:rsid w:val="0066510A"/>
    <w:rsid w:val="00673F9F"/>
    <w:rsid w:val="0068000A"/>
    <w:rsid w:val="00686953"/>
    <w:rsid w:val="00687DEA"/>
    <w:rsid w:val="00687E67"/>
    <w:rsid w:val="006967F7"/>
    <w:rsid w:val="006A250C"/>
    <w:rsid w:val="006B07DA"/>
    <w:rsid w:val="006B21D3"/>
    <w:rsid w:val="006B57D0"/>
    <w:rsid w:val="006D30FF"/>
    <w:rsid w:val="006D6940"/>
    <w:rsid w:val="006F11EC"/>
    <w:rsid w:val="0070082C"/>
    <w:rsid w:val="0070373B"/>
    <w:rsid w:val="007369E6"/>
    <w:rsid w:val="00746E59"/>
    <w:rsid w:val="00754C9A"/>
    <w:rsid w:val="0075599A"/>
    <w:rsid w:val="00761D52"/>
    <w:rsid w:val="00764AAD"/>
    <w:rsid w:val="0077749E"/>
    <w:rsid w:val="00790ADA"/>
    <w:rsid w:val="007D2288"/>
    <w:rsid w:val="007E088F"/>
    <w:rsid w:val="007F7B32"/>
    <w:rsid w:val="0080182A"/>
    <w:rsid w:val="00804BC2"/>
    <w:rsid w:val="0081431A"/>
    <w:rsid w:val="0083216F"/>
    <w:rsid w:val="00856240"/>
    <w:rsid w:val="00860000"/>
    <w:rsid w:val="00863BD3"/>
    <w:rsid w:val="008641ED"/>
    <w:rsid w:val="008650C9"/>
    <w:rsid w:val="00866D66"/>
    <w:rsid w:val="008671C6"/>
    <w:rsid w:val="00875803"/>
    <w:rsid w:val="00891B2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C16"/>
    <w:rsid w:val="009E3DB9"/>
    <w:rsid w:val="009E6E35"/>
    <w:rsid w:val="009F0EDA"/>
    <w:rsid w:val="00A03B96"/>
    <w:rsid w:val="00A05B19"/>
    <w:rsid w:val="00A1134E"/>
    <w:rsid w:val="00A24E7E"/>
    <w:rsid w:val="00A258C3"/>
    <w:rsid w:val="00A347C0"/>
    <w:rsid w:val="00A51431"/>
    <w:rsid w:val="00A539AD"/>
    <w:rsid w:val="00A74774"/>
    <w:rsid w:val="00A94063"/>
    <w:rsid w:val="00AA6219"/>
    <w:rsid w:val="00AA74E0"/>
    <w:rsid w:val="00AB703F"/>
    <w:rsid w:val="00AC6BB8"/>
    <w:rsid w:val="00AD2E6C"/>
    <w:rsid w:val="00AE008F"/>
    <w:rsid w:val="00AE19C6"/>
    <w:rsid w:val="00B01FCD"/>
    <w:rsid w:val="00B10875"/>
    <w:rsid w:val="00B1776C"/>
    <w:rsid w:val="00B52583"/>
    <w:rsid w:val="00B52896"/>
    <w:rsid w:val="00B95236"/>
    <w:rsid w:val="00B96BD9"/>
    <w:rsid w:val="00BA1B01"/>
    <w:rsid w:val="00BA2641"/>
    <w:rsid w:val="00BB37AA"/>
    <w:rsid w:val="00BC0561"/>
    <w:rsid w:val="00BC53A0"/>
    <w:rsid w:val="00BE62AD"/>
    <w:rsid w:val="00BF121F"/>
    <w:rsid w:val="00BF1F80"/>
    <w:rsid w:val="00C166EF"/>
    <w:rsid w:val="00C17EB0"/>
    <w:rsid w:val="00C27F5F"/>
    <w:rsid w:val="00C30A0F"/>
    <w:rsid w:val="00C32177"/>
    <w:rsid w:val="00C37E61"/>
    <w:rsid w:val="00C4031C"/>
    <w:rsid w:val="00C70F1B"/>
    <w:rsid w:val="00C71A47"/>
    <w:rsid w:val="00C7464C"/>
    <w:rsid w:val="00C85588"/>
    <w:rsid w:val="00CA37F9"/>
    <w:rsid w:val="00CA60D8"/>
    <w:rsid w:val="00CC7C28"/>
    <w:rsid w:val="00CD6755"/>
    <w:rsid w:val="00CD6856"/>
    <w:rsid w:val="00CE0089"/>
    <w:rsid w:val="00CE793C"/>
    <w:rsid w:val="00CF193C"/>
    <w:rsid w:val="00D03349"/>
    <w:rsid w:val="00D173F1"/>
    <w:rsid w:val="00D5081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0309"/>
    <w:rsid w:val="00E8407C"/>
    <w:rsid w:val="00E84F3C"/>
    <w:rsid w:val="00EA012C"/>
    <w:rsid w:val="00EC6A55"/>
    <w:rsid w:val="00EC7D28"/>
    <w:rsid w:val="00ED0288"/>
    <w:rsid w:val="00ED3D95"/>
    <w:rsid w:val="00EE4C33"/>
    <w:rsid w:val="00EE52CB"/>
    <w:rsid w:val="00EE5C62"/>
    <w:rsid w:val="00EF581D"/>
    <w:rsid w:val="00EF7FD8"/>
    <w:rsid w:val="00F06F59"/>
    <w:rsid w:val="00F17988"/>
    <w:rsid w:val="00F26C58"/>
    <w:rsid w:val="00F469F0"/>
    <w:rsid w:val="00F53273"/>
    <w:rsid w:val="00F72EE8"/>
    <w:rsid w:val="00F755E4"/>
    <w:rsid w:val="00F77D02"/>
    <w:rsid w:val="00FA17F5"/>
    <w:rsid w:val="00FB3A86"/>
    <w:rsid w:val="00FD36C8"/>
    <w:rsid w:val="00FE011B"/>
    <w:rsid w:val="00FE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9B7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ainspantag">
    <w:name w:val="main_span_tag"/>
    <w:basedOn w:val="DefaultParagraphFont"/>
    <w:rsid w:val="0080182A"/>
  </w:style>
  <w:style w:type="paragraph" w:styleId="ListParagraph">
    <w:name w:val="List Paragraph"/>
    <w:basedOn w:val="Normal"/>
    <w:uiPriority w:val="34"/>
    <w:qFormat/>
    <w:rsid w:val="0080182A"/>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85CAF"/>
    <w:rPr>
      <w:rFonts w:ascii="Helvetica" w:hAnsi="Helvetica"/>
    </w:rPr>
  </w:style>
  <w:style w:type="character" w:customStyle="1" w:styleId="FooterChar">
    <w:name w:val="Footer Char"/>
    <w:basedOn w:val="DefaultParagraphFont"/>
    <w:link w:val="Footer"/>
    <w:uiPriority w:val="99"/>
    <w:rsid w:val="00385CAF"/>
    <w:rPr>
      <w:rFonts w:ascii="Helvetica" w:hAnsi="Helvetica"/>
    </w:rPr>
  </w:style>
  <w:style w:type="character" w:customStyle="1" w:styleId="grammarchecknew">
    <w:name w:val="grammarcheck_new"/>
    <w:basedOn w:val="DefaultParagraphFont"/>
    <w:rsid w:val="00385CAF"/>
  </w:style>
  <w:style w:type="paragraph" w:customStyle="1" w:styleId="pdq2pgselectionanchorcontainer">
    <w:name w:val="pdq2pg_selectionanchorcontainer"/>
    <w:basedOn w:val="Normal"/>
    <w:rsid w:val="001A061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1146085">
      <w:bodyDiv w:val="1"/>
      <w:marLeft w:val="0"/>
      <w:marRight w:val="0"/>
      <w:marTop w:val="0"/>
      <w:marBottom w:val="0"/>
      <w:divBdr>
        <w:top w:val="none" w:sz="0" w:space="0" w:color="auto"/>
        <w:left w:val="none" w:sz="0" w:space="0" w:color="auto"/>
        <w:bottom w:val="none" w:sz="0" w:space="0" w:color="auto"/>
        <w:right w:val="none" w:sz="0" w:space="0" w:color="auto"/>
      </w:divBdr>
    </w:div>
    <w:div w:id="16830505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mpra.ub.uni-muenchen.de/88786/?utm_source=chatgpt.com" TargetMode="External"/><Relationship Id="rId26" Type="http://schemas.openxmlformats.org/officeDocument/2006/relationships/hyperlink" Target="https://doi.org/10.1093/ej/ueaf066" TargetMode="External"/><Relationship Id="rId39" Type="http://schemas.openxmlformats.org/officeDocument/2006/relationships/hyperlink" Target="https://doi.org/10.9734/ajeba/2024/v24i41280" TargetMode="External"/><Relationship Id="rId21" Type="http://schemas.openxmlformats.org/officeDocument/2006/relationships/hyperlink" Target="https://doi.org/10.1080/23322039.2021.1921905" TargetMode="External"/><Relationship Id="rId34" Type="http://schemas.openxmlformats.org/officeDocument/2006/relationships/hyperlink" Target="https://ideas.repec.org/a/khe/scajes/v5y2019i2p159-165.html?utm_source=chatgpt.com" TargetMode="External"/><Relationship Id="rId42" Type="http://schemas.openxmlformats.org/officeDocument/2006/relationships/hyperlink" Target="https://doi.org/10.56293/IJMSSSR.2024.4927" TargetMode="External"/><Relationship Id="rId47" Type="http://schemas.openxmlformats.org/officeDocument/2006/relationships/hyperlink" Target="https://doi.org/10.1787/050184860264" TargetMode="External"/><Relationship Id="rId50" Type="http://schemas.openxmlformats.org/officeDocument/2006/relationships/hyperlink" Target="https://dc.cbn.gov.ng/jas/vol7/iss2/1/?utm_source=chatgpt.com" TargetMode="External"/><Relationship Id="rId55" Type="http://schemas.openxmlformats.org/officeDocument/2006/relationships/hyperlink" Target="https://doi.org/10.1257/aer.100.2.5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93/qje/qjad027" TargetMode="External"/><Relationship Id="rId11" Type="http://schemas.openxmlformats.org/officeDocument/2006/relationships/footer" Target="footer1.xml"/><Relationship Id="rId24" Type="http://schemas.openxmlformats.org/officeDocument/2006/relationships/hyperlink" Target="https://doi.org/10.22367/jem.2018.31.01" TargetMode="External"/><Relationship Id="rId32" Type="http://schemas.openxmlformats.org/officeDocument/2006/relationships/hyperlink" Target="https://doi.org/10.1016/j.jpolmod.2024.07.002" TargetMode="External"/><Relationship Id="rId37" Type="http://schemas.openxmlformats.org/officeDocument/2006/relationships/hyperlink" Target="https://doi.org/10.11648/j.ajtab.20200603.14" TargetMode="External"/><Relationship Id="rId40" Type="http://schemas.openxmlformats.org/officeDocument/2006/relationships/hyperlink" Target="https://journalsglobal.com/index.php/jgeb/article/view/142?utm_source=chatgpt.com" TargetMode="External"/><Relationship Id="rId45" Type="http://schemas.openxmlformats.org/officeDocument/2006/relationships/hyperlink" Target="https://doi.org/10.1016/j.econmod.2021.02.004" TargetMode="External"/><Relationship Id="rId53" Type="http://schemas.openxmlformats.org/officeDocument/2006/relationships/hyperlink" Target="https://doi.org/10.1093/acprof:oso/9780198736912.001.0001" TargetMode="External"/><Relationship Id="rId58" Type="http://schemas.openxmlformats.org/officeDocument/2006/relationships/hyperlink" Target="https://doi.org/10.1080/23322039.2024.2326451"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ijhss.thebrpi.org/journals/Vol_2_No_18_October_2012/30.pdf?utm_source=chatgpt.com" TargetMode="External"/><Relationship Id="rId14" Type="http://schemas.openxmlformats.org/officeDocument/2006/relationships/header" Target="header4.xml"/><Relationship Id="rId22" Type="http://schemas.openxmlformats.org/officeDocument/2006/relationships/hyperlink" Target="https://www.scienpress.com/upload/jafb/vol%202_4_8.pdf?utm_source=chatgpt.com" TargetMode="External"/><Relationship Id="rId27" Type="http://schemas.openxmlformats.org/officeDocument/2006/relationships/hyperlink" Target="https://doi.org/10.1177/09763996221103003" TargetMode="External"/><Relationship Id="rId30" Type="http://schemas.openxmlformats.org/officeDocument/2006/relationships/hyperlink" Target="https://www.oenb.at/en/Publications/Economics/Working-Papers/1998/Working-Paper-26.html?utm_source=chatgpt.com" TargetMode="External"/><Relationship Id="rId35" Type="http://schemas.openxmlformats.org/officeDocument/2006/relationships/hyperlink" Target="https://doi.org/10.60089/dbebj.2023.3.3.13" TargetMode="External"/><Relationship Id="rId43" Type="http://schemas.openxmlformats.org/officeDocument/2006/relationships/hyperlink" Target="https://doi.org/10.2866/983455" TargetMode="External"/><Relationship Id="rId48" Type="http://schemas.openxmlformats.org/officeDocument/2006/relationships/hyperlink" Target="https://archive.aessweb.com/index.php/5004/article/view/3852" TargetMode="External"/><Relationship Id="rId56" Type="http://schemas.openxmlformats.org/officeDocument/2006/relationships/hyperlink" Target="https://doi.org/10.1080/23322039.2020.1814508" TargetMode="External"/><Relationship Id="rId8" Type="http://schemas.openxmlformats.org/officeDocument/2006/relationships/header" Target="header1.xml"/><Relationship Id="rId51" Type="http://schemas.openxmlformats.org/officeDocument/2006/relationships/hyperlink" Target="https://doi.org/10.9734/ajeba/2024/v24i61353"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6.xml"/><Relationship Id="rId25" Type="http://schemas.openxmlformats.org/officeDocument/2006/relationships/hyperlink" Target="https://doi.org/10.1016/j.jmacro.2025.103701" TargetMode="External"/><Relationship Id="rId33" Type="http://schemas.openxmlformats.org/officeDocument/2006/relationships/hyperlink" Target="https://doi.org/10.2307/j.ctv2sbm8kh" TargetMode="External"/><Relationship Id="rId38" Type="http://schemas.openxmlformats.org/officeDocument/2006/relationships/hyperlink" Target="https://researchportal.port.ac.uk/en/publications/on-the-relationship-between-fiscal-deficits-and-inflation-econome/?utm_source=chatgpt.com" TargetMode="External"/><Relationship Id="rId46" Type="http://schemas.openxmlformats.org/officeDocument/2006/relationships/hyperlink" Target="https://doi.org/10.1257/mac.20220232" TargetMode="External"/><Relationship Id="rId59" Type="http://schemas.openxmlformats.org/officeDocument/2006/relationships/hyperlink" Target="https://doi.org/10.9734/ajeba/2023/v23i221139" TargetMode="External"/><Relationship Id="rId20" Type="http://schemas.openxmlformats.org/officeDocument/2006/relationships/hyperlink" Target="https://doi.org/10.1080/21665095.2021.1872392" TargetMode="External"/><Relationship Id="rId41" Type="http://schemas.openxmlformats.org/officeDocument/2006/relationships/hyperlink" Target="https://doi.org/10.56557/abaarj/2025/v7i1189" TargetMode="External"/><Relationship Id="rId54" Type="http://schemas.openxmlformats.org/officeDocument/2006/relationships/hyperlink" Target="https://doi.org/10.1002/jae.6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56557/jet/2026/v11i110103" TargetMode="External"/><Relationship Id="rId28" Type="http://schemas.openxmlformats.org/officeDocument/2006/relationships/hyperlink" Target="https://doi.org/10.1257/mac.20230195" TargetMode="External"/><Relationship Id="rId36" Type="http://schemas.openxmlformats.org/officeDocument/2006/relationships/hyperlink" Target="https://doi.org/10.1080/17520843.2021.1927128" TargetMode="External"/><Relationship Id="rId49" Type="http://schemas.openxmlformats.org/officeDocument/2006/relationships/hyperlink" Target="https://doi.org/10.1111/apce.12367" TargetMode="External"/><Relationship Id="rId57" Type="http://schemas.openxmlformats.org/officeDocument/2006/relationships/hyperlink" Target="https://doi.org/10.21034/qr.531" TargetMode="External"/><Relationship Id="rId10" Type="http://schemas.openxmlformats.org/officeDocument/2006/relationships/header" Target="header3.xml"/><Relationship Id="rId31" Type="http://schemas.openxmlformats.org/officeDocument/2006/relationships/hyperlink" Target="https://doi.org/10.1177/09763996221103003" TargetMode="External"/><Relationship Id="rId44" Type="http://schemas.openxmlformats.org/officeDocument/2006/relationships/hyperlink" Target="https://doi.org/10.1108/IJOEM-03-2024-0515" TargetMode="External"/><Relationship Id="rId52" Type="http://schemas.openxmlformats.org/officeDocument/2006/relationships/hyperlink" Target="https://unctad.org/system/files/official-document/osgdp20083_en.pdf?utm_source=chatgpt.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358C-3656-48A3-BE10-47EB8A26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352</TotalTime>
  <Pages>28</Pages>
  <Words>12413</Words>
  <Characters>70756</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83003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1087</cp:lastModifiedBy>
  <cp:revision>24</cp:revision>
  <cp:lastPrinted>1999-07-06T11:00:00Z</cp:lastPrinted>
  <dcterms:created xsi:type="dcterms:W3CDTF">2026-06-21T20:09:00Z</dcterms:created>
  <dcterms:modified xsi:type="dcterms:W3CDTF">2026-07-03T05:24:00Z</dcterms:modified>
</cp:coreProperties>
</file>