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C288" w14:textId="77777777" w:rsidR="00182F42" w:rsidRPr="009D6323" w:rsidRDefault="00000000">
      <w:pPr>
        <w:jc w:val="center"/>
      </w:pPr>
      <w:r w:rsidRPr="009D6323">
        <w:rPr>
          <w:rFonts w:eastAsia="Times New Roman"/>
          <w:b/>
          <w:color w:val="000000"/>
          <w:sz w:val="32"/>
          <w:szCs w:val="32"/>
        </w:rPr>
        <w:t>TAXES AND FINANCIAL PERFORMANCE OF REGISTERED SMALL AND MEDIUM SIZED ENTERPRISES IN NAIROBI CITY COUNTY, KENYA</w:t>
      </w:r>
    </w:p>
    <w:p w14:paraId="7A53B8B0" w14:textId="77777777" w:rsidR="00182F42" w:rsidRPr="009D6323" w:rsidRDefault="00182F42">
      <w:pPr>
        <w:spacing w:line="257" w:lineRule="auto"/>
        <w:rPr>
          <w:rFonts w:eastAsia="Times New Roman"/>
          <w:b/>
          <w:color w:val="000000"/>
          <w:sz w:val="28"/>
          <w:szCs w:val="28"/>
        </w:rPr>
      </w:pPr>
    </w:p>
    <w:p w14:paraId="78E13D9B" w14:textId="77777777" w:rsidR="00182F42" w:rsidRPr="009D6323" w:rsidRDefault="00000000">
      <w:pPr>
        <w:pStyle w:val="Heading2"/>
      </w:pPr>
      <w:r w:rsidRPr="009D6323">
        <w:t>Abstract:</w:t>
      </w:r>
    </w:p>
    <w:p w14:paraId="3D1DD486" w14:textId="77777777" w:rsidR="00B10B70" w:rsidRDefault="00B10B70" w:rsidP="00B10B70">
      <w:pPr>
        <w:pStyle w:val="pdq2pgselectionanchorcontainer"/>
      </w:pPr>
      <w:r>
        <w:t xml:space="preserve">This study </w:t>
      </w:r>
      <w:proofErr w:type="spellStart"/>
      <w:r>
        <w:t>analysed</w:t>
      </w:r>
      <w:proofErr w:type="spellEnd"/>
      <w:r>
        <w:t xml:space="preserve"> the impact of taxes on the financial performance of registered small and medium-sized enterprises (SMEs) in </w:t>
      </w:r>
      <w:proofErr w:type="spellStart"/>
      <w:r>
        <w:t>Starehe</w:t>
      </w:r>
      <w:proofErr w:type="spellEnd"/>
      <w:r>
        <w:t xml:space="preserve"> Sub-County, Nairobi City County, Kenya. SMEs contribute to employment creation, income generation, and innovation, yet many registered SMEs experience financial pressure associated with tax obligations. Financial performance was examined as the dependent variable, while sales turnover tax, excise duty, value added tax (VAT), and stamp duty were assessed as independent variables. The study was guided by Optimal Taxation Theory, Agency Theory, and Resource </w:t>
      </w:r>
      <w:proofErr w:type="spellStart"/>
      <w:r>
        <w:t>Mobilisation</w:t>
      </w:r>
      <w:proofErr w:type="spellEnd"/>
      <w:r>
        <w:t xml:space="preserve"> Theory. A descriptive research design was adopted. The target population comprised 350 registered SMEs, from which 186 SMEs were selected using stratified random sampling. Primary data were collected using structured questionnaires, and a pilot study was conducted among 5% of SMEs in Embakasi East Sub-County. Validity was established through expert review, while reliability was assessed using alpha coefficients. Data were </w:t>
      </w:r>
      <w:proofErr w:type="spellStart"/>
      <w:r>
        <w:t>analysed</w:t>
      </w:r>
      <w:proofErr w:type="spellEnd"/>
      <w:r>
        <w:t xml:space="preserve"> using SPSS version 20, with diagnostic tests conducted for normality, heterogeneity, serial correlation, unit roots, and overdispersion. The findings showed that sales turnover tax, excise duty, and stamp duty were not significantly related to SME financial performance. However, VAT had a significant negative relationship with financial performance. The study concludes that VAT is the most important tax-related factor affecting SME profitability in the study context and recommends reforms aimed at easing VAT compliance and improving SME performance.</w:t>
      </w:r>
    </w:p>
    <w:p w14:paraId="2E42CCA5" w14:textId="77777777" w:rsidR="00C478C9" w:rsidRPr="009D6323" w:rsidRDefault="00C478C9">
      <w:pPr>
        <w:pStyle w:val="NoSpacing"/>
      </w:pPr>
    </w:p>
    <w:p w14:paraId="0E0C673C" w14:textId="77777777" w:rsidR="00182F42" w:rsidRDefault="00000000">
      <w:pPr>
        <w:pStyle w:val="NoSpacing"/>
      </w:pPr>
      <w:r w:rsidRPr="009D6323">
        <w:t>Keywords: Taxes, financial performance, small and medium-sized enterprises, sales turnover tax, excise duty, value added tax, stamp duty, tax compliance, Nairobi City County, Kenya.</w:t>
      </w:r>
    </w:p>
    <w:p w14:paraId="27063585" w14:textId="77777777" w:rsidR="009D6323" w:rsidRPr="009D6323" w:rsidRDefault="009D6323">
      <w:pPr>
        <w:pStyle w:val="NoSpacing"/>
        <w:rPr>
          <w:color w:val="000000"/>
          <w:szCs w:val="24"/>
        </w:rPr>
      </w:pPr>
    </w:p>
    <w:p w14:paraId="0CE1330E" w14:textId="77777777" w:rsidR="00182F42" w:rsidRPr="009D6323" w:rsidRDefault="00000000">
      <w:pPr>
        <w:pStyle w:val="Heading1"/>
      </w:pPr>
      <w:r w:rsidRPr="009D6323">
        <w:t>INTRODUCTION</w:t>
      </w:r>
    </w:p>
    <w:p w14:paraId="367053CA" w14:textId="77777777" w:rsidR="00182F42" w:rsidRPr="009D6323" w:rsidRDefault="00000000">
      <w:pPr>
        <w:pStyle w:val="Heading2"/>
      </w:pPr>
      <w:r w:rsidRPr="009D6323">
        <w:t xml:space="preserve"> 1.1 Background of the Study</w:t>
      </w:r>
    </w:p>
    <w:p w14:paraId="74FAB69B" w14:textId="5C988B31" w:rsidR="00182F42" w:rsidRPr="009D6323" w:rsidRDefault="00000000">
      <w:pPr>
        <w:rPr>
          <w:bCs/>
          <w:color w:val="000000"/>
          <w:szCs w:val="24"/>
        </w:rPr>
      </w:pPr>
      <w:r w:rsidRPr="009D6323">
        <w:t xml:space="preserve">Taxation policies comprise the tax laws, rules, and regulations that govern a country's taxation system (Wanyagathi Maina, 2019). They include legislation and government enactments that guide the collection of taxes by authorised agencies from enterprises and other taxable parties within a nation, state, or region (Kumawat, 2023). Taxes and taxation policies shape a nation's economic environment and reflect the relationship between the state and its taxpayers. They are important instruments for reducing economic inequality while supporting business growth </w:t>
      </w:r>
      <w:r w:rsidRPr="009D6323">
        <w:lastRenderedPageBreak/>
        <w:t>(Kumawat, 2023). Taxation includes several forms of tax, such as sales turnover tax, corporate tax, VAT, excise duty, and customs duty. Globally, tax policies have helped to shape the economic landscape of different nations. As Wu and Din (2023) observed, China, one of Asia's leading economic powers, continues to develop, and government tax regulations contribute substantially to the financial performance of its firms. In Africa, taxation is closely associated with economic development because it is a vital revenue source for countries. Governments rely on tax revenues to mobilise resources and strengthen national infrastructure. Taxes are essential for generating income, encouraging investment and innovation, and harmonising business models, especially in emerging economies (Egbunike, Emudainohwo, &amp; Gunardi, 2018). Recent evidence from Kenyan SMEs indicates that tax service quality, government trust, and social value orientation are relevant to tax compliance behaviour, suggesting that tax policy outcomes are partly shaped by administrative quality and taxpayer support mechanisms (Kiptum, Kapkiyai, &amp; Kirui, 2024).</w:t>
      </w:r>
    </w:p>
    <w:p w14:paraId="513C4E05" w14:textId="77777777" w:rsidR="00182F42" w:rsidRPr="009D6323" w:rsidRDefault="00000000">
      <w:pPr>
        <w:spacing w:after="0"/>
        <w:rPr>
          <w:color w:val="000000"/>
          <w:szCs w:val="24"/>
        </w:rPr>
      </w:pPr>
      <w:r w:rsidRPr="009D6323">
        <w:t>A well-designed taxation policy is important because it can incentivise business growth and investment, whereas an unfavourable tax environment may create challenges that hinder SME development and their contribution to the national economy (Musyoka, 2019). For example, in Nigeria, the manufacturing sector's performance has recently declined. Several factors contribute to this decline, including a heavy tax burden on manufacturers, limited financial resources, and unclear or inconsistent tax policies (Ogbeiwi &amp; Okoughenu, 2020). Conversely, China's corporation income tax legislation provides tax relief for certain businesses that prioritise energy and environmental protection, invest in technological advancement, create jobs, and engage in charitable giving. Such tax incentives stimulate activities that can enhance long-term economic progress and social welfare.</w:t>
      </w:r>
    </w:p>
    <w:p w14:paraId="1189FD72" w14:textId="189CA01C" w:rsidR="00182F42" w:rsidRPr="009D6323" w:rsidRDefault="00000000">
      <w:pPr>
        <w:spacing w:after="0"/>
      </w:pPr>
      <w:r w:rsidRPr="009D6323">
        <w:t xml:space="preserve">Small and medium-sized enterprises (SMEs) contribute greatly to national development; therefore, their financial performance is important and may influence their ability to meet tax obligations. Financial performance is an important metric of SME health (Brealey, Myers, &amp; Allen, 2020). Assessing financial performance is fundamental for evaluating achievements, optimising operations, and promoting accountability, as it measures an entity's capacity to manage operational expenses and function within its environment (Kisaka, 2021). Financial performance is commonly evaluated through financial indicators such as liquidity, debt, and profitability ratios. These ratios are usually calculated using accounting statistics derived from </w:t>
      </w:r>
      <w:r w:rsidRPr="009D6323">
        <w:lastRenderedPageBreak/>
        <w:t>organisational financial statements. Investors rely on profitability indicators, typically measured through return on assets (ROA), return on equity (ROE), and net interest margin, to assess investment viability and portfolio management (</w:t>
      </w:r>
      <w:r w:rsidR="00D3029B" w:rsidRPr="00D3029B">
        <w:t>Brealey</w:t>
      </w:r>
      <w:r w:rsidR="00D3029B">
        <w:t xml:space="preserve"> et al.</w:t>
      </w:r>
      <w:r w:rsidRPr="009D6323">
        <w:t>, 20</w:t>
      </w:r>
      <w:r w:rsidR="00D3029B">
        <w:t>0</w:t>
      </w:r>
      <w:r w:rsidRPr="009D6323">
        <w:t>4).</w:t>
      </w:r>
    </w:p>
    <w:p w14:paraId="4A04DBA9" w14:textId="550BA7DD" w:rsidR="00182F42" w:rsidRPr="009D6323" w:rsidRDefault="00000000">
      <w:pPr>
        <w:spacing w:after="0"/>
        <w:rPr>
          <w:bCs/>
        </w:rPr>
      </w:pPr>
      <w:r w:rsidRPr="009D6323">
        <w:t>Globally, the financial health of micro, small, and medium-sized enterprises (MSMEs) depends partly on the role that taxation plays. Understanding the types of taxes that MSMEs are required to pay is the first step in leveraging tax benefits for small-scale industries. The global economy relies on SMEs that drive innovation, employment, and growth. SMEs constitute a large share of most Asian economies in terms of employment and GDP. In countries such as Japan and South Korea, SMEs contribute to the development of advanced technologies, while in India and China, SMEs support manufacturing and exports (Ghassibe, Appendino, &amp; Mahmoudi, 2019). Regionally, SMEs are important to economic progression and employment in Africa, accounting for a significant share of both employment and GDP. Nigeria has a vibrant SME sector, with more than 37 million SMEs contributing to 84% of employment and 48% of GDP (Akanbi, 2020). Recent research on Kenyan SMEs also shows that technological, administrative, policy, and educational tax reforms may support compliance when they are accessible, predictable, and accompanied by stakeholder support (Kabisa &amp; Musau, 2026).</w:t>
      </w:r>
    </w:p>
    <w:p w14:paraId="3DFB3A9F" w14:textId="3F3FD2C5" w:rsidR="00182F42" w:rsidRPr="009D6323" w:rsidRDefault="00000000">
      <w:pPr>
        <w:spacing w:after="0"/>
        <w:rPr>
          <w:bCs/>
          <w:color w:val="000000"/>
          <w:szCs w:val="24"/>
        </w:rPr>
      </w:pPr>
      <w:r w:rsidRPr="009D6323">
        <w:t>SMEs in Kenya operate across a range of economic activities, including manufacturing, agriculture, trade, and services. Registered SMEs in Starehe are an important impetus to the local economy because they support employment, innovation, and general development. Despite their importance, SMEs in this region face challenges that are characteristic of their local environment. Limited access to finance is one of the main issues, as it restricts investment in growth and expansion projects (Kaberia &amp; Muathe, 2021). SMEs have experienced increased financial strain, and some have been unable to sustain themselves during the financial crunch. In response, the government and other development partners have provided targeted support and relief measures. These measures include fiscal stimulus packages, loan moratoriums, and business continuity support, which are intended to help SMEs navigate crises and maintain operations (Kaberia &amp; Muathe, 2021). Oyoo and Kariuki (2023) note that SMEs contribute substantially to the economy, yet they often remain underdeveloped. For example, SME growth in Kenya declined by 0.9 percentage points to 4.7% in 2017 compared with 2016, and three in five businesses collapse within the early years of establishment (Oyoo &amp; Kariuki, 2023). These obstacles inhibit SME development, competitiveness, and financial performance. Recent VAT-</w:t>
      </w:r>
      <w:r w:rsidRPr="009D6323">
        <w:lastRenderedPageBreak/>
        <w:t>focused evidence suggests that small businesses can experience VAT compliance as both administratively demanding and cash-flow sensitive, supporting the need to assess VAT separately from other tax obligations in SME performance studies (Ndlovu &amp; Schutte, 2024; Mascagni et al., 2023).</w:t>
      </w:r>
    </w:p>
    <w:p w14:paraId="6A04B436" w14:textId="77777777" w:rsidR="00182F42" w:rsidRPr="009D6323" w:rsidRDefault="00000000">
      <w:pPr>
        <w:pStyle w:val="Heading2"/>
      </w:pPr>
      <w:r w:rsidRPr="009D6323">
        <w:t xml:space="preserve">1.2 </w:t>
      </w:r>
      <w:bookmarkStart w:id="0" w:name="_Hlk210916157"/>
      <w:r w:rsidRPr="009D6323">
        <w:t>Statement of the Problem</w:t>
      </w:r>
      <w:bookmarkEnd w:id="0"/>
    </w:p>
    <w:p w14:paraId="51825C46" w14:textId="5FC2B0B1" w:rsidR="00182F42" w:rsidRPr="009D6323" w:rsidRDefault="00000000">
      <w:pPr>
        <w:spacing w:after="0"/>
      </w:pPr>
      <w:r w:rsidRPr="009D6323">
        <w:t>SMEs are crucial because they promote innovation, employment creation, and overall economic growth. They provide work for a considerable number of people and account for a substantial share of employment opportunities (</w:t>
      </w:r>
      <w:r w:rsidR="00D3029B" w:rsidRPr="00D3029B">
        <w:t>Tong</w:t>
      </w:r>
      <w:r w:rsidR="00D3029B">
        <w:t xml:space="preserve"> et al.</w:t>
      </w:r>
      <w:r w:rsidRPr="009D6323">
        <w:t>, 2019). SMEs in Kenya contribute 24% of GDP. They also account for 90% of the nation's private-sector businesses and 93% of the workforce, making them central to overall economic development (</w:t>
      </w:r>
      <w:r w:rsidR="00D3029B" w:rsidRPr="00D3029B">
        <w:t>State Department for Micro, Small and Medium Enterprises Development</w:t>
      </w:r>
      <w:r w:rsidRPr="009D6323">
        <w:t>, 202</w:t>
      </w:r>
      <w:r w:rsidR="00D3029B">
        <w:t>3</w:t>
      </w:r>
      <w:r w:rsidRPr="009D6323">
        <w:t>). However, in Nairobi County, SMEs' revenue contribution to GDP has declined over time, from 11.8% in 2011 to 9.7% in 2014, 9.3% in 2016, and 7.2% in 2021. Despite their potential to transform the economy, the sector increased by 7.2% in 2011 but only by 3.5% in 2016, which was below the 10% annual expectation. This increase was lower than the 10% annual revenue growth projected under Vision 2030 (KNBS, 2022). A well-designed taxation policy is essential for creating an enabling environment in which SMEs can thrive, increase revenues, and achieve financial results (Wanyagathi Maina, 2019).</w:t>
      </w:r>
    </w:p>
    <w:p w14:paraId="111ACF69" w14:textId="77777777" w:rsidR="00182F42" w:rsidRPr="009D6323" w:rsidRDefault="00000000">
      <w:pPr>
        <w:spacing w:after="0"/>
      </w:pPr>
      <w:r w:rsidRPr="009D6323">
        <w:t>The current reality of Kenya's taxation policies falls short of the ideal scenario, leading to significant consequences for the performance of registered SMEs. According to Bhalla, Kaur, and Sharma (2022), high tax rates or inconsistent application of tax incentives hinder SME financial performance and limit their potential to contribute significantly to employment creation and wealth generation. Taxation remains a significant financial challenge for SMEs in Starehe because complex compliance procedures divert resources from core business activities (Mwangangi, 2023). Consequently, some enterprises operate informally to avoid tax obligations, limiting access to formal financial support and reducing government revenue. Inadequate tax policies further constrain financial performance and innovation, weakening the contribution of SMEs to economic growth (Mwangangi &amp; Memba, 2022). Additionally, poorly regulated cartel and industry levies increase operational costs, making it difficult for small businesses to offer competitive prices. Legal and policy restrictions also limit product diversification, further hindering business growth (Mwangangi, 2023).</w:t>
      </w:r>
    </w:p>
    <w:p w14:paraId="4C93AAC9" w14:textId="77777777" w:rsidR="00182F42" w:rsidRPr="009D6323" w:rsidRDefault="00000000">
      <w:pPr>
        <w:spacing w:after="0"/>
        <w:rPr>
          <w:color w:val="000000"/>
          <w:szCs w:val="24"/>
        </w:rPr>
      </w:pPr>
      <w:r w:rsidRPr="009D6323">
        <w:lastRenderedPageBreak/>
        <w:t>Otekunrin et al. (2021) examined the macroeconomic effect of tax policies without delving into the underlying implications of adopting a macroeconomic perspective, thereby overlooking the intricate dynamics and unique challenges faced by SMEs. While the study provided valuable information about overall tax revenue and economic progression, it did not address the nuanced issues that SMEs face under current tax policies. Muhwa and Omboi (2023) concentrated on the conceptual aspects of tax incentives and the economic performance of SMEs but did not provide a comprehensive methodological analysis. The limited sample size reduced the study's ability to capture the intricate dynamics and perceptions of SME owners, affecting its practical implications. Therefore, this research on taxes and the financial characteristics of registered SMEs in Starehe is important. It seeks to determine the impact of taxes on the financial performance of SMEs in light of their unique requirements and limitations.</w:t>
      </w:r>
    </w:p>
    <w:p w14:paraId="580BD156" w14:textId="77777777" w:rsidR="00182F42" w:rsidRPr="009D6323" w:rsidRDefault="00000000">
      <w:pPr>
        <w:spacing w:after="0"/>
        <w:rPr>
          <w:bCs/>
        </w:rPr>
      </w:pPr>
      <w:r w:rsidRPr="009D6323">
        <w:t>Accordingly, a research gap remains regarding the limited context-specific evidence on how sales turnover tax, excise duty, VAT, and stamp duty jointly relate to the financial performance of registered SMEs in Starehe Sub-County.</w:t>
      </w:r>
    </w:p>
    <w:p w14:paraId="5A0F0FA5" w14:textId="77777777" w:rsidR="00CC5BAB" w:rsidRPr="009D6323" w:rsidRDefault="00CC5BAB">
      <w:pPr>
        <w:spacing w:after="0"/>
        <w:rPr>
          <w:bCs/>
          <w:color w:val="000000"/>
          <w:szCs w:val="24"/>
        </w:rPr>
      </w:pPr>
    </w:p>
    <w:p w14:paraId="586AB4CB" w14:textId="77777777" w:rsidR="00182F42" w:rsidRPr="009D6323" w:rsidRDefault="00000000">
      <w:pPr>
        <w:spacing w:after="0" w:line="276" w:lineRule="auto"/>
        <w:outlineLvl w:val="0"/>
      </w:pPr>
      <w:r w:rsidRPr="009D6323">
        <w:rPr>
          <w:b/>
          <w:color w:val="000000"/>
          <w:szCs w:val="24"/>
        </w:rPr>
        <w:t>1.3 Objectives of the Study</w:t>
      </w:r>
    </w:p>
    <w:p w14:paraId="10A6C6CF" w14:textId="77777777" w:rsidR="00182F42" w:rsidRPr="009D6323" w:rsidRDefault="00000000">
      <w:pPr>
        <w:pStyle w:val="Heading3"/>
        <w:spacing w:line="276" w:lineRule="auto"/>
      </w:pPr>
      <w:r w:rsidRPr="009D6323">
        <w:t>1.3.1 General Objective</w:t>
      </w:r>
    </w:p>
    <w:p w14:paraId="6925BEBA" w14:textId="77777777" w:rsidR="00182F42" w:rsidRPr="009D6323" w:rsidRDefault="00000000">
      <w:pPr>
        <w:spacing w:after="0"/>
      </w:pPr>
      <w:r w:rsidRPr="009D6323">
        <w:t>To determine the impact of taxes on the financial performance of registered SME businesses in Starehe.</w:t>
      </w:r>
    </w:p>
    <w:p w14:paraId="6812C301" w14:textId="77777777" w:rsidR="00182F42" w:rsidRPr="009D6323" w:rsidRDefault="00000000">
      <w:pPr>
        <w:pStyle w:val="Heading3"/>
      </w:pPr>
      <w:r w:rsidRPr="009D6323">
        <w:t>1.3.2 Specific Objectives</w:t>
      </w:r>
    </w:p>
    <w:p w14:paraId="32CFEA9C" w14:textId="77777777" w:rsidR="00182F42" w:rsidRPr="009D6323" w:rsidRDefault="00000000">
      <w:pPr>
        <w:pStyle w:val="ListParagraph"/>
        <w:numPr>
          <w:ilvl w:val="0"/>
          <w:numId w:val="2"/>
        </w:numPr>
        <w:spacing w:after="0"/>
        <w:rPr>
          <w:color w:val="000000"/>
          <w:szCs w:val="24"/>
        </w:rPr>
      </w:pPr>
      <w:r w:rsidRPr="009D6323">
        <w:t>To investigate the impact of sales turnover tax on the financial performance of registered SMEs in Starehe.</w:t>
      </w:r>
    </w:p>
    <w:p w14:paraId="6D683611" w14:textId="77777777" w:rsidR="00182F42" w:rsidRPr="009D6323" w:rsidRDefault="00000000">
      <w:pPr>
        <w:pStyle w:val="ListParagraph"/>
        <w:numPr>
          <w:ilvl w:val="0"/>
          <w:numId w:val="2"/>
        </w:numPr>
        <w:spacing w:after="0"/>
        <w:rPr>
          <w:color w:val="000000"/>
          <w:szCs w:val="24"/>
        </w:rPr>
      </w:pPr>
      <w:r w:rsidRPr="009D6323">
        <w:t>To determine the effects of excise tax on the financial performance of registered SMEs in Starehe.</w:t>
      </w:r>
    </w:p>
    <w:p w14:paraId="51EF0A62" w14:textId="77777777" w:rsidR="00182F42" w:rsidRPr="009D6323" w:rsidRDefault="00000000">
      <w:pPr>
        <w:pStyle w:val="ListParagraph"/>
        <w:numPr>
          <w:ilvl w:val="0"/>
          <w:numId w:val="2"/>
        </w:numPr>
        <w:spacing w:after="0"/>
        <w:rPr>
          <w:color w:val="000000"/>
          <w:szCs w:val="24"/>
        </w:rPr>
      </w:pPr>
      <w:r w:rsidRPr="009D6323">
        <w:t>To evaluate the impact of VAT on the financial performance of registered SMEs in Starehe.</w:t>
      </w:r>
    </w:p>
    <w:p w14:paraId="5A6E3422" w14:textId="77777777" w:rsidR="00182F42" w:rsidRPr="009D6323" w:rsidRDefault="00000000">
      <w:pPr>
        <w:pStyle w:val="ListParagraph"/>
        <w:numPr>
          <w:ilvl w:val="0"/>
          <w:numId w:val="2"/>
        </w:numPr>
        <w:spacing w:after="0"/>
        <w:rPr>
          <w:color w:val="000000"/>
          <w:szCs w:val="24"/>
        </w:rPr>
      </w:pPr>
      <w:r w:rsidRPr="009D6323">
        <w:t>To determine how stamp duty influences the financial performance of registered SMEs in Starehe.</w:t>
      </w:r>
    </w:p>
    <w:p w14:paraId="50D2D0B8" w14:textId="77777777" w:rsidR="00182F42" w:rsidRPr="009D6323" w:rsidRDefault="00000000">
      <w:pPr>
        <w:pStyle w:val="Heading2"/>
      </w:pPr>
      <w:r w:rsidRPr="009D6323">
        <w:lastRenderedPageBreak/>
        <w:t>1.4 Research Hypotheses</w:t>
      </w:r>
    </w:p>
    <w:p w14:paraId="429E10EA" w14:textId="77777777" w:rsidR="00182F42" w:rsidRPr="009D6323" w:rsidRDefault="00000000">
      <w:pPr>
        <w:spacing w:after="0"/>
      </w:pPr>
      <w:r w:rsidRPr="009D6323">
        <w:t>H1: Sales turnover tax has no significant impact on the financial performance of registered SMEs in Starehe.</w:t>
      </w:r>
    </w:p>
    <w:p w14:paraId="44FBB454" w14:textId="77777777" w:rsidR="00182F42" w:rsidRPr="009D6323" w:rsidRDefault="00000000">
      <w:pPr>
        <w:spacing w:after="0"/>
      </w:pPr>
      <w:r w:rsidRPr="009D6323">
        <w:t>H2: Excise duty has no significant effect on the financial performance of registered SMEs in Starehe.</w:t>
      </w:r>
    </w:p>
    <w:p w14:paraId="0741D3C2" w14:textId="77777777" w:rsidR="00182F42" w:rsidRPr="009D6323" w:rsidRDefault="00000000">
      <w:pPr>
        <w:spacing w:after="0"/>
      </w:pPr>
      <w:r w:rsidRPr="009D6323">
        <w:t>H3: VAT does not substantially affect the financial performance of registered SMEs in Starehe.</w:t>
      </w:r>
    </w:p>
    <w:p w14:paraId="036579C5" w14:textId="77777777" w:rsidR="00182F42" w:rsidRPr="009D6323" w:rsidRDefault="00000000">
      <w:r w:rsidRPr="009D6323">
        <w:t>H4: Stamp duty does not significantly affect the financial performance of registered SMEs in Nairobi City County, Kenya.</w:t>
      </w:r>
    </w:p>
    <w:p w14:paraId="66FD2832" w14:textId="77777777" w:rsidR="00182F42" w:rsidRPr="009D6323" w:rsidRDefault="00000000">
      <w:pPr>
        <w:pStyle w:val="Heading1"/>
      </w:pPr>
      <w:r w:rsidRPr="009D6323">
        <w:rPr>
          <w:color w:val="000000"/>
        </w:rPr>
        <w:t>2. LITERATURE REVIEW</w:t>
      </w:r>
    </w:p>
    <w:p w14:paraId="18FBF7C2" w14:textId="77777777" w:rsidR="00182F42" w:rsidRPr="009D6323" w:rsidRDefault="00000000">
      <w:pPr>
        <w:pStyle w:val="Heading2"/>
      </w:pPr>
      <w:r w:rsidRPr="009D6323">
        <w:rPr>
          <w:color w:val="000000"/>
          <w:szCs w:val="24"/>
        </w:rPr>
        <w:t>2.1 Theoretical Review</w:t>
      </w:r>
    </w:p>
    <w:p w14:paraId="155C8F0B" w14:textId="77777777" w:rsidR="00182F42" w:rsidRPr="009D6323" w:rsidRDefault="00000000">
      <w:r w:rsidRPr="009D6323">
        <w:t>Optimal Tax Theory originates from the seminal works of Ramsey (1927) and Mirrlees (1971), which form the foundation of optimal tax policy. The theory posits that tax systems should maximise social welfare while minimising economic distortions and generating adequate revenue. Ramsey (1927) argued that taxes should be levied in inverse proportion to the elasticity of demand, whereas Mirrlees (1971) incorporated differences in taxpayers' income-generating abilities and the incentive effects of taxation into tax design. The theory further guides the selection of tax bases, tax rates, and revenue structures by balancing economic efficiency, equity, and behavioural responses. In the context of this study, Optimal Tax Theory explains how well-designed taxation policies can support the financial performance of SMEs by raising revenue without imposing excessive tax burdens that may discourage investment, innovation, and business growth. Consequently, the theory provides an appropriate foundation for examining the relationship between taxation policy and the financial performance of SMEs.</w:t>
      </w:r>
    </w:p>
    <w:p w14:paraId="1AE84A00" w14:textId="31F5DF45" w:rsidR="00182F42" w:rsidRPr="009D6323" w:rsidRDefault="00000000">
      <w:pPr>
        <w:rPr>
          <w:color w:val="000000"/>
          <w:szCs w:val="24"/>
        </w:rPr>
      </w:pPr>
      <w:r w:rsidRPr="009D6323">
        <w:t xml:space="preserve">Agency Theory was developed by Jensen and Meckling (1976) to explain the relationship between principals and agents, focusing on conflicts of interest and information asymmetry that may influence decision-making. The theory suggests that agents may pursue actions that serve their own interests rather than those of principals, resulting in agency costs. In the context of taxation, Agency Theory explains how managers of SMEs may adopt strategies aimed at reducing tax obligations, particularly where financial performance is closely monitored (Zogning, 2017). Taxes such as sales turnover tax and value-added tax (VAT) may create incentives for underreporting revenues or manipulating financial records, thereby increasing </w:t>
      </w:r>
      <w:r w:rsidRPr="009D6323">
        <w:lastRenderedPageBreak/>
        <w:t>agency problems and exposing firms to regulatory sanctions (Ngugi &amp; Moronge, 2020). Additionally, tax compliance costs and administrative requirements may divert managerial attention from core business activities, negatively affecting financial performance (Mwangi, 2019). The theory further emphasises the role of monitoring, transparency, and effective governance in reducing information asymmetry and improving tax compliance (</w:t>
      </w:r>
      <w:proofErr w:type="spellStart"/>
      <w:r w:rsidR="00D3029B" w:rsidRPr="00D3029B">
        <w:t>Osebe</w:t>
      </w:r>
      <w:proofErr w:type="spellEnd"/>
      <w:r w:rsidR="00D3029B">
        <w:t xml:space="preserve"> et al.</w:t>
      </w:r>
      <w:r w:rsidRPr="009D6323">
        <w:t>, 20</w:t>
      </w:r>
      <w:r w:rsidR="00D3029B">
        <w:t>19</w:t>
      </w:r>
      <w:r w:rsidRPr="009D6323">
        <w:t>). In relation to this study, Agency Theory provides a useful framework for examining how taxation policies influence managerial behaviour and the financial performance of SMEs, highlighting the importance of accountability and compliance in achieving sustainable business outcomes.</w:t>
      </w:r>
    </w:p>
    <w:p w14:paraId="5C6BB3E5" w14:textId="77777777" w:rsidR="00182F42" w:rsidRPr="009D6323" w:rsidRDefault="00000000">
      <w:r w:rsidRPr="009D6323">
        <w:t>Resource Mobilisation Theory emerged in the 1970s as a sociological perspective developed by scholars such as Mayer Zald, John McCarthy, and Sidney Tarrow to explain how social movements become organised, sustained, and successful through the acquisition and utilisation of resources (Oyinlola et al., 2020). The theory emphasises that collective action depends on the strategic mobilisation of both material and non-material resources, including financial capital, human skills, organisational capacity, and social networks (Davis, 2019). Unlike earlier approaches that focused primarily on psychological factors, Resource Mobilisation Theory views organisations as rational actors that strategically deploy resources and build relationships with existing institutions to achieve their objectives (Murray et al., 2020). The theory also highlights the importance of organisational capacity and external support in overcoming challenges and sustaining performance. In relation to this study, Resource Mobilisation Theory provides a useful framework for examining how SMEs mobilise and allocate financial, human, and organisational resources to comply with taxation policies while maintaining financial performance. The theory further explains how SMEs can leverage available resources and strategic partnerships to manage tax obligations, mitigate financial constraints, and enhance business sustainability in a changing regulatory environment.</w:t>
      </w:r>
    </w:p>
    <w:p w14:paraId="2AE1467D" w14:textId="77777777" w:rsidR="00182F42" w:rsidRPr="009D6323" w:rsidRDefault="00000000">
      <w:pPr>
        <w:pStyle w:val="Heading2"/>
      </w:pPr>
      <w:r w:rsidRPr="009D6323">
        <w:rPr>
          <w:color w:val="000000"/>
          <w:szCs w:val="24"/>
        </w:rPr>
        <w:t>2.2 Empirical Review</w:t>
      </w:r>
    </w:p>
    <w:p w14:paraId="1F59EB46" w14:textId="77777777" w:rsidR="00182F42" w:rsidRPr="009D6323" w:rsidRDefault="00000000">
      <w:r w:rsidRPr="009D6323">
        <w:t xml:space="preserve">In a study by Alzulfah and Gharib (2020), the aim was to determine the role of tax implementation in the financial performance of enterprises operating in selected sectors. In the traditional economic analysis, the association and effects were measured using linear regression in STATA. The study also found that VAT variance could be explained by financial factors, </w:t>
      </w:r>
      <w:r w:rsidRPr="009D6323">
        <w:lastRenderedPageBreak/>
        <w:t>including sales volume, company size, and sales turnover tax, while 64% of the variance in VAT was attributable to other factors. The researcher used a linear regression model to determine financial performance, whereas the current study employs a non-parametric regression model to determine the financial performance of SMEs in Starehe.</w:t>
      </w:r>
    </w:p>
    <w:p w14:paraId="57A3A94E" w14:textId="77777777" w:rsidR="00182F42" w:rsidRPr="009D6323" w:rsidRDefault="00000000">
      <w:r w:rsidRPr="009D6323">
        <w:t>Kenya largely depends on tax revenue to fund government spending and meet its commitments. The significance of tax revenue for advancing economic growth may not be fully realised when decisions must be made among different kinds of taxes. This necessitates consideration of the close connection between funds raised through various taxes and the development of financial sectors. As reported by Owino (2019), tax revenues collected through customs and excise duty have increased over the years. However, there has been a sustained decline in financial development growth. Owino (2019) investigated the influence of customs and excise duty on growth in Kenya from 1973 to 2010. The study employed a correlation research design, and the findings indicated that customs and excise duties are positively correlated with financial growth in Kenya.</w:t>
      </w:r>
    </w:p>
    <w:p w14:paraId="3CA2FD1D" w14:textId="77777777" w:rsidR="00182F42" w:rsidRPr="009D6323" w:rsidRDefault="00000000">
      <w:r w:rsidRPr="009D6323">
        <w:t>VAT compliance is a critical challenge because tax collection supports the national economy (Ojo &amp; Shittu, 2023). The study conducted by Ojo and Shittu (2023) addressed the concepts and determinants of VAT compliance among SMEs in Nigeria by directly testing the impact of VAT on taxpayer perceptions and attitudes. The paper addressed gaps in the literature on VAT compliance among SMEs in developing economies. The study by Saed and Ainebyona (2020) centred on VAT and its impact on SMEs in Somaliland. Many investors in an economy provide VAT to host nations, whether located within or outside the country. A large proportion of potential VAT payers comprises SMEs that contribute to national growth. The research employed a mixed research design involving qualitative and quantitative data collection. The study reported that, as SMEs paid VAT to listed tax collectors, other unidentified government officials would emerge and request additional payments. The absence of a clear revenue collection structure contributed to corruption among government officials responsible for tax collection. Similarly, many SMEs were concerned about the risk of business closure or operational failure because of aggressive VAT collection practices.</w:t>
      </w:r>
    </w:p>
    <w:p w14:paraId="53D50AF7" w14:textId="78C44122" w:rsidR="00182F42" w:rsidRPr="009D6323" w:rsidRDefault="00000000">
      <w:r w:rsidRPr="009D6323">
        <w:t>Onwuka et al. (202</w:t>
      </w:r>
      <w:r w:rsidR="00D3029B">
        <w:t>1</w:t>
      </w:r>
      <w:r w:rsidRPr="009D6323">
        <w:t xml:space="preserve">) stated that individuals expect government to provide basic infrastructure, such as roads, bridges, and airports, as well as services such as education, healthcare, housing, </w:t>
      </w:r>
      <w:r w:rsidRPr="009D6323">
        <w:lastRenderedPageBreak/>
        <w:t>and electricity supply. Government requires financial resources to provide these services. Taxation is one of the fundamental methods used by government to generate funding. Kayumba et al. (2022) examined taxpayers' perceptions of the need to pay stamp duty. The study used a qualitative research approach to investigate ideas that could strengthen understanding of the study problem. The findings revealed that behavioural intention to pay stamp duty was based mainly on taxpayer knowledge. Similarly, peer influence exerted minimal influence on behavioural intention. Therefore, Kayumba et al. (2022) suggested that government should raise awareness and utilise taxes in development projects.</w:t>
      </w:r>
    </w:p>
    <w:p w14:paraId="2F127FDF" w14:textId="77777777" w:rsidR="00182F42" w:rsidRPr="009D6323" w:rsidRDefault="00000000">
      <w:pPr>
        <w:pStyle w:val="Heading2"/>
      </w:pPr>
      <w:r w:rsidRPr="009D6323">
        <w:rPr>
          <w:color w:val="000000"/>
        </w:rPr>
        <w:t>2.3 Study Gaps and Literature Review Summary</w:t>
      </w:r>
    </w:p>
    <w:p w14:paraId="73C05531" w14:textId="77777777" w:rsidR="00182F42" w:rsidRPr="009D6323" w:rsidRDefault="00000000">
      <w:r w:rsidRPr="009D6323">
        <w:t>The reviewed literature demonstrates that taxation plays a significant role in financial performance, tax compliance, taxpayer perceptions, and financial growth. Alzulfah and Gharib (2020) established that financial factors such as sales volume, company size, and sales turnover tax influence VAT, while Owino (2019) found a positive relationship between customs and excise duty and financial growth in Kenya. Studies by Ojo and Shittu (2023) and Saed and Ainebyona (2020) highlighted VAT compliance challenges among SMEs, including taxpayer perceptions, corruption in tax collection, and concerns about business failure arising from VAT administration. Kayumba et al. (2022) further observed that taxpayer knowledge influenced intentions to pay stamp duty, while peer influence had minimal effect.</w:t>
      </w:r>
    </w:p>
    <w:p w14:paraId="34912812" w14:textId="77777777" w:rsidR="00182F42" w:rsidRPr="009D6323" w:rsidRDefault="00000000">
      <w:r w:rsidRPr="009D6323">
        <w:t xml:space="preserve">Despite providing valuable insights, the reviewed studies reveal methodological, contextual, and conceptual gaps. Methodologically, Alzulfah and Gharib (2020) employed a linear regression model, Owino (2019) adopted a correlation research design, Kayumba et al. (2022) used a qualitative approach, and Saed and Ainebyona (2020) used a mixed research design. The current study differs by employing a non-parametric regression model to determine the financial performance of SMEs. Contextually, the studies were conducted in diverse settings, including enterprise sectors, Kenya, Nigeria, Somaliland, and Bangladesh, limiting their applicability to registered SMEs in Starehe Sub-County, Kenya. Conceptually, most studies focused on VAT compliance, customs and excise duty, stamp duty, taxpayer perceptions, and financial growth, with limited emphasis on the combined effect of specific taxation policies on the financial performance of registered SMEs. Consequently, there remains a need for a study that examines the influence of taxation policies on the financial performance of registered SMEs in Starehe </w:t>
      </w:r>
      <w:r w:rsidRPr="009D6323">
        <w:lastRenderedPageBreak/>
        <w:t>Sub-County, Kenya, thereby providing context-specific evidence on the relationship between taxation and SME performance.</w:t>
      </w:r>
    </w:p>
    <w:p w14:paraId="3FBB0A57" w14:textId="77777777" w:rsidR="00182F42" w:rsidRPr="009D6323" w:rsidRDefault="00000000">
      <w:pPr>
        <w:pStyle w:val="Heading1"/>
      </w:pPr>
      <w:r w:rsidRPr="009D6323">
        <w:rPr>
          <w:color w:val="000000"/>
        </w:rPr>
        <w:t>3. METHODOLOGY</w:t>
      </w:r>
    </w:p>
    <w:p w14:paraId="0588703E" w14:textId="77777777" w:rsidR="00182F42" w:rsidRPr="009D6323" w:rsidRDefault="00000000">
      <w:pPr>
        <w:pStyle w:val="Heading2"/>
      </w:pPr>
      <w:r w:rsidRPr="009D6323">
        <w:rPr>
          <w:color w:val="000000"/>
          <w:szCs w:val="24"/>
        </w:rPr>
        <w:t>3.1 Research Design</w:t>
      </w:r>
    </w:p>
    <w:p w14:paraId="5E46BCAF" w14:textId="77777777" w:rsidR="00182F42" w:rsidRPr="009D6323" w:rsidRDefault="00000000">
      <w:pPr>
        <w:spacing w:after="0"/>
      </w:pPr>
      <w:r w:rsidRPr="009D6323">
        <w:t>Research design refers to the general plan or framework that assists a research study in responding to particular research questions or objectives (Sileyew, 2019). Descriptive research is a research design technique used to examine and describe characteristics, actions, and phenomena within a population or group (Rezigalla, 2020). The main objective of descriptive research is to explain the phenomenon being studied clearly and explicitly without manipulating the independent variables being investigated. This study followed a descriptive research design to determine the effects of taxes on the financial performance of registered SMEs in Nairobi City County, Kenya. Descriptive research was chosen because it can provide a clear picture of the status and progress of the phenomenon under study. The descriptive methodology was preferred because the information was presented as originally available, without manipulation or distortion.</w:t>
      </w:r>
    </w:p>
    <w:p w14:paraId="5AC16E53" w14:textId="77777777" w:rsidR="00182F42" w:rsidRPr="009D6323" w:rsidRDefault="00000000">
      <w:pPr>
        <w:pStyle w:val="Heading2"/>
      </w:pPr>
      <w:r w:rsidRPr="009D6323">
        <w:rPr>
          <w:color w:val="000000"/>
        </w:rPr>
        <w:t>3.2 Population studied</w:t>
      </w:r>
    </w:p>
    <w:p w14:paraId="49B23D72" w14:textId="77777777" w:rsidR="00182F42" w:rsidRPr="009D6323" w:rsidRDefault="00000000">
      <w:pPr>
        <w:spacing w:after="0"/>
        <w:rPr>
          <w:color w:val="000000"/>
          <w:szCs w:val="24"/>
        </w:rPr>
      </w:pPr>
      <w:r w:rsidRPr="009D6323">
        <w:t>Target population refers to the specific group of subjects, objects, or factors that a research study intends to investigate or draw conclusions about (Rezigalla, 2020). In this case, the study focused on registered SMEs in Starehe Sub-County. They comprised the target population of the study.</w:t>
      </w:r>
    </w:p>
    <w:p w14:paraId="55EC0957" w14:textId="77777777" w:rsidR="00182F42" w:rsidRPr="009D6323" w:rsidRDefault="00182F42">
      <w:pPr>
        <w:pStyle w:val="Caption"/>
        <w:spacing w:before="0" w:after="0"/>
        <w:rPr>
          <w:szCs w:val="24"/>
        </w:rPr>
      </w:pPr>
    </w:p>
    <w:p w14:paraId="5B2F4105" w14:textId="77777777" w:rsidR="00182F42" w:rsidRPr="009D6323" w:rsidRDefault="00000000">
      <w:pPr>
        <w:pStyle w:val="Caption"/>
        <w:keepNext/>
        <w:spacing w:before="0" w:after="0"/>
      </w:pPr>
      <w:r w:rsidRPr="009D6323">
        <w:t xml:space="preserve">Table 1: Target Population </w:t>
      </w:r>
    </w:p>
    <w:tbl>
      <w:tblPr>
        <w:tblW w:w="9350" w:type="dxa"/>
        <w:tblLayout w:type="fixed"/>
        <w:tblLook w:val="04A0" w:firstRow="1" w:lastRow="0" w:firstColumn="1" w:lastColumn="0" w:noHBand="0" w:noVBand="1"/>
      </w:tblPr>
      <w:tblGrid>
        <w:gridCol w:w="3220"/>
        <w:gridCol w:w="3296"/>
        <w:gridCol w:w="2834"/>
      </w:tblGrid>
      <w:tr w:rsidR="00182F42" w:rsidRPr="009D6323" w14:paraId="006E22CE" w14:textId="77777777">
        <w:tc>
          <w:tcPr>
            <w:tcW w:w="3220" w:type="dxa"/>
            <w:tcBorders>
              <w:top w:val="single" w:sz="4" w:space="0" w:color="000000"/>
              <w:left w:val="single" w:sz="4" w:space="0" w:color="000000"/>
              <w:bottom w:val="single" w:sz="4" w:space="0" w:color="000000"/>
              <w:right w:val="single" w:sz="4" w:space="0" w:color="000000"/>
            </w:tcBorders>
          </w:tcPr>
          <w:p w14:paraId="3EDE44AB" w14:textId="77777777" w:rsidR="00182F42" w:rsidRPr="009D6323" w:rsidRDefault="00000000">
            <w:pPr>
              <w:spacing w:after="0"/>
              <w:jc w:val="left"/>
              <w:rPr>
                <w:b/>
                <w:color w:val="000000"/>
                <w:szCs w:val="24"/>
              </w:rPr>
            </w:pPr>
            <w:r w:rsidRPr="009D6323">
              <w:rPr>
                <w:b/>
                <w:color w:val="000000"/>
                <w:szCs w:val="24"/>
              </w:rPr>
              <w:t>Category of SME</w:t>
            </w:r>
          </w:p>
        </w:tc>
        <w:tc>
          <w:tcPr>
            <w:tcW w:w="3296" w:type="dxa"/>
            <w:tcBorders>
              <w:top w:val="single" w:sz="4" w:space="0" w:color="000000"/>
              <w:left w:val="single" w:sz="4" w:space="0" w:color="000000"/>
              <w:bottom w:val="single" w:sz="4" w:space="0" w:color="000000"/>
              <w:right w:val="single" w:sz="4" w:space="0" w:color="000000"/>
            </w:tcBorders>
          </w:tcPr>
          <w:p w14:paraId="6FFD2484" w14:textId="77777777" w:rsidR="00182F42" w:rsidRPr="009D6323" w:rsidRDefault="00000000">
            <w:pPr>
              <w:spacing w:after="0"/>
              <w:jc w:val="center"/>
              <w:rPr>
                <w:b/>
                <w:color w:val="000000"/>
                <w:szCs w:val="24"/>
              </w:rPr>
            </w:pPr>
            <w:r w:rsidRPr="009D6323">
              <w:rPr>
                <w:b/>
                <w:color w:val="000000"/>
                <w:szCs w:val="24"/>
              </w:rPr>
              <w:t>Size of Sample</w:t>
            </w:r>
          </w:p>
        </w:tc>
        <w:tc>
          <w:tcPr>
            <w:tcW w:w="2834" w:type="dxa"/>
            <w:tcBorders>
              <w:top w:val="single" w:sz="4" w:space="0" w:color="000000"/>
              <w:left w:val="single" w:sz="4" w:space="0" w:color="000000"/>
              <w:bottom w:val="single" w:sz="4" w:space="0" w:color="000000"/>
              <w:right w:val="single" w:sz="4" w:space="0" w:color="000000"/>
            </w:tcBorders>
          </w:tcPr>
          <w:p w14:paraId="5D6ED855" w14:textId="77777777" w:rsidR="00182F42" w:rsidRPr="009D6323" w:rsidRDefault="00000000">
            <w:pPr>
              <w:spacing w:after="0"/>
              <w:jc w:val="center"/>
              <w:rPr>
                <w:b/>
                <w:color w:val="000000"/>
                <w:szCs w:val="24"/>
              </w:rPr>
            </w:pPr>
            <w:r w:rsidRPr="009D6323">
              <w:rPr>
                <w:b/>
                <w:color w:val="000000"/>
                <w:szCs w:val="24"/>
              </w:rPr>
              <w:t>Rate (%)</w:t>
            </w:r>
          </w:p>
        </w:tc>
      </w:tr>
      <w:tr w:rsidR="00182F42" w:rsidRPr="009D6323" w14:paraId="27350DFF" w14:textId="77777777">
        <w:tc>
          <w:tcPr>
            <w:tcW w:w="3220" w:type="dxa"/>
            <w:tcBorders>
              <w:top w:val="single" w:sz="4" w:space="0" w:color="000000"/>
              <w:left w:val="single" w:sz="4" w:space="0" w:color="000000"/>
              <w:bottom w:val="single" w:sz="4" w:space="0" w:color="000000"/>
              <w:right w:val="single" w:sz="4" w:space="0" w:color="000000"/>
            </w:tcBorders>
          </w:tcPr>
          <w:p w14:paraId="1C39D7DC" w14:textId="77777777" w:rsidR="00182F42" w:rsidRPr="009D6323" w:rsidRDefault="00000000">
            <w:pPr>
              <w:spacing w:after="0"/>
              <w:jc w:val="left"/>
              <w:rPr>
                <w:color w:val="000000"/>
                <w:szCs w:val="24"/>
              </w:rPr>
            </w:pPr>
            <w:r w:rsidRPr="009D6323">
              <w:rPr>
                <w:color w:val="000000"/>
                <w:szCs w:val="24"/>
              </w:rPr>
              <w:t>Informal Sector (Jua Kali)</w:t>
            </w:r>
          </w:p>
        </w:tc>
        <w:tc>
          <w:tcPr>
            <w:tcW w:w="3296" w:type="dxa"/>
            <w:tcBorders>
              <w:top w:val="single" w:sz="4" w:space="0" w:color="000000"/>
              <w:left w:val="single" w:sz="4" w:space="0" w:color="000000"/>
              <w:bottom w:val="single" w:sz="4" w:space="0" w:color="000000"/>
              <w:right w:val="single" w:sz="4" w:space="0" w:color="000000"/>
            </w:tcBorders>
          </w:tcPr>
          <w:p w14:paraId="721ACE0A" w14:textId="77777777" w:rsidR="00182F42" w:rsidRPr="009D6323" w:rsidRDefault="00000000">
            <w:pPr>
              <w:spacing w:after="0"/>
              <w:jc w:val="center"/>
              <w:rPr>
                <w:color w:val="000000"/>
                <w:szCs w:val="24"/>
              </w:rPr>
            </w:pPr>
            <w:r w:rsidRPr="009D6323">
              <w:rPr>
                <w:color w:val="000000"/>
                <w:szCs w:val="24"/>
              </w:rPr>
              <w:t>35</w:t>
            </w:r>
          </w:p>
        </w:tc>
        <w:tc>
          <w:tcPr>
            <w:tcW w:w="2834" w:type="dxa"/>
            <w:tcBorders>
              <w:top w:val="single" w:sz="4" w:space="0" w:color="000000"/>
              <w:left w:val="single" w:sz="4" w:space="0" w:color="000000"/>
              <w:bottom w:val="single" w:sz="4" w:space="0" w:color="000000"/>
              <w:right w:val="single" w:sz="4" w:space="0" w:color="000000"/>
            </w:tcBorders>
          </w:tcPr>
          <w:p w14:paraId="095F470A" w14:textId="77777777" w:rsidR="00182F42" w:rsidRPr="009D6323" w:rsidRDefault="00000000">
            <w:pPr>
              <w:spacing w:after="0"/>
              <w:jc w:val="center"/>
              <w:rPr>
                <w:color w:val="000000"/>
                <w:szCs w:val="24"/>
              </w:rPr>
            </w:pPr>
            <w:r w:rsidRPr="009D6323">
              <w:rPr>
                <w:color w:val="000000"/>
                <w:szCs w:val="24"/>
              </w:rPr>
              <w:t>10</w:t>
            </w:r>
          </w:p>
        </w:tc>
      </w:tr>
      <w:tr w:rsidR="00182F42" w:rsidRPr="009D6323" w14:paraId="638761C8" w14:textId="77777777">
        <w:tc>
          <w:tcPr>
            <w:tcW w:w="3220" w:type="dxa"/>
            <w:tcBorders>
              <w:top w:val="single" w:sz="4" w:space="0" w:color="000000"/>
              <w:left w:val="single" w:sz="4" w:space="0" w:color="000000"/>
              <w:bottom w:val="single" w:sz="4" w:space="0" w:color="000000"/>
              <w:right w:val="single" w:sz="4" w:space="0" w:color="000000"/>
            </w:tcBorders>
          </w:tcPr>
          <w:p w14:paraId="3966AE6D" w14:textId="77777777" w:rsidR="00182F42" w:rsidRPr="009D6323" w:rsidRDefault="00000000">
            <w:pPr>
              <w:spacing w:after="0"/>
              <w:jc w:val="left"/>
              <w:rPr>
                <w:color w:val="000000"/>
                <w:szCs w:val="24"/>
              </w:rPr>
            </w:pPr>
            <w:r w:rsidRPr="009D6323">
              <w:rPr>
                <w:color w:val="000000"/>
                <w:szCs w:val="24"/>
              </w:rPr>
              <w:t>Retail stores, Wholesale and General Trade</w:t>
            </w:r>
          </w:p>
        </w:tc>
        <w:tc>
          <w:tcPr>
            <w:tcW w:w="3296" w:type="dxa"/>
            <w:tcBorders>
              <w:top w:val="single" w:sz="4" w:space="0" w:color="000000"/>
              <w:left w:val="single" w:sz="4" w:space="0" w:color="000000"/>
              <w:bottom w:val="single" w:sz="4" w:space="0" w:color="000000"/>
              <w:right w:val="single" w:sz="4" w:space="0" w:color="000000"/>
            </w:tcBorders>
          </w:tcPr>
          <w:p w14:paraId="333E6DAE" w14:textId="77777777" w:rsidR="00182F42" w:rsidRPr="009D6323" w:rsidRDefault="00000000">
            <w:pPr>
              <w:spacing w:after="0"/>
              <w:jc w:val="center"/>
              <w:rPr>
                <w:color w:val="000000"/>
                <w:szCs w:val="24"/>
              </w:rPr>
            </w:pPr>
            <w:r w:rsidRPr="009D6323">
              <w:rPr>
                <w:color w:val="000000"/>
                <w:szCs w:val="24"/>
              </w:rPr>
              <w:t>189</w:t>
            </w:r>
          </w:p>
        </w:tc>
        <w:tc>
          <w:tcPr>
            <w:tcW w:w="2834" w:type="dxa"/>
            <w:tcBorders>
              <w:top w:val="single" w:sz="4" w:space="0" w:color="000000"/>
              <w:left w:val="single" w:sz="4" w:space="0" w:color="000000"/>
              <w:bottom w:val="single" w:sz="4" w:space="0" w:color="000000"/>
              <w:right w:val="single" w:sz="4" w:space="0" w:color="000000"/>
            </w:tcBorders>
          </w:tcPr>
          <w:p w14:paraId="7D027D21" w14:textId="77777777" w:rsidR="00182F42" w:rsidRPr="009D6323" w:rsidRDefault="00000000">
            <w:pPr>
              <w:spacing w:after="0"/>
              <w:jc w:val="center"/>
              <w:rPr>
                <w:color w:val="000000"/>
                <w:szCs w:val="24"/>
              </w:rPr>
            </w:pPr>
            <w:r w:rsidRPr="009D6323">
              <w:rPr>
                <w:color w:val="000000"/>
                <w:szCs w:val="24"/>
              </w:rPr>
              <w:t>54</w:t>
            </w:r>
          </w:p>
        </w:tc>
      </w:tr>
      <w:tr w:rsidR="00182F42" w:rsidRPr="009D6323" w14:paraId="38BCD160" w14:textId="77777777">
        <w:tc>
          <w:tcPr>
            <w:tcW w:w="3220" w:type="dxa"/>
            <w:tcBorders>
              <w:top w:val="single" w:sz="4" w:space="0" w:color="000000"/>
              <w:left w:val="single" w:sz="4" w:space="0" w:color="000000"/>
              <w:bottom w:val="single" w:sz="4" w:space="0" w:color="000000"/>
              <w:right w:val="single" w:sz="4" w:space="0" w:color="000000"/>
            </w:tcBorders>
          </w:tcPr>
          <w:p w14:paraId="5BBF2D2A" w14:textId="77777777" w:rsidR="00182F42" w:rsidRPr="009D6323" w:rsidRDefault="00000000">
            <w:pPr>
              <w:spacing w:after="0"/>
              <w:jc w:val="left"/>
            </w:pPr>
            <w:r w:rsidRPr="009D6323">
              <w:rPr>
                <w:color w:val="000000"/>
                <w:szCs w:val="24"/>
              </w:rPr>
              <w:t>Natural Resources, Forestry and Agriculture</w:t>
            </w:r>
          </w:p>
        </w:tc>
        <w:tc>
          <w:tcPr>
            <w:tcW w:w="3296" w:type="dxa"/>
            <w:tcBorders>
              <w:top w:val="single" w:sz="4" w:space="0" w:color="000000"/>
              <w:left w:val="single" w:sz="4" w:space="0" w:color="000000"/>
              <w:bottom w:val="single" w:sz="4" w:space="0" w:color="000000"/>
              <w:right w:val="single" w:sz="4" w:space="0" w:color="000000"/>
            </w:tcBorders>
          </w:tcPr>
          <w:p w14:paraId="50349998" w14:textId="77777777" w:rsidR="00182F42" w:rsidRPr="009D6323" w:rsidRDefault="00000000">
            <w:pPr>
              <w:spacing w:after="0"/>
              <w:jc w:val="center"/>
              <w:rPr>
                <w:color w:val="000000"/>
                <w:szCs w:val="24"/>
              </w:rPr>
            </w:pPr>
            <w:r w:rsidRPr="009D6323">
              <w:rPr>
                <w:color w:val="000000"/>
                <w:szCs w:val="24"/>
              </w:rPr>
              <w:t>21</w:t>
            </w:r>
          </w:p>
        </w:tc>
        <w:tc>
          <w:tcPr>
            <w:tcW w:w="2834" w:type="dxa"/>
            <w:tcBorders>
              <w:top w:val="single" w:sz="4" w:space="0" w:color="000000"/>
              <w:left w:val="single" w:sz="4" w:space="0" w:color="000000"/>
              <w:bottom w:val="single" w:sz="4" w:space="0" w:color="000000"/>
              <w:right w:val="single" w:sz="4" w:space="0" w:color="000000"/>
            </w:tcBorders>
          </w:tcPr>
          <w:p w14:paraId="0CF5474B" w14:textId="77777777" w:rsidR="00182F42" w:rsidRPr="009D6323" w:rsidRDefault="00000000">
            <w:pPr>
              <w:spacing w:after="0"/>
              <w:jc w:val="center"/>
              <w:rPr>
                <w:color w:val="000000"/>
                <w:szCs w:val="24"/>
              </w:rPr>
            </w:pPr>
            <w:r w:rsidRPr="009D6323">
              <w:rPr>
                <w:color w:val="000000"/>
                <w:szCs w:val="24"/>
              </w:rPr>
              <w:t>6</w:t>
            </w:r>
          </w:p>
        </w:tc>
      </w:tr>
      <w:tr w:rsidR="00182F42" w:rsidRPr="009D6323" w14:paraId="09242160" w14:textId="77777777">
        <w:tc>
          <w:tcPr>
            <w:tcW w:w="3220" w:type="dxa"/>
            <w:tcBorders>
              <w:top w:val="single" w:sz="4" w:space="0" w:color="000000"/>
              <w:left w:val="single" w:sz="4" w:space="0" w:color="000000"/>
              <w:bottom w:val="single" w:sz="4" w:space="0" w:color="000000"/>
              <w:right w:val="single" w:sz="4" w:space="0" w:color="000000"/>
            </w:tcBorders>
          </w:tcPr>
          <w:p w14:paraId="3EB93481" w14:textId="77777777" w:rsidR="00182F42" w:rsidRPr="009D6323" w:rsidRDefault="00000000">
            <w:pPr>
              <w:spacing w:after="0"/>
              <w:jc w:val="left"/>
              <w:rPr>
                <w:color w:val="000000"/>
                <w:szCs w:val="24"/>
              </w:rPr>
            </w:pPr>
            <w:r w:rsidRPr="009D6323">
              <w:rPr>
                <w:color w:val="000000"/>
                <w:szCs w:val="24"/>
              </w:rPr>
              <w:t>Catering and Accommodation</w:t>
            </w:r>
          </w:p>
        </w:tc>
        <w:tc>
          <w:tcPr>
            <w:tcW w:w="3296" w:type="dxa"/>
            <w:tcBorders>
              <w:top w:val="single" w:sz="4" w:space="0" w:color="000000"/>
              <w:left w:val="single" w:sz="4" w:space="0" w:color="000000"/>
              <w:bottom w:val="single" w:sz="4" w:space="0" w:color="000000"/>
              <w:right w:val="single" w:sz="4" w:space="0" w:color="000000"/>
            </w:tcBorders>
          </w:tcPr>
          <w:p w14:paraId="62201087" w14:textId="77777777" w:rsidR="00182F42" w:rsidRPr="009D6323" w:rsidRDefault="00000000">
            <w:pPr>
              <w:spacing w:after="0"/>
              <w:jc w:val="center"/>
              <w:rPr>
                <w:color w:val="000000"/>
                <w:szCs w:val="24"/>
              </w:rPr>
            </w:pPr>
            <w:r w:rsidRPr="009D6323">
              <w:rPr>
                <w:color w:val="000000"/>
                <w:szCs w:val="24"/>
              </w:rPr>
              <w:t>28</w:t>
            </w:r>
          </w:p>
        </w:tc>
        <w:tc>
          <w:tcPr>
            <w:tcW w:w="2834" w:type="dxa"/>
            <w:tcBorders>
              <w:top w:val="single" w:sz="4" w:space="0" w:color="000000"/>
              <w:left w:val="single" w:sz="4" w:space="0" w:color="000000"/>
              <w:bottom w:val="single" w:sz="4" w:space="0" w:color="000000"/>
              <w:right w:val="single" w:sz="4" w:space="0" w:color="000000"/>
            </w:tcBorders>
          </w:tcPr>
          <w:p w14:paraId="0326F8D1" w14:textId="77777777" w:rsidR="00182F42" w:rsidRPr="009D6323" w:rsidRDefault="00000000">
            <w:pPr>
              <w:spacing w:after="0"/>
              <w:jc w:val="center"/>
              <w:rPr>
                <w:color w:val="000000"/>
                <w:szCs w:val="24"/>
              </w:rPr>
            </w:pPr>
            <w:r w:rsidRPr="009D6323">
              <w:rPr>
                <w:color w:val="000000"/>
                <w:szCs w:val="24"/>
              </w:rPr>
              <w:t>8</w:t>
            </w:r>
          </w:p>
        </w:tc>
      </w:tr>
      <w:tr w:rsidR="00182F42" w:rsidRPr="009D6323" w14:paraId="36F87297" w14:textId="77777777">
        <w:tc>
          <w:tcPr>
            <w:tcW w:w="3220" w:type="dxa"/>
            <w:tcBorders>
              <w:top w:val="single" w:sz="4" w:space="0" w:color="000000"/>
              <w:left w:val="single" w:sz="4" w:space="0" w:color="000000"/>
              <w:bottom w:val="single" w:sz="4" w:space="0" w:color="000000"/>
              <w:right w:val="single" w:sz="4" w:space="0" w:color="000000"/>
            </w:tcBorders>
          </w:tcPr>
          <w:p w14:paraId="4A21233D" w14:textId="77777777" w:rsidR="00182F42" w:rsidRPr="009D6323" w:rsidRDefault="00000000">
            <w:pPr>
              <w:spacing w:after="0"/>
              <w:jc w:val="left"/>
              <w:rPr>
                <w:color w:val="000000"/>
                <w:szCs w:val="24"/>
              </w:rPr>
            </w:pPr>
            <w:r w:rsidRPr="009D6323">
              <w:rPr>
                <w:color w:val="000000"/>
                <w:szCs w:val="24"/>
              </w:rPr>
              <w:t xml:space="preserve">Technical and Professional </w:t>
            </w:r>
            <w:r w:rsidRPr="009D6323">
              <w:rPr>
                <w:color w:val="000000"/>
                <w:szCs w:val="24"/>
              </w:rPr>
              <w:lastRenderedPageBreak/>
              <w:t xml:space="preserve">and Services </w:t>
            </w:r>
          </w:p>
        </w:tc>
        <w:tc>
          <w:tcPr>
            <w:tcW w:w="3296" w:type="dxa"/>
            <w:tcBorders>
              <w:top w:val="single" w:sz="4" w:space="0" w:color="000000"/>
              <w:left w:val="single" w:sz="4" w:space="0" w:color="000000"/>
              <w:bottom w:val="single" w:sz="4" w:space="0" w:color="000000"/>
              <w:right w:val="single" w:sz="4" w:space="0" w:color="000000"/>
            </w:tcBorders>
          </w:tcPr>
          <w:p w14:paraId="7451B0F1" w14:textId="77777777" w:rsidR="00182F42" w:rsidRPr="009D6323" w:rsidRDefault="00000000">
            <w:pPr>
              <w:spacing w:after="0"/>
              <w:jc w:val="center"/>
              <w:rPr>
                <w:color w:val="000000"/>
                <w:szCs w:val="24"/>
              </w:rPr>
            </w:pPr>
            <w:r w:rsidRPr="009D6323">
              <w:rPr>
                <w:color w:val="000000"/>
                <w:szCs w:val="24"/>
              </w:rPr>
              <w:lastRenderedPageBreak/>
              <w:t>53</w:t>
            </w:r>
          </w:p>
        </w:tc>
        <w:tc>
          <w:tcPr>
            <w:tcW w:w="2834" w:type="dxa"/>
            <w:tcBorders>
              <w:top w:val="single" w:sz="4" w:space="0" w:color="000000"/>
              <w:left w:val="single" w:sz="4" w:space="0" w:color="000000"/>
              <w:bottom w:val="single" w:sz="4" w:space="0" w:color="000000"/>
              <w:right w:val="single" w:sz="4" w:space="0" w:color="000000"/>
            </w:tcBorders>
          </w:tcPr>
          <w:p w14:paraId="7CFDFDA4" w14:textId="77777777" w:rsidR="00182F42" w:rsidRPr="009D6323" w:rsidRDefault="00000000">
            <w:pPr>
              <w:spacing w:after="0"/>
              <w:jc w:val="center"/>
              <w:rPr>
                <w:color w:val="000000"/>
                <w:szCs w:val="24"/>
              </w:rPr>
            </w:pPr>
            <w:r w:rsidRPr="009D6323">
              <w:rPr>
                <w:color w:val="000000"/>
                <w:szCs w:val="24"/>
              </w:rPr>
              <w:t>15</w:t>
            </w:r>
          </w:p>
        </w:tc>
      </w:tr>
      <w:tr w:rsidR="00182F42" w:rsidRPr="009D6323" w14:paraId="36464BBE" w14:textId="77777777">
        <w:tc>
          <w:tcPr>
            <w:tcW w:w="3220" w:type="dxa"/>
            <w:tcBorders>
              <w:top w:val="single" w:sz="4" w:space="0" w:color="000000"/>
              <w:left w:val="single" w:sz="4" w:space="0" w:color="000000"/>
              <w:bottom w:val="single" w:sz="4" w:space="0" w:color="000000"/>
              <w:right w:val="single" w:sz="4" w:space="0" w:color="000000"/>
            </w:tcBorders>
          </w:tcPr>
          <w:p w14:paraId="7450E7FD" w14:textId="77777777" w:rsidR="00182F42" w:rsidRPr="009D6323" w:rsidRDefault="00000000">
            <w:pPr>
              <w:spacing w:after="0"/>
              <w:jc w:val="left"/>
              <w:rPr>
                <w:color w:val="000000"/>
                <w:szCs w:val="24"/>
              </w:rPr>
            </w:pPr>
            <w:r w:rsidRPr="009D6323">
              <w:rPr>
                <w:color w:val="000000"/>
                <w:szCs w:val="24"/>
              </w:rPr>
              <w:t>Entertainment, Health and Private Education</w:t>
            </w:r>
          </w:p>
        </w:tc>
        <w:tc>
          <w:tcPr>
            <w:tcW w:w="3296" w:type="dxa"/>
            <w:tcBorders>
              <w:top w:val="single" w:sz="4" w:space="0" w:color="000000"/>
              <w:left w:val="single" w:sz="4" w:space="0" w:color="000000"/>
              <w:bottom w:val="single" w:sz="4" w:space="0" w:color="000000"/>
              <w:right w:val="single" w:sz="4" w:space="0" w:color="000000"/>
            </w:tcBorders>
          </w:tcPr>
          <w:p w14:paraId="5EE0CCA5" w14:textId="77777777" w:rsidR="00182F42" w:rsidRPr="009D6323" w:rsidRDefault="00000000">
            <w:pPr>
              <w:spacing w:after="0"/>
              <w:jc w:val="center"/>
              <w:rPr>
                <w:color w:val="000000"/>
                <w:szCs w:val="24"/>
              </w:rPr>
            </w:pPr>
            <w:r w:rsidRPr="009D6323">
              <w:rPr>
                <w:color w:val="000000"/>
                <w:szCs w:val="24"/>
              </w:rPr>
              <w:t>14</w:t>
            </w:r>
          </w:p>
        </w:tc>
        <w:tc>
          <w:tcPr>
            <w:tcW w:w="2834" w:type="dxa"/>
            <w:tcBorders>
              <w:top w:val="single" w:sz="4" w:space="0" w:color="000000"/>
              <w:left w:val="single" w:sz="4" w:space="0" w:color="000000"/>
              <w:bottom w:val="single" w:sz="4" w:space="0" w:color="000000"/>
              <w:right w:val="single" w:sz="4" w:space="0" w:color="000000"/>
            </w:tcBorders>
          </w:tcPr>
          <w:p w14:paraId="7117B9F8" w14:textId="77777777" w:rsidR="00182F42" w:rsidRPr="009D6323" w:rsidRDefault="00000000">
            <w:pPr>
              <w:spacing w:after="0"/>
              <w:jc w:val="center"/>
              <w:rPr>
                <w:color w:val="000000"/>
                <w:szCs w:val="24"/>
              </w:rPr>
            </w:pPr>
            <w:r w:rsidRPr="009D6323">
              <w:rPr>
                <w:color w:val="000000"/>
                <w:szCs w:val="24"/>
              </w:rPr>
              <w:t>4</w:t>
            </w:r>
          </w:p>
        </w:tc>
      </w:tr>
      <w:tr w:rsidR="00182F42" w:rsidRPr="009D6323" w14:paraId="343CBCD8" w14:textId="77777777">
        <w:tc>
          <w:tcPr>
            <w:tcW w:w="3220" w:type="dxa"/>
            <w:tcBorders>
              <w:top w:val="single" w:sz="4" w:space="0" w:color="000000"/>
              <w:left w:val="single" w:sz="4" w:space="0" w:color="000000"/>
              <w:bottom w:val="single" w:sz="4" w:space="0" w:color="000000"/>
              <w:right w:val="single" w:sz="4" w:space="0" w:color="000000"/>
            </w:tcBorders>
          </w:tcPr>
          <w:p w14:paraId="41D47A2F" w14:textId="77777777" w:rsidR="00182F42" w:rsidRPr="009D6323" w:rsidRDefault="00000000">
            <w:pPr>
              <w:spacing w:after="0"/>
              <w:jc w:val="left"/>
              <w:rPr>
                <w:color w:val="000000"/>
                <w:szCs w:val="24"/>
              </w:rPr>
            </w:pPr>
            <w:r w:rsidRPr="009D6323">
              <w:rPr>
                <w:color w:val="000000"/>
                <w:szCs w:val="24"/>
              </w:rPr>
              <w:t>Communications, Storage and Transport</w:t>
            </w:r>
          </w:p>
        </w:tc>
        <w:tc>
          <w:tcPr>
            <w:tcW w:w="3296" w:type="dxa"/>
            <w:tcBorders>
              <w:top w:val="single" w:sz="4" w:space="0" w:color="000000"/>
              <w:left w:val="single" w:sz="4" w:space="0" w:color="000000"/>
              <w:bottom w:val="single" w:sz="4" w:space="0" w:color="000000"/>
              <w:right w:val="single" w:sz="4" w:space="0" w:color="000000"/>
            </w:tcBorders>
          </w:tcPr>
          <w:p w14:paraId="0F6045D4" w14:textId="77777777" w:rsidR="00182F42" w:rsidRPr="009D6323" w:rsidRDefault="00000000">
            <w:pPr>
              <w:spacing w:after="0"/>
              <w:jc w:val="center"/>
              <w:rPr>
                <w:color w:val="000000"/>
                <w:szCs w:val="24"/>
              </w:rPr>
            </w:pPr>
            <w:r w:rsidRPr="009D6323">
              <w:rPr>
                <w:color w:val="000000"/>
                <w:szCs w:val="24"/>
              </w:rPr>
              <w:t>16</w:t>
            </w:r>
          </w:p>
        </w:tc>
        <w:tc>
          <w:tcPr>
            <w:tcW w:w="2834" w:type="dxa"/>
            <w:tcBorders>
              <w:top w:val="single" w:sz="4" w:space="0" w:color="000000"/>
              <w:left w:val="single" w:sz="4" w:space="0" w:color="000000"/>
              <w:bottom w:val="single" w:sz="4" w:space="0" w:color="000000"/>
              <w:right w:val="single" w:sz="4" w:space="0" w:color="000000"/>
            </w:tcBorders>
          </w:tcPr>
          <w:p w14:paraId="7B6386F1" w14:textId="77777777" w:rsidR="00182F42" w:rsidRPr="009D6323" w:rsidRDefault="00000000">
            <w:pPr>
              <w:spacing w:after="0"/>
              <w:jc w:val="center"/>
              <w:rPr>
                <w:color w:val="000000"/>
                <w:szCs w:val="24"/>
              </w:rPr>
            </w:pPr>
            <w:r w:rsidRPr="009D6323">
              <w:rPr>
                <w:color w:val="000000"/>
                <w:szCs w:val="24"/>
              </w:rPr>
              <w:t>5</w:t>
            </w:r>
          </w:p>
        </w:tc>
      </w:tr>
      <w:tr w:rsidR="00182F42" w:rsidRPr="009D6323" w14:paraId="0589E3D7" w14:textId="77777777">
        <w:tc>
          <w:tcPr>
            <w:tcW w:w="3220" w:type="dxa"/>
            <w:tcBorders>
              <w:top w:val="single" w:sz="4" w:space="0" w:color="000000"/>
              <w:left w:val="single" w:sz="4" w:space="0" w:color="000000"/>
              <w:bottom w:val="single" w:sz="4" w:space="0" w:color="000000"/>
              <w:right w:val="single" w:sz="4" w:space="0" w:color="000000"/>
            </w:tcBorders>
          </w:tcPr>
          <w:p w14:paraId="19257686" w14:textId="77777777" w:rsidR="00182F42" w:rsidRPr="009D6323" w:rsidRDefault="00000000">
            <w:pPr>
              <w:spacing w:after="0"/>
              <w:jc w:val="left"/>
              <w:rPr>
                <w:color w:val="000000"/>
                <w:szCs w:val="24"/>
              </w:rPr>
            </w:pPr>
            <w:r w:rsidRPr="009D6323">
              <w:rPr>
                <w:color w:val="000000"/>
                <w:szCs w:val="24"/>
              </w:rPr>
              <w:t>Workshops, Factories, Industrial Plants</w:t>
            </w:r>
          </w:p>
        </w:tc>
        <w:tc>
          <w:tcPr>
            <w:tcW w:w="3296" w:type="dxa"/>
            <w:tcBorders>
              <w:top w:val="single" w:sz="4" w:space="0" w:color="000000"/>
              <w:left w:val="single" w:sz="4" w:space="0" w:color="000000"/>
              <w:bottom w:val="single" w:sz="4" w:space="0" w:color="000000"/>
              <w:right w:val="single" w:sz="4" w:space="0" w:color="000000"/>
            </w:tcBorders>
          </w:tcPr>
          <w:p w14:paraId="4D40B42B" w14:textId="77777777" w:rsidR="00182F42" w:rsidRPr="009D6323" w:rsidRDefault="00000000">
            <w:pPr>
              <w:spacing w:after="0"/>
              <w:jc w:val="center"/>
              <w:rPr>
                <w:color w:val="000000"/>
                <w:szCs w:val="24"/>
              </w:rPr>
            </w:pPr>
            <w:r w:rsidRPr="009D6323">
              <w:rPr>
                <w:color w:val="000000"/>
                <w:szCs w:val="24"/>
              </w:rPr>
              <w:t>25</w:t>
            </w:r>
          </w:p>
        </w:tc>
        <w:tc>
          <w:tcPr>
            <w:tcW w:w="2834" w:type="dxa"/>
            <w:tcBorders>
              <w:top w:val="single" w:sz="4" w:space="0" w:color="000000"/>
              <w:left w:val="single" w:sz="4" w:space="0" w:color="000000"/>
              <w:bottom w:val="single" w:sz="4" w:space="0" w:color="000000"/>
              <w:right w:val="single" w:sz="4" w:space="0" w:color="000000"/>
            </w:tcBorders>
          </w:tcPr>
          <w:p w14:paraId="464CA605" w14:textId="77777777" w:rsidR="00182F42" w:rsidRPr="009D6323" w:rsidRDefault="00000000">
            <w:pPr>
              <w:spacing w:after="0"/>
              <w:jc w:val="center"/>
              <w:rPr>
                <w:color w:val="000000"/>
                <w:szCs w:val="24"/>
              </w:rPr>
            </w:pPr>
            <w:r w:rsidRPr="009D6323">
              <w:rPr>
                <w:color w:val="000000"/>
                <w:szCs w:val="24"/>
              </w:rPr>
              <w:t>7</w:t>
            </w:r>
          </w:p>
        </w:tc>
      </w:tr>
      <w:tr w:rsidR="00182F42" w:rsidRPr="009D6323" w14:paraId="59141F09" w14:textId="77777777">
        <w:tc>
          <w:tcPr>
            <w:tcW w:w="3220" w:type="dxa"/>
            <w:tcBorders>
              <w:top w:val="single" w:sz="4" w:space="0" w:color="000000"/>
              <w:left w:val="single" w:sz="4" w:space="0" w:color="000000"/>
              <w:bottom w:val="single" w:sz="4" w:space="0" w:color="000000"/>
              <w:right w:val="single" w:sz="4" w:space="0" w:color="000000"/>
            </w:tcBorders>
          </w:tcPr>
          <w:p w14:paraId="15F6504D" w14:textId="77777777" w:rsidR="00182F42" w:rsidRPr="009D6323" w:rsidRDefault="00000000">
            <w:pPr>
              <w:spacing w:after="0"/>
              <w:jc w:val="left"/>
              <w:rPr>
                <w:color w:val="000000"/>
                <w:szCs w:val="24"/>
              </w:rPr>
            </w:pPr>
            <w:r w:rsidRPr="009D6323">
              <w:rPr>
                <w:color w:val="000000"/>
                <w:szCs w:val="24"/>
              </w:rPr>
              <w:t xml:space="preserve">Total </w:t>
            </w:r>
          </w:p>
        </w:tc>
        <w:tc>
          <w:tcPr>
            <w:tcW w:w="3296" w:type="dxa"/>
            <w:tcBorders>
              <w:top w:val="single" w:sz="4" w:space="0" w:color="000000"/>
              <w:left w:val="single" w:sz="4" w:space="0" w:color="000000"/>
              <w:bottom w:val="single" w:sz="4" w:space="0" w:color="000000"/>
              <w:right w:val="single" w:sz="4" w:space="0" w:color="000000"/>
            </w:tcBorders>
          </w:tcPr>
          <w:p w14:paraId="25735F5C" w14:textId="77777777" w:rsidR="00182F42" w:rsidRPr="009D6323" w:rsidRDefault="00000000">
            <w:pPr>
              <w:spacing w:after="0"/>
              <w:jc w:val="center"/>
              <w:rPr>
                <w:color w:val="000000"/>
                <w:szCs w:val="24"/>
              </w:rPr>
            </w:pPr>
            <w:r w:rsidRPr="009D6323">
              <w:rPr>
                <w:color w:val="000000"/>
                <w:szCs w:val="24"/>
              </w:rPr>
              <w:t>350</w:t>
            </w:r>
          </w:p>
        </w:tc>
        <w:tc>
          <w:tcPr>
            <w:tcW w:w="2834" w:type="dxa"/>
            <w:tcBorders>
              <w:top w:val="single" w:sz="4" w:space="0" w:color="000000"/>
              <w:left w:val="single" w:sz="4" w:space="0" w:color="000000"/>
              <w:bottom w:val="single" w:sz="4" w:space="0" w:color="000000"/>
              <w:right w:val="single" w:sz="4" w:space="0" w:color="000000"/>
            </w:tcBorders>
          </w:tcPr>
          <w:p w14:paraId="561E078A" w14:textId="77777777" w:rsidR="00182F42" w:rsidRPr="009D6323" w:rsidRDefault="00000000">
            <w:pPr>
              <w:spacing w:after="0"/>
              <w:jc w:val="center"/>
              <w:rPr>
                <w:color w:val="000000"/>
                <w:szCs w:val="24"/>
              </w:rPr>
            </w:pPr>
            <w:r w:rsidRPr="009D6323">
              <w:rPr>
                <w:color w:val="000000"/>
                <w:szCs w:val="24"/>
              </w:rPr>
              <w:t>100</w:t>
            </w:r>
          </w:p>
        </w:tc>
      </w:tr>
    </w:tbl>
    <w:p w14:paraId="73F7774E" w14:textId="77777777" w:rsidR="00182F42" w:rsidRPr="009D6323" w:rsidRDefault="00000000">
      <w:pPr>
        <w:spacing w:after="0"/>
        <w:rPr>
          <w:b/>
          <w:color w:val="000000"/>
          <w:szCs w:val="24"/>
        </w:rPr>
      </w:pPr>
      <w:r w:rsidRPr="009D6323">
        <w:t>Source: Micro and Small Enterprises Authority (2022)</w:t>
      </w:r>
    </w:p>
    <w:p w14:paraId="77A8DFC5" w14:textId="77777777" w:rsidR="00182F42" w:rsidRPr="009D6323" w:rsidRDefault="00000000">
      <w:pPr>
        <w:pStyle w:val="Heading2"/>
      </w:pPr>
      <w:r w:rsidRPr="009D6323">
        <w:rPr>
          <w:color w:val="000000"/>
        </w:rPr>
        <w:t>3.3 Sample Design and Sample Size</w:t>
      </w:r>
    </w:p>
    <w:p w14:paraId="249D9343" w14:textId="77777777" w:rsidR="00182F42" w:rsidRPr="009D6323" w:rsidRDefault="00000000">
      <w:pPr>
        <w:spacing w:after="0"/>
      </w:pPr>
      <w:r w:rsidRPr="009D6323">
        <w:t>Sampling design refers to the plan or action that researchers use to select a small representative group of individuals, organisations, or objects from a larger population for a study (Sileyew, 2019). Stratified random sampling is a research technique used to select a representative sample from a diverse population (Borgianni &amp; Maccioni, 2020). The stratified random sampling method was used to select the study sample. Given the heterogeneity of the population, the method was suitable for this research. A stratified random sampling method was adopted because of the heterogeneity of registered SMEs in Nairobi. This method involved stratifying the population into homogeneous groups or ranks based on a specific attribute, as shown in Table 2, namely industry sector. Sample size was calculated using Slovin's formula. The equation below gives the sample formula at a 95% significance level and a 5% confidence interval (Rezigalla, 2020).</w:t>
      </w:r>
    </w:p>
    <w:p w14:paraId="4C272D35" w14:textId="77777777" w:rsidR="00182F42" w:rsidRPr="009D6323" w:rsidRDefault="00000000">
      <w:pPr>
        <w:tabs>
          <w:tab w:val="left" w:pos="1785"/>
        </w:tabs>
        <w:spacing w:after="0"/>
        <w:rPr>
          <w:rFonts w:eastAsia="Cambria Math"/>
          <w:color w:val="000000"/>
          <w:szCs w:val="24"/>
        </w:rPr>
      </w:pPr>
      <w:r w:rsidRPr="009D6323">
        <w:rPr>
          <w:color w:val="000000"/>
          <w:szCs w:val="24"/>
        </w:rPr>
        <w:tab/>
        <w:t xml:space="preserve">   </w:t>
      </w:r>
      <w:r w:rsidRPr="009D6323">
        <w:rPr>
          <w:rFonts w:ascii="Cambria Math" w:eastAsia="Cambria Math" w:hAnsi="Cambria Math" w:cs="Cambria Math"/>
          <w:color w:val="000000"/>
          <w:szCs w:val="24"/>
        </w:rPr>
        <w:t>𝑁</w:t>
      </w:r>
    </w:p>
    <w:p w14:paraId="15FE291E" w14:textId="47ED4E9A" w:rsidR="00182F42" w:rsidRPr="009D6323" w:rsidRDefault="00000000">
      <w:pPr>
        <w:widowControl w:val="0"/>
        <w:autoSpaceDE w:val="0"/>
        <w:spacing w:after="0"/>
        <w:ind w:left="960" w:firstLine="480"/>
        <w:jc w:val="left"/>
        <w:rPr>
          <w:rFonts w:eastAsia="Cambria Math"/>
          <w:color w:val="000000"/>
          <w:szCs w:val="24"/>
        </w:rPr>
      </w:pPr>
      <w:r>
        <w:rPr>
          <w:noProof/>
        </w:rPr>
        <w:pict w14:anchorId="1B67FBAE">
          <v:rect id="Rectangle 15" o:spid="_x0000_s2051" style="position:absolute;left:0;text-align:left;margin-left:156.9pt;margin-top:4.2pt;width:42pt;height:.85pt;z-index:-2;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" o:allowincell="f" fillcolor="black" stroked="f" strokeweight="0">
            <w10:wrap anchorx="page"/>
          </v:rect>
        </w:pict>
      </w:r>
      <w:r w:rsidR="009E4DF5" w:rsidRPr="009D6323">
        <w:rPr>
          <w:rFonts w:ascii="Cambria Math" w:eastAsia="Cambria Math" w:hAnsi="Cambria Math" w:cs="Cambria Math"/>
          <w:color w:val="000000"/>
          <w:position w:val="16"/>
          <w:szCs w:val="24"/>
        </w:rPr>
        <w:t>𝑛</w:t>
      </w:r>
      <w:r w:rsidR="009E4DF5" w:rsidRPr="009D6323">
        <w:rPr>
          <w:rFonts w:eastAsia="Cambria Math"/>
          <w:color w:val="000000"/>
          <w:position w:val="16"/>
          <w:szCs w:val="24"/>
        </w:rPr>
        <w:t xml:space="preserve">= </w:t>
      </w:r>
      <w:r w:rsidR="009E4DF5" w:rsidRPr="009D6323">
        <w:rPr>
          <w:rFonts w:eastAsia="Cambria Math"/>
          <w:color w:val="000000"/>
          <w:szCs w:val="24"/>
        </w:rPr>
        <w:t>1</w:t>
      </w:r>
      <w:r w:rsidR="009E4DF5" w:rsidRPr="009D6323">
        <w:rPr>
          <w:rFonts w:eastAsia="Cambria Math"/>
          <w:color w:val="000000"/>
          <w:spacing w:val="2"/>
          <w:szCs w:val="24"/>
        </w:rPr>
        <w:t xml:space="preserve"> </w:t>
      </w:r>
      <w:r w:rsidR="009E4DF5" w:rsidRPr="009D6323">
        <w:rPr>
          <w:rFonts w:eastAsia="Cambria Math"/>
          <w:color w:val="000000"/>
          <w:szCs w:val="24"/>
        </w:rPr>
        <w:t>+</w:t>
      </w:r>
      <w:r w:rsidR="009E4DF5" w:rsidRPr="009D6323">
        <w:rPr>
          <w:rFonts w:eastAsia="Cambria Math"/>
          <w:color w:val="000000"/>
          <w:spacing w:val="6"/>
          <w:szCs w:val="24"/>
        </w:rPr>
        <w:t xml:space="preserve"> </w:t>
      </w:r>
      <w:r w:rsidR="009E4DF5" w:rsidRPr="009D6323">
        <w:rPr>
          <w:rFonts w:ascii="Cambria Math" w:eastAsia="Cambria Math" w:hAnsi="Cambria Math" w:cs="Cambria Math"/>
          <w:color w:val="000000"/>
          <w:szCs w:val="24"/>
        </w:rPr>
        <w:t>𝑁𝑒</w:t>
      </w:r>
      <w:r w:rsidR="009E4DF5" w:rsidRPr="009D6323">
        <w:rPr>
          <w:rFonts w:eastAsia="Cambria Math"/>
          <w:color w:val="000000"/>
          <w:szCs w:val="24"/>
          <w:vertAlign w:val="superscript"/>
        </w:rPr>
        <w:t>2</w:t>
      </w:r>
    </w:p>
    <w:p w14:paraId="527C15BA" w14:textId="77777777" w:rsidR="00182F42" w:rsidRPr="009D6323" w:rsidRDefault="00000000">
      <w:pPr>
        <w:spacing w:after="0"/>
        <w:rPr>
          <w:color w:val="000000"/>
          <w:szCs w:val="24"/>
        </w:rPr>
      </w:pPr>
      <w:r w:rsidRPr="009D6323">
        <w:rPr>
          <w:color w:val="000000"/>
          <w:szCs w:val="24"/>
        </w:rPr>
        <w:t>Where:</w:t>
      </w:r>
    </w:p>
    <w:p w14:paraId="7D5A5263" w14:textId="77777777" w:rsidR="00182F42" w:rsidRPr="009D6323" w:rsidRDefault="00000000">
      <w:pPr>
        <w:spacing w:after="0"/>
        <w:rPr>
          <w:color w:val="000000"/>
          <w:szCs w:val="24"/>
        </w:rPr>
      </w:pPr>
      <w:r w:rsidRPr="009D6323">
        <w:rPr>
          <w:color w:val="000000"/>
          <w:szCs w:val="24"/>
        </w:rPr>
        <w:t>n = Sample size</w:t>
      </w:r>
    </w:p>
    <w:p w14:paraId="0D17ADA8" w14:textId="77777777" w:rsidR="00182F42" w:rsidRPr="009D6323" w:rsidRDefault="00000000">
      <w:pPr>
        <w:spacing w:after="0"/>
        <w:rPr>
          <w:color w:val="000000"/>
          <w:szCs w:val="24"/>
        </w:rPr>
      </w:pPr>
      <w:r w:rsidRPr="009D6323">
        <w:t>N = Population size; e = margin of error</w:t>
      </w:r>
    </w:p>
    <w:p w14:paraId="606DCC16" w14:textId="77777777" w:rsidR="00182F42" w:rsidRPr="009D6323" w:rsidRDefault="00000000">
      <w:pPr>
        <w:spacing w:after="0"/>
        <w:rPr>
          <w:color w:val="000000"/>
          <w:szCs w:val="24"/>
        </w:rPr>
      </w:pPr>
      <w:r w:rsidRPr="009D6323">
        <w:t>Based on the formula, n for the research was:</w:t>
      </w:r>
    </w:p>
    <w:p w14:paraId="6F3B61D3" w14:textId="77777777" w:rsidR="00182F42" w:rsidRPr="009D6323" w:rsidRDefault="00000000">
      <w:pPr>
        <w:pStyle w:val="BodyText"/>
        <w:spacing w:line="360" w:lineRule="auto"/>
        <w:ind w:left="4690" w:right="2060"/>
        <w:rPr>
          <w:color w:val="000000"/>
        </w:rPr>
      </w:pPr>
      <w:r w:rsidRPr="009D6323">
        <w:rPr>
          <w:color w:val="000000"/>
        </w:rPr>
        <w:t xml:space="preserve"> 350</w:t>
      </w:r>
    </w:p>
    <w:p w14:paraId="5424C2D4" w14:textId="4FA1D1B9" w:rsidR="00182F42" w:rsidRPr="009D6323" w:rsidRDefault="00000000">
      <w:pPr>
        <w:widowControl w:val="0"/>
        <w:autoSpaceDE w:val="0"/>
        <w:spacing w:after="0"/>
        <w:ind w:left="2528" w:right="2518"/>
        <w:jc w:val="center"/>
      </w:pPr>
      <w:r>
        <w:rPr>
          <w:noProof/>
        </w:rPr>
        <w:pict w14:anchorId="5E3FA780">
          <v:rect id="Rectangle 17" o:spid="_x0000_s2050" style="position:absolute;left:0;text-align:left;margin-left:274.1pt;margin-top:5.05pt;width:86.5pt;height:.85pt;z-index:-1;visibility:visible;mso-wrap-style:square;mso-wrap-distance-left:9.05pt;mso-wrap-distance-top:0;mso-wrap-distance-right:9.0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" o:allowincell="f" fillcolor="black" stroked="f" strokeweight="0">
            <w10:wrap anchorx="page"/>
          </v:rect>
        </w:pict>
      </w:r>
      <w:r w:rsidR="009E4DF5" w:rsidRPr="009D6323">
        <w:rPr>
          <w:rFonts w:ascii="Cambria Math" w:eastAsia="Cambria Math" w:hAnsi="Cambria Math" w:cs="Cambria Math"/>
          <w:color w:val="000000"/>
          <w:position w:val="16"/>
          <w:szCs w:val="24"/>
        </w:rPr>
        <w:t>𝑛</w:t>
      </w:r>
      <w:r w:rsidR="009E4DF5" w:rsidRPr="009D6323">
        <w:rPr>
          <w:rFonts w:eastAsia="Cambria Math"/>
          <w:color w:val="000000"/>
          <w:position w:val="16"/>
          <w:szCs w:val="24"/>
        </w:rPr>
        <w:t>=</w:t>
      </w:r>
      <w:r w:rsidR="009E4DF5" w:rsidRPr="009D6323">
        <w:rPr>
          <w:rFonts w:eastAsia="Cambria Math"/>
          <w:color w:val="000000"/>
          <w:spacing w:val="14"/>
          <w:position w:val="16"/>
          <w:szCs w:val="24"/>
        </w:rPr>
        <w:t xml:space="preserve"> </w:t>
      </w:r>
      <w:r w:rsidR="009E4DF5" w:rsidRPr="009D6323">
        <w:rPr>
          <w:rFonts w:eastAsia="Cambria Math"/>
          <w:color w:val="000000"/>
          <w:szCs w:val="24"/>
        </w:rPr>
        <w:t>1</w:t>
      </w:r>
      <w:r w:rsidR="009E4DF5" w:rsidRPr="009D6323">
        <w:rPr>
          <w:rFonts w:eastAsia="Cambria Math"/>
          <w:color w:val="000000"/>
          <w:spacing w:val="2"/>
          <w:szCs w:val="24"/>
        </w:rPr>
        <w:t xml:space="preserve"> </w:t>
      </w:r>
      <w:r w:rsidR="009E4DF5" w:rsidRPr="009D6323">
        <w:rPr>
          <w:rFonts w:eastAsia="Cambria Math"/>
          <w:color w:val="000000"/>
          <w:szCs w:val="24"/>
        </w:rPr>
        <w:t>+</w:t>
      </w:r>
      <w:r w:rsidR="009E4DF5" w:rsidRPr="009D6323">
        <w:rPr>
          <w:rFonts w:eastAsia="Cambria Math"/>
          <w:color w:val="000000"/>
          <w:spacing w:val="1"/>
          <w:szCs w:val="24"/>
        </w:rPr>
        <w:t xml:space="preserve"> </w:t>
      </w:r>
      <w:r w:rsidR="009E4DF5" w:rsidRPr="009D6323">
        <w:rPr>
          <w:rFonts w:eastAsia="Cambria Math"/>
          <w:color w:val="000000"/>
          <w:szCs w:val="24"/>
        </w:rPr>
        <w:t>350</w:t>
      </w:r>
      <w:r w:rsidR="009E4DF5" w:rsidRPr="009D6323">
        <w:rPr>
          <w:rFonts w:eastAsia="Cambria Math"/>
          <w:color w:val="000000"/>
          <w:spacing w:val="2"/>
          <w:szCs w:val="24"/>
        </w:rPr>
        <w:t>(</w:t>
      </w:r>
      <w:r w:rsidR="009E4DF5" w:rsidRPr="009D6323">
        <w:rPr>
          <w:rFonts w:eastAsia="Cambria Math"/>
          <w:color w:val="000000"/>
          <w:szCs w:val="24"/>
        </w:rPr>
        <w:t>0.05</w:t>
      </w:r>
      <w:r w:rsidR="009E4DF5" w:rsidRPr="009D6323">
        <w:rPr>
          <w:rFonts w:eastAsia="Cambria Math"/>
          <w:color w:val="000000"/>
          <w:szCs w:val="24"/>
          <w:vertAlign w:val="superscript"/>
        </w:rPr>
        <w:t>2</w:t>
      </w:r>
      <w:r w:rsidR="009E4DF5" w:rsidRPr="009D6323">
        <w:rPr>
          <w:rFonts w:eastAsia="Cambria Math"/>
          <w:color w:val="000000"/>
          <w:szCs w:val="24"/>
        </w:rPr>
        <w:t>)</w:t>
      </w:r>
    </w:p>
    <w:p w14:paraId="21531D81" w14:textId="77777777" w:rsidR="00182F42" w:rsidRPr="009D6323" w:rsidRDefault="00000000">
      <w:pPr>
        <w:spacing w:after="0"/>
        <w:rPr>
          <w:color w:val="000000"/>
          <w:szCs w:val="24"/>
        </w:rPr>
      </w:pPr>
      <w:r w:rsidRPr="009D6323">
        <w:rPr>
          <w:color w:val="000000"/>
          <w:szCs w:val="24"/>
        </w:rPr>
        <w:tab/>
      </w:r>
      <w:r w:rsidRPr="009D6323">
        <w:rPr>
          <w:color w:val="000000"/>
          <w:szCs w:val="24"/>
        </w:rPr>
        <w:tab/>
      </w:r>
      <w:r w:rsidRPr="009D6323">
        <w:rPr>
          <w:color w:val="000000"/>
          <w:szCs w:val="24"/>
        </w:rPr>
        <w:tab/>
      </w:r>
      <w:r w:rsidRPr="009D6323">
        <w:rPr>
          <w:color w:val="000000"/>
          <w:szCs w:val="24"/>
        </w:rPr>
        <w:tab/>
      </w:r>
      <w:r w:rsidRPr="009D6323">
        <w:rPr>
          <w:color w:val="000000"/>
          <w:szCs w:val="24"/>
        </w:rPr>
        <w:tab/>
        <w:t>n =186</w:t>
      </w:r>
    </w:p>
    <w:p w14:paraId="0C9F9337" w14:textId="77777777" w:rsidR="00182F42" w:rsidRPr="009D6323" w:rsidRDefault="00000000">
      <w:pPr>
        <w:spacing w:after="0"/>
      </w:pPr>
      <w:r w:rsidRPr="009D6323">
        <w:lastRenderedPageBreak/>
        <w:t>The sampled registered SMEs were proportionately allocated within each stratum using the formula n/N, where n indicates the sample size and N represents the target population sampled.</w:t>
      </w:r>
    </w:p>
    <w:p w14:paraId="60DF650B" w14:textId="77777777" w:rsidR="00182F42" w:rsidRPr="009D6323" w:rsidRDefault="00000000">
      <w:pPr>
        <w:pStyle w:val="Caption"/>
        <w:keepNext/>
        <w:spacing w:before="0" w:after="0"/>
      </w:pPr>
      <w:r w:rsidRPr="009D6323">
        <w:t xml:space="preserve">Table 2: Size of Sample </w:t>
      </w:r>
    </w:p>
    <w:tbl>
      <w:tblPr>
        <w:tblW w:w="9586" w:type="dxa"/>
        <w:tblLayout w:type="fixed"/>
        <w:tblLook w:val="04A0" w:firstRow="1" w:lastRow="0" w:firstColumn="1" w:lastColumn="0" w:noHBand="0" w:noVBand="1"/>
      </w:tblPr>
      <w:tblGrid>
        <w:gridCol w:w="3843"/>
        <w:gridCol w:w="2631"/>
        <w:gridCol w:w="3112"/>
      </w:tblGrid>
      <w:tr w:rsidR="00182F42" w:rsidRPr="009D6323" w14:paraId="2DF2CF28" w14:textId="77777777">
        <w:trPr>
          <w:trHeight w:val="265"/>
        </w:trPr>
        <w:tc>
          <w:tcPr>
            <w:tcW w:w="3843" w:type="dxa"/>
            <w:tcBorders>
              <w:top w:val="single" w:sz="4" w:space="0" w:color="000000"/>
              <w:left w:val="single" w:sz="4" w:space="0" w:color="000000"/>
              <w:bottom w:val="single" w:sz="4" w:space="0" w:color="000000"/>
              <w:right w:val="single" w:sz="4" w:space="0" w:color="000000"/>
            </w:tcBorders>
          </w:tcPr>
          <w:p w14:paraId="75343C72" w14:textId="77777777" w:rsidR="00182F42" w:rsidRPr="009D6323" w:rsidRDefault="00000000">
            <w:pPr>
              <w:spacing w:after="0"/>
              <w:rPr>
                <w:b/>
                <w:color w:val="000000"/>
                <w:szCs w:val="24"/>
              </w:rPr>
            </w:pPr>
            <w:r w:rsidRPr="009D6323">
              <w:rPr>
                <w:b/>
                <w:color w:val="000000"/>
                <w:szCs w:val="24"/>
              </w:rPr>
              <w:t>Industry</w:t>
            </w:r>
          </w:p>
        </w:tc>
        <w:tc>
          <w:tcPr>
            <w:tcW w:w="2631" w:type="dxa"/>
            <w:tcBorders>
              <w:top w:val="single" w:sz="4" w:space="0" w:color="000000"/>
              <w:left w:val="single" w:sz="4" w:space="0" w:color="000000"/>
              <w:bottom w:val="single" w:sz="4" w:space="0" w:color="000000"/>
              <w:right w:val="single" w:sz="4" w:space="0" w:color="000000"/>
            </w:tcBorders>
          </w:tcPr>
          <w:p w14:paraId="6FFFDF5E" w14:textId="77777777" w:rsidR="00182F42" w:rsidRPr="009D6323" w:rsidRDefault="00000000">
            <w:pPr>
              <w:spacing w:after="0"/>
              <w:jc w:val="center"/>
              <w:rPr>
                <w:b/>
                <w:color w:val="000000"/>
                <w:szCs w:val="24"/>
              </w:rPr>
            </w:pPr>
            <w:r w:rsidRPr="009D6323">
              <w:rPr>
                <w:b/>
                <w:color w:val="000000"/>
                <w:szCs w:val="24"/>
              </w:rPr>
              <w:t>Size of Sample</w:t>
            </w:r>
          </w:p>
        </w:tc>
        <w:tc>
          <w:tcPr>
            <w:tcW w:w="3112" w:type="dxa"/>
            <w:tcBorders>
              <w:top w:val="single" w:sz="4" w:space="0" w:color="000000"/>
              <w:left w:val="single" w:sz="4" w:space="0" w:color="000000"/>
              <w:bottom w:val="single" w:sz="4" w:space="0" w:color="000000"/>
              <w:right w:val="single" w:sz="4" w:space="0" w:color="000000"/>
            </w:tcBorders>
          </w:tcPr>
          <w:p w14:paraId="46290006" w14:textId="77777777" w:rsidR="00182F42" w:rsidRPr="009D6323" w:rsidRDefault="00000000">
            <w:pPr>
              <w:spacing w:after="0"/>
              <w:jc w:val="center"/>
              <w:rPr>
                <w:b/>
                <w:color w:val="000000"/>
                <w:szCs w:val="24"/>
              </w:rPr>
            </w:pPr>
            <w:r w:rsidRPr="009D6323">
              <w:rPr>
                <w:b/>
                <w:color w:val="000000"/>
                <w:szCs w:val="24"/>
              </w:rPr>
              <w:t>Rate (%)</w:t>
            </w:r>
          </w:p>
        </w:tc>
      </w:tr>
      <w:tr w:rsidR="00182F42" w:rsidRPr="009D6323" w14:paraId="04CF0652" w14:textId="77777777">
        <w:trPr>
          <w:trHeight w:val="398"/>
        </w:trPr>
        <w:tc>
          <w:tcPr>
            <w:tcW w:w="3843" w:type="dxa"/>
            <w:tcBorders>
              <w:top w:val="single" w:sz="4" w:space="0" w:color="000000"/>
              <w:left w:val="single" w:sz="4" w:space="0" w:color="000000"/>
              <w:bottom w:val="single" w:sz="4" w:space="0" w:color="000000"/>
              <w:right w:val="single" w:sz="4" w:space="0" w:color="000000"/>
            </w:tcBorders>
          </w:tcPr>
          <w:p w14:paraId="5701F75D" w14:textId="77777777" w:rsidR="00182F42" w:rsidRPr="009D6323" w:rsidRDefault="00000000">
            <w:pPr>
              <w:spacing w:after="0"/>
              <w:rPr>
                <w:color w:val="000000"/>
                <w:szCs w:val="24"/>
              </w:rPr>
            </w:pPr>
            <w:r w:rsidRPr="009D6323">
              <w:rPr>
                <w:color w:val="000000"/>
                <w:szCs w:val="24"/>
              </w:rPr>
              <w:t>Informal Sector (Jua Kali)</w:t>
            </w:r>
          </w:p>
        </w:tc>
        <w:tc>
          <w:tcPr>
            <w:tcW w:w="2631" w:type="dxa"/>
            <w:tcBorders>
              <w:top w:val="single" w:sz="4" w:space="0" w:color="000000"/>
              <w:left w:val="single" w:sz="4" w:space="0" w:color="000000"/>
              <w:bottom w:val="single" w:sz="4" w:space="0" w:color="000000"/>
              <w:right w:val="single" w:sz="4" w:space="0" w:color="000000"/>
            </w:tcBorders>
          </w:tcPr>
          <w:p w14:paraId="017B8FB8" w14:textId="77777777" w:rsidR="00182F42" w:rsidRPr="009D6323" w:rsidRDefault="00000000">
            <w:pPr>
              <w:spacing w:after="0"/>
              <w:jc w:val="center"/>
              <w:rPr>
                <w:color w:val="000000"/>
                <w:szCs w:val="24"/>
              </w:rPr>
            </w:pPr>
            <w:r w:rsidRPr="009D6323">
              <w:rPr>
                <w:color w:val="000000"/>
                <w:szCs w:val="24"/>
              </w:rPr>
              <w:t>2</w:t>
            </w:r>
          </w:p>
        </w:tc>
        <w:tc>
          <w:tcPr>
            <w:tcW w:w="3112" w:type="dxa"/>
            <w:tcBorders>
              <w:top w:val="single" w:sz="4" w:space="0" w:color="000000"/>
              <w:left w:val="single" w:sz="4" w:space="0" w:color="000000"/>
              <w:bottom w:val="single" w:sz="4" w:space="0" w:color="000000"/>
              <w:right w:val="single" w:sz="4" w:space="0" w:color="000000"/>
            </w:tcBorders>
          </w:tcPr>
          <w:p w14:paraId="7C452CA7" w14:textId="77777777" w:rsidR="00182F42" w:rsidRPr="009D6323" w:rsidRDefault="00000000">
            <w:pPr>
              <w:spacing w:after="0"/>
              <w:jc w:val="center"/>
              <w:rPr>
                <w:color w:val="000000"/>
                <w:szCs w:val="24"/>
              </w:rPr>
            </w:pPr>
            <w:r w:rsidRPr="009D6323">
              <w:rPr>
                <w:color w:val="000000"/>
                <w:szCs w:val="24"/>
              </w:rPr>
              <w:t>10</w:t>
            </w:r>
          </w:p>
        </w:tc>
      </w:tr>
      <w:tr w:rsidR="00182F42" w:rsidRPr="009D6323" w14:paraId="3AF8A229" w14:textId="77777777">
        <w:trPr>
          <w:trHeight w:val="398"/>
        </w:trPr>
        <w:tc>
          <w:tcPr>
            <w:tcW w:w="3843" w:type="dxa"/>
            <w:tcBorders>
              <w:top w:val="single" w:sz="4" w:space="0" w:color="000000"/>
              <w:left w:val="single" w:sz="4" w:space="0" w:color="000000"/>
              <w:bottom w:val="single" w:sz="4" w:space="0" w:color="000000"/>
              <w:right w:val="single" w:sz="4" w:space="0" w:color="000000"/>
            </w:tcBorders>
          </w:tcPr>
          <w:p w14:paraId="15323C5A" w14:textId="77777777" w:rsidR="00182F42" w:rsidRPr="009D6323" w:rsidRDefault="00000000">
            <w:pPr>
              <w:spacing w:after="0"/>
              <w:rPr>
                <w:color w:val="000000"/>
                <w:szCs w:val="24"/>
              </w:rPr>
            </w:pPr>
            <w:r w:rsidRPr="009D6323">
              <w:rPr>
                <w:color w:val="000000"/>
                <w:szCs w:val="24"/>
              </w:rPr>
              <w:t>Retail stores, Wholesale and General Trade</w:t>
            </w:r>
          </w:p>
        </w:tc>
        <w:tc>
          <w:tcPr>
            <w:tcW w:w="2631" w:type="dxa"/>
            <w:tcBorders>
              <w:top w:val="single" w:sz="4" w:space="0" w:color="000000"/>
              <w:left w:val="single" w:sz="4" w:space="0" w:color="000000"/>
              <w:bottom w:val="single" w:sz="4" w:space="0" w:color="000000"/>
              <w:right w:val="single" w:sz="4" w:space="0" w:color="000000"/>
            </w:tcBorders>
          </w:tcPr>
          <w:p w14:paraId="434203E4" w14:textId="77777777" w:rsidR="00182F42" w:rsidRPr="009D6323" w:rsidRDefault="00000000">
            <w:pPr>
              <w:spacing w:after="0"/>
              <w:jc w:val="center"/>
              <w:rPr>
                <w:color w:val="000000"/>
                <w:szCs w:val="24"/>
              </w:rPr>
            </w:pPr>
            <w:r w:rsidRPr="009D6323">
              <w:rPr>
                <w:color w:val="000000"/>
                <w:szCs w:val="24"/>
              </w:rPr>
              <w:t>101</w:t>
            </w:r>
          </w:p>
        </w:tc>
        <w:tc>
          <w:tcPr>
            <w:tcW w:w="3112" w:type="dxa"/>
            <w:tcBorders>
              <w:top w:val="single" w:sz="4" w:space="0" w:color="000000"/>
              <w:left w:val="single" w:sz="4" w:space="0" w:color="000000"/>
              <w:bottom w:val="single" w:sz="4" w:space="0" w:color="000000"/>
              <w:right w:val="single" w:sz="4" w:space="0" w:color="000000"/>
            </w:tcBorders>
          </w:tcPr>
          <w:p w14:paraId="569C0856" w14:textId="77777777" w:rsidR="00182F42" w:rsidRPr="009D6323" w:rsidRDefault="00000000">
            <w:pPr>
              <w:spacing w:after="0"/>
              <w:jc w:val="center"/>
              <w:rPr>
                <w:color w:val="000000"/>
                <w:szCs w:val="24"/>
              </w:rPr>
            </w:pPr>
            <w:r w:rsidRPr="009D6323">
              <w:rPr>
                <w:color w:val="000000"/>
                <w:szCs w:val="24"/>
              </w:rPr>
              <w:t>54</w:t>
            </w:r>
          </w:p>
        </w:tc>
      </w:tr>
      <w:tr w:rsidR="00182F42" w:rsidRPr="009D6323" w14:paraId="72637844" w14:textId="77777777">
        <w:trPr>
          <w:trHeight w:val="413"/>
        </w:trPr>
        <w:tc>
          <w:tcPr>
            <w:tcW w:w="3843" w:type="dxa"/>
            <w:tcBorders>
              <w:top w:val="single" w:sz="4" w:space="0" w:color="000000"/>
              <w:left w:val="single" w:sz="4" w:space="0" w:color="000000"/>
              <w:bottom w:val="single" w:sz="4" w:space="0" w:color="000000"/>
              <w:right w:val="single" w:sz="4" w:space="0" w:color="000000"/>
            </w:tcBorders>
          </w:tcPr>
          <w:p w14:paraId="6F71CD58" w14:textId="77777777" w:rsidR="00182F42" w:rsidRPr="009D6323" w:rsidRDefault="00000000">
            <w:pPr>
              <w:spacing w:after="0"/>
              <w:rPr>
                <w:color w:val="000000"/>
                <w:szCs w:val="24"/>
              </w:rPr>
            </w:pPr>
            <w:r w:rsidRPr="009D6323">
              <w:rPr>
                <w:color w:val="000000"/>
                <w:szCs w:val="24"/>
              </w:rPr>
              <w:t>Natural Resources, Forestry and Agriculture</w:t>
            </w:r>
          </w:p>
        </w:tc>
        <w:tc>
          <w:tcPr>
            <w:tcW w:w="2631" w:type="dxa"/>
            <w:tcBorders>
              <w:top w:val="single" w:sz="4" w:space="0" w:color="000000"/>
              <w:left w:val="single" w:sz="4" w:space="0" w:color="000000"/>
              <w:bottom w:val="single" w:sz="4" w:space="0" w:color="000000"/>
              <w:right w:val="single" w:sz="4" w:space="0" w:color="000000"/>
            </w:tcBorders>
          </w:tcPr>
          <w:p w14:paraId="7BDF899F" w14:textId="77777777" w:rsidR="00182F42" w:rsidRPr="009D6323" w:rsidRDefault="00000000">
            <w:pPr>
              <w:spacing w:after="0"/>
              <w:jc w:val="center"/>
              <w:rPr>
                <w:color w:val="000000"/>
                <w:szCs w:val="24"/>
              </w:rPr>
            </w:pPr>
            <w:r w:rsidRPr="009D6323">
              <w:rPr>
                <w:color w:val="000000"/>
                <w:szCs w:val="24"/>
              </w:rPr>
              <w:t>11</w:t>
            </w:r>
          </w:p>
        </w:tc>
        <w:tc>
          <w:tcPr>
            <w:tcW w:w="3112" w:type="dxa"/>
            <w:tcBorders>
              <w:top w:val="single" w:sz="4" w:space="0" w:color="000000"/>
              <w:left w:val="single" w:sz="4" w:space="0" w:color="000000"/>
              <w:bottom w:val="single" w:sz="4" w:space="0" w:color="000000"/>
              <w:right w:val="single" w:sz="4" w:space="0" w:color="000000"/>
            </w:tcBorders>
          </w:tcPr>
          <w:p w14:paraId="49AFA541" w14:textId="77777777" w:rsidR="00182F42" w:rsidRPr="009D6323" w:rsidRDefault="00000000">
            <w:pPr>
              <w:spacing w:after="0"/>
              <w:jc w:val="center"/>
              <w:rPr>
                <w:color w:val="000000"/>
                <w:szCs w:val="24"/>
              </w:rPr>
            </w:pPr>
            <w:r w:rsidRPr="009D6323">
              <w:rPr>
                <w:color w:val="000000"/>
                <w:szCs w:val="24"/>
              </w:rPr>
              <w:t>6</w:t>
            </w:r>
          </w:p>
        </w:tc>
      </w:tr>
      <w:tr w:rsidR="00182F42" w:rsidRPr="009D6323" w14:paraId="7CD75D59" w14:textId="77777777">
        <w:trPr>
          <w:trHeight w:val="398"/>
        </w:trPr>
        <w:tc>
          <w:tcPr>
            <w:tcW w:w="3843" w:type="dxa"/>
            <w:tcBorders>
              <w:top w:val="single" w:sz="4" w:space="0" w:color="000000"/>
              <w:left w:val="single" w:sz="4" w:space="0" w:color="000000"/>
              <w:bottom w:val="single" w:sz="4" w:space="0" w:color="000000"/>
              <w:right w:val="single" w:sz="4" w:space="0" w:color="000000"/>
            </w:tcBorders>
          </w:tcPr>
          <w:p w14:paraId="6D09B7BF" w14:textId="77777777" w:rsidR="00182F42" w:rsidRPr="009D6323" w:rsidRDefault="00000000">
            <w:pPr>
              <w:spacing w:after="0"/>
              <w:rPr>
                <w:color w:val="000000"/>
                <w:szCs w:val="24"/>
              </w:rPr>
            </w:pPr>
            <w:r w:rsidRPr="009D6323">
              <w:rPr>
                <w:color w:val="000000"/>
                <w:szCs w:val="24"/>
              </w:rPr>
              <w:t>Catering and Accommodation</w:t>
            </w:r>
          </w:p>
        </w:tc>
        <w:tc>
          <w:tcPr>
            <w:tcW w:w="2631" w:type="dxa"/>
            <w:tcBorders>
              <w:top w:val="single" w:sz="4" w:space="0" w:color="000000"/>
              <w:left w:val="single" w:sz="4" w:space="0" w:color="000000"/>
              <w:bottom w:val="single" w:sz="4" w:space="0" w:color="000000"/>
              <w:right w:val="single" w:sz="4" w:space="0" w:color="000000"/>
            </w:tcBorders>
          </w:tcPr>
          <w:p w14:paraId="28DAFBB8" w14:textId="77777777" w:rsidR="00182F42" w:rsidRPr="009D6323" w:rsidRDefault="00000000">
            <w:pPr>
              <w:spacing w:after="0"/>
              <w:jc w:val="center"/>
              <w:rPr>
                <w:color w:val="000000"/>
                <w:szCs w:val="24"/>
              </w:rPr>
            </w:pPr>
            <w:r w:rsidRPr="009D6323">
              <w:rPr>
                <w:color w:val="000000"/>
                <w:szCs w:val="24"/>
              </w:rPr>
              <w:t>15</w:t>
            </w:r>
          </w:p>
        </w:tc>
        <w:tc>
          <w:tcPr>
            <w:tcW w:w="3112" w:type="dxa"/>
            <w:tcBorders>
              <w:top w:val="single" w:sz="4" w:space="0" w:color="000000"/>
              <w:left w:val="single" w:sz="4" w:space="0" w:color="000000"/>
              <w:bottom w:val="single" w:sz="4" w:space="0" w:color="000000"/>
              <w:right w:val="single" w:sz="4" w:space="0" w:color="000000"/>
            </w:tcBorders>
          </w:tcPr>
          <w:p w14:paraId="73F799E2" w14:textId="77777777" w:rsidR="00182F42" w:rsidRPr="009D6323" w:rsidRDefault="00000000">
            <w:pPr>
              <w:spacing w:after="0"/>
              <w:jc w:val="center"/>
              <w:rPr>
                <w:color w:val="000000"/>
                <w:szCs w:val="24"/>
              </w:rPr>
            </w:pPr>
            <w:r w:rsidRPr="009D6323">
              <w:rPr>
                <w:color w:val="000000"/>
                <w:szCs w:val="24"/>
              </w:rPr>
              <w:t>8</w:t>
            </w:r>
          </w:p>
        </w:tc>
      </w:tr>
      <w:tr w:rsidR="00182F42" w:rsidRPr="009D6323" w14:paraId="7B293E6D" w14:textId="77777777">
        <w:trPr>
          <w:trHeight w:val="265"/>
        </w:trPr>
        <w:tc>
          <w:tcPr>
            <w:tcW w:w="3843" w:type="dxa"/>
            <w:tcBorders>
              <w:top w:val="single" w:sz="4" w:space="0" w:color="000000"/>
              <w:left w:val="single" w:sz="4" w:space="0" w:color="000000"/>
              <w:bottom w:val="single" w:sz="4" w:space="0" w:color="000000"/>
              <w:right w:val="single" w:sz="4" w:space="0" w:color="000000"/>
            </w:tcBorders>
          </w:tcPr>
          <w:p w14:paraId="6D250F0C" w14:textId="77777777" w:rsidR="00182F42" w:rsidRPr="009D6323" w:rsidRDefault="00000000">
            <w:pPr>
              <w:spacing w:after="0"/>
              <w:rPr>
                <w:color w:val="000000"/>
                <w:szCs w:val="24"/>
              </w:rPr>
            </w:pPr>
            <w:r w:rsidRPr="009D6323">
              <w:rPr>
                <w:color w:val="000000"/>
                <w:szCs w:val="24"/>
              </w:rPr>
              <w:t xml:space="preserve">Technical and Professional as well as Services </w:t>
            </w:r>
          </w:p>
        </w:tc>
        <w:tc>
          <w:tcPr>
            <w:tcW w:w="2631" w:type="dxa"/>
            <w:tcBorders>
              <w:top w:val="single" w:sz="4" w:space="0" w:color="000000"/>
              <w:left w:val="single" w:sz="4" w:space="0" w:color="000000"/>
              <w:bottom w:val="single" w:sz="4" w:space="0" w:color="000000"/>
              <w:right w:val="single" w:sz="4" w:space="0" w:color="000000"/>
            </w:tcBorders>
          </w:tcPr>
          <w:p w14:paraId="41BF38F8" w14:textId="77777777" w:rsidR="00182F42" w:rsidRPr="009D6323" w:rsidRDefault="00000000">
            <w:pPr>
              <w:spacing w:after="0"/>
              <w:jc w:val="center"/>
              <w:rPr>
                <w:color w:val="000000"/>
                <w:szCs w:val="24"/>
              </w:rPr>
            </w:pPr>
            <w:r w:rsidRPr="009D6323">
              <w:rPr>
                <w:color w:val="000000"/>
                <w:szCs w:val="24"/>
              </w:rPr>
              <w:t>28</w:t>
            </w:r>
          </w:p>
        </w:tc>
        <w:tc>
          <w:tcPr>
            <w:tcW w:w="3112" w:type="dxa"/>
            <w:tcBorders>
              <w:top w:val="single" w:sz="4" w:space="0" w:color="000000"/>
              <w:left w:val="single" w:sz="4" w:space="0" w:color="000000"/>
              <w:bottom w:val="single" w:sz="4" w:space="0" w:color="000000"/>
              <w:right w:val="single" w:sz="4" w:space="0" w:color="000000"/>
            </w:tcBorders>
          </w:tcPr>
          <w:p w14:paraId="5FF95470" w14:textId="77777777" w:rsidR="00182F42" w:rsidRPr="009D6323" w:rsidRDefault="00000000">
            <w:pPr>
              <w:spacing w:after="0"/>
              <w:jc w:val="center"/>
              <w:rPr>
                <w:color w:val="000000"/>
                <w:szCs w:val="24"/>
              </w:rPr>
            </w:pPr>
            <w:r w:rsidRPr="009D6323">
              <w:rPr>
                <w:color w:val="000000"/>
                <w:szCs w:val="24"/>
              </w:rPr>
              <w:t>15</w:t>
            </w:r>
          </w:p>
        </w:tc>
      </w:tr>
      <w:tr w:rsidR="00182F42" w:rsidRPr="009D6323" w14:paraId="2882BC63" w14:textId="77777777">
        <w:trPr>
          <w:trHeight w:val="265"/>
        </w:trPr>
        <w:tc>
          <w:tcPr>
            <w:tcW w:w="3843" w:type="dxa"/>
            <w:tcBorders>
              <w:top w:val="single" w:sz="4" w:space="0" w:color="000000"/>
              <w:left w:val="single" w:sz="4" w:space="0" w:color="000000"/>
              <w:bottom w:val="single" w:sz="4" w:space="0" w:color="000000"/>
              <w:right w:val="single" w:sz="4" w:space="0" w:color="000000"/>
            </w:tcBorders>
          </w:tcPr>
          <w:p w14:paraId="784CD175" w14:textId="77777777" w:rsidR="00182F42" w:rsidRPr="009D6323" w:rsidRDefault="00000000">
            <w:pPr>
              <w:spacing w:after="0"/>
              <w:rPr>
                <w:color w:val="000000"/>
                <w:szCs w:val="24"/>
              </w:rPr>
            </w:pPr>
            <w:r w:rsidRPr="009D6323">
              <w:rPr>
                <w:color w:val="000000"/>
                <w:szCs w:val="24"/>
              </w:rPr>
              <w:t>Entertainment, Health and also Private Education</w:t>
            </w:r>
          </w:p>
        </w:tc>
        <w:tc>
          <w:tcPr>
            <w:tcW w:w="2631" w:type="dxa"/>
            <w:tcBorders>
              <w:top w:val="single" w:sz="4" w:space="0" w:color="000000"/>
              <w:left w:val="single" w:sz="4" w:space="0" w:color="000000"/>
              <w:bottom w:val="single" w:sz="4" w:space="0" w:color="000000"/>
              <w:right w:val="single" w:sz="4" w:space="0" w:color="000000"/>
            </w:tcBorders>
          </w:tcPr>
          <w:p w14:paraId="360C6B11" w14:textId="77777777" w:rsidR="00182F42" w:rsidRPr="009D6323" w:rsidRDefault="00000000">
            <w:pPr>
              <w:spacing w:after="0"/>
              <w:jc w:val="center"/>
              <w:rPr>
                <w:color w:val="000000"/>
                <w:szCs w:val="24"/>
              </w:rPr>
            </w:pPr>
            <w:r w:rsidRPr="009D6323">
              <w:rPr>
                <w:color w:val="000000"/>
                <w:szCs w:val="24"/>
              </w:rPr>
              <w:t>7</w:t>
            </w:r>
          </w:p>
        </w:tc>
        <w:tc>
          <w:tcPr>
            <w:tcW w:w="3112" w:type="dxa"/>
            <w:tcBorders>
              <w:top w:val="single" w:sz="4" w:space="0" w:color="000000"/>
              <w:left w:val="single" w:sz="4" w:space="0" w:color="000000"/>
              <w:bottom w:val="single" w:sz="4" w:space="0" w:color="000000"/>
              <w:right w:val="single" w:sz="4" w:space="0" w:color="000000"/>
            </w:tcBorders>
          </w:tcPr>
          <w:p w14:paraId="157444DE" w14:textId="77777777" w:rsidR="00182F42" w:rsidRPr="009D6323" w:rsidRDefault="00000000">
            <w:pPr>
              <w:spacing w:after="0"/>
              <w:jc w:val="center"/>
              <w:rPr>
                <w:color w:val="000000"/>
                <w:szCs w:val="24"/>
              </w:rPr>
            </w:pPr>
            <w:r w:rsidRPr="009D6323">
              <w:rPr>
                <w:color w:val="000000"/>
                <w:szCs w:val="24"/>
              </w:rPr>
              <w:t>4</w:t>
            </w:r>
          </w:p>
        </w:tc>
      </w:tr>
      <w:tr w:rsidR="00182F42" w:rsidRPr="009D6323" w14:paraId="789A43E4" w14:textId="77777777">
        <w:trPr>
          <w:trHeight w:val="265"/>
        </w:trPr>
        <w:tc>
          <w:tcPr>
            <w:tcW w:w="3843" w:type="dxa"/>
            <w:tcBorders>
              <w:top w:val="single" w:sz="4" w:space="0" w:color="000000"/>
              <w:left w:val="single" w:sz="4" w:space="0" w:color="000000"/>
              <w:bottom w:val="single" w:sz="4" w:space="0" w:color="000000"/>
              <w:right w:val="single" w:sz="4" w:space="0" w:color="000000"/>
            </w:tcBorders>
          </w:tcPr>
          <w:p w14:paraId="3A81DD3C" w14:textId="77777777" w:rsidR="00182F42" w:rsidRPr="009D6323" w:rsidRDefault="00000000">
            <w:pPr>
              <w:spacing w:after="0"/>
              <w:rPr>
                <w:color w:val="000000"/>
                <w:szCs w:val="24"/>
              </w:rPr>
            </w:pPr>
            <w:r w:rsidRPr="009D6323">
              <w:rPr>
                <w:color w:val="000000"/>
                <w:szCs w:val="24"/>
              </w:rPr>
              <w:t>Communications, Storage as well as Transport</w:t>
            </w:r>
          </w:p>
        </w:tc>
        <w:tc>
          <w:tcPr>
            <w:tcW w:w="2631" w:type="dxa"/>
            <w:tcBorders>
              <w:top w:val="single" w:sz="4" w:space="0" w:color="000000"/>
              <w:left w:val="single" w:sz="4" w:space="0" w:color="000000"/>
              <w:bottom w:val="single" w:sz="4" w:space="0" w:color="000000"/>
              <w:right w:val="single" w:sz="4" w:space="0" w:color="000000"/>
            </w:tcBorders>
          </w:tcPr>
          <w:p w14:paraId="23111446" w14:textId="77777777" w:rsidR="00182F42" w:rsidRPr="009D6323" w:rsidRDefault="00000000">
            <w:pPr>
              <w:spacing w:after="0"/>
              <w:jc w:val="center"/>
              <w:rPr>
                <w:color w:val="000000"/>
                <w:szCs w:val="24"/>
              </w:rPr>
            </w:pPr>
            <w:r w:rsidRPr="009D6323">
              <w:rPr>
                <w:color w:val="000000"/>
                <w:szCs w:val="24"/>
              </w:rPr>
              <w:t>9</w:t>
            </w:r>
          </w:p>
        </w:tc>
        <w:tc>
          <w:tcPr>
            <w:tcW w:w="3112" w:type="dxa"/>
            <w:tcBorders>
              <w:top w:val="single" w:sz="4" w:space="0" w:color="000000"/>
              <w:left w:val="single" w:sz="4" w:space="0" w:color="000000"/>
              <w:bottom w:val="single" w:sz="4" w:space="0" w:color="000000"/>
              <w:right w:val="single" w:sz="4" w:space="0" w:color="000000"/>
            </w:tcBorders>
          </w:tcPr>
          <w:p w14:paraId="61439439" w14:textId="77777777" w:rsidR="00182F42" w:rsidRPr="009D6323" w:rsidRDefault="00000000">
            <w:pPr>
              <w:spacing w:after="0"/>
              <w:jc w:val="center"/>
              <w:rPr>
                <w:color w:val="000000"/>
                <w:szCs w:val="24"/>
              </w:rPr>
            </w:pPr>
            <w:r w:rsidRPr="009D6323">
              <w:rPr>
                <w:color w:val="000000"/>
                <w:szCs w:val="24"/>
              </w:rPr>
              <w:t>5</w:t>
            </w:r>
          </w:p>
        </w:tc>
      </w:tr>
      <w:tr w:rsidR="00182F42" w:rsidRPr="009D6323" w14:paraId="75993891" w14:textId="77777777">
        <w:trPr>
          <w:trHeight w:val="265"/>
        </w:trPr>
        <w:tc>
          <w:tcPr>
            <w:tcW w:w="3843" w:type="dxa"/>
            <w:tcBorders>
              <w:top w:val="single" w:sz="4" w:space="0" w:color="000000"/>
              <w:left w:val="single" w:sz="4" w:space="0" w:color="000000"/>
              <w:bottom w:val="single" w:sz="4" w:space="0" w:color="000000"/>
              <w:right w:val="single" w:sz="4" w:space="0" w:color="000000"/>
            </w:tcBorders>
          </w:tcPr>
          <w:p w14:paraId="512B8554" w14:textId="77777777" w:rsidR="00182F42" w:rsidRPr="009D6323" w:rsidRDefault="00000000">
            <w:pPr>
              <w:spacing w:after="0"/>
              <w:rPr>
                <w:color w:val="000000"/>
                <w:szCs w:val="24"/>
              </w:rPr>
            </w:pPr>
            <w:r w:rsidRPr="009D6323">
              <w:rPr>
                <w:color w:val="000000"/>
                <w:szCs w:val="24"/>
              </w:rPr>
              <w:t>Workshops, Factories, and even Industrial Plants</w:t>
            </w:r>
          </w:p>
        </w:tc>
        <w:tc>
          <w:tcPr>
            <w:tcW w:w="2631" w:type="dxa"/>
            <w:tcBorders>
              <w:top w:val="single" w:sz="4" w:space="0" w:color="000000"/>
              <w:left w:val="single" w:sz="4" w:space="0" w:color="000000"/>
              <w:bottom w:val="single" w:sz="4" w:space="0" w:color="000000"/>
              <w:right w:val="single" w:sz="4" w:space="0" w:color="000000"/>
            </w:tcBorders>
          </w:tcPr>
          <w:p w14:paraId="0DA6B8F7" w14:textId="77777777" w:rsidR="00182F42" w:rsidRPr="009D6323" w:rsidRDefault="00000000">
            <w:pPr>
              <w:spacing w:after="0"/>
              <w:jc w:val="center"/>
              <w:rPr>
                <w:color w:val="000000"/>
                <w:szCs w:val="24"/>
              </w:rPr>
            </w:pPr>
            <w:r w:rsidRPr="009D6323">
              <w:rPr>
                <w:color w:val="000000"/>
                <w:szCs w:val="24"/>
              </w:rPr>
              <w:t>13</w:t>
            </w:r>
          </w:p>
        </w:tc>
        <w:tc>
          <w:tcPr>
            <w:tcW w:w="3112" w:type="dxa"/>
            <w:tcBorders>
              <w:top w:val="single" w:sz="4" w:space="0" w:color="000000"/>
              <w:left w:val="single" w:sz="4" w:space="0" w:color="000000"/>
              <w:bottom w:val="single" w:sz="4" w:space="0" w:color="000000"/>
              <w:right w:val="single" w:sz="4" w:space="0" w:color="000000"/>
            </w:tcBorders>
          </w:tcPr>
          <w:p w14:paraId="5012A037" w14:textId="77777777" w:rsidR="00182F42" w:rsidRPr="009D6323" w:rsidRDefault="00000000">
            <w:pPr>
              <w:spacing w:after="0"/>
              <w:jc w:val="center"/>
              <w:rPr>
                <w:color w:val="000000"/>
                <w:szCs w:val="24"/>
              </w:rPr>
            </w:pPr>
            <w:r w:rsidRPr="009D6323">
              <w:rPr>
                <w:color w:val="000000"/>
                <w:szCs w:val="24"/>
              </w:rPr>
              <w:t>7</w:t>
            </w:r>
          </w:p>
        </w:tc>
      </w:tr>
      <w:tr w:rsidR="00182F42" w:rsidRPr="009D6323" w14:paraId="1D68C8D6" w14:textId="77777777">
        <w:trPr>
          <w:trHeight w:val="280"/>
        </w:trPr>
        <w:tc>
          <w:tcPr>
            <w:tcW w:w="3843" w:type="dxa"/>
            <w:tcBorders>
              <w:top w:val="single" w:sz="4" w:space="0" w:color="000000"/>
              <w:left w:val="single" w:sz="4" w:space="0" w:color="000000"/>
              <w:bottom w:val="single" w:sz="4" w:space="0" w:color="000000"/>
              <w:right w:val="single" w:sz="4" w:space="0" w:color="000000"/>
            </w:tcBorders>
          </w:tcPr>
          <w:p w14:paraId="121C03AC" w14:textId="77777777" w:rsidR="00182F42" w:rsidRPr="009D6323" w:rsidRDefault="00000000">
            <w:pPr>
              <w:spacing w:after="0"/>
              <w:rPr>
                <w:color w:val="000000"/>
                <w:szCs w:val="24"/>
              </w:rPr>
            </w:pPr>
            <w:r w:rsidRPr="009D6323">
              <w:rPr>
                <w:color w:val="000000"/>
                <w:szCs w:val="24"/>
              </w:rPr>
              <w:t>Overall</w:t>
            </w:r>
          </w:p>
        </w:tc>
        <w:tc>
          <w:tcPr>
            <w:tcW w:w="2631" w:type="dxa"/>
            <w:tcBorders>
              <w:top w:val="single" w:sz="4" w:space="0" w:color="000000"/>
              <w:left w:val="single" w:sz="4" w:space="0" w:color="000000"/>
              <w:bottom w:val="single" w:sz="4" w:space="0" w:color="000000"/>
              <w:right w:val="single" w:sz="4" w:space="0" w:color="000000"/>
            </w:tcBorders>
          </w:tcPr>
          <w:p w14:paraId="57C58DAA" w14:textId="77777777" w:rsidR="00182F42" w:rsidRPr="009D6323" w:rsidRDefault="00000000">
            <w:pPr>
              <w:spacing w:after="0"/>
              <w:jc w:val="center"/>
              <w:rPr>
                <w:color w:val="000000"/>
                <w:szCs w:val="24"/>
              </w:rPr>
            </w:pPr>
            <w:r w:rsidRPr="009D6323">
              <w:rPr>
                <w:color w:val="000000"/>
                <w:szCs w:val="24"/>
              </w:rPr>
              <w:t>186</w:t>
            </w:r>
          </w:p>
        </w:tc>
        <w:tc>
          <w:tcPr>
            <w:tcW w:w="3112" w:type="dxa"/>
            <w:tcBorders>
              <w:top w:val="single" w:sz="4" w:space="0" w:color="000000"/>
              <w:left w:val="single" w:sz="4" w:space="0" w:color="000000"/>
              <w:bottom w:val="single" w:sz="4" w:space="0" w:color="000000"/>
              <w:right w:val="single" w:sz="4" w:space="0" w:color="000000"/>
            </w:tcBorders>
          </w:tcPr>
          <w:p w14:paraId="50D884BB" w14:textId="77777777" w:rsidR="00182F42" w:rsidRPr="009D6323" w:rsidRDefault="00000000">
            <w:pPr>
              <w:spacing w:after="0"/>
              <w:jc w:val="center"/>
              <w:rPr>
                <w:color w:val="000000"/>
                <w:szCs w:val="24"/>
              </w:rPr>
            </w:pPr>
            <w:r w:rsidRPr="009D6323">
              <w:rPr>
                <w:color w:val="000000"/>
                <w:szCs w:val="24"/>
              </w:rPr>
              <w:t>100</w:t>
            </w:r>
          </w:p>
        </w:tc>
      </w:tr>
    </w:tbl>
    <w:p w14:paraId="57ED777B" w14:textId="77777777" w:rsidR="00182F42" w:rsidRPr="009D6323" w:rsidRDefault="00000000">
      <w:pPr>
        <w:spacing w:after="0"/>
        <w:rPr>
          <w:b/>
          <w:color w:val="000000"/>
          <w:szCs w:val="24"/>
        </w:rPr>
      </w:pPr>
      <w:r w:rsidRPr="009D6323">
        <w:rPr>
          <w:b/>
          <w:color w:val="000000"/>
          <w:szCs w:val="24"/>
        </w:rPr>
        <w:t>Source: Researcher (2024)</w:t>
      </w:r>
    </w:p>
    <w:p w14:paraId="4C0D9D4C" w14:textId="77777777" w:rsidR="00182F42" w:rsidRPr="009D6323" w:rsidRDefault="00000000">
      <w:pPr>
        <w:pStyle w:val="Heading2"/>
      </w:pPr>
      <w:r w:rsidRPr="009D6323">
        <w:rPr>
          <w:color w:val="000000"/>
        </w:rPr>
        <w:t>3.4 Tools of Data Collection</w:t>
      </w:r>
    </w:p>
    <w:p w14:paraId="415850DD" w14:textId="77777777" w:rsidR="00182F42" w:rsidRPr="009D6323" w:rsidRDefault="00000000">
      <w:pPr>
        <w:spacing w:after="0"/>
      </w:pPr>
      <w:r w:rsidRPr="009D6323">
        <w:t xml:space="preserve">This study adopted a primary method for collecting quantitative data. A mixed-method approach was considered favourable because it enabled the researcher to address various areas of the study. The researcher used primary data, which were obtained through a questionnaire. A questionnaire is a data collection tool used in research to collect data from individuals or respondents (Sileyew, 2019). It generally consists of a set of systematic questions formulated so that participants provide specific answers. Data were collected using a self-administered questionnaire, giving respondents time to complete it before collection after a five-working-day response period. Its use as a data collection tool was justified because a questionnaire helps the researcher systematically gather responses in a time- and cost-effective manner. The </w:t>
      </w:r>
      <w:r w:rsidRPr="009D6323">
        <w:lastRenderedPageBreak/>
        <w:t>questionnaire used a Likert scale. Section 1 collected background information about the registered SMEs, Sections 2 to 5 collected information on the independent variables, and Section 6 collected information on the dependent variable.</w:t>
      </w:r>
    </w:p>
    <w:p w14:paraId="74230978" w14:textId="77777777" w:rsidR="00182F42" w:rsidRPr="009D6323" w:rsidRDefault="00000000">
      <w:pPr>
        <w:pStyle w:val="Heading2"/>
      </w:pPr>
      <w:r w:rsidRPr="009D6323">
        <w:rPr>
          <w:color w:val="000000"/>
        </w:rPr>
        <w:t>3.5 Data Collection Framework</w:t>
      </w:r>
    </w:p>
    <w:p w14:paraId="7F2F42F7" w14:textId="77777777" w:rsidR="00182F42" w:rsidRPr="009D6323" w:rsidRDefault="00000000">
      <w:pPr>
        <w:spacing w:after="0"/>
      </w:pPr>
      <w:r w:rsidRPr="009D6323">
        <w:t>The researcher intended to use questionnaires as a data collection tool to obtain information from respondents in order to assess the impact of taxation on the financial performance of SMEs. Within five working days, questionnaires were distributed to selected SMEs and retrieved using the drop-and-pick method. A list was kept to record the distribution and collection process and to ensure that the questionnaires were controlled.</w:t>
      </w:r>
    </w:p>
    <w:p w14:paraId="53290008" w14:textId="77777777" w:rsidR="00182F42" w:rsidRPr="009D6323" w:rsidRDefault="00000000">
      <w:pPr>
        <w:pStyle w:val="Heading2"/>
      </w:pPr>
      <w:r w:rsidRPr="009D6323">
        <w:rPr>
          <w:color w:val="000000"/>
        </w:rPr>
        <w:t>3.6 Presentation and Data Analysis</w:t>
      </w:r>
    </w:p>
    <w:p w14:paraId="66F307F3" w14:textId="77777777" w:rsidR="00182F42" w:rsidRPr="009D6323" w:rsidRDefault="00000000">
      <w:pPr>
        <w:spacing w:after="0"/>
      </w:pPr>
      <w:r w:rsidRPr="009D6323">
        <w:t>The respondents were vetted and asked to complete the questionnaire so that accurate and detailed responses could be captured. SPSS version 20 was used to conduct the quantitative analysis of the data. The research data were edited, coded, classified, tabulated, and presented diagrammatically for analysis and presentation. The mean and standard deviation were presented in frequency distribution tables. Multiple regression analysis was used to establish the relationship between taxes and the financial performance of registered SMEs in Starehe. The regression model used was as follows:</w:t>
      </w:r>
    </w:p>
    <w:p w14:paraId="1484D557" w14:textId="77777777" w:rsidR="00182F42" w:rsidRPr="009D6323" w:rsidRDefault="00000000">
      <w:pPr>
        <w:spacing w:after="0"/>
        <w:rPr>
          <w:color w:val="000000"/>
          <w:szCs w:val="24"/>
        </w:rPr>
      </w:pPr>
      <w:r w:rsidRPr="009D6323">
        <w:rPr>
          <w:color w:val="000000"/>
          <w:szCs w:val="24"/>
        </w:rPr>
        <w:t xml:space="preserve">Y = β0 + β1X1 + β2X2 + β3X3 + β4X4 + ε </w:t>
      </w:r>
    </w:p>
    <w:p w14:paraId="46F918D6" w14:textId="77777777" w:rsidR="00182F42" w:rsidRPr="009D6323" w:rsidRDefault="00000000">
      <w:pPr>
        <w:spacing w:after="0"/>
        <w:rPr>
          <w:color w:val="000000"/>
          <w:szCs w:val="24"/>
        </w:rPr>
      </w:pPr>
      <w:r w:rsidRPr="009D6323">
        <w:rPr>
          <w:color w:val="000000"/>
          <w:szCs w:val="24"/>
        </w:rPr>
        <w:t>Where:</w:t>
      </w:r>
    </w:p>
    <w:p w14:paraId="5D3AA65A" w14:textId="77777777" w:rsidR="00182F42" w:rsidRPr="009D6323" w:rsidRDefault="00000000">
      <w:pPr>
        <w:spacing w:after="0"/>
        <w:rPr>
          <w:color w:val="000000"/>
          <w:szCs w:val="24"/>
        </w:rPr>
      </w:pPr>
      <w:r w:rsidRPr="009D6323">
        <w:rPr>
          <w:color w:val="000000"/>
          <w:szCs w:val="24"/>
        </w:rPr>
        <w:t xml:space="preserve">Y = FP of SMEs </w:t>
      </w:r>
    </w:p>
    <w:p w14:paraId="2E0CB804" w14:textId="77777777" w:rsidR="00182F42" w:rsidRPr="009D6323" w:rsidRDefault="00000000">
      <w:pPr>
        <w:spacing w:after="0"/>
        <w:rPr>
          <w:color w:val="000000"/>
          <w:szCs w:val="24"/>
        </w:rPr>
      </w:pPr>
      <w:r w:rsidRPr="009D6323">
        <w:rPr>
          <w:color w:val="000000"/>
          <w:szCs w:val="24"/>
        </w:rPr>
        <w:t>X1= Sales turnover tax</w:t>
      </w:r>
    </w:p>
    <w:p w14:paraId="38FC4BD1" w14:textId="77777777" w:rsidR="00182F42" w:rsidRPr="009D6323" w:rsidRDefault="00000000">
      <w:pPr>
        <w:spacing w:after="0"/>
        <w:rPr>
          <w:color w:val="000000"/>
          <w:szCs w:val="24"/>
        </w:rPr>
      </w:pPr>
      <w:r w:rsidRPr="009D6323">
        <w:rPr>
          <w:color w:val="000000"/>
          <w:szCs w:val="24"/>
        </w:rPr>
        <w:t>X2= Excise Duty</w:t>
      </w:r>
    </w:p>
    <w:p w14:paraId="41F56D03" w14:textId="77777777" w:rsidR="00182F42" w:rsidRPr="009D6323" w:rsidRDefault="00000000">
      <w:pPr>
        <w:spacing w:after="0"/>
        <w:rPr>
          <w:color w:val="000000"/>
          <w:szCs w:val="24"/>
        </w:rPr>
      </w:pPr>
      <w:r w:rsidRPr="009D6323">
        <w:rPr>
          <w:color w:val="000000"/>
          <w:szCs w:val="24"/>
        </w:rPr>
        <w:t>X3= VAT</w:t>
      </w:r>
    </w:p>
    <w:p w14:paraId="7F63EEFE" w14:textId="77777777" w:rsidR="00182F42" w:rsidRPr="009D6323" w:rsidRDefault="00000000">
      <w:pPr>
        <w:spacing w:after="0"/>
        <w:rPr>
          <w:color w:val="000000"/>
          <w:szCs w:val="24"/>
        </w:rPr>
      </w:pPr>
      <w:r w:rsidRPr="009D6323">
        <w:rPr>
          <w:color w:val="000000"/>
          <w:szCs w:val="24"/>
        </w:rPr>
        <w:t>X4 = Stamp Duty</w:t>
      </w:r>
    </w:p>
    <w:p w14:paraId="37D47D7C" w14:textId="77777777" w:rsidR="00182F42" w:rsidRPr="009D6323" w:rsidRDefault="00000000">
      <w:pPr>
        <w:spacing w:after="0"/>
        <w:rPr>
          <w:color w:val="000000"/>
          <w:szCs w:val="24"/>
        </w:rPr>
      </w:pPr>
      <w:r w:rsidRPr="009D6323">
        <w:rPr>
          <w:color w:val="000000"/>
          <w:szCs w:val="24"/>
        </w:rPr>
        <w:t>The constant term is β0.</w:t>
      </w:r>
    </w:p>
    <w:p w14:paraId="6DDED795" w14:textId="77777777" w:rsidR="00182F42" w:rsidRPr="009D6323" w:rsidRDefault="00000000">
      <w:pPr>
        <w:spacing w:after="0"/>
      </w:pPr>
      <w:r w:rsidRPr="009D6323">
        <w:t>The coefficients are β1, β2, β3, and β4, and their values show how the independent variables relate to the dependent variable.</w:t>
      </w:r>
    </w:p>
    <w:p w14:paraId="190171A8" w14:textId="77777777" w:rsidR="00182F42" w:rsidRPr="009D6323" w:rsidRDefault="00000000">
      <w:pPr>
        <w:spacing w:after="0"/>
        <w:rPr>
          <w:color w:val="000000"/>
          <w:szCs w:val="24"/>
        </w:rPr>
      </w:pPr>
      <w:r w:rsidRPr="009D6323">
        <w:t>The error term, represented by ε, reflected the variance in the dependent variable that was not explained by the independent variables.</w:t>
      </w:r>
    </w:p>
    <w:p w14:paraId="6771FDB0" w14:textId="77777777" w:rsidR="00182F42" w:rsidRPr="009D6323" w:rsidRDefault="00000000">
      <w:pPr>
        <w:pStyle w:val="Heading2"/>
      </w:pPr>
      <w:r w:rsidRPr="009D6323">
        <w:rPr>
          <w:color w:val="000000"/>
        </w:rPr>
        <w:lastRenderedPageBreak/>
        <w:t>3.7 Operationalization Table</w:t>
      </w:r>
    </w:p>
    <w:p w14:paraId="1B1E49F7" w14:textId="77777777" w:rsidR="00182F42" w:rsidRPr="009D6323" w:rsidRDefault="00000000">
      <w:pPr>
        <w:pStyle w:val="Caption"/>
        <w:keepNext/>
        <w:spacing w:before="0" w:after="0"/>
      </w:pPr>
      <w:r w:rsidRPr="009D6323">
        <w:t>Table 3: Variable Measurement and Operationalization</w:t>
      </w:r>
    </w:p>
    <w:tbl>
      <w:tblPr>
        <w:tblW w:w="9350" w:type="dxa"/>
        <w:tblLayout w:type="fixed"/>
        <w:tblLook w:val="04A0" w:firstRow="1" w:lastRow="0" w:firstColumn="1" w:lastColumn="0" w:noHBand="0" w:noVBand="1"/>
      </w:tblPr>
      <w:tblGrid>
        <w:gridCol w:w="2147"/>
        <w:gridCol w:w="1813"/>
        <w:gridCol w:w="1737"/>
        <w:gridCol w:w="2170"/>
        <w:gridCol w:w="1483"/>
      </w:tblGrid>
      <w:tr w:rsidR="00182F42" w:rsidRPr="009D6323" w14:paraId="5514185A" w14:textId="77777777">
        <w:trPr>
          <w:trHeight w:val="265"/>
        </w:trPr>
        <w:tc>
          <w:tcPr>
            <w:tcW w:w="2147" w:type="dxa"/>
            <w:tcBorders>
              <w:top w:val="single" w:sz="4" w:space="0" w:color="000000"/>
              <w:left w:val="single" w:sz="4" w:space="0" w:color="000000"/>
              <w:bottom w:val="single" w:sz="4" w:space="0" w:color="000000"/>
              <w:right w:val="single" w:sz="4" w:space="0" w:color="000000"/>
            </w:tcBorders>
          </w:tcPr>
          <w:p w14:paraId="74085A53" w14:textId="77777777" w:rsidR="00182F42" w:rsidRPr="009D6323" w:rsidRDefault="00000000">
            <w:pPr>
              <w:spacing w:after="0"/>
              <w:rPr>
                <w:b/>
                <w:color w:val="000000"/>
                <w:szCs w:val="24"/>
              </w:rPr>
            </w:pPr>
            <w:r w:rsidRPr="009D6323">
              <w:rPr>
                <w:b/>
                <w:color w:val="000000"/>
                <w:szCs w:val="24"/>
              </w:rPr>
              <w:t xml:space="preserve">Variable </w:t>
            </w:r>
          </w:p>
        </w:tc>
        <w:tc>
          <w:tcPr>
            <w:tcW w:w="1813" w:type="dxa"/>
            <w:tcBorders>
              <w:top w:val="single" w:sz="4" w:space="0" w:color="000000"/>
              <w:left w:val="single" w:sz="4" w:space="0" w:color="000000"/>
              <w:bottom w:val="single" w:sz="4" w:space="0" w:color="000000"/>
              <w:right w:val="single" w:sz="4" w:space="0" w:color="000000"/>
            </w:tcBorders>
          </w:tcPr>
          <w:p w14:paraId="7F7E1AEF" w14:textId="77777777" w:rsidR="00182F42" w:rsidRPr="009D6323" w:rsidRDefault="00000000">
            <w:pPr>
              <w:spacing w:after="0"/>
              <w:rPr>
                <w:b/>
                <w:color w:val="000000"/>
                <w:szCs w:val="24"/>
              </w:rPr>
            </w:pPr>
            <w:r w:rsidRPr="009D6323">
              <w:rPr>
                <w:b/>
                <w:color w:val="000000"/>
                <w:szCs w:val="24"/>
              </w:rPr>
              <w:t>Name</w:t>
            </w:r>
          </w:p>
        </w:tc>
        <w:tc>
          <w:tcPr>
            <w:tcW w:w="1737" w:type="dxa"/>
            <w:tcBorders>
              <w:top w:val="single" w:sz="4" w:space="0" w:color="000000"/>
              <w:left w:val="single" w:sz="4" w:space="0" w:color="000000"/>
              <w:bottom w:val="single" w:sz="4" w:space="0" w:color="000000"/>
              <w:right w:val="single" w:sz="4" w:space="0" w:color="000000"/>
            </w:tcBorders>
          </w:tcPr>
          <w:p w14:paraId="23DC3B89" w14:textId="77777777" w:rsidR="00182F42" w:rsidRPr="009D6323" w:rsidRDefault="00000000">
            <w:pPr>
              <w:spacing w:after="0"/>
              <w:jc w:val="left"/>
            </w:pPr>
            <w:r w:rsidRPr="009D6323">
              <w:rPr>
                <w:b/>
                <w:color w:val="000000"/>
                <w:szCs w:val="24"/>
              </w:rPr>
              <w:t>Definition</w:t>
            </w:r>
          </w:p>
        </w:tc>
        <w:tc>
          <w:tcPr>
            <w:tcW w:w="2170" w:type="dxa"/>
            <w:tcBorders>
              <w:top w:val="single" w:sz="4" w:space="0" w:color="000000"/>
              <w:left w:val="single" w:sz="4" w:space="0" w:color="000000"/>
              <w:bottom w:val="single" w:sz="4" w:space="0" w:color="000000"/>
              <w:right w:val="single" w:sz="4" w:space="0" w:color="000000"/>
            </w:tcBorders>
          </w:tcPr>
          <w:p w14:paraId="52E4C239" w14:textId="77777777" w:rsidR="00182F42" w:rsidRPr="009D6323" w:rsidRDefault="00000000">
            <w:pPr>
              <w:spacing w:after="0"/>
              <w:jc w:val="left"/>
              <w:rPr>
                <w:b/>
                <w:color w:val="000000"/>
                <w:szCs w:val="24"/>
              </w:rPr>
            </w:pPr>
            <w:r w:rsidRPr="009D6323">
              <w:rPr>
                <w:b/>
                <w:color w:val="000000"/>
                <w:szCs w:val="24"/>
              </w:rPr>
              <w:t>Indicators</w:t>
            </w:r>
          </w:p>
        </w:tc>
        <w:tc>
          <w:tcPr>
            <w:tcW w:w="1483" w:type="dxa"/>
            <w:tcBorders>
              <w:top w:val="single" w:sz="4" w:space="0" w:color="000000"/>
              <w:left w:val="single" w:sz="4" w:space="0" w:color="000000"/>
              <w:bottom w:val="single" w:sz="4" w:space="0" w:color="000000"/>
              <w:right w:val="single" w:sz="4" w:space="0" w:color="000000"/>
            </w:tcBorders>
          </w:tcPr>
          <w:p w14:paraId="2CFBDB2D" w14:textId="77777777" w:rsidR="00182F42" w:rsidRPr="009D6323" w:rsidRDefault="00000000">
            <w:pPr>
              <w:spacing w:after="0"/>
              <w:rPr>
                <w:b/>
                <w:color w:val="000000"/>
                <w:szCs w:val="24"/>
              </w:rPr>
            </w:pPr>
            <w:r w:rsidRPr="009D6323">
              <w:rPr>
                <w:b/>
                <w:color w:val="000000"/>
                <w:szCs w:val="24"/>
              </w:rPr>
              <w:t>Scale</w:t>
            </w:r>
          </w:p>
        </w:tc>
      </w:tr>
      <w:tr w:rsidR="00182F42" w:rsidRPr="009D6323" w14:paraId="47D18D8E" w14:textId="77777777">
        <w:trPr>
          <w:trHeight w:val="398"/>
        </w:trPr>
        <w:tc>
          <w:tcPr>
            <w:tcW w:w="2147" w:type="dxa"/>
            <w:tcBorders>
              <w:top w:val="single" w:sz="4" w:space="0" w:color="000000"/>
              <w:left w:val="single" w:sz="4" w:space="0" w:color="000000"/>
              <w:bottom w:val="single" w:sz="4" w:space="0" w:color="000000"/>
              <w:right w:val="single" w:sz="4" w:space="0" w:color="000000"/>
            </w:tcBorders>
          </w:tcPr>
          <w:p w14:paraId="7EF707B6" w14:textId="77777777" w:rsidR="00182F42" w:rsidRPr="009D6323" w:rsidRDefault="00000000">
            <w:pPr>
              <w:spacing w:after="0"/>
              <w:rPr>
                <w:color w:val="000000"/>
                <w:szCs w:val="24"/>
              </w:rPr>
            </w:pPr>
            <w:r w:rsidRPr="009D6323">
              <w:rPr>
                <w:color w:val="000000"/>
                <w:szCs w:val="24"/>
              </w:rPr>
              <w:t>Independent</w:t>
            </w:r>
          </w:p>
        </w:tc>
        <w:tc>
          <w:tcPr>
            <w:tcW w:w="1813" w:type="dxa"/>
            <w:tcBorders>
              <w:top w:val="single" w:sz="4" w:space="0" w:color="000000"/>
              <w:left w:val="single" w:sz="4" w:space="0" w:color="000000"/>
              <w:bottom w:val="single" w:sz="4" w:space="0" w:color="000000"/>
              <w:right w:val="single" w:sz="4" w:space="0" w:color="000000"/>
            </w:tcBorders>
          </w:tcPr>
          <w:p w14:paraId="65EFDB35" w14:textId="77777777" w:rsidR="00182F42" w:rsidRPr="009D6323" w:rsidRDefault="00000000">
            <w:pPr>
              <w:spacing w:after="0"/>
              <w:rPr>
                <w:color w:val="000000"/>
                <w:szCs w:val="24"/>
              </w:rPr>
            </w:pPr>
            <w:r w:rsidRPr="009D6323">
              <w:rPr>
                <w:color w:val="000000"/>
                <w:szCs w:val="24"/>
              </w:rPr>
              <w:t>Sales Turnover Tax</w:t>
            </w:r>
          </w:p>
        </w:tc>
        <w:tc>
          <w:tcPr>
            <w:tcW w:w="1737" w:type="dxa"/>
            <w:tcBorders>
              <w:top w:val="single" w:sz="4" w:space="0" w:color="000000"/>
              <w:left w:val="single" w:sz="4" w:space="0" w:color="000000"/>
              <w:bottom w:val="single" w:sz="4" w:space="0" w:color="000000"/>
              <w:right w:val="single" w:sz="4" w:space="0" w:color="000000"/>
            </w:tcBorders>
          </w:tcPr>
          <w:p w14:paraId="3DB97777" w14:textId="77777777" w:rsidR="00182F42" w:rsidRPr="009D6323" w:rsidRDefault="00000000">
            <w:pPr>
              <w:spacing w:after="0"/>
              <w:jc w:val="left"/>
              <w:rPr>
                <w:color w:val="000000"/>
                <w:szCs w:val="24"/>
              </w:rPr>
            </w:pPr>
            <w:r w:rsidRPr="009D6323">
              <w:rPr>
                <w:color w:val="000000"/>
                <w:szCs w:val="24"/>
              </w:rPr>
              <w:t>A tax imposed on a business on the basis of its gross sales without allowances to business expenses.</w:t>
            </w:r>
          </w:p>
        </w:tc>
        <w:tc>
          <w:tcPr>
            <w:tcW w:w="2170" w:type="dxa"/>
            <w:tcBorders>
              <w:top w:val="single" w:sz="4" w:space="0" w:color="000000"/>
              <w:left w:val="single" w:sz="4" w:space="0" w:color="000000"/>
              <w:bottom w:val="single" w:sz="4" w:space="0" w:color="000000"/>
              <w:right w:val="single" w:sz="4" w:space="0" w:color="000000"/>
            </w:tcBorders>
          </w:tcPr>
          <w:p w14:paraId="0F28E9B3" w14:textId="77777777" w:rsidR="00182F42" w:rsidRPr="009D6323" w:rsidRDefault="00000000">
            <w:pPr>
              <w:spacing w:after="0"/>
              <w:jc w:val="left"/>
              <w:rPr>
                <w:color w:val="000000"/>
                <w:szCs w:val="24"/>
              </w:rPr>
            </w:pPr>
            <w:r w:rsidRPr="009D6323">
              <w:rPr>
                <w:color w:val="000000"/>
                <w:szCs w:val="24"/>
              </w:rPr>
              <w:t>- Percentage of gross sales paid as turnover tax- Frequency of turnover tax payments- Impact on cash flow</w:t>
            </w:r>
          </w:p>
        </w:tc>
        <w:tc>
          <w:tcPr>
            <w:tcW w:w="1483" w:type="dxa"/>
            <w:tcBorders>
              <w:top w:val="single" w:sz="4" w:space="0" w:color="000000"/>
              <w:left w:val="single" w:sz="4" w:space="0" w:color="000000"/>
              <w:bottom w:val="single" w:sz="4" w:space="0" w:color="000000"/>
              <w:right w:val="single" w:sz="4" w:space="0" w:color="000000"/>
            </w:tcBorders>
          </w:tcPr>
          <w:p w14:paraId="2F9A26DC" w14:textId="77777777" w:rsidR="00182F42" w:rsidRPr="009D6323" w:rsidRDefault="00000000">
            <w:pPr>
              <w:spacing w:after="0"/>
              <w:rPr>
                <w:color w:val="000000"/>
                <w:szCs w:val="24"/>
              </w:rPr>
            </w:pPr>
            <w:r w:rsidRPr="009D6323">
              <w:rPr>
                <w:color w:val="000000"/>
                <w:szCs w:val="24"/>
              </w:rPr>
              <w:t>Ordinal (Likert Scale)</w:t>
            </w:r>
          </w:p>
        </w:tc>
      </w:tr>
      <w:tr w:rsidR="00182F42" w:rsidRPr="009D6323" w14:paraId="10B6ACD5" w14:textId="77777777">
        <w:trPr>
          <w:trHeight w:val="398"/>
        </w:trPr>
        <w:tc>
          <w:tcPr>
            <w:tcW w:w="2147" w:type="dxa"/>
            <w:tcBorders>
              <w:top w:val="single" w:sz="4" w:space="0" w:color="000000"/>
              <w:left w:val="single" w:sz="4" w:space="0" w:color="000000"/>
              <w:bottom w:val="single" w:sz="4" w:space="0" w:color="000000"/>
              <w:right w:val="single" w:sz="4" w:space="0" w:color="000000"/>
            </w:tcBorders>
          </w:tcPr>
          <w:p w14:paraId="4D304CF0" w14:textId="77777777" w:rsidR="00182F42" w:rsidRPr="009D6323" w:rsidRDefault="00000000">
            <w:pPr>
              <w:spacing w:after="0"/>
              <w:rPr>
                <w:color w:val="000000"/>
                <w:szCs w:val="24"/>
              </w:rPr>
            </w:pPr>
            <w:r w:rsidRPr="009D6323">
              <w:rPr>
                <w:color w:val="000000"/>
                <w:szCs w:val="24"/>
              </w:rPr>
              <w:t>Independent</w:t>
            </w:r>
          </w:p>
        </w:tc>
        <w:tc>
          <w:tcPr>
            <w:tcW w:w="1813" w:type="dxa"/>
            <w:tcBorders>
              <w:top w:val="single" w:sz="4" w:space="0" w:color="000000"/>
              <w:left w:val="single" w:sz="4" w:space="0" w:color="000000"/>
              <w:bottom w:val="single" w:sz="4" w:space="0" w:color="000000"/>
              <w:right w:val="single" w:sz="4" w:space="0" w:color="000000"/>
            </w:tcBorders>
          </w:tcPr>
          <w:p w14:paraId="5104708C" w14:textId="77777777" w:rsidR="00182F42" w:rsidRPr="009D6323" w:rsidRDefault="00000000">
            <w:pPr>
              <w:spacing w:after="0"/>
              <w:rPr>
                <w:color w:val="000000"/>
                <w:szCs w:val="24"/>
              </w:rPr>
            </w:pPr>
            <w:r w:rsidRPr="009D6323">
              <w:rPr>
                <w:color w:val="000000"/>
                <w:szCs w:val="24"/>
              </w:rPr>
              <w:t>Excise Duty</w:t>
            </w:r>
          </w:p>
        </w:tc>
        <w:tc>
          <w:tcPr>
            <w:tcW w:w="1737" w:type="dxa"/>
            <w:tcBorders>
              <w:top w:val="single" w:sz="4" w:space="0" w:color="000000"/>
              <w:left w:val="single" w:sz="4" w:space="0" w:color="000000"/>
              <w:bottom w:val="single" w:sz="4" w:space="0" w:color="000000"/>
              <w:right w:val="single" w:sz="4" w:space="0" w:color="000000"/>
            </w:tcBorders>
          </w:tcPr>
          <w:p w14:paraId="325E9123" w14:textId="77777777" w:rsidR="00182F42" w:rsidRPr="009D6323" w:rsidRDefault="00000000">
            <w:pPr>
              <w:spacing w:after="0"/>
              <w:jc w:val="left"/>
              <w:rPr>
                <w:color w:val="000000"/>
                <w:szCs w:val="24"/>
              </w:rPr>
            </w:pPr>
            <w:r w:rsidRPr="009D6323">
              <w:rPr>
                <w:color w:val="000000"/>
                <w:szCs w:val="24"/>
              </w:rPr>
              <w:t>A tax on particular goods and services that may or may not be built into the cost of the product.</w:t>
            </w:r>
          </w:p>
        </w:tc>
        <w:tc>
          <w:tcPr>
            <w:tcW w:w="2170" w:type="dxa"/>
            <w:tcBorders>
              <w:top w:val="single" w:sz="4" w:space="0" w:color="000000"/>
              <w:left w:val="single" w:sz="4" w:space="0" w:color="000000"/>
              <w:bottom w:val="single" w:sz="4" w:space="0" w:color="000000"/>
              <w:right w:val="single" w:sz="4" w:space="0" w:color="000000"/>
            </w:tcBorders>
          </w:tcPr>
          <w:p w14:paraId="70F2C33A" w14:textId="77777777" w:rsidR="00182F42" w:rsidRPr="009D6323" w:rsidRDefault="00000000">
            <w:pPr>
              <w:spacing w:after="0"/>
              <w:jc w:val="left"/>
            </w:pPr>
            <w:r w:rsidRPr="009D6323">
              <w:rPr>
                <w:color w:val="000000"/>
                <w:szCs w:val="24"/>
              </w:rPr>
              <w:t>- Percentage of product price attributed to excise duty- Types of products/services subject to excise duty- Effect on pricing strategy</w:t>
            </w:r>
          </w:p>
        </w:tc>
        <w:tc>
          <w:tcPr>
            <w:tcW w:w="1483" w:type="dxa"/>
            <w:tcBorders>
              <w:top w:val="single" w:sz="4" w:space="0" w:color="000000"/>
              <w:left w:val="single" w:sz="4" w:space="0" w:color="000000"/>
              <w:bottom w:val="single" w:sz="4" w:space="0" w:color="000000"/>
              <w:right w:val="single" w:sz="4" w:space="0" w:color="000000"/>
            </w:tcBorders>
          </w:tcPr>
          <w:p w14:paraId="2C388E45" w14:textId="77777777" w:rsidR="00182F42" w:rsidRPr="009D6323" w:rsidRDefault="00000000">
            <w:pPr>
              <w:spacing w:after="0"/>
              <w:rPr>
                <w:color w:val="000000"/>
                <w:szCs w:val="24"/>
              </w:rPr>
            </w:pPr>
            <w:r w:rsidRPr="009D6323">
              <w:rPr>
                <w:color w:val="000000"/>
                <w:szCs w:val="24"/>
              </w:rPr>
              <w:t>Ordinal (Likert Scale)</w:t>
            </w:r>
          </w:p>
        </w:tc>
      </w:tr>
      <w:tr w:rsidR="00182F42" w:rsidRPr="009D6323" w14:paraId="359BBF27" w14:textId="77777777">
        <w:trPr>
          <w:trHeight w:val="413"/>
        </w:trPr>
        <w:tc>
          <w:tcPr>
            <w:tcW w:w="2147" w:type="dxa"/>
            <w:tcBorders>
              <w:top w:val="single" w:sz="4" w:space="0" w:color="000000"/>
              <w:left w:val="single" w:sz="4" w:space="0" w:color="000000"/>
              <w:bottom w:val="single" w:sz="4" w:space="0" w:color="000000"/>
              <w:right w:val="single" w:sz="4" w:space="0" w:color="000000"/>
            </w:tcBorders>
          </w:tcPr>
          <w:p w14:paraId="4B1130F5" w14:textId="77777777" w:rsidR="00182F42" w:rsidRPr="009D6323" w:rsidRDefault="00000000">
            <w:pPr>
              <w:spacing w:after="0"/>
              <w:rPr>
                <w:color w:val="000000"/>
                <w:szCs w:val="24"/>
              </w:rPr>
            </w:pPr>
            <w:r w:rsidRPr="009D6323">
              <w:rPr>
                <w:color w:val="000000"/>
                <w:szCs w:val="24"/>
              </w:rPr>
              <w:t>Independent</w:t>
            </w:r>
          </w:p>
        </w:tc>
        <w:tc>
          <w:tcPr>
            <w:tcW w:w="1813" w:type="dxa"/>
            <w:tcBorders>
              <w:top w:val="single" w:sz="4" w:space="0" w:color="000000"/>
              <w:left w:val="single" w:sz="4" w:space="0" w:color="000000"/>
              <w:bottom w:val="single" w:sz="4" w:space="0" w:color="000000"/>
              <w:right w:val="single" w:sz="4" w:space="0" w:color="000000"/>
            </w:tcBorders>
          </w:tcPr>
          <w:p w14:paraId="6D900F14" w14:textId="77777777" w:rsidR="00182F42" w:rsidRPr="009D6323" w:rsidRDefault="00000000">
            <w:pPr>
              <w:spacing w:after="0"/>
              <w:rPr>
                <w:color w:val="000000"/>
                <w:szCs w:val="24"/>
              </w:rPr>
            </w:pPr>
            <w:r w:rsidRPr="009D6323">
              <w:rPr>
                <w:color w:val="000000"/>
                <w:szCs w:val="24"/>
              </w:rPr>
              <w:t>VAT</w:t>
            </w:r>
          </w:p>
        </w:tc>
        <w:tc>
          <w:tcPr>
            <w:tcW w:w="1737" w:type="dxa"/>
            <w:tcBorders>
              <w:top w:val="single" w:sz="4" w:space="0" w:color="000000"/>
              <w:left w:val="single" w:sz="4" w:space="0" w:color="000000"/>
              <w:bottom w:val="single" w:sz="4" w:space="0" w:color="000000"/>
              <w:right w:val="single" w:sz="4" w:space="0" w:color="000000"/>
            </w:tcBorders>
          </w:tcPr>
          <w:p w14:paraId="4A9F5791" w14:textId="77777777" w:rsidR="00182F42" w:rsidRPr="009D6323" w:rsidRDefault="00000000">
            <w:pPr>
              <w:spacing w:after="0"/>
              <w:jc w:val="left"/>
              <w:rPr>
                <w:color w:val="000000"/>
                <w:szCs w:val="24"/>
              </w:rPr>
            </w:pPr>
            <w:r w:rsidRPr="009D6323">
              <w:rPr>
                <w:color w:val="000000"/>
                <w:szCs w:val="24"/>
              </w:rPr>
              <w:t>A consumption tax charged on a product each time value is added at production chain stages.</w:t>
            </w:r>
          </w:p>
        </w:tc>
        <w:tc>
          <w:tcPr>
            <w:tcW w:w="2170" w:type="dxa"/>
            <w:tcBorders>
              <w:top w:val="single" w:sz="4" w:space="0" w:color="000000"/>
              <w:left w:val="single" w:sz="4" w:space="0" w:color="000000"/>
              <w:bottom w:val="single" w:sz="4" w:space="0" w:color="000000"/>
              <w:right w:val="single" w:sz="4" w:space="0" w:color="000000"/>
            </w:tcBorders>
          </w:tcPr>
          <w:p w14:paraId="5DEF45B1" w14:textId="77777777" w:rsidR="00182F42" w:rsidRPr="009D6323" w:rsidRDefault="00000000">
            <w:pPr>
              <w:spacing w:after="0"/>
              <w:jc w:val="left"/>
              <w:rPr>
                <w:color w:val="000000"/>
                <w:szCs w:val="24"/>
              </w:rPr>
            </w:pPr>
            <w:r w:rsidRPr="009D6323">
              <w:rPr>
                <w:color w:val="000000"/>
                <w:szCs w:val="24"/>
              </w:rPr>
              <w:t>- VAT registration status- Percentage of sales subject to VAT- Challenges in VAT compliance</w:t>
            </w:r>
          </w:p>
        </w:tc>
        <w:tc>
          <w:tcPr>
            <w:tcW w:w="1483" w:type="dxa"/>
            <w:tcBorders>
              <w:top w:val="single" w:sz="4" w:space="0" w:color="000000"/>
              <w:left w:val="single" w:sz="4" w:space="0" w:color="000000"/>
              <w:bottom w:val="single" w:sz="4" w:space="0" w:color="000000"/>
              <w:right w:val="single" w:sz="4" w:space="0" w:color="000000"/>
            </w:tcBorders>
          </w:tcPr>
          <w:p w14:paraId="3F518658" w14:textId="77777777" w:rsidR="00182F42" w:rsidRPr="009D6323" w:rsidRDefault="00000000">
            <w:pPr>
              <w:spacing w:after="0"/>
              <w:rPr>
                <w:color w:val="000000"/>
                <w:szCs w:val="24"/>
              </w:rPr>
            </w:pPr>
            <w:r w:rsidRPr="009D6323">
              <w:rPr>
                <w:color w:val="000000"/>
                <w:szCs w:val="24"/>
              </w:rPr>
              <w:t>Ordinal (Likert Scale)</w:t>
            </w:r>
          </w:p>
        </w:tc>
      </w:tr>
      <w:tr w:rsidR="00182F42" w:rsidRPr="009D6323" w14:paraId="7DDCC60F" w14:textId="77777777">
        <w:trPr>
          <w:trHeight w:val="398"/>
        </w:trPr>
        <w:tc>
          <w:tcPr>
            <w:tcW w:w="2147" w:type="dxa"/>
            <w:tcBorders>
              <w:top w:val="single" w:sz="4" w:space="0" w:color="000000"/>
              <w:left w:val="single" w:sz="4" w:space="0" w:color="000000"/>
              <w:bottom w:val="single" w:sz="4" w:space="0" w:color="000000"/>
              <w:right w:val="single" w:sz="4" w:space="0" w:color="000000"/>
            </w:tcBorders>
          </w:tcPr>
          <w:p w14:paraId="33010533" w14:textId="77777777" w:rsidR="00182F42" w:rsidRPr="009D6323" w:rsidRDefault="00000000">
            <w:pPr>
              <w:spacing w:after="0"/>
              <w:rPr>
                <w:color w:val="000000"/>
                <w:szCs w:val="24"/>
              </w:rPr>
            </w:pPr>
            <w:r w:rsidRPr="009D6323">
              <w:rPr>
                <w:color w:val="000000"/>
                <w:szCs w:val="24"/>
              </w:rPr>
              <w:t>Independent</w:t>
            </w:r>
          </w:p>
        </w:tc>
        <w:tc>
          <w:tcPr>
            <w:tcW w:w="1813" w:type="dxa"/>
            <w:tcBorders>
              <w:top w:val="single" w:sz="4" w:space="0" w:color="000000"/>
              <w:left w:val="single" w:sz="4" w:space="0" w:color="000000"/>
              <w:bottom w:val="single" w:sz="4" w:space="0" w:color="000000"/>
              <w:right w:val="single" w:sz="4" w:space="0" w:color="000000"/>
            </w:tcBorders>
          </w:tcPr>
          <w:p w14:paraId="49313AB0" w14:textId="77777777" w:rsidR="00182F42" w:rsidRPr="009D6323" w:rsidRDefault="00000000">
            <w:pPr>
              <w:spacing w:after="0"/>
              <w:rPr>
                <w:color w:val="000000"/>
                <w:szCs w:val="24"/>
              </w:rPr>
            </w:pPr>
            <w:r w:rsidRPr="009D6323">
              <w:rPr>
                <w:color w:val="000000"/>
                <w:szCs w:val="24"/>
              </w:rPr>
              <w:t>Stamp Duty</w:t>
            </w:r>
          </w:p>
        </w:tc>
        <w:tc>
          <w:tcPr>
            <w:tcW w:w="1737" w:type="dxa"/>
            <w:tcBorders>
              <w:top w:val="single" w:sz="4" w:space="0" w:color="000000"/>
              <w:left w:val="single" w:sz="4" w:space="0" w:color="000000"/>
              <w:bottom w:val="single" w:sz="4" w:space="0" w:color="000000"/>
              <w:right w:val="single" w:sz="4" w:space="0" w:color="000000"/>
            </w:tcBorders>
          </w:tcPr>
          <w:p w14:paraId="00A53E85" w14:textId="77777777" w:rsidR="00182F42" w:rsidRPr="009D6323" w:rsidRDefault="00000000">
            <w:pPr>
              <w:spacing w:after="0"/>
              <w:jc w:val="left"/>
              <w:rPr>
                <w:color w:val="000000"/>
                <w:szCs w:val="24"/>
              </w:rPr>
            </w:pPr>
            <w:r w:rsidRPr="009D6323">
              <w:rPr>
                <w:color w:val="000000"/>
                <w:szCs w:val="24"/>
              </w:rPr>
              <w:t xml:space="preserve">A tax paid on legal documents, typically in the transfer of </w:t>
            </w:r>
            <w:r w:rsidRPr="009D6323">
              <w:rPr>
                <w:color w:val="000000"/>
                <w:szCs w:val="24"/>
              </w:rPr>
              <w:lastRenderedPageBreak/>
              <w:t xml:space="preserve">assets or property. </w:t>
            </w:r>
          </w:p>
        </w:tc>
        <w:tc>
          <w:tcPr>
            <w:tcW w:w="2170" w:type="dxa"/>
            <w:tcBorders>
              <w:top w:val="single" w:sz="4" w:space="0" w:color="000000"/>
              <w:left w:val="single" w:sz="4" w:space="0" w:color="000000"/>
              <w:bottom w:val="single" w:sz="4" w:space="0" w:color="000000"/>
              <w:right w:val="single" w:sz="4" w:space="0" w:color="000000"/>
            </w:tcBorders>
          </w:tcPr>
          <w:p w14:paraId="5E5C19DB" w14:textId="77777777" w:rsidR="00182F42" w:rsidRPr="009D6323" w:rsidRDefault="00000000">
            <w:pPr>
              <w:spacing w:after="0"/>
              <w:jc w:val="left"/>
              <w:rPr>
                <w:color w:val="000000"/>
                <w:szCs w:val="24"/>
              </w:rPr>
            </w:pPr>
            <w:r w:rsidRPr="009D6323">
              <w:rPr>
                <w:color w:val="000000"/>
                <w:szCs w:val="24"/>
              </w:rPr>
              <w:lastRenderedPageBreak/>
              <w:t xml:space="preserve">- Frequency of transactions requiring stamp duty- Average cost of stamp duty per </w:t>
            </w:r>
            <w:r w:rsidRPr="009D6323">
              <w:rPr>
                <w:color w:val="000000"/>
                <w:szCs w:val="24"/>
              </w:rPr>
              <w:lastRenderedPageBreak/>
              <w:t>transaction- Impact on business expansion plans</w:t>
            </w:r>
          </w:p>
        </w:tc>
        <w:tc>
          <w:tcPr>
            <w:tcW w:w="1483" w:type="dxa"/>
            <w:tcBorders>
              <w:top w:val="single" w:sz="4" w:space="0" w:color="000000"/>
              <w:left w:val="single" w:sz="4" w:space="0" w:color="000000"/>
              <w:bottom w:val="single" w:sz="4" w:space="0" w:color="000000"/>
              <w:right w:val="single" w:sz="4" w:space="0" w:color="000000"/>
            </w:tcBorders>
          </w:tcPr>
          <w:p w14:paraId="0E58C07A" w14:textId="77777777" w:rsidR="00182F42" w:rsidRPr="009D6323" w:rsidRDefault="00000000">
            <w:pPr>
              <w:spacing w:after="0"/>
            </w:pPr>
            <w:r w:rsidRPr="009D6323">
              <w:rPr>
                <w:color w:val="000000"/>
                <w:szCs w:val="24"/>
              </w:rPr>
              <w:lastRenderedPageBreak/>
              <w:t>Ordinal (Likert Scale)</w:t>
            </w:r>
          </w:p>
        </w:tc>
      </w:tr>
      <w:tr w:rsidR="00182F42" w:rsidRPr="009D6323" w14:paraId="54AECBB2" w14:textId="77777777">
        <w:trPr>
          <w:trHeight w:val="265"/>
        </w:trPr>
        <w:tc>
          <w:tcPr>
            <w:tcW w:w="2147" w:type="dxa"/>
            <w:tcBorders>
              <w:top w:val="single" w:sz="4" w:space="0" w:color="000000"/>
              <w:left w:val="single" w:sz="4" w:space="0" w:color="000000"/>
              <w:bottom w:val="single" w:sz="4" w:space="0" w:color="000000"/>
              <w:right w:val="single" w:sz="4" w:space="0" w:color="000000"/>
            </w:tcBorders>
          </w:tcPr>
          <w:p w14:paraId="19A72111" w14:textId="77777777" w:rsidR="00182F42" w:rsidRPr="009D6323" w:rsidRDefault="00000000">
            <w:pPr>
              <w:spacing w:after="0"/>
              <w:rPr>
                <w:color w:val="000000"/>
                <w:szCs w:val="24"/>
              </w:rPr>
            </w:pPr>
            <w:r w:rsidRPr="009D6323">
              <w:rPr>
                <w:color w:val="000000"/>
                <w:szCs w:val="24"/>
              </w:rPr>
              <w:t>Dependent</w:t>
            </w:r>
          </w:p>
        </w:tc>
        <w:tc>
          <w:tcPr>
            <w:tcW w:w="1813" w:type="dxa"/>
            <w:tcBorders>
              <w:top w:val="single" w:sz="4" w:space="0" w:color="000000"/>
              <w:left w:val="single" w:sz="4" w:space="0" w:color="000000"/>
              <w:bottom w:val="single" w:sz="4" w:space="0" w:color="000000"/>
              <w:right w:val="single" w:sz="4" w:space="0" w:color="000000"/>
            </w:tcBorders>
          </w:tcPr>
          <w:p w14:paraId="3BAC4724" w14:textId="77777777" w:rsidR="00182F42" w:rsidRPr="009D6323" w:rsidRDefault="00000000">
            <w:pPr>
              <w:spacing w:after="0"/>
              <w:rPr>
                <w:color w:val="000000"/>
                <w:szCs w:val="24"/>
              </w:rPr>
            </w:pPr>
            <w:r w:rsidRPr="009D6323">
              <w:rPr>
                <w:color w:val="000000"/>
                <w:szCs w:val="24"/>
              </w:rPr>
              <w:t>Financial Performance</w:t>
            </w:r>
          </w:p>
        </w:tc>
        <w:tc>
          <w:tcPr>
            <w:tcW w:w="1737" w:type="dxa"/>
            <w:tcBorders>
              <w:top w:val="single" w:sz="4" w:space="0" w:color="000000"/>
              <w:left w:val="single" w:sz="4" w:space="0" w:color="000000"/>
              <w:bottom w:val="single" w:sz="4" w:space="0" w:color="000000"/>
              <w:right w:val="single" w:sz="4" w:space="0" w:color="000000"/>
            </w:tcBorders>
          </w:tcPr>
          <w:p w14:paraId="5B32123C" w14:textId="77777777" w:rsidR="00182F42" w:rsidRPr="009D6323" w:rsidRDefault="00000000">
            <w:pPr>
              <w:spacing w:after="0"/>
              <w:jc w:val="left"/>
              <w:rPr>
                <w:color w:val="000000"/>
                <w:szCs w:val="24"/>
              </w:rPr>
            </w:pPr>
            <w:r w:rsidRPr="009D6323">
              <w:rPr>
                <w:color w:val="000000"/>
                <w:szCs w:val="24"/>
              </w:rPr>
              <w:t xml:space="preserve">Refers to how well an SME or entity uses its resources to generate profits. Shows the overall financial health and success over a period. </w:t>
            </w:r>
          </w:p>
        </w:tc>
        <w:tc>
          <w:tcPr>
            <w:tcW w:w="2170" w:type="dxa"/>
            <w:tcBorders>
              <w:top w:val="single" w:sz="4" w:space="0" w:color="000000"/>
              <w:left w:val="single" w:sz="4" w:space="0" w:color="000000"/>
              <w:bottom w:val="single" w:sz="4" w:space="0" w:color="000000"/>
              <w:right w:val="single" w:sz="4" w:space="0" w:color="000000"/>
            </w:tcBorders>
          </w:tcPr>
          <w:p w14:paraId="2AF25FB0" w14:textId="77777777" w:rsidR="00182F42" w:rsidRPr="009D6323" w:rsidRDefault="00000000">
            <w:pPr>
              <w:spacing w:after="0"/>
              <w:jc w:val="left"/>
              <w:rPr>
                <w:color w:val="000000"/>
                <w:szCs w:val="24"/>
              </w:rPr>
            </w:pPr>
            <w:r w:rsidRPr="009D6323">
              <w:rPr>
                <w:color w:val="000000"/>
                <w:szCs w:val="24"/>
              </w:rPr>
              <w:t>- Financial Performance Index</w:t>
            </w:r>
          </w:p>
        </w:tc>
        <w:tc>
          <w:tcPr>
            <w:tcW w:w="1483" w:type="dxa"/>
            <w:tcBorders>
              <w:top w:val="single" w:sz="4" w:space="0" w:color="000000"/>
              <w:left w:val="single" w:sz="4" w:space="0" w:color="000000"/>
              <w:bottom w:val="single" w:sz="4" w:space="0" w:color="000000"/>
              <w:right w:val="single" w:sz="4" w:space="0" w:color="000000"/>
            </w:tcBorders>
          </w:tcPr>
          <w:p w14:paraId="2F4DBF40" w14:textId="77777777" w:rsidR="00182F42" w:rsidRPr="009D6323" w:rsidRDefault="00000000">
            <w:pPr>
              <w:spacing w:after="0"/>
              <w:rPr>
                <w:color w:val="000000"/>
                <w:szCs w:val="24"/>
              </w:rPr>
            </w:pPr>
            <w:r w:rsidRPr="009D6323">
              <w:rPr>
                <w:color w:val="000000"/>
                <w:szCs w:val="24"/>
              </w:rPr>
              <w:t>Ratio Scale</w:t>
            </w:r>
          </w:p>
        </w:tc>
      </w:tr>
    </w:tbl>
    <w:p w14:paraId="50C95683" w14:textId="77777777" w:rsidR="00182F42" w:rsidRPr="009D6323" w:rsidRDefault="00182F42">
      <w:pPr>
        <w:spacing w:after="0"/>
        <w:rPr>
          <w:color w:val="000000"/>
          <w:szCs w:val="24"/>
        </w:rPr>
      </w:pPr>
    </w:p>
    <w:p w14:paraId="5708BA2D" w14:textId="77777777" w:rsidR="00182F42" w:rsidRPr="009D6323" w:rsidRDefault="00000000">
      <w:pPr>
        <w:pStyle w:val="Heading1"/>
        <w:rPr>
          <w:bCs/>
          <w:color w:val="000000"/>
        </w:rPr>
      </w:pPr>
      <w:r w:rsidRPr="009D6323">
        <w:t xml:space="preserve">4. DATA ANALYSIS </w:t>
      </w:r>
    </w:p>
    <w:p w14:paraId="04DB4158" w14:textId="77777777" w:rsidR="00182F42" w:rsidRPr="009D6323" w:rsidRDefault="00000000">
      <w:pPr>
        <w:pStyle w:val="Heading2"/>
      </w:pPr>
      <w:r w:rsidRPr="009D6323">
        <w:rPr>
          <w:color w:val="000000"/>
        </w:rPr>
        <w:t>4.1 Regression Analysis</w:t>
      </w:r>
    </w:p>
    <w:p w14:paraId="6A667D25" w14:textId="77777777" w:rsidR="00182F42" w:rsidRPr="009D6323" w:rsidRDefault="00000000">
      <w:r w:rsidRPr="009D6323">
        <w:t>Multiple regression analysis was conducted to determine the degree to which Sales Turnover Tax, Excise Duty, Value Added Tax (VAT), and Stamp Duty predict the financial performance of SMEs in Nairobi City County while controlling for years in operation and sector.</w:t>
      </w:r>
    </w:p>
    <w:p w14:paraId="78DBECC6" w14:textId="77777777" w:rsidR="00182F42" w:rsidRPr="009D6323" w:rsidRDefault="00000000">
      <w:pPr>
        <w:pStyle w:val="Heading3"/>
      </w:pPr>
      <w:r w:rsidRPr="009D6323">
        <w:rPr>
          <w:color w:val="000000"/>
        </w:rPr>
        <w:t>4.1.1 Model Summary</w:t>
      </w:r>
    </w:p>
    <w:p w14:paraId="28175D32" w14:textId="77777777" w:rsidR="00182F42" w:rsidRPr="009D6323" w:rsidRDefault="00000000">
      <w:r w:rsidRPr="009D6323">
        <w:t>The model summary showed that the predictors jointly explained 9.1% of the variance in SME financial performance (R² = 0.091, adjusted R² = 0.031). The correlation coefficient (R) of 0.302 indicates a weak but positive correlation between the set of independent variables and the dependent variable. The range of the dependent variable is relatively large, and the standard error of the estimate (9.878) is relatively small, meaning that the model predictions are relatively close to the observed values. This small explanatory effect is typical of social science studies, where various unmeasured variables may affect business performance.</w:t>
      </w:r>
    </w:p>
    <w:p w14:paraId="235F04FB" w14:textId="77777777" w:rsidR="00182F42" w:rsidRPr="009D6323" w:rsidRDefault="00000000">
      <w:pPr>
        <w:pStyle w:val="Caption"/>
      </w:pPr>
      <w:r w:rsidRPr="009D6323">
        <w:t>Table 4</w:t>
      </w:r>
      <w:r w:rsidRPr="009D6323">
        <w:rPr>
          <w:rStyle w:val="Strong"/>
        </w:rPr>
        <w:t>: Model Summary</w:t>
      </w:r>
    </w:p>
    <w:tbl>
      <w:tblPr>
        <w:tblW w:w="6346" w:type="dxa"/>
        <w:tblLayout w:type="fixed"/>
        <w:tblLook w:val="04A0" w:firstRow="1" w:lastRow="0" w:firstColumn="1" w:lastColumn="0" w:noHBand="0" w:noVBand="1"/>
      </w:tblPr>
      <w:tblGrid>
        <w:gridCol w:w="870"/>
        <w:gridCol w:w="756"/>
        <w:gridCol w:w="756"/>
        <w:gridCol w:w="1455"/>
        <w:gridCol w:w="2509"/>
      </w:tblGrid>
      <w:tr w:rsidR="00182F42" w:rsidRPr="009D6323" w14:paraId="0C225794" w14:textId="77777777">
        <w:tc>
          <w:tcPr>
            <w:tcW w:w="870" w:type="dxa"/>
            <w:tcBorders>
              <w:top w:val="single" w:sz="4" w:space="0" w:color="000000"/>
              <w:left w:val="single" w:sz="4" w:space="0" w:color="000000"/>
              <w:bottom w:val="single" w:sz="4" w:space="0" w:color="000000"/>
              <w:right w:val="single" w:sz="4" w:space="0" w:color="000000"/>
            </w:tcBorders>
          </w:tcPr>
          <w:p w14:paraId="0F4EE568" w14:textId="77777777" w:rsidR="00182F42" w:rsidRPr="009D6323" w:rsidRDefault="00000000">
            <w:pPr>
              <w:spacing w:after="0"/>
              <w:jc w:val="center"/>
              <w:rPr>
                <w:b/>
                <w:bCs/>
                <w:color w:val="000000"/>
              </w:rPr>
            </w:pPr>
            <w:r w:rsidRPr="009D6323">
              <w:rPr>
                <w:b/>
                <w:bCs/>
                <w:color w:val="000000"/>
              </w:rPr>
              <w:t>Model</w:t>
            </w:r>
          </w:p>
        </w:tc>
        <w:tc>
          <w:tcPr>
            <w:tcW w:w="756" w:type="dxa"/>
            <w:tcBorders>
              <w:top w:val="single" w:sz="4" w:space="0" w:color="000000"/>
              <w:left w:val="single" w:sz="4" w:space="0" w:color="000000"/>
              <w:bottom w:val="single" w:sz="4" w:space="0" w:color="000000"/>
              <w:right w:val="single" w:sz="4" w:space="0" w:color="000000"/>
            </w:tcBorders>
          </w:tcPr>
          <w:p w14:paraId="60C3808D" w14:textId="77777777" w:rsidR="00182F42" w:rsidRPr="009D6323" w:rsidRDefault="00000000">
            <w:pPr>
              <w:spacing w:after="0"/>
              <w:jc w:val="center"/>
              <w:rPr>
                <w:b/>
                <w:bCs/>
                <w:color w:val="000000"/>
              </w:rPr>
            </w:pPr>
            <w:r w:rsidRPr="009D6323">
              <w:rPr>
                <w:b/>
                <w:bCs/>
                <w:color w:val="000000"/>
              </w:rPr>
              <w:t>R</w:t>
            </w:r>
          </w:p>
        </w:tc>
        <w:tc>
          <w:tcPr>
            <w:tcW w:w="756" w:type="dxa"/>
            <w:tcBorders>
              <w:top w:val="single" w:sz="4" w:space="0" w:color="000000"/>
              <w:left w:val="single" w:sz="4" w:space="0" w:color="000000"/>
              <w:bottom w:val="single" w:sz="4" w:space="0" w:color="000000"/>
              <w:right w:val="single" w:sz="4" w:space="0" w:color="000000"/>
            </w:tcBorders>
          </w:tcPr>
          <w:p w14:paraId="47277CC9" w14:textId="77777777" w:rsidR="00182F42" w:rsidRPr="009D6323" w:rsidRDefault="00000000">
            <w:pPr>
              <w:spacing w:after="0"/>
              <w:jc w:val="center"/>
              <w:rPr>
                <w:b/>
                <w:bCs/>
                <w:color w:val="000000"/>
              </w:rPr>
            </w:pPr>
            <w:r w:rsidRPr="009D6323">
              <w:rPr>
                <w:b/>
                <w:bCs/>
                <w:color w:val="000000"/>
              </w:rPr>
              <w:t>R²</w:t>
            </w:r>
          </w:p>
        </w:tc>
        <w:tc>
          <w:tcPr>
            <w:tcW w:w="1455" w:type="dxa"/>
            <w:tcBorders>
              <w:top w:val="single" w:sz="4" w:space="0" w:color="000000"/>
              <w:left w:val="single" w:sz="4" w:space="0" w:color="000000"/>
              <w:bottom w:val="single" w:sz="4" w:space="0" w:color="000000"/>
              <w:right w:val="single" w:sz="4" w:space="0" w:color="000000"/>
            </w:tcBorders>
          </w:tcPr>
          <w:p w14:paraId="50EB0382" w14:textId="77777777" w:rsidR="00182F42" w:rsidRPr="009D6323" w:rsidRDefault="00000000">
            <w:pPr>
              <w:spacing w:after="0"/>
              <w:jc w:val="center"/>
              <w:rPr>
                <w:b/>
                <w:bCs/>
                <w:color w:val="000000"/>
              </w:rPr>
            </w:pPr>
            <w:r w:rsidRPr="009D6323">
              <w:rPr>
                <w:b/>
                <w:bCs/>
                <w:color w:val="000000"/>
              </w:rPr>
              <w:t>Adjusted R²</w:t>
            </w:r>
          </w:p>
        </w:tc>
        <w:tc>
          <w:tcPr>
            <w:tcW w:w="2509" w:type="dxa"/>
            <w:tcBorders>
              <w:top w:val="single" w:sz="4" w:space="0" w:color="000000"/>
              <w:left w:val="single" w:sz="4" w:space="0" w:color="000000"/>
              <w:bottom w:val="single" w:sz="4" w:space="0" w:color="000000"/>
              <w:right w:val="single" w:sz="4" w:space="0" w:color="000000"/>
            </w:tcBorders>
          </w:tcPr>
          <w:p w14:paraId="62F27FEB" w14:textId="77777777" w:rsidR="00182F42" w:rsidRPr="009D6323" w:rsidRDefault="00000000">
            <w:pPr>
              <w:spacing w:after="0"/>
              <w:jc w:val="center"/>
              <w:rPr>
                <w:b/>
                <w:bCs/>
                <w:color w:val="000000"/>
              </w:rPr>
            </w:pPr>
            <w:r w:rsidRPr="009D6323">
              <w:rPr>
                <w:b/>
                <w:bCs/>
                <w:color w:val="000000"/>
              </w:rPr>
              <w:t>Std. Error of Estimate</w:t>
            </w:r>
          </w:p>
        </w:tc>
      </w:tr>
      <w:tr w:rsidR="00182F42" w:rsidRPr="009D6323" w14:paraId="3BE92A4B" w14:textId="77777777">
        <w:tc>
          <w:tcPr>
            <w:tcW w:w="870" w:type="dxa"/>
            <w:tcBorders>
              <w:top w:val="single" w:sz="4" w:space="0" w:color="000000"/>
              <w:left w:val="single" w:sz="4" w:space="0" w:color="000000"/>
              <w:bottom w:val="single" w:sz="4" w:space="0" w:color="000000"/>
              <w:right w:val="single" w:sz="4" w:space="0" w:color="000000"/>
            </w:tcBorders>
          </w:tcPr>
          <w:p w14:paraId="1C869040" w14:textId="77777777" w:rsidR="00182F42" w:rsidRPr="009D6323" w:rsidRDefault="00000000">
            <w:pPr>
              <w:spacing w:after="0"/>
              <w:jc w:val="left"/>
              <w:rPr>
                <w:color w:val="000000"/>
              </w:rPr>
            </w:pPr>
            <w:r w:rsidRPr="009D6323">
              <w:rPr>
                <w:color w:val="000000"/>
              </w:rPr>
              <w:lastRenderedPageBreak/>
              <w:t>2</w:t>
            </w:r>
          </w:p>
        </w:tc>
        <w:tc>
          <w:tcPr>
            <w:tcW w:w="756" w:type="dxa"/>
            <w:tcBorders>
              <w:top w:val="single" w:sz="4" w:space="0" w:color="000000"/>
              <w:left w:val="single" w:sz="4" w:space="0" w:color="000000"/>
              <w:bottom w:val="single" w:sz="4" w:space="0" w:color="000000"/>
              <w:right w:val="single" w:sz="4" w:space="0" w:color="000000"/>
            </w:tcBorders>
          </w:tcPr>
          <w:p w14:paraId="7158A5AA" w14:textId="77777777" w:rsidR="00182F42" w:rsidRPr="009D6323" w:rsidRDefault="00000000">
            <w:pPr>
              <w:spacing w:after="0"/>
              <w:rPr>
                <w:color w:val="000000"/>
              </w:rPr>
            </w:pPr>
            <w:r w:rsidRPr="009D6323">
              <w:rPr>
                <w:color w:val="000000"/>
              </w:rPr>
              <w:t>0.302</w:t>
            </w:r>
          </w:p>
        </w:tc>
        <w:tc>
          <w:tcPr>
            <w:tcW w:w="756" w:type="dxa"/>
            <w:tcBorders>
              <w:top w:val="single" w:sz="4" w:space="0" w:color="000000"/>
              <w:left w:val="single" w:sz="4" w:space="0" w:color="000000"/>
              <w:bottom w:val="single" w:sz="4" w:space="0" w:color="000000"/>
              <w:right w:val="single" w:sz="4" w:space="0" w:color="000000"/>
            </w:tcBorders>
          </w:tcPr>
          <w:p w14:paraId="70D8505C" w14:textId="77777777" w:rsidR="00182F42" w:rsidRPr="009D6323" w:rsidRDefault="00000000">
            <w:pPr>
              <w:spacing w:after="0"/>
              <w:rPr>
                <w:color w:val="000000"/>
              </w:rPr>
            </w:pPr>
            <w:r w:rsidRPr="009D6323">
              <w:rPr>
                <w:color w:val="000000"/>
              </w:rPr>
              <w:t>0.091</w:t>
            </w:r>
          </w:p>
        </w:tc>
        <w:tc>
          <w:tcPr>
            <w:tcW w:w="1455" w:type="dxa"/>
            <w:tcBorders>
              <w:top w:val="single" w:sz="4" w:space="0" w:color="000000"/>
              <w:left w:val="single" w:sz="4" w:space="0" w:color="000000"/>
              <w:bottom w:val="single" w:sz="4" w:space="0" w:color="000000"/>
              <w:right w:val="single" w:sz="4" w:space="0" w:color="000000"/>
            </w:tcBorders>
          </w:tcPr>
          <w:p w14:paraId="358FBEF3" w14:textId="77777777" w:rsidR="00182F42" w:rsidRPr="009D6323" w:rsidRDefault="00000000">
            <w:pPr>
              <w:spacing w:after="0"/>
              <w:rPr>
                <w:color w:val="000000"/>
              </w:rPr>
            </w:pPr>
            <w:r w:rsidRPr="009D6323">
              <w:rPr>
                <w:color w:val="000000"/>
              </w:rPr>
              <w:t>0.031</w:t>
            </w:r>
          </w:p>
        </w:tc>
        <w:tc>
          <w:tcPr>
            <w:tcW w:w="2509" w:type="dxa"/>
            <w:tcBorders>
              <w:top w:val="single" w:sz="4" w:space="0" w:color="000000"/>
              <w:left w:val="single" w:sz="4" w:space="0" w:color="000000"/>
              <w:bottom w:val="single" w:sz="4" w:space="0" w:color="000000"/>
              <w:right w:val="single" w:sz="4" w:space="0" w:color="000000"/>
            </w:tcBorders>
          </w:tcPr>
          <w:p w14:paraId="669D4EE9" w14:textId="77777777" w:rsidR="00182F42" w:rsidRPr="009D6323" w:rsidRDefault="00000000">
            <w:pPr>
              <w:spacing w:after="0"/>
              <w:rPr>
                <w:color w:val="000000"/>
              </w:rPr>
            </w:pPr>
            <w:r w:rsidRPr="009D6323">
              <w:rPr>
                <w:color w:val="000000"/>
              </w:rPr>
              <w:t>9.878</w:t>
            </w:r>
          </w:p>
        </w:tc>
      </w:tr>
    </w:tbl>
    <w:p w14:paraId="7B085D6D" w14:textId="77777777" w:rsidR="00182F42" w:rsidRPr="009D6323" w:rsidRDefault="00182F42">
      <w:pPr>
        <w:spacing w:after="0"/>
        <w:rPr>
          <w:color w:val="000000"/>
        </w:rPr>
      </w:pPr>
    </w:p>
    <w:p w14:paraId="0AF52B2B" w14:textId="77777777" w:rsidR="00182F42" w:rsidRPr="009D6323" w:rsidRDefault="00000000">
      <w:pPr>
        <w:pStyle w:val="Heading3"/>
      </w:pPr>
      <w:r w:rsidRPr="009D6323">
        <w:rPr>
          <w:color w:val="000000"/>
        </w:rPr>
        <w:t>4.1.2 ANOVA</w:t>
      </w:r>
    </w:p>
    <w:p w14:paraId="7A85BACD" w14:textId="77777777" w:rsidR="00182F42" w:rsidRPr="009D6323" w:rsidRDefault="00000000">
      <w:r w:rsidRPr="009D6323">
        <w:t xml:space="preserve">According to the ANOVA results, the regression model was statistically significant, </w:t>
      </w:r>
      <w:proofErr w:type="gramStart"/>
      <w:r w:rsidRPr="009D6323">
        <w:t>F(</w:t>
      </w:r>
      <w:proofErr w:type="gramEnd"/>
      <w:r w:rsidRPr="009D6323">
        <w:t>9, 177) = 1.523, p = 0.046. This result means that the combination of tax burden variables, years of operation, and sector significantly predicts financial performance. However, the model explains only 9.1% of the variance in financial performance, indicating a weak overall effect. Individual predictors within the model may still be statistically insignificant.</w:t>
      </w:r>
    </w:p>
    <w:p w14:paraId="775C54CA" w14:textId="77777777" w:rsidR="00182F42" w:rsidRPr="009D6323" w:rsidRDefault="00000000">
      <w:pPr>
        <w:pStyle w:val="Caption"/>
      </w:pPr>
      <w:r w:rsidRPr="009D6323">
        <w:t>Table 5: ANOVA</w:t>
      </w:r>
    </w:p>
    <w:tbl>
      <w:tblPr>
        <w:tblW w:w="6917" w:type="dxa"/>
        <w:tblLayout w:type="fixed"/>
        <w:tblLook w:val="04A0" w:firstRow="1" w:lastRow="0" w:firstColumn="1" w:lastColumn="0" w:noHBand="0" w:noVBand="1"/>
      </w:tblPr>
      <w:tblGrid>
        <w:gridCol w:w="1283"/>
        <w:gridCol w:w="1830"/>
        <w:gridCol w:w="576"/>
        <w:gridCol w:w="1596"/>
        <w:gridCol w:w="756"/>
        <w:gridCol w:w="876"/>
      </w:tblGrid>
      <w:tr w:rsidR="00182F42" w:rsidRPr="009D6323" w14:paraId="057A44D7" w14:textId="77777777">
        <w:tc>
          <w:tcPr>
            <w:tcW w:w="1283" w:type="dxa"/>
            <w:tcBorders>
              <w:top w:val="single" w:sz="4" w:space="0" w:color="000000"/>
              <w:left w:val="single" w:sz="4" w:space="0" w:color="000000"/>
              <w:bottom w:val="single" w:sz="4" w:space="0" w:color="000000"/>
              <w:right w:val="single" w:sz="4" w:space="0" w:color="000000"/>
            </w:tcBorders>
          </w:tcPr>
          <w:p w14:paraId="2C2DAF36" w14:textId="77777777" w:rsidR="00182F42" w:rsidRPr="009D6323" w:rsidRDefault="00000000">
            <w:pPr>
              <w:spacing w:after="0"/>
              <w:jc w:val="center"/>
              <w:rPr>
                <w:b/>
                <w:bCs/>
                <w:color w:val="000000"/>
              </w:rPr>
            </w:pPr>
            <w:r w:rsidRPr="009D6323">
              <w:rPr>
                <w:b/>
                <w:bCs/>
                <w:color w:val="000000"/>
              </w:rPr>
              <w:t>Model</w:t>
            </w:r>
          </w:p>
        </w:tc>
        <w:tc>
          <w:tcPr>
            <w:tcW w:w="1830" w:type="dxa"/>
            <w:tcBorders>
              <w:top w:val="single" w:sz="4" w:space="0" w:color="000000"/>
              <w:left w:val="single" w:sz="4" w:space="0" w:color="000000"/>
              <w:bottom w:val="single" w:sz="4" w:space="0" w:color="000000"/>
              <w:right w:val="single" w:sz="4" w:space="0" w:color="000000"/>
            </w:tcBorders>
          </w:tcPr>
          <w:p w14:paraId="6FA77EC2" w14:textId="77777777" w:rsidR="00182F42" w:rsidRPr="009D6323" w:rsidRDefault="00000000">
            <w:pPr>
              <w:spacing w:after="0"/>
              <w:jc w:val="center"/>
              <w:rPr>
                <w:b/>
                <w:bCs/>
                <w:color w:val="000000"/>
              </w:rPr>
            </w:pPr>
            <w:r w:rsidRPr="009D6323">
              <w:rPr>
                <w:b/>
                <w:bCs/>
                <w:color w:val="000000"/>
              </w:rPr>
              <w:t>Sum of Squares</w:t>
            </w:r>
          </w:p>
        </w:tc>
        <w:tc>
          <w:tcPr>
            <w:tcW w:w="576" w:type="dxa"/>
            <w:tcBorders>
              <w:top w:val="single" w:sz="4" w:space="0" w:color="000000"/>
              <w:left w:val="single" w:sz="4" w:space="0" w:color="000000"/>
              <w:bottom w:val="single" w:sz="4" w:space="0" w:color="000000"/>
              <w:right w:val="single" w:sz="4" w:space="0" w:color="000000"/>
            </w:tcBorders>
          </w:tcPr>
          <w:p w14:paraId="07B6D802" w14:textId="77777777" w:rsidR="00182F42" w:rsidRPr="009D6323" w:rsidRDefault="00000000">
            <w:pPr>
              <w:spacing w:after="0"/>
              <w:jc w:val="center"/>
              <w:rPr>
                <w:b/>
                <w:bCs/>
                <w:color w:val="000000"/>
              </w:rPr>
            </w:pPr>
            <w:proofErr w:type="spellStart"/>
            <w:r w:rsidRPr="009D6323">
              <w:rPr>
                <w:b/>
                <w:bCs/>
                <w:color w:val="000000"/>
              </w:rPr>
              <w:t>df</w:t>
            </w:r>
            <w:proofErr w:type="spellEnd"/>
          </w:p>
        </w:tc>
        <w:tc>
          <w:tcPr>
            <w:tcW w:w="1596" w:type="dxa"/>
            <w:tcBorders>
              <w:top w:val="single" w:sz="4" w:space="0" w:color="000000"/>
              <w:left w:val="single" w:sz="4" w:space="0" w:color="000000"/>
              <w:bottom w:val="single" w:sz="4" w:space="0" w:color="000000"/>
              <w:right w:val="single" w:sz="4" w:space="0" w:color="000000"/>
            </w:tcBorders>
          </w:tcPr>
          <w:p w14:paraId="0C897E33" w14:textId="77777777" w:rsidR="00182F42" w:rsidRPr="009D6323" w:rsidRDefault="00000000">
            <w:pPr>
              <w:spacing w:after="0"/>
              <w:jc w:val="center"/>
              <w:rPr>
                <w:b/>
                <w:bCs/>
                <w:color w:val="000000"/>
              </w:rPr>
            </w:pPr>
            <w:r w:rsidRPr="009D6323">
              <w:rPr>
                <w:b/>
                <w:bCs/>
                <w:color w:val="000000"/>
              </w:rPr>
              <w:t>Mean Square</w:t>
            </w:r>
          </w:p>
        </w:tc>
        <w:tc>
          <w:tcPr>
            <w:tcW w:w="756" w:type="dxa"/>
            <w:tcBorders>
              <w:top w:val="single" w:sz="4" w:space="0" w:color="000000"/>
              <w:left w:val="single" w:sz="4" w:space="0" w:color="000000"/>
              <w:bottom w:val="single" w:sz="4" w:space="0" w:color="000000"/>
              <w:right w:val="single" w:sz="4" w:space="0" w:color="000000"/>
            </w:tcBorders>
          </w:tcPr>
          <w:p w14:paraId="11BB2A38" w14:textId="77777777" w:rsidR="00182F42" w:rsidRPr="009D6323" w:rsidRDefault="00000000">
            <w:pPr>
              <w:spacing w:after="0"/>
              <w:jc w:val="center"/>
              <w:rPr>
                <w:b/>
                <w:bCs/>
                <w:color w:val="000000"/>
              </w:rPr>
            </w:pPr>
            <w:r w:rsidRPr="009D6323">
              <w:rPr>
                <w:b/>
                <w:bCs/>
                <w:color w:val="000000"/>
              </w:rPr>
              <w:t>F</w:t>
            </w:r>
          </w:p>
        </w:tc>
        <w:tc>
          <w:tcPr>
            <w:tcW w:w="876" w:type="dxa"/>
            <w:tcBorders>
              <w:top w:val="single" w:sz="4" w:space="0" w:color="000000"/>
              <w:left w:val="single" w:sz="4" w:space="0" w:color="000000"/>
              <w:bottom w:val="single" w:sz="4" w:space="0" w:color="000000"/>
              <w:right w:val="single" w:sz="4" w:space="0" w:color="000000"/>
            </w:tcBorders>
          </w:tcPr>
          <w:p w14:paraId="544F68F4" w14:textId="77777777" w:rsidR="00182F42" w:rsidRPr="009D6323" w:rsidRDefault="00000000">
            <w:pPr>
              <w:spacing w:after="0"/>
              <w:jc w:val="center"/>
              <w:rPr>
                <w:b/>
                <w:bCs/>
                <w:color w:val="000000"/>
              </w:rPr>
            </w:pPr>
            <w:r w:rsidRPr="009D6323">
              <w:rPr>
                <w:b/>
                <w:bCs/>
                <w:color w:val="000000"/>
              </w:rPr>
              <w:t>Sig.</w:t>
            </w:r>
          </w:p>
        </w:tc>
      </w:tr>
      <w:tr w:rsidR="00182F42" w:rsidRPr="009D6323" w14:paraId="3A9D7EC0" w14:textId="77777777">
        <w:tc>
          <w:tcPr>
            <w:tcW w:w="1283" w:type="dxa"/>
            <w:tcBorders>
              <w:top w:val="single" w:sz="4" w:space="0" w:color="000000"/>
              <w:left w:val="single" w:sz="4" w:space="0" w:color="000000"/>
              <w:bottom w:val="single" w:sz="4" w:space="0" w:color="000000"/>
              <w:right w:val="single" w:sz="4" w:space="0" w:color="000000"/>
            </w:tcBorders>
          </w:tcPr>
          <w:p w14:paraId="3EAFAAAC" w14:textId="77777777" w:rsidR="00182F42" w:rsidRPr="009D6323" w:rsidRDefault="00000000">
            <w:pPr>
              <w:spacing w:after="0"/>
              <w:jc w:val="left"/>
              <w:rPr>
                <w:color w:val="000000"/>
              </w:rPr>
            </w:pPr>
            <w:r w:rsidRPr="009D6323">
              <w:rPr>
                <w:color w:val="000000"/>
              </w:rPr>
              <w:t>Regression</w:t>
            </w:r>
          </w:p>
        </w:tc>
        <w:tc>
          <w:tcPr>
            <w:tcW w:w="1830" w:type="dxa"/>
            <w:tcBorders>
              <w:top w:val="single" w:sz="4" w:space="0" w:color="000000"/>
              <w:left w:val="single" w:sz="4" w:space="0" w:color="000000"/>
              <w:bottom w:val="single" w:sz="4" w:space="0" w:color="000000"/>
              <w:right w:val="single" w:sz="4" w:space="0" w:color="000000"/>
            </w:tcBorders>
          </w:tcPr>
          <w:p w14:paraId="743355A8" w14:textId="77777777" w:rsidR="00182F42" w:rsidRPr="009D6323" w:rsidRDefault="00000000">
            <w:pPr>
              <w:spacing w:after="0"/>
              <w:rPr>
                <w:color w:val="000000"/>
              </w:rPr>
            </w:pPr>
            <w:r w:rsidRPr="009D6323">
              <w:rPr>
                <w:color w:val="000000"/>
              </w:rPr>
              <w:t>1343.412</w:t>
            </w:r>
          </w:p>
        </w:tc>
        <w:tc>
          <w:tcPr>
            <w:tcW w:w="576" w:type="dxa"/>
            <w:tcBorders>
              <w:top w:val="single" w:sz="4" w:space="0" w:color="000000"/>
              <w:left w:val="single" w:sz="4" w:space="0" w:color="000000"/>
              <w:bottom w:val="single" w:sz="4" w:space="0" w:color="000000"/>
              <w:right w:val="single" w:sz="4" w:space="0" w:color="000000"/>
            </w:tcBorders>
          </w:tcPr>
          <w:p w14:paraId="706A11AD" w14:textId="77777777" w:rsidR="00182F42" w:rsidRPr="009D6323" w:rsidRDefault="00000000">
            <w:pPr>
              <w:spacing w:after="0"/>
              <w:rPr>
                <w:color w:val="000000"/>
              </w:rPr>
            </w:pPr>
            <w:r w:rsidRPr="009D6323">
              <w:rPr>
                <w:color w:val="000000"/>
              </w:rPr>
              <w:t>9</w:t>
            </w:r>
          </w:p>
        </w:tc>
        <w:tc>
          <w:tcPr>
            <w:tcW w:w="1596" w:type="dxa"/>
            <w:tcBorders>
              <w:top w:val="single" w:sz="4" w:space="0" w:color="000000"/>
              <w:left w:val="single" w:sz="4" w:space="0" w:color="000000"/>
              <w:bottom w:val="single" w:sz="4" w:space="0" w:color="000000"/>
              <w:right w:val="single" w:sz="4" w:space="0" w:color="000000"/>
            </w:tcBorders>
          </w:tcPr>
          <w:p w14:paraId="30351F99" w14:textId="77777777" w:rsidR="00182F42" w:rsidRPr="009D6323" w:rsidRDefault="00000000">
            <w:pPr>
              <w:spacing w:after="0"/>
              <w:rPr>
                <w:color w:val="000000"/>
              </w:rPr>
            </w:pPr>
            <w:r w:rsidRPr="009D6323">
              <w:rPr>
                <w:color w:val="000000"/>
              </w:rPr>
              <w:t>149.268</w:t>
            </w:r>
          </w:p>
        </w:tc>
        <w:tc>
          <w:tcPr>
            <w:tcW w:w="756" w:type="dxa"/>
            <w:tcBorders>
              <w:top w:val="single" w:sz="4" w:space="0" w:color="000000"/>
              <w:left w:val="single" w:sz="4" w:space="0" w:color="000000"/>
              <w:bottom w:val="single" w:sz="4" w:space="0" w:color="000000"/>
              <w:right w:val="single" w:sz="4" w:space="0" w:color="000000"/>
            </w:tcBorders>
          </w:tcPr>
          <w:p w14:paraId="0109ECE7" w14:textId="77777777" w:rsidR="00182F42" w:rsidRPr="009D6323" w:rsidRDefault="00000000">
            <w:pPr>
              <w:spacing w:after="0"/>
              <w:rPr>
                <w:color w:val="000000"/>
              </w:rPr>
            </w:pPr>
            <w:r w:rsidRPr="009D6323">
              <w:rPr>
                <w:color w:val="000000"/>
              </w:rPr>
              <w:t>1.523</w:t>
            </w:r>
          </w:p>
        </w:tc>
        <w:tc>
          <w:tcPr>
            <w:tcW w:w="876" w:type="dxa"/>
            <w:tcBorders>
              <w:top w:val="single" w:sz="4" w:space="0" w:color="000000"/>
              <w:left w:val="single" w:sz="4" w:space="0" w:color="000000"/>
              <w:bottom w:val="single" w:sz="4" w:space="0" w:color="000000"/>
              <w:right w:val="single" w:sz="4" w:space="0" w:color="000000"/>
            </w:tcBorders>
          </w:tcPr>
          <w:p w14:paraId="74D215DC" w14:textId="77777777" w:rsidR="00182F42" w:rsidRPr="009D6323" w:rsidRDefault="00000000">
            <w:pPr>
              <w:spacing w:after="0"/>
              <w:rPr>
                <w:color w:val="000000"/>
              </w:rPr>
            </w:pPr>
            <w:r w:rsidRPr="009D6323">
              <w:rPr>
                <w:color w:val="000000"/>
              </w:rPr>
              <w:t>0.046*</w:t>
            </w:r>
          </w:p>
        </w:tc>
      </w:tr>
      <w:tr w:rsidR="00182F42" w:rsidRPr="009D6323" w14:paraId="4E733FFC" w14:textId="77777777">
        <w:tc>
          <w:tcPr>
            <w:tcW w:w="1283" w:type="dxa"/>
            <w:tcBorders>
              <w:top w:val="single" w:sz="4" w:space="0" w:color="000000"/>
              <w:left w:val="single" w:sz="4" w:space="0" w:color="000000"/>
              <w:bottom w:val="single" w:sz="4" w:space="0" w:color="000000"/>
              <w:right w:val="single" w:sz="4" w:space="0" w:color="000000"/>
            </w:tcBorders>
          </w:tcPr>
          <w:p w14:paraId="47146B6F" w14:textId="77777777" w:rsidR="00182F42" w:rsidRPr="009D6323" w:rsidRDefault="00000000">
            <w:pPr>
              <w:spacing w:after="0"/>
              <w:rPr>
                <w:color w:val="000000"/>
              </w:rPr>
            </w:pPr>
            <w:r w:rsidRPr="009D6323">
              <w:rPr>
                <w:color w:val="000000"/>
              </w:rPr>
              <w:t>Residual</w:t>
            </w:r>
          </w:p>
        </w:tc>
        <w:tc>
          <w:tcPr>
            <w:tcW w:w="1830" w:type="dxa"/>
            <w:tcBorders>
              <w:top w:val="single" w:sz="4" w:space="0" w:color="000000"/>
              <w:left w:val="single" w:sz="4" w:space="0" w:color="000000"/>
              <w:bottom w:val="single" w:sz="4" w:space="0" w:color="000000"/>
              <w:right w:val="single" w:sz="4" w:space="0" w:color="000000"/>
            </w:tcBorders>
          </w:tcPr>
          <w:p w14:paraId="756A5970" w14:textId="77777777" w:rsidR="00182F42" w:rsidRPr="009D6323" w:rsidRDefault="00000000">
            <w:pPr>
              <w:spacing w:after="0"/>
              <w:rPr>
                <w:color w:val="000000"/>
              </w:rPr>
            </w:pPr>
            <w:r w:rsidRPr="009D6323">
              <w:rPr>
                <w:color w:val="000000"/>
              </w:rPr>
              <w:t>17327.821</w:t>
            </w:r>
          </w:p>
        </w:tc>
        <w:tc>
          <w:tcPr>
            <w:tcW w:w="576" w:type="dxa"/>
            <w:tcBorders>
              <w:top w:val="single" w:sz="4" w:space="0" w:color="000000"/>
              <w:left w:val="single" w:sz="4" w:space="0" w:color="000000"/>
              <w:bottom w:val="single" w:sz="4" w:space="0" w:color="000000"/>
              <w:right w:val="single" w:sz="4" w:space="0" w:color="000000"/>
            </w:tcBorders>
          </w:tcPr>
          <w:p w14:paraId="0BF60EE8" w14:textId="77777777" w:rsidR="00182F42" w:rsidRPr="009D6323" w:rsidRDefault="00000000">
            <w:pPr>
              <w:spacing w:after="0"/>
              <w:rPr>
                <w:color w:val="000000"/>
              </w:rPr>
            </w:pPr>
            <w:r w:rsidRPr="009D6323">
              <w:rPr>
                <w:color w:val="000000"/>
              </w:rPr>
              <w:t>177</w:t>
            </w:r>
          </w:p>
        </w:tc>
        <w:tc>
          <w:tcPr>
            <w:tcW w:w="1596" w:type="dxa"/>
            <w:tcBorders>
              <w:top w:val="single" w:sz="4" w:space="0" w:color="000000"/>
              <w:left w:val="single" w:sz="4" w:space="0" w:color="000000"/>
              <w:bottom w:val="single" w:sz="4" w:space="0" w:color="000000"/>
              <w:right w:val="single" w:sz="4" w:space="0" w:color="000000"/>
            </w:tcBorders>
          </w:tcPr>
          <w:p w14:paraId="79A69F70" w14:textId="77777777" w:rsidR="00182F42" w:rsidRPr="009D6323" w:rsidRDefault="00000000">
            <w:pPr>
              <w:spacing w:after="0"/>
              <w:rPr>
                <w:color w:val="000000"/>
              </w:rPr>
            </w:pPr>
            <w:r w:rsidRPr="009D6323">
              <w:rPr>
                <w:color w:val="000000"/>
              </w:rPr>
              <w:t>97.848</w:t>
            </w:r>
          </w:p>
        </w:tc>
        <w:tc>
          <w:tcPr>
            <w:tcW w:w="756" w:type="dxa"/>
            <w:tcBorders>
              <w:top w:val="single" w:sz="4" w:space="0" w:color="000000"/>
              <w:left w:val="single" w:sz="4" w:space="0" w:color="000000"/>
              <w:bottom w:val="single" w:sz="4" w:space="0" w:color="000000"/>
              <w:right w:val="single" w:sz="4" w:space="0" w:color="000000"/>
            </w:tcBorders>
          </w:tcPr>
          <w:p w14:paraId="083F7EA2" w14:textId="77777777" w:rsidR="00182F42" w:rsidRPr="009D6323" w:rsidRDefault="00182F42">
            <w:pPr>
              <w:snapToGrid w:val="0"/>
              <w:spacing w:after="0"/>
              <w:rPr>
                <w:color w:val="000000"/>
              </w:rPr>
            </w:pPr>
          </w:p>
        </w:tc>
        <w:tc>
          <w:tcPr>
            <w:tcW w:w="876" w:type="dxa"/>
            <w:tcBorders>
              <w:top w:val="single" w:sz="4" w:space="0" w:color="000000"/>
              <w:left w:val="single" w:sz="4" w:space="0" w:color="000000"/>
              <w:bottom w:val="single" w:sz="4" w:space="0" w:color="000000"/>
              <w:right w:val="single" w:sz="4" w:space="0" w:color="000000"/>
            </w:tcBorders>
          </w:tcPr>
          <w:p w14:paraId="06E9B28B" w14:textId="77777777" w:rsidR="00182F42" w:rsidRPr="009D6323" w:rsidRDefault="00182F42">
            <w:pPr>
              <w:snapToGrid w:val="0"/>
              <w:spacing w:after="0"/>
              <w:rPr>
                <w:color w:val="000000"/>
                <w:sz w:val="20"/>
                <w:szCs w:val="20"/>
              </w:rPr>
            </w:pPr>
          </w:p>
        </w:tc>
      </w:tr>
      <w:tr w:rsidR="00182F42" w:rsidRPr="009D6323" w14:paraId="07C54E54" w14:textId="77777777">
        <w:tc>
          <w:tcPr>
            <w:tcW w:w="1283" w:type="dxa"/>
            <w:tcBorders>
              <w:top w:val="single" w:sz="4" w:space="0" w:color="000000"/>
              <w:left w:val="single" w:sz="4" w:space="0" w:color="000000"/>
              <w:bottom w:val="single" w:sz="4" w:space="0" w:color="000000"/>
              <w:right w:val="single" w:sz="4" w:space="0" w:color="000000"/>
            </w:tcBorders>
          </w:tcPr>
          <w:p w14:paraId="366A76F2" w14:textId="77777777" w:rsidR="00182F42" w:rsidRPr="009D6323" w:rsidRDefault="00000000">
            <w:pPr>
              <w:spacing w:after="0"/>
              <w:rPr>
                <w:color w:val="000000"/>
                <w:szCs w:val="24"/>
              </w:rPr>
            </w:pPr>
            <w:r w:rsidRPr="009D6323">
              <w:rPr>
                <w:color w:val="000000"/>
              </w:rPr>
              <w:t>Total</w:t>
            </w:r>
          </w:p>
        </w:tc>
        <w:tc>
          <w:tcPr>
            <w:tcW w:w="1830" w:type="dxa"/>
            <w:tcBorders>
              <w:top w:val="single" w:sz="4" w:space="0" w:color="000000"/>
              <w:left w:val="single" w:sz="4" w:space="0" w:color="000000"/>
              <w:bottom w:val="single" w:sz="4" w:space="0" w:color="000000"/>
              <w:right w:val="single" w:sz="4" w:space="0" w:color="000000"/>
            </w:tcBorders>
          </w:tcPr>
          <w:p w14:paraId="2D61F7EF" w14:textId="77777777" w:rsidR="00182F42" w:rsidRPr="009D6323" w:rsidRDefault="00000000">
            <w:pPr>
              <w:spacing w:after="0"/>
              <w:rPr>
                <w:color w:val="000000"/>
              </w:rPr>
            </w:pPr>
            <w:r w:rsidRPr="009D6323">
              <w:rPr>
                <w:color w:val="000000"/>
              </w:rPr>
              <w:t>18671.233</w:t>
            </w:r>
          </w:p>
        </w:tc>
        <w:tc>
          <w:tcPr>
            <w:tcW w:w="576" w:type="dxa"/>
            <w:tcBorders>
              <w:top w:val="single" w:sz="4" w:space="0" w:color="000000"/>
              <w:left w:val="single" w:sz="4" w:space="0" w:color="000000"/>
              <w:bottom w:val="single" w:sz="4" w:space="0" w:color="000000"/>
              <w:right w:val="single" w:sz="4" w:space="0" w:color="000000"/>
            </w:tcBorders>
          </w:tcPr>
          <w:p w14:paraId="22715362" w14:textId="77777777" w:rsidR="00182F42" w:rsidRPr="009D6323" w:rsidRDefault="00000000">
            <w:pPr>
              <w:spacing w:after="0"/>
              <w:rPr>
                <w:color w:val="000000"/>
              </w:rPr>
            </w:pPr>
            <w:r w:rsidRPr="009D6323">
              <w:rPr>
                <w:color w:val="000000"/>
              </w:rPr>
              <w:t>186</w:t>
            </w:r>
          </w:p>
        </w:tc>
        <w:tc>
          <w:tcPr>
            <w:tcW w:w="1596" w:type="dxa"/>
            <w:tcBorders>
              <w:top w:val="single" w:sz="4" w:space="0" w:color="000000"/>
              <w:left w:val="single" w:sz="4" w:space="0" w:color="000000"/>
              <w:bottom w:val="single" w:sz="4" w:space="0" w:color="000000"/>
              <w:right w:val="single" w:sz="4" w:space="0" w:color="000000"/>
            </w:tcBorders>
          </w:tcPr>
          <w:p w14:paraId="70989BFC" w14:textId="77777777" w:rsidR="00182F42" w:rsidRPr="009D6323" w:rsidRDefault="00182F42">
            <w:pPr>
              <w:snapToGrid w:val="0"/>
              <w:spacing w:after="0"/>
              <w:rPr>
                <w:color w:val="000000"/>
              </w:rPr>
            </w:pPr>
          </w:p>
        </w:tc>
        <w:tc>
          <w:tcPr>
            <w:tcW w:w="756" w:type="dxa"/>
            <w:tcBorders>
              <w:top w:val="single" w:sz="4" w:space="0" w:color="000000"/>
              <w:left w:val="single" w:sz="4" w:space="0" w:color="000000"/>
              <w:bottom w:val="single" w:sz="4" w:space="0" w:color="000000"/>
              <w:right w:val="single" w:sz="4" w:space="0" w:color="000000"/>
            </w:tcBorders>
          </w:tcPr>
          <w:p w14:paraId="29A4F408" w14:textId="77777777" w:rsidR="00182F42" w:rsidRPr="009D6323" w:rsidRDefault="00182F42">
            <w:pPr>
              <w:snapToGrid w:val="0"/>
              <w:spacing w:after="0"/>
              <w:rPr>
                <w:color w:val="000000"/>
                <w:sz w:val="20"/>
                <w:szCs w:val="20"/>
              </w:rPr>
            </w:pPr>
          </w:p>
        </w:tc>
        <w:tc>
          <w:tcPr>
            <w:tcW w:w="876" w:type="dxa"/>
            <w:tcBorders>
              <w:top w:val="single" w:sz="4" w:space="0" w:color="000000"/>
              <w:left w:val="single" w:sz="4" w:space="0" w:color="000000"/>
              <w:bottom w:val="single" w:sz="4" w:space="0" w:color="000000"/>
              <w:right w:val="single" w:sz="4" w:space="0" w:color="000000"/>
            </w:tcBorders>
          </w:tcPr>
          <w:p w14:paraId="38329685" w14:textId="77777777" w:rsidR="00182F42" w:rsidRPr="009D6323" w:rsidRDefault="00182F42">
            <w:pPr>
              <w:snapToGrid w:val="0"/>
              <w:spacing w:after="0"/>
              <w:rPr>
                <w:color w:val="000000"/>
                <w:sz w:val="20"/>
                <w:szCs w:val="20"/>
              </w:rPr>
            </w:pPr>
          </w:p>
        </w:tc>
      </w:tr>
    </w:tbl>
    <w:p w14:paraId="375A901C" w14:textId="77777777" w:rsidR="00182F42" w:rsidRPr="009D6323" w:rsidRDefault="00000000">
      <w:pPr>
        <w:pStyle w:val="NormalWeb"/>
        <w:spacing w:before="0" w:after="0" w:line="360" w:lineRule="auto"/>
        <w:rPr>
          <w:color w:val="000000"/>
        </w:rPr>
      </w:pPr>
      <w:r w:rsidRPr="009D6323">
        <w:rPr>
          <w:color w:val="000000"/>
        </w:rPr>
        <w:t>*Significant at the 0.05 level.</w:t>
      </w:r>
    </w:p>
    <w:p w14:paraId="2857405D" w14:textId="77777777" w:rsidR="00182F42" w:rsidRPr="009D6323" w:rsidRDefault="00000000">
      <w:pPr>
        <w:pStyle w:val="Heading3"/>
      </w:pPr>
      <w:r w:rsidRPr="009D6323">
        <w:rPr>
          <w:color w:val="000000"/>
        </w:rPr>
        <w:t>4.1.3 Coefficients</w:t>
      </w:r>
    </w:p>
    <w:p w14:paraId="364D007C" w14:textId="77777777" w:rsidR="00182F42" w:rsidRPr="009D6323" w:rsidRDefault="00000000">
      <w:r w:rsidRPr="009D6323">
        <w:t>Based on Table 6, the only statistically significant tax predictor was VAT (B = -1.055, p = 0.030), which means that a one-unit increase in the perceived tax burden, on a 1-5 scale, leads to a reduction of 1.06 in the financial performance index, other factors remaining constant. Sales Turnover Tax, Excise Duty, and Stamp Duty were insignificant but negative. Among the control variables, the Manufacturing (B = -2.028, p = 0.040) and Services (B = -1.948, p = 0.048) sectors had significantly lower performance scores than Hospitality. Years in operation, Trade, and IT were not significant predictors.</w:t>
      </w:r>
    </w:p>
    <w:p w14:paraId="43186093" w14:textId="77777777" w:rsidR="00182F42" w:rsidRPr="009D6323" w:rsidRDefault="00000000">
      <w:pPr>
        <w:pStyle w:val="Caption"/>
      </w:pPr>
      <w:r w:rsidRPr="009D6323">
        <w:t>Table 6: Coefficients</w:t>
      </w:r>
    </w:p>
    <w:tbl>
      <w:tblPr>
        <w:tblW w:w="7303" w:type="dxa"/>
        <w:tblLayout w:type="fixed"/>
        <w:tblLook w:val="04A0" w:firstRow="1" w:lastRow="0" w:firstColumn="1" w:lastColumn="0" w:noHBand="0" w:noVBand="1"/>
      </w:tblPr>
      <w:tblGrid>
        <w:gridCol w:w="2596"/>
        <w:gridCol w:w="876"/>
        <w:gridCol w:w="1283"/>
        <w:gridCol w:w="836"/>
        <w:gridCol w:w="836"/>
        <w:gridCol w:w="876"/>
      </w:tblGrid>
      <w:tr w:rsidR="00182F42" w:rsidRPr="009D6323" w14:paraId="34439EEB" w14:textId="77777777">
        <w:tc>
          <w:tcPr>
            <w:tcW w:w="2596" w:type="dxa"/>
            <w:tcBorders>
              <w:top w:val="single" w:sz="4" w:space="0" w:color="000000"/>
              <w:left w:val="single" w:sz="4" w:space="0" w:color="000000"/>
              <w:bottom w:val="single" w:sz="4" w:space="0" w:color="000000"/>
              <w:right w:val="single" w:sz="4" w:space="0" w:color="000000"/>
            </w:tcBorders>
          </w:tcPr>
          <w:p w14:paraId="193DC4D7" w14:textId="77777777" w:rsidR="00182F42" w:rsidRPr="009D6323" w:rsidRDefault="00000000">
            <w:pPr>
              <w:spacing w:after="0"/>
              <w:jc w:val="center"/>
              <w:rPr>
                <w:b/>
                <w:bCs/>
                <w:color w:val="000000"/>
              </w:rPr>
            </w:pPr>
            <w:r w:rsidRPr="009D6323">
              <w:rPr>
                <w:b/>
                <w:bCs/>
                <w:color w:val="000000"/>
              </w:rPr>
              <w:t>Predictor</w:t>
            </w:r>
          </w:p>
        </w:tc>
        <w:tc>
          <w:tcPr>
            <w:tcW w:w="876" w:type="dxa"/>
            <w:tcBorders>
              <w:top w:val="single" w:sz="4" w:space="0" w:color="000000"/>
              <w:left w:val="single" w:sz="4" w:space="0" w:color="000000"/>
              <w:bottom w:val="single" w:sz="4" w:space="0" w:color="000000"/>
              <w:right w:val="single" w:sz="4" w:space="0" w:color="000000"/>
            </w:tcBorders>
          </w:tcPr>
          <w:p w14:paraId="71B532FC" w14:textId="77777777" w:rsidR="00182F42" w:rsidRPr="009D6323" w:rsidRDefault="00000000">
            <w:pPr>
              <w:spacing w:after="0"/>
              <w:jc w:val="center"/>
              <w:rPr>
                <w:b/>
                <w:bCs/>
                <w:color w:val="000000"/>
              </w:rPr>
            </w:pPr>
            <w:r w:rsidRPr="009D6323">
              <w:rPr>
                <w:b/>
                <w:bCs/>
                <w:color w:val="000000"/>
              </w:rPr>
              <w:t>B</w:t>
            </w:r>
          </w:p>
        </w:tc>
        <w:tc>
          <w:tcPr>
            <w:tcW w:w="1283" w:type="dxa"/>
            <w:tcBorders>
              <w:top w:val="single" w:sz="4" w:space="0" w:color="000000"/>
              <w:left w:val="single" w:sz="4" w:space="0" w:color="000000"/>
              <w:bottom w:val="single" w:sz="4" w:space="0" w:color="000000"/>
              <w:right w:val="single" w:sz="4" w:space="0" w:color="000000"/>
            </w:tcBorders>
          </w:tcPr>
          <w:p w14:paraId="4F71E74E" w14:textId="77777777" w:rsidR="00182F42" w:rsidRPr="009D6323" w:rsidRDefault="00000000">
            <w:pPr>
              <w:spacing w:after="0"/>
              <w:jc w:val="center"/>
              <w:rPr>
                <w:b/>
                <w:bCs/>
                <w:color w:val="000000"/>
              </w:rPr>
            </w:pPr>
            <w:r w:rsidRPr="009D6323">
              <w:rPr>
                <w:b/>
                <w:bCs/>
                <w:color w:val="000000"/>
              </w:rPr>
              <w:t>Std. Error</w:t>
            </w:r>
          </w:p>
        </w:tc>
        <w:tc>
          <w:tcPr>
            <w:tcW w:w="836" w:type="dxa"/>
            <w:tcBorders>
              <w:top w:val="single" w:sz="4" w:space="0" w:color="000000"/>
              <w:left w:val="single" w:sz="4" w:space="0" w:color="000000"/>
              <w:bottom w:val="single" w:sz="4" w:space="0" w:color="000000"/>
              <w:right w:val="single" w:sz="4" w:space="0" w:color="000000"/>
            </w:tcBorders>
          </w:tcPr>
          <w:p w14:paraId="5FC37B9E" w14:textId="77777777" w:rsidR="00182F42" w:rsidRPr="009D6323" w:rsidRDefault="00000000">
            <w:pPr>
              <w:spacing w:after="0"/>
              <w:jc w:val="center"/>
              <w:rPr>
                <w:b/>
                <w:bCs/>
                <w:color w:val="000000"/>
              </w:rPr>
            </w:pPr>
            <w:r w:rsidRPr="009D6323">
              <w:rPr>
                <w:b/>
                <w:bCs/>
                <w:color w:val="000000"/>
              </w:rPr>
              <w:t>Beta</w:t>
            </w:r>
          </w:p>
        </w:tc>
        <w:tc>
          <w:tcPr>
            <w:tcW w:w="836" w:type="dxa"/>
            <w:tcBorders>
              <w:top w:val="single" w:sz="4" w:space="0" w:color="000000"/>
              <w:left w:val="single" w:sz="4" w:space="0" w:color="000000"/>
              <w:bottom w:val="single" w:sz="4" w:space="0" w:color="000000"/>
              <w:right w:val="single" w:sz="4" w:space="0" w:color="000000"/>
            </w:tcBorders>
          </w:tcPr>
          <w:p w14:paraId="696A45E5" w14:textId="77777777" w:rsidR="00182F42" w:rsidRPr="009D6323" w:rsidRDefault="00000000">
            <w:pPr>
              <w:spacing w:after="0"/>
              <w:jc w:val="center"/>
              <w:rPr>
                <w:b/>
                <w:bCs/>
                <w:color w:val="000000"/>
              </w:rPr>
            </w:pPr>
            <w:r w:rsidRPr="009D6323">
              <w:rPr>
                <w:b/>
                <w:bCs/>
                <w:color w:val="000000"/>
              </w:rPr>
              <w:t>t</w:t>
            </w:r>
          </w:p>
        </w:tc>
        <w:tc>
          <w:tcPr>
            <w:tcW w:w="876" w:type="dxa"/>
            <w:tcBorders>
              <w:top w:val="single" w:sz="4" w:space="0" w:color="000000"/>
              <w:left w:val="single" w:sz="4" w:space="0" w:color="000000"/>
              <w:bottom w:val="single" w:sz="4" w:space="0" w:color="000000"/>
              <w:right w:val="single" w:sz="4" w:space="0" w:color="000000"/>
            </w:tcBorders>
          </w:tcPr>
          <w:p w14:paraId="2D0858CE" w14:textId="77777777" w:rsidR="00182F42" w:rsidRPr="009D6323" w:rsidRDefault="00000000">
            <w:pPr>
              <w:spacing w:after="0"/>
              <w:jc w:val="center"/>
              <w:rPr>
                <w:b/>
                <w:bCs/>
                <w:color w:val="000000"/>
              </w:rPr>
            </w:pPr>
            <w:r w:rsidRPr="009D6323">
              <w:rPr>
                <w:b/>
                <w:bCs/>
                <w:color w:val="000000"/>
              </w:rPr>
              <w:t>Sig.</w:t>
            </w:r>
          </w:p>
        </w:tc>
      </w:tr>
      <w:tr w:rsidR="00182F42" w:rsidRPr="009D6323" w14:paraId="184C481A" w14:textId="77777777">
        <w:tc>
          <w:tcPr>
            <w:tcW w:w="2596" w:type="dxa"/>
            <w:tcBorders>
              <w:top w:val="single" w:sz="4" w:space="0" w:color="000000"/>
              <w:left w:val="single" w:sz="4" w:space="0" w:color="000000"/>
              <w:bottom w:val="single" w:sz="4" w:space="0" w:color="000000"/>
              <w:right w:val="single" w:sz="4" w:space="0" w:color="000000"/>
            </w:tcBorders>
          </w:tcPr>
          <w:p w14:paraId="21346D2C" w14:textId="77777777" w:rsidR="00182F42" w:rsidRPr="009D6323" w:rsidRDefault="00000000">
            <w:pPr>
              <w:spacing w:after="0"/>
              <w:jc w:val="left"/>
              <w:rPr>
                <w:color w:val="000000"/>
              </w:rPr>
            </w:pPr>
            <w:r w:rsidRPr="009D6323">
              <w:rPr>
                <w:color w:val="000000"/>
              </w:rPr>
              <w:t>(Constant)</w:t>
            </w:r>
          </w:p>
        </w:tc>
        <w:tc>
          <w:tcPr>
            <w:tcW w:w="876" w:type="dxa"/>
            <w:tcBorders>
              <w:top w:val="single" w:sz="4" w:space="0" w:color="000000"/>
              <w:left w:val="single" w:sz="4" w:space="0" w:color="000000"/>
              <w:bottom w:val="single" w:sz="4" w:space="0" w:color="000000"/>
              <w:right w:val="single" w:sz="4" w:space="0" w:color="000000"/>
            </w:tcBorders>
          </w:tcPr>
          <w:p w14:paraId="734CF59E" w14:textId="77777777" w:rsidR="00182F42" w:rsidRPr="009D6323" w:rsidRDefault="00000000">
            <w:pPr>
              <w:spacing w:after="0"/>
              <w:rPr>
                <w:color w:val="000000"/>
              </w:rPr>
            </w:pPr>
            <w:r w:rsidRPr="009D6323">
              <w:rPr>
                <w:color w:val="000000"/>
              </w:rPr>
              <w:t>63.257</w:t>
            </w:r>
          </w:p>
        </w:tc>
        <w:tc>
          <w:tcPr>
            <w:tcW w:w="1283" w:type="dxa"/>
            <w:tcBorders>
              <w:top w:val="single" w:sz="4" w:space="0" w:color="000000"/>
              <w:left w:val="single" w:sz="4" w:space="0" w:color="000000"/>
              <w:bottom w:val="single" w:sz="4" w:space="0" w:color="000000"/>
              <w:right w:val="single" w:sz="4" w:space="0" w:color="000000"/>
            </w:tcBorders>
          </w:tcPr>
          <w:p w14:paraId="6A7796EC" w14:textId="77777777" w:rsidR="00182F42" w:rsidRPr="009D6323" w:rsidRDefault="00000000">
            <w:pPr>
              <w:spacing w:after="0"/>
              <w:rPr>
                <w:color w:val="000000"/>
              </w:rPr>
            </w:pPr>
            <w:r w:rsidRPr="009D6323">
              <w:rPr>
                <w:color w:val="000000"/>
              </w:rPr>
              <w:t>3.029</w:t>
            </w:r>
          </w:p>
        </w:tc>
        <w:tc>
          <w:tcPr>
            <w:tcW w:w="836" w:type="dxa"/>
            <w:tcBorders>
              <w:top w:val="single" w:sz="4" w:space="0" w:color="000000"/>
              <w:left w:val="single" w:sz="4" w:space="0" w:color="000000"/>
              <w:bottom w:val="single" w:sz="4" w:space="0" w:color="000000"/>
              <w:right w:val="single" w:sz="4" w:space="0" w:color="000000"/>
            </w:tcBorders>
          </w:tcPr>
          <w:p w14:paraId="08E5C490" w14:textId="77777777" w:rsidR="00182F42" w:rsidRPr="009D6323" w:rsidRDefault="00000000">
            <w:pPr>
              <w:spacing w:after="0"/>
              <w:rPr>
                <w:rFonts w:eastAsia="Times New Roman"/>
                <w:color w:val="000000"/>
              </w:rPr>
            </w:pPr>
            <w:r w:rsidRPr="009D6323">
              <w:rPr>
                <w:rFonts w:eastAsia="Times New Roman"/>
                <w:color w:val="000000"/>
              </w:rPr>
              <w:t xml:space="preserve"> </w:t>
            </w:r>
          </w:p>
        </w:tc>
        <w:tc>
          <w:tcPr>
            <w:tcW w:w="836" w:type="dxa"/>
            <w:tcBorders>
              <w:top w:val="single" w:sz="4" w:space="0" w:color="000000"/>
              <w:left w:val="single" w:sz="4" w:space="0" w:color="000000"/>
              <w:bottom w:val="single" w:sz="4" w:space="0" w:color="000000"/>
              <w:right w:val="single" w:sz="4" w:space="0" w:color="000000"/>
            </w:tcBorders>
          </w:tcPr>
          <w:p w14:paraId="71B28035" w14:textId="77777777" w:rsidR="00182F42" w:rsidRPr="009D6323" w:rsidRDefault="00000000">
            <w:pPr>
              <w:spacing w:after="0"/>
              <w:rPr>
                <w:color w:val="000000"/>
              </w:rPr>
            </w:pPr>
            <w:r w:rsidRPr="009D6323">
              <w:rPr>
                <w:color w:val="000000"/>
              </w:rPr>
              <w:t>20.88</w:t>
            </w:r>
          </w:p>
        </w:tc>
        <w:tc>
          <w:tcPr>
            <w:tcW w:w="876" w:type="dxa"/>
            <w:tcBorders>
              <w:top w:val="single" w:sz="4" w:space="0" w:color="000000"/>
              <w:left w:val="single" w:sz="4" w:space="0" w:color="000000"/>
              <w:bottom w:val="single" w:sz="4" w:space="0" w:color="000000"/>
              <w:right w:val="single" w:sz="4" w:space="0" w:color="000000"/>
            </w:tcBorders>
          </w:tcPr>
          <w:p w14:paraId="67ED5E6C" w14:textId="77777777" w:rsidR="00182F42" w:rsidRPr="009D6323" w:rsidRDefault="00000000">
            <w:pPr>
              <w:spacing w:after="0"/>
              <w:rPr>
                <w:color w:val="000000"/>
              </w:rPr>
            </w:pPr>
            <w:r w:rsidRPr="009D6323">
              <w:rPr>
                <w:color w:val="000000"/>
              </w:rPr>
              <w:t>0.000</w:t>
            </w:r>
          </w:p>
        </w:tc>
      </w:tr>
      <w:tr w:rsidR="00182F42" w:rsidRPr="009D6323" w14:paraId="5DAA8348" w14:textId="77777777">
        <w:tc>
          <w:tcPr>
            <w:tcW w:w="2596" w:type="dxa"/>
            <w:tcBorders>
              <w:top w:val="single" w:sz="4" w:space="0" w:color="000000"/>
              <w:left w:val="single" w:sz="4" w:space="0" w:color="000000"/>
              <w:bottom w:val="single" w:sz="4" w:space="0" w:color="000000"/>
              <w:right w:val="single" w:sz="4" w:space="0" w:color="000000"/>
            </w:tcBorders>
          </w:tcPr>
          <w:p w14:paraId="4176D261" w14:textId="77777777" w:rsidR="00182F42" w:rsidRPr="009D6323" w:rsidRDefault="00000000">
            <w:pPr>
              <w:spacing w:after="0"/>
              <w:rPr>
                <w:color w:val="000000"/>
              </w:rPr>
            </w:pPr>
            <w:r w:rsidRPr="009D6323">
              <w:rPr>
                <w:color w:val="000000"/>
              </w:rPr>
              <w:t>Sales Turnover Tax</w:t>
            </w:r>
          </w:p>
        </w:tc>
        <w:tc>
          <w:tcPr>
            <w:tcW w:w="876" w:type="dxa"/>
            <w:tcBorders>
              <w:top w:val="single" w:sz="4" w:space="0" w:color="000000"/>
              <w:left w:val="single" w:sz="4" w:space="0" w:color="000000"/>
              <w:bottom w:val="single" w:sz="4" w:space="0" w:color="000000"/>
              <w:right w:val="single" w:sz="4" w:space="0" w:color="000000"/>
            </w:tcBorders>
          </w:tcPr>
          <w:p w14:paraId="0671B147" w14:textId="77777777" w:rsidR="00182F42" w:rsidRPr="009D6323" w:rsidRDefault="00000000">
            <w:pPr>
              <w:spacing w:after="0"/>
              <w:rPr>
                <w:color w:val="000000"/>
              </w:rPr>
            </w:pPr>
            <w:r w:rsidRPr="009D6323">
              <w:rPr>
                <w:color w:val="000000"/>
              </w:rPr>
              <w:t>-0.770</w:t>
            </w:r>
          </w:p>
        </w:tc>
        <w:tc>
          <w:tcPr>
            <w:tcW w:w="1283" w:type="dxa"/>
            <w:tcBorders>
              <w:top w:val="single" w:sz="4" w:space="0" w:color="000000"/>
              <w:left w:val="single" w:sz="4" w:space="0" w:color="000000"/>
              <w:bottom w:val="single" w:sz="4" w:space="0" w:color="000000"/>
              <w:right w:val="single" w:sz="4" w:space="0" w:color="000000"/>
            </w:tcBorders>
          </w:tcPr>
          <w:p w14:paraId="52AAA2B2" w14:textId="77777777" w:rsidR="00182F42" w:rsidRPr="009D6323" w:rsidRDefault="00000000">
            <w:pPr>
              <w:spacing w:after="0"/>
              <w:rPr>
                <w:color w:val="000000"/>
              </w:rPr>
            </w:pPr>
            <w:r w:rsidRPr="009D6323">
              <w:rPr>
                <w:color w:val="000000"/>
              </w:rPr>
              <w:t>0.504</w:t>
            </w:r>
          </w:p>
        </w:tc>
        <w:tc>
          <w:tcPr>
            <w:tcW w:w="836" w:type="dxa"/>
            <w:tcBorders>
              <w:top w:val="single" w:sz="4" w:space="0" w:color="000000"/>
              <w:left w:val="single" w:sz="4" w:space="0" w:color="000000"/>
              <w:bottom w:val="single" w:sz="4" w:space="0" w:color="000000"/>
              <w:right w:val="single" w:sz="4" w:space="0" w:color="000000"/>
            </w:tcBorders>
          </w:tcPr>
          <w:p w14:paraId="77305F73" w14:textId="77777777" w:rsidR="00182F42" w:rsidRPr="009D6323" w:rsidRDefault="00000000">
            <w:pPr>
              <w:spacing w:after="0"/>
              <w:rPr>
                <w:color w:val="000000"/>
              </w:rPr>
            </w:pPr>
            <w:r w:rsidRPr="009D6323">
              <w:rPr>
                <w:color w:val="000000"/>
              </w:rPr>
              <w:t>-0.125</w:t>
            </w:r>
          </w:p>
        </w:tc>
        <w:tc>
          <w:tcPr>
            <w:tcW w:w="836" w:type="dxa"/>
            <w:tcBorders>
              <w:top w:val="single" w:sz="4" w:space="0" w:color="000000"/>
              <w:left w:val="single" w:sz="4" w:space="0" w:color="000000"/>
              <w:bottom w:val="single" w:sz="4" w:space="0" w:color="000000"/>
              <w:right w:val="single" w:sz="4" w:space="0" w:color="000000"/>
            </w:tcBorders>
          </w:tcPr>
          <w:p w14:paraId="15CAC859" w14:textId="77777777" w:rsidR="00182F42" w:rsidRPr="009D6323" w:rsidRDefault="00000000">
            <w:pPr>
              <w:spacing w:after="0"/>
              <w:rPr>
                <w:color w:val="000000"/>
              </w:rPr>
            </w:pPr>
            <w:r w:rsidRPr="009D6323">
              <w:rPr>
                <w:color w:val="000000"/>
              </w:rPr>
              <w:t>-1.526</w:t>
            </w:r>
          </w:p>
        </w:tc>
        <w:tc>
          <w:tcPr>
            <w:tcW w:w="876" w:type="dxa"/>
            <w:tcBorders>
              <w:top w:val="single" w:sz="4" w:space="0" w:color="000000"/>
              <w:left w:val="single" w:sz="4" w:space="0" w:color="000000"/>
              <w:bottom w:val="single" w:sz="4" w:space="0" w:color="000000"/>
              <w:right w:val="single" w:sz="4" w:space="0" w:color="000000"/>
            </w:tcBorders>
          </w:tcPr>
          <w:p w14:paraId="1F74C4B1" w14:textId="77777777" w:rsidR="00182F42" w:rsidRPr="009D6323" w:rsidRDefault="00000000">
            <w:pPr>
              <w:spacing w:after="0"/>
              <w:rPr>
                <w:color w:val="000000"/>
              </w:rPr>
            </w:pPr>
            <w:r w:rsidRPr="009D6323">
              <w:rPr>
                <w:color w:val="000000"/>
              </w:rPr>
              <w:t>0.128</w:t>
            </w:r>
          </w:p>
        </w:tc>
      </w:tr>
      <w:tr w:rsidR="00182F42" w:rsidRPr="009D6323" w14:paraId="09DE74AA" w14:textId="77777777">
        <w:tc>
          <w:tcPr>
            <w:tcW w:w="2596" w:type="dxa"/>
            <w:tcBorders>
              <w:top w:val="single" w:sz="4" w:space="0" w:color="000000"/>
              <w:left w:val="single" w:sz="4" w:space="0" w:color="000000"/>
              <w:bottom w:val="single" w:sz="4" w:space="0" w:color="000000"/>
              <w:right w:val="single" w:sz="4" w:space="0" w:color="000000"/>
            </w:tcBorders>
          </w:tcPr>
          <w:p w14:paraId="717B37D8" w14:textId="77777777" w:rsidR="00182F42" w:rsidRPr="009D6323" w:rsidRDefault="00000000">
            <w:pPr>
              <w:spacing w:after="0"/>
              <w:rPr>
                <w:color w:val="000000"/>
              </w:rPr>
            </w:pPr>
            <w:r w:rsidRPr="009D6323">
              <w:rPr>
                <w:color w:val="000000"/>
              </w:rPr>
              <w:t>Excise Duty</w:t>
            </w:r>
          </w:p>
        </w:tc>
        <w:tc>
          <w:tcPr>
            <w:tcW w:w="876" w:type="dxa"/>
            <w:tcBorders>
              <w:top w:val="single" w:sz="4" w:space="0" w:color="000000"/>
              <w:left w:val="single" w:sz="4" w:space="0" w:color="000000"/>
              <w:bottom w:val="single" w:sz="4" w:space="0" w:color="000000"/>
              <w:right w:val="single" w:sz="4" w:space="0" w:color="000000"/>
            </w:tcBorders>
          </w:tcPr>
          <w:p w14:paraId="1F1A5FBE" w14:textId="77777777" w:rsidR="00182F42" w:rsidRPr="009D6323" w:rsidRDefault="00000000">
            <w:pPr>
              <w:spacing w:after="0"/>
              <w:rPr>
                <w:color w:val="000000"/>
              </w:rPr>
            </w:pPr>
            <w:r w:rsidRPr="009D6323">
              <w:rPr>
                <w:color w:val="000000"/>
              </w:rPr>
              <w:t>-0.195</w:t>
            </w:r>
          </w:p>
        </w:tc>
        <w:tc>
          <w:tcPr>
            <w:tcW w:w="1283" w:type="dxa"/>
            <w:tcBorders>
              <w:top w:val="single" w:sz="4" w:space="0" w:color="000000"/>
              <w:left w:val="single" w:sz="4" w:space="0" w:color="000000"/>
              <w:bottom w:val="single" w:sz="4" w:space="0" w:color="000000"/>
              <w:right w:val="single" w:sz="4" w:space="0" w:color="000000"/>
            </w:tcBorders>
          </w:tcPr>
          <w:p w14:paraId="51D7C2AE" w14:textId="77777777" w:rsidR="00182F42" w:rsidRPr="009D6323" w:rsidRDefault="00000000">
            <w:pPr>
              <w:spacing w:after="0"/>
              <w:rPr>
                <w:color w:val="000000"/>
              </w:rPr>
            </w:pPr>
            <w:r w:rsidRPr="009D6323">
              <w:rPr>
                <w:color w:val="000000"/>
              </w:rPr>
              <w:t>0.542</w:t>
            </w:r>
          </w:p>
        </w:tc>
        <w:tc>
          <w:tcPr>
            <w:tcW w:w="836" w:type="dxa"/>
            <w:tcBorders>
              <w:top w:val="single" w:sz="4" w:space="0" w:color="000000"/>
              <w:left w:val="single" w:sz="4" w:space="0" w:color="000000"/>
              <w:bottom w:val="single" w:sz="4" w:space="0" w:color="000000"/>
              <w:right w:val="single" w:sz="4" w:space="0" w:color="000000"/>
            </w:tcBorders>
          </w:tcPr>
          <w:p w14:paraId="5D547210" w14:textId="77777777" w:rsidR="00182F42" w:rsidRPr="009D6323" w:rsidRDefault="00000000">
            <w:pPr>
              <w:spacing w:after="0"/>
              <w:rPr>
                <w:color w:val="000000"/>
              </w:rPr>
            </w:pPr>
            <w:r w:rsidRPr="009D6323">
              <w:rPr>
                <w:color w:val="000000"/>
              </w:rPr>
              <w:t>-0.031</w:t>
            </w:r>
          </w:p>
        </w:tc>
        <w:tc>
          <w:tcPr>
            <w:tcW w:w="836" w:type="dxa"/>
            <w:tcBorders>
              <w:top w:val="single" w:sz="4" w:space="0" w:color="000000"/>
              <w:left w:val="single" w:sz="4" w:space="0" w:color="000000"/>
              <w:bottom w:val="single" w:sz="4" w:space="0" w:color="000000"/>
              <w:right w:val="single" w:sz="4" w:space="0" w:color="000000"/>
            </w:tcBorders>
          </w:tcPr>
          <w:p w14:paraId="0BA8BC63" w14:textId="77777777" w:rsidR="00182F42" w:rsidRPr="009D6323" w:rsidRDefault="00000000">
            <w:pPr>
              <w:spacing w:after="0"/>
              <w:rPr>
                <w:color w:val="000000"/>
              </w:rPr>
            </w:pPr>
            <w:r w:rsidRPr="009D6323">
              <w:rPr>
                <w:color w:val="000000"/>
              </w:rPr>
              <w:t>-0.362</w:t>
            </w:r>
          </w:p>
        </w:tc>
        <w:tc>
          <w:tcPr>
            <w:tcW w:w="876" w:type="dxa"/>
            <w:tcBorders>
              <w:top w:val="single" w:sz="4" w:space="0" w:color="000000"/>
              <w:left w:val="single" w:sz="4" w:space="0" w:color="000000"/>
              <w:bottom w:val="single" w:sz="4" w:space="0" w:color="000000"/>
              <w:right w:val="single" w:sz="4" w:space="0" w:color="000000"/>
            </w:tcBorders>
          </w:tcPr>
          <w:p w14:paraId="634FDD02" w14:textId="77777777" w:rsidR="00182F42" w:rsidRPr="009D6323" w:rsidRDefault="00000000">
            <w:pPr>
              <w:spacing w:after="0"/>
              <w:rPr>
                <w:color w:val="000000"/>
              </w:rPr>
            </w:pPr>
            <w:r w:rsidRPr="009D6323">
              <w:rPr>
                <w:color w:val="000000"/>
              </w:rPr>
              <w:t>0.719</w:t>
            </w:r>
          </w:p>
        </w:tc>
      </w:tr>
      <w:tr w:rsidR="00182F42" w:rsidRPr="009D6323" w14:paraId="2D8D6BF7" w14:textId="77777777">
        <w:tc>
          <w:tcPr>
            <w:tcW w:w="2596" w:type="dxa"/>
            <w:tcBorders>
              <w:top w:val="single" w:sz="4" w:space="0" w:color="000000"/>
              <w:left w:val="single" w:sz="4" w:space="0" w:color="000000"/>
              <w:bottom w:val="single" w:sz="4" w:space="0" w:color="000000"/>
              <w:right w:val="single" w:sz="4" w:space="0" w:color="000000"/>
            </w:tcBorders>
          </w:tcPr>
          <w:p w14:paraId="362E568E" w14:textId="77777777" w:rsidR="00182F42" w:rsidRPr="009D6323" w:rsidRDefault="00000000">
            <w:pPr>
              <w:spacing w:after="0"/>
              <w:rPr>
                <w:color w:val="000000"/>
              </w:rPr>
            </w:pPr>
            <w:r w:rsidRPr="009D6323">
              <w:rPr>
                <w:color w:val="000000"/>
              </w:rPr>
              <w:lastRenderedPageBreak/>
              <w:t>VAT</w:t>
            </w:r>
          </w:p>
        </w:tc>
        <w:tc>
          <w:tcPr>
            <w:tcW w:w="876" w:type="dxa"/>
            <w:tcBorders>
              <w:top w:val="single" w:sz="4" w:space="0" w:color="000000"/>
              <w:left w:val="single" w:sz="4" w:space="0" w:color="000000"/>
              <w:bottom w:val="single" w:sz="4" w:space="0" w:color="000000"/>
              <w:right w:val="single" w:sz="4" w:space="0" w:color="000000"/>
            </w:tcBorders>
          </w:tcPr>
          <w:p w14:paraId="2ABB534A" w14:textId="77777777" w:rsidR="00182F42" w:rsidRPr="009D6323" w:rsidRDefault="00000000">
            <w:pPr>
              <w:spacing w:after="0"/>
              <w:rPr>
                <w:color w:val="000000"/>
              </w:rPr>
            </w:pPr>
            <w:r w:rsidRPr="009D6323">
              <w:rPr>
                <w:color w:val="000000"/>
              </w:rPr>
              <w:t>-1.055</w:t>
            </w:r>
          </w:p>
        </w:tc>
        <w:tc>
          <w:tcPr>
            <w:tcW w:w="1283" w:type="dxa"/>
            <w:tcBorders>
              <w:top w:val="single" w:sz="4" w:space="0" w:color="000000"/>
              <w:left w:val="single" w:sz="4" w:space="0" w:color="000000"/>
              <w:bottom w:val="single" w:sz="4" w:space="0" w:color="000000"/>
              <w:right w:val="single" w:sz="4" w:space="0" w:color="000000"/>
            </w:tcBorders>
          </w:tcPr>
          <w:p w14:paraId="6F76FF38" w14:textId="77777777" w:rsidR="00182F42" w:rsidRPr="009D6323" w:rsidRDefault="00000000">
            <w:pPr>
              <w:spacing w:after="0"/>
              <w:rPr>
                <w:color w:val="000000"/>
              </w:rPr>
            </w:pPr>
            <w:r w:rsidRPr="009D6323">
              <w:rPr>
                <w:color w:val="000000"/>
              </w:rPr>
              <w:t>0.481</w:t>
            </w:r>
          </w:p>
        </w:tc>
        <w:tc>
          <w:tcPr>
            <w:tcW w:w="836" w:type="dxa"/>
            <w:tcBorders>
              <w:top w:val="single" w:sz="4" w:space="0" w:color="000000"/>
              <w:left w:val="single" w:sz="4" w:space="0" w:color="000000"/>
              <w:bottom w:val="single" w:sz="4" w:space="0" w:color="000000"/>
              <w:right w:val="single" w:sz="4" w:space="0" w:color="000000"/>
            </w:tcBorders>
          </w:tcPr>
          <w:p w14:paraId="4329F02B" w14:textId="77777777" w:rsidR="00182F42" w:rsidRPr="009D6323" w:rsidRDefault="00000000">
            <w:pPr>
              <w:spacing w:after="0"/>
              <w:rPr>
                <w:color w:val="000000"/>
              </w:rPr>
            </w:pPr>
            <w:r w:rsidRPr="009D6323">
              <w:rPr>
                <w:color w:val="000000"/>
              </w:rPr>
              <w:t>-0.171</w:t>
            </w:r>
          </w:p>
        </w:tc>
        <w:tc>
          <w:tcPr>
            <w:tcW w:w="836" w:type="dxa"/>
            <w:tcBorders>
              <w:top w:val="single" w:sz="4" w:space="0" w:color="000000"/>
              <w:left w:val="single" w:sz="4" w:space="0" w:color="000000"/>
              <w:bottom w:val="single" w:sz="4" w:space="0" w:color="000000"/>
              <w:right w:val="single" w:sz="4" w:space="0" w:color="000000"/>
            </w:tcBorders>
          </w:tcPr>
          <w:p w14:paraId="3AEF7FF5" w14:textId="77777777" w:rsidR="00182F42" w:rsidRPr="009D6323" w:rsidRDefault="00000000">
            <w:pPr>
              <w:spacing w:after="0"/>
              <w:rPr>
                <w:color w:val="000000"/>
              </w:rPr>
            </w:pPr>
            <w:r w:rsidRPr="009D6323">
              <w:rPr>
                <w:color w:val="000000"/>
              </w:rPr>
              <w:t>-2.194</w:t>
            </w:r>
          </w:p>
        </w:tc>
        <w:tc>
          <w:tcPr>
            <w:tcW w:w="876" w:type="dxa"/>
            <w:tcBorders>
              <w:top w:val="single" w:sz="4" w:space="0" w:color="000000"/>
              <w:left w:val="single" w:sz="4" w:space="0" w:color="000000"/>
              <w:bottom w:val="single" w:sz="4" w:space="0" w:color="000000"/>
              <w:right w:val="single" w:sz="4" w:space="0" w:color="000000"/>
            </w:tcBorders>
          </w:tcPr>
          <w:p w14:paraId="110CA7C8" w14:textId="77777777" w:rsidR="00182F42" w:rsidRPr="009D6323" w:rsidRDefault="00000000">
            <w:pPr>
              <w:spacing w:after="0"/>
              <w:rPr>
                <w:color w:val="000000"/>
              </w:rPr>
            </w:pPr>
            <w:r w:rsidRPr="009D6323">
              <w:rPr>
                <w:color w:val="000000"/>
              </w:rPr>
              <w:t>0.030*</w:t>
            </w:r>
          </w:p>
        </w:tc>
      </w:tr>
      <w:tr w:rsidR="00182F42" w:rsidRPr="009D6323" w14:paraId="3A7199D1" w14:textId="77777777">
        <w:tc>
          <w:tcPr>
            <w:tcW w:w="2596" w:type="dxa"/>
            <w:tcBorders>
              <w:top w:val="single" w:sz="4" w:space="0" w:color="000000"/>
              <w:left w:val="single" w:sz="4" w:space="0" w:color="000000"/>
              <w:bottom w:val="single" w:sz="4" w:space="0" w:color="000000"/>
              <w:right w:val="single" w:sz="4" w:space="0" w:color="000000"/>
            </w:tcBorders>
          </w:tcPr>
          <w:p w14:paraId="2573A113" w14:textId="77777777" w:rsidR="00182F42" w:rsidRPr="009D6323" w:rsidRDefault="00000000">
            <w:pPr>
              <w:spacing w:after="0"/>
              <w:rPr>
                <w:color w:val="000000"/>
              </w:rPr>
            </w:pPr>
            <w:r w:rsidRPr="009D6323">
              <w:rPr>
                <w:color w:val="000000"/>
              </w:rPr>
              <w:t>Stamp Duty</w:t>
            </w:r>
          </w:p>
        </w:tc>
        <w:tc>
          <w:tcPr>
            <w:tcW w:w="876" w:type="dxa"/>
            <w:tcBorders>
              <w:top w:val="single" w:sz="4" w:space="0" w:color="000000"/>
              <w:left w:val="single" w:sz="4" w:space="0" w:color="000000"/>
              <w:bottom w:val="single" w:sz="4" w:space="0" w:color="000000"/>
              <w:right w:val="single" w:sz="4" w:space="0" w:color="000000"/>
            </w:tcBorders>
          </w:tcPr>
          <w:p w14:paraId="5FF70E2C" w14:textId="77777777" w:rsidR="00182F42" w:rsidRPr="009D6323" w:rsidRDefault="00000000">
            <w:pPr>
              <w:spacing w:after="0"/>
              <w:rPr>
                <w:color w:val="000000"/>
              </w:rPr>
            </w:pPr>
            <w:r w:rsidRPr="009D6323">
              <w:rPr>
                <w:color w:val="000000"/>
              </w:rPr>
              <w:t>-0.144</w:t>
            </w:r>
          </w:p>
        </w:tc>
        <w:tc>
          <w:tcPr>
            <w:tcW w:w="1283" w:type="dxa"/>
            <w:tcBorders>
              <w:top w:val="single" w:sz="4" w:space="0" w:color="000000"/>
              <w:left w:val="single" w:sz="4" w:space="0" w:color="000000"/>
              <w:bottom w:val="single" w:sz="4" w:space="0" w:color="000000"/>
              <w:right w:val="single" w:sz="4" w:space="0" w:color="000000"/>
            </w:tcBorders>
          </w:tcPr>
          <w:p w14:paraId="23E797A3" w14:textId="77777777" w:rsidR="00182F42" w:rsidRPr="009D6323" w:rsidRDefault="00000000">
            <w:pPr>
              <w:spacing w:after="0"/>
              <w:rPr>
                <w:color w:val="000000"/>
              </w:rPr>
            </w:pPr>
            <w:r w:rsidRPr="009D6323">
              <w:rPr>
                <w:color w:val="000000"/>
              </w:rPr>
              <w:t>0.488</w:t>
            </w:r>
          </w:p>
        </w:tc>
        <w:tc>
          <w:tcPr>
            <w:tcW w:w="836" w:type="dxa"/>
            <w:tcBorders>
              <w:top w:val="single" w:sz="4" w:space="0" w:color="000000"/>
              <w:left w:val="single" w:sz="4" w:space="0" w:color="000000"/>
              <w:bottom w:val="single" w:sz="4" w:space="0" w:color="000000"/>
              <w:right w:val="single" w:sz="4" w:space="0" w:color="000000"/>
            </w:tcBorders>
          </w:tcPr>
          <w:p w14:paraId="06B1000A" w14:textId="77777777" w:rsidR="00182F42" w:rsidRPr="009D6323" w:rsidRDefault="00000000">
            <w:pPr>
              <w:spacing w:after="0"/>
              <w:rPr>
                <w:color w:val="000000"/>
              </w:rPr>
            </w:pPr>
            <w:r w:rsidRPr="009D6323">
              <w:rPr>
                <w:color w:val="000000"/>
              </w:rPr>
              <w:t>-0.023</w:t>
            </w:r>
          </w:p>
        </w:tc>
        <w:tc>
          <w:tcPr>
            <w:tcW w:w="836" w:type="dxa"/>
            <w:tcBorders>
              <w:top w:val="single" w:sz="4" w:space="0" w:color="000000"/>
              <w:left w:val="single" w:sz="4" w:space="0" w:color="000000"/>
              <w:bottom w:val="single" w:sz="4" w:space="0" w:color="000000"/>
              <w:right w:val="single" w:sz="4" w:space="0" w:color="000000"/>
            </w:tcBorders>
          </w:tcPr>
          <w:p w14:paraId="4F5B3F79" w14:textId="77777777" w:rsidR="00182F42" w:rsidRPr="009D6323" w:rsidRDefault="00000000">
            <w:pPr>
              <w:spacing w:after="0"/>
              <w:rPr>
                <w:color w:val="000000"/>
              </w:rPr>
            </w:pPr>
            <w:r w:rsidRPr="009D6323">
              <w:rPr>
                <w:color w:val="000000"/>
              </w:rPr>
              <w:t>-0.293</w:t>
            </w:r>
          </w:p>
        </w:tc>
        <w:tc>
          <w:tcPr>
            <w:tcW w:w="876" w:type="dxa"/>
            <w:tcBorders>
              <w:top w:val="single" w:sz="4" w:space="0" w:color="000000"/>
              <w:left w:val="single" w:sz="4" w:space="0" w:color="000000"/>
              <w:bottom w:val="single" w:sz="4" w:space="0" w:color="000000"/>
              <w:right w:val="single" w:sz="4" w:space="0" w:color="000000"/>
            </w:tcBorders>
          </w:tcPr>
          <w:p w14:paraId="7A9ED580" w14:textId="77777777" w:rsidR="00182F42" w:rsidRPr="009D6323" w:rsidRDefault="00000000">
            <w:pPr>
              <w:spacing w:after="0"/>
              <w:rPr>
                <w:color w:val="000000"/>
              </w:rPr>
            </w:pPr>
            <w:r w:rsidRPr="009D6323">
              <w:rPr>
                <w:color w:val="000000"/>
              </w:rPr>
              <w:t>0.769</w:t>
            </w:r>
          </w:p>
        </w:tc>
      </w:tr>
      <w:tr w:rsidR="00182F42" w:rsidRPr="009D6323" w14:paraId="6D538460" w14:textId="77777777">
        <w:tc>
          <w:tcPr>
            <w:tcW w:w="2596" w:type="dxa"/>
            <w:tcBorders>
              <w:top w:val="single" w:sz="4" w:space="0" w:color="000000"/>
              <w:left w:val="single" w:sz="4" w:space="0" w:color="000000"/>
              <w:bottom w:val="single" w:sz="4" w:space="0" w:color="000000"/>
              <w:right w:val="single" w:sz="4" w:space="0" w:color="000000"/>
            </w:tcBorders>
          </w:tcPr>
          <w:p w14:paraId="3326CCC1" w14:textId="77777777" w:rsidR="00182F42" w:rsidRPr="009D6323" w:rsidRDefault="00000000">
            <w:pPr>
              <w:spacing w:after="0"/>
              <w:rPr>
                <w:color w:val="000000"/>
              </w:rPr>
            </w:pPr>
            <w:r w:rsidRPr="009D6323">
              <w:rPr>
                <w:color w:val="000000"/>
              </w:rPr>
              <w:t>Years in Operation</w:t>
            </w:r>
          </w:p>
        </w:tc>
        <w:tc>
          <w:tcPr>
            <w:tcW w:w="876" w:type="dxa"/>
            <w:tcBorders>
              <w:top w:val="single" w:sz="4" w:space="0" w:color="000000"/>
              <w:left w:val="single" w:sz="4" w:space="0" w:color="000000"/>
              <w:bottom w:val="single" w:sz="4" w:space="0" w:color="000000"/>
              <w:right w:val="single" w:sz="4" w:space="0" w:color="000000"/>
            </w:tcBorders>
          </w:tcPr>
          <w:p w14:paraId="7289DC2E" w14:textId="77777777" w:rsidR="00182F42" w:rsidRPr="009D6323" w:rsidRDefault="00000000">
            <w:pPr>
              <w:spacing w:after="0"/>
              <w:rPr>
                <w:color w:val="000000"/>
              </w:rPr>
            </w:pPr>
            <w:r w:rsidRPr="009D6323">
              <w:rPr>
                <w:color w:val="000000"/>
              </w:rPr>
              <w:t>-0.154</w:t>
            </w:r>
          </w:p>
        </w:tc>
        <w:tc>
          <w:tcPr>
            <w:tcW w:w="1283" w:type="dxa"/>
            <w:tcBorders>
              <w:top w:val="single" w:sz="4" w:space="0" w:color="000000"/>
              <w:left w:val="single" w:sz="4" w:space="0" w:color="000000"/>
              <w:bottom w:val="single" w:sz="4" w:space="0" w:color="000000"/>
              <w:right w:val="single" w:sz="4" w:space="0" w:color="000000"/>
            </w:tcBorders>
          </w:tcPr>
          <w:p w14:paraId="2DD0C946" w14:textId="77777777" w:rsidR="00182F42" w:rsidRPr="009D6323" w:rsidRDefault="00000000">
            <w:pPr>
              <w:spacing w:after="0"/>
              <w:rPr>
                <w:color w:val="000000"/>
              </w:rPr>
            </w:pPr>
            <w:r w:rsidRPr="009D6323">
              <w:rPr>
                <w:color w:val="000000"/>
              </w:rPr>
              <w:t>0.122</w:t>
            </w:r>
          </w:p>
        </w:tc>
        <w:tc>
          <w:tcPr>
            <w:tcW w:w="836" w:type="dxa"/>
            <w:tcBorders>
              <w:top w:val="single" w:sz="4" w:space="0" w:color="000000"/>
              <w:left w:val="single" w:sz="4" w:space="0" w:color="000000"/>
              <w:bottom w:val="single" w:sz="4" w:space="0" w:color="000000"/>
              <w:right w:val="single" w:sz="4" w:space="0" w:color="000000"/>
            </w:tcBorders>
          </w:tcPr>
          <w:p w14:paraId="3DC63FF2" w14:textId="77777777" w:rsidR="00182F42" w:rsidRPr="009D6323" w:rsidRDefault="00000000">
            <w:pPr>
              <w:spacing w:after="0"/>
              <w:rPr>
                <w:color w:val="000000"/>
              </w:rPr>
            </w:pPr>
            <w:r w:rsidRPr="009D6323">
              <w:rPr>
                <w:color w:val="000000"/>
              </w:rPr>
              <w:t>-0.098</w:t>
            </w:r>
          </w:p>
        </w:tc>
        <w:tc>
          <w:tcPr>
            <w:tcW w:w="836" w:type="dxa"/>
            <w:tcBorders>
              <w:top w:val="single" w:sz="4" w:space="0" w:color="000000"/>
              <w:left w:val="single" w:sz="4" w:space="0" w:color="000000"/>
              <w:bottom w:val="single" w:sz="4" w:space="0" w:color="000000"/>
              <w:right w:val="single" w:sz="4" w:space="0" w:color="000000"/>
            </w:tcBorders>
          </w:tcPr>
          <w:p w14:paraId="7990059F" w14:textId="77777777" w:rsidR="00182F42" w:rsidRPr="009D6323" w:rsidRDefault="00000000">
            <w:pPr>
              <w:spacing w:after="0"/>
              <w:rPr>
                <w:color w:val="000000"/>
              </w:rPr>
            </w:pPr>
            <w:r w:rsidRPr="009D6323">
              <w:rPr>
                <w:color w:val="000000"/>
              </w:rPr>
              <w:t>-1.282</w:t>
            </w:r>
          </w:p>
        </w:tc>
        <w:tc>
          <w:tcPr>
            <w:tcW w:w="876" w:type="dxa"/>
            <w:tcBorders>
              <w:top w:val="single" w:sz="4" w:space="0" w:color="000000"/>
              <w:left w:val="single" w:sz="4" w:space="0" w:color="000000"/>
              <w:bottom w:val="single" w:sz="4" w:space="0" w:color="000000"/>
              <w:right w:val="single" w:sz="4" w:space="0" w:color="000000"/>
            </w:tcBorders>
          </w:tcPr>
          <w:p w14:paraId="25349562" w14:textId="77777777" w:rsidR="00182F42" w:rsidRPr="009D6323" w:rsidRDefault="00000000">
            <w:pPr>
              <w:spacing w:after="0"/>
              <w:rPr>
                <w:color w:val="000000"/>
              </w:rPr>
            </w:pPr>
            <w:r w:rsidRPr="009D6323">
              <w:rPr>
                <w:color w:val="000000"/>
              </w:rPr>
              <w:t>0.200</w:t>
            </w:r>
          </w:p>
        </w:tc>
      </w:tr>
      <w:tr w:rsidR="00182F42" w:rsidRPr="009D6323" w14:paraId="193008F6" w14:textId="77777777">
        <w:tc>
          <w:tcPr>
            <w:tcW w:w="2596" w:type="dxa"/>
            <w:tcBorders>
              <w:top w:val="single" w:sz="4" w:space="0" w:color="000000"/>
              <w:left w:val="single" w:sz="4" w:space="0" w:color="000000"/>
              <w:bottom w:val="single" w:sz="4" w:space="0" w:color="000000"/>
              <w:right w:val="single" w:sz="4" w:space="0" w:color="000000"/>
            </w:tcBorders>
          </w:tcPr>
          <w:p w14:paraId="380A446C" w14:textId="77777777" w:rsidR="00182F42" w:rsidRPr="009D6323" w:rsidRDefault="00000000">
            <w:pPr>
              <w:spacing w:after="0"/>
              <w:rPr>
                <w:color w:val="000000"/>
              </w:rPr>
            </w:pPr>
            <w:r w:rsidRPr="009D6323">
              <w:rPr>
                <w:color w:val="000000"/>
              </w:rPr>
              <w:t>Manufacturing (dummy)</w:t>
            </w:r>
          </w:p>
        </w:tc>
        <w:tc>
          <w:tcPr>
            <w:tcW w:w="876" w:type="dxa"/>
            <w:tcBorders>
              <w:top w:val="single" w:sz="4" w:space="0" w:color="000000"/>
              <w:left w:val="single" w:sz="4" w:space="0" w:color="000000"/>
              <w:bottom w:val="single" w:sz="4" w:space="0" w:color="000000"/>
              <w:right w:val="single" w:sz="4" w:space="0" w:color="000000"/>
            </w:tcBorders>
          </w:tcPr>
          <w:p w14:paraId="7CEFAC49" w14:textId="77777777" w:rsidR="00182F42" w:rsidRPr="009D6323" w:rsidRDefault="00000000">
            <w:pPr>
              <w:spacing w:after="0"/>
              <w:rPr>
                <w:color w:val="000000"/>
              </w:rPr>
            </w:pPr>
            <w:r w:rsidRPr="009D6323">
              <w:rPr>
                <w:color w:val="000000"/>
              </w:rPr>
              <w:t>-2.028</w:t>
            </w:r>
          </w:p>
        </w:tc>
        <w:tc>
          <w:tcPr>
            <w:tcW w:w="1283" w:type="dxa"/>
            <w:tcBorders>
              <w:top w:val="single" w:sz="4" w:space="0" w:color="000000"/>
              <w:left w:val="single" w:sz="4" w:space="0" w:color="000000"/>
              <w:bottom w:val="single" w:sz="4" w:space="0" w:color="000000"/>
              <w:right w:val="single" w:sz="4" w:space="0" w:color="000000"/>
            </w:tcBorders>
          </w:tcPr>
          <w:p w14:paraId="11B1708C" w14:textId="77777777" w:rsidR="00182F42" w:rsidRPr="009D6323" w:rsidRDefault="00000000">
            <w:pPr>
              <w:spacing w:after="0"/>
              <w:rPr>
                <w:color w:val="000000"/>
              </w:rPr>
            </w:pPr>
            <w:r w:rsidRPr="009D6323">
              <w:rPr>
                <w:color w:val="000000"/>
              </w:rPr>
              <w:t>0.984</w:t>
            </w:r>
          </w:p>
        </w:tc>
        <w:tc>
          <w:tcPr>
            <w:tcW w:w="836" w:type="dxa"/>
            <w:tcBorders>
              <w:top w:val="single" w:sz="4" w:space="0" w:color="000000"/>
              <w:left w:val="single" w:sz="4" w:space="0" w:color="000000"/>
              <w:bottom w:val="single" w:sz="4" w:space="0" w:color="000000"/>
              <w:right w:val="single" w:sz="4" w:space="0" w:color="000000"/>
            </w:tcBorders>
          </w:tcPr>
          <w:p w14:paraId="5F37606E" w14:textId="77777777" w:rsidR="00182F42" w:rsidRPr="009D6323" w:rsidRDefault="00000000">
            <w:pPr>
              <w:spacing w:after="0"/>
              <w:rPr>
                <w:color w:val="000000"/>
              </w:rPr>
            </w:pPr>
            <w:r w:rsidRPr="009D6323">
              <w:rPr>
                <w:color w:val="000000"/>
              </w:rPr>
              <w:t>-0.150</w:t>
            </w:r>
          </w:p>
        </w:tc>
        <w:tc>
          <w:tcPr>
            <w:tcW w:w="836" w:type="dxa"/>
            <w:tcBorders>
              <w:top w:val="single" w:sz="4" w:space="0" w:color="000000"/>
              <w:left w:val="single" w:sz="4" w:space="0" w:color="000000"/>
              <w:bottom w:val="single" w:sz="4" w:space="0" w:color="000000"/>
              <w:right w:val="single" w:sz="4" w:space="0" w:color="000000"/>
            </w:tcBorders>
          </w:tcPr>
          <w:p w14:paraId="6A7B574A" w14:textId="77777777" w:rsidR="00182F42" w:rsidRPr="009D6323" w:rsidRDefault="00000000">
            <w:pPr>
              <w:spacing w:after="0"/>
              <w:rPr>
                <w:color w:val="000000"/>
              </w:rPr>
            </w:pPr>
            <w:r w:rsidRPr="009D6323">
              <w:rPr>
                <w:color w:val="000000"/>
              </w:rPr>
              <w:t>-2.061</w:t>
            </w:r>
          </w:p>
        </w:tc>
        <w:tc>
          <w:tcPr>
            <w:tcW w:w="876" w:type="dxa"/>
            <w:tcBorders>
              <w:top w:val="single" w:sz="4" w:space="0" w:color="000000"/>
              <w:left w:val="single" w:sz="4" w:space="0" w:color="000000"/>
              <w:bottom w:val="single" w:sz="4" w:space="0" w:color="000000"/>
              <w:right w:val="single" w:sz="4" w:space="0" w:color="000000"/>
            </w:tcBorders>
          </w:tcPr>
          <w:p w14:paraId="18D0B157" w14:textId="77777777" w:rsidR="00182F42" w:rsidRPr="009D6323" w:rsidRDefault="00000000">
            <w:pPr>
              <w:spacing w:after="0"/>
              <w:rPr>
                <w:color w:val="000000"/>
              </w:rPr>
            </w:pPr>
            <w:r w:rsidRPr="009D6323">
              <w:rPr>
                <w:color w:val="000000"/>
              </w:rPr>
              <w:t>0.040*</w:t>
            </w:r>
          </w:p>
        </w:tc>
      </w:tr>
      <w:tr w:rsidR="00182F42" w:rsidRPr="009D6323" w14:paraId="3F925A48" w14:textId="77777777">
        <w:tc>
          <w:tcPr>
            <w:tcW w:w="2596" w:type="dxa"/>
            <w:tcBorders>
              <w:top w:val="single" w:sz="4" w:space="0" w:color="000000"/>
              <w:left w:val="single" w:sz="4" w:space="0" w:color="000000"/>
              <w:bottom w:val="single" w:sz="4" w:space="0" w:color="000000"/>
              <w:right w:val="single" w:sz="4" w:space="0" w:color="000000"/>
            </w:tcBorders>
          </w:tcPr>
          <w:p w14:paraId="62D47B3D" w14:textId="77777777" w:rsidR="00182F42" w:rsidRPr="009D6323" w:rsidRDefault="00000000">
            <w:pPr>
              <w:spacing w:after="0"/>
              <w:rPr>
                <w:color w:val="000000"/>
              </w:rPr>
            </w:pPr>
            <w:r w:rsidRPr="009D6323">
              <w:rPr>
                <w:color w:val="000000"/>
              </w:rPr>
              <w:t>Services (dummy)</w:t>
            </w:r>
          </w:p>
        </w:tc>
        <w:tc>
          <w:tcPr>
            <w:tcW w:w="876" w:type="dxa"/>
            <w:tcBorders>
              <w:top w:val="single" w:sz="4" w:space="0" w:color="000000"/>
              <w:left w:val="single" w:sz="4" w:space="0" w:color="000000"/>
              <w:bottom w:val="single" w:sz="4" w:space="0" w:color="000000"/>
              <w:right w:val="single" w:sz="4" w:space="0" w:color="000000"/>
            </w:tcBorders>
          </w:tcPr>
          <w:p w14:paraId="0C88C401" w14:textId="77777777" w:rsidR="00182F42" w:rsidRPr="009D6323" w:rsidRDefault="00000000">
            <w:pPr>
              <w:spacing w:after="0"/>
            </w:pPr>
            <w:r w:rsidRPr="009D6323">
              <w:rPr>
                <w:color w:val="000000"/>
              </w:rPr>
              <w:t>-1.948</w:t>
            </w:r>
          </w:p>
        </w:tc>
        <w:tc>
          <w:tcPr>
            <w:tcW w:w="1283" w:type="dxa"/>
            <w:tcBorders>
              <w:top w:val="single" w:sz="4" w:space="0" w:color="000000"/>
              <w:left w:val="single" w:sz="4" w:space="0" w:color="000000"/>
              <w:bottom w:val="single" w:sz="4" w:space="0" w:color="000000"/>
              <w:right w:val="single" w:sz="4" w:space="0" w:color="000000"/>
            </w:tcBorders>
          </w:tcPr>
          <w:p w14:paraId="75D422F7" w14:textId="77777777" w:rsidR="00182F42" w:rsidRPr="009D6323" w:rsidRDefault="00000000">
            <w:pPr>
              <w:spacing w:after="0"/>
              <w:rPr>
                <w:color w:val="000000"/>
              </w:rPr>
            </w:pPr>
            <w:r w:rsidRPr="009D6323">
              <w:rPr>
                <w:color w:val="000000"/>
              </w:rPr>
              <w:t>0.976</w:t>
            </w:r>
          </w:p>
        </w:tc>
        <w:tc>
          <w:tcPr>
            <w:tcW w:w="836" w:type="dxa"/>
            <w:tcBorders>
              <w:top w:val="single" w:sz="4" w:space="0" w:color="000000"/>
              <w:left w:val="single" w:sz="4" w:space="0" w:color="000000"/>
              <w:bottom w:val="single" w:sz="4" w:space="0" w:color="000000"/>
              <w:right w:val="single" w:sz="4" w:space="0" w:color="000000"/>
            </w:tcBorders>
          </w:tcPr>
          <w:p w14:paraId="664E5E4E" w14:textId="77777777" w:rsidR="00182F42" w:rsidRPr="009D6323" w:rsidRDefault="00000000">
            <w:pPr>
              <w:spacing w:after="0"/>
              <w:rPr>
                <w:color w:val="000000"/>
              </w:rPr>
            </w:pPr>
            <w:r w:rsidRPr="009D6323">
              <w:rPr>
                <w:color w:val="000000"/>
              </w:rPr>
              <w:t>-0.146</w:t>
            </w:r>
          </w:p>
        </w:tc>
        <w:tc>
          <w:tcPr>
            <w:tcW w:w="836" w:type="dxa"/>
            <w:tcBorders>
              <w:top w:val="single" w:sz="4" w:space="0" w:color="000000"/>
              <w:left w:val="single" w:sz="4" w:space="0" w:color="000000"/>
              <w:bottom w:val="single" w:sz="4" w:space="0" w:color="000000"/>
              <w:right w:val="single" w:sz="4" w:space="0" w:color="000000"/>
            </w:tcBorders>
          </w:tcPr>
          <w:p w14:paraId="6784CAD9" w14:textId="77777777" w:rsidR="00182F42" w:rsidRPr="009D6323" w:rsidRDefault="00000000">
            <w:pPr>
              <w:spacing w:after="0"/>
              <w:rPr>
                <w:color w:val="000000"/>
              </w:rPr>
            </w:pPr>
            <w:r w:rsidRPr="009D6323">
              <w:rPr>
                <w:color w:val="000000"/>
              </w:rPr>
              <w:t>-1.997</w:t>
            </w:r>
          </w:p>
        </w:tc>
        <w:tc>
          <w:tcPr>
            <w:tcW w:w="876" w:type="dxa"/>
            <w:tcBorders>
              <w:top w:val="single" w:sz="4" w:space="0" w:color="000000"/>
              <w:left w:val="single" w:sz="4" w:space="0" w:color="000000"/>
              <w:bottom w:val="single" w:sz="4" w:space="0" w:color="000000"/>
              <w:right w:val="single" w:sz="4" w:space="0" w:color="000000"/>
            </w:tcBorders>
          </w:tcPr>
          <w:p w14:paraId="6C66D1FA" w14:textId="77777777" w:rsidR="00182F42" w:rsidRPr="009D6323" w:rsidRDefault="00000000">
            <w:pPr>
              <w:spacing w:after="0"/>
              <w:rPr>
                <w:color w:val="000000"/>
              </w:rPr>
            </w:pPr>
            <w:r w:rsidRPr="009D6323">
              <w:rPr>
                <w:color w:val="000000"/>
              </w:rPr>
              <w:t>0.048*</w:t>
            </w:r>
          </w:p>
        </w:tc>
      </w:tr>
      <w:tr w:rsidR="00182F42" w:rsidRPr="009D6323" w14:paraId="707BFFFA" w14:textId="77777777">
        <w:tc>
          <w:tcPr>
            <w:tcW w:w="2596" w:type="dxa"/>
            <w:tcBorders>
              <w:top w:val="single" w:sz="4" w:space="0" w:color="000000"/>
              <w:left w:val="single" w:sz="4" w:space="0" w:color="000000"/>
              <w:bottom w:val="single" w:sz="4" w:space="0" w:color="000000"/>
              <w:right w:val="single" w:sz="4" w:space="0" w:color="000000"/>
            </w:tcBorders>
          </w:tcPr>
          <w:p w14:paraId="6C9E5CBD" w14:textId="77777777" w:rsidR="00182F42" w:rsidRPr="009D6323" w:rsidRDefault="00000000">
            <w:pPr>
              <w:spacing w:after="0"/>
              <w:rPr>
                <w:color w:val="000000"/>
              </w:rPr>
            </w:pPr>
            <w:r w:rsidRPr="009D6323">
              <w:rPr>
                <w:color w:val="000000"/>
              </w:rPr>
              <w:t>Trade (dummy)</w:t>
            </w:r>
          </w:p>
        </w:tc>
        <w:tc>
          <w:tcPr>
            <w:tcW w:w="876" w:type="dxa"/>
            <w:tcBorders>
              <w:top w:val="single" w:sz="4" w:space="0" w:color="000000"/>
              <w:left w:val="single" w:sz="4" w:space="0" w:color="000000"/>
              <w:bottom w:val="single" w:sz="4" w:space="0" w:color="000000"/>
              <w:right w:val="single" w:sz="4" w:space="0" w:color="000000"/>
            </w:tcBorders>
          </w:tcPr>
          <w:p w14:paraId="12589DAC" w14:textId="77777777" w:rsidR="00182F42" w:rsidRPr="009D6323" w:rsidRDefault="00000000">
            <w:pPr>
              <w:spacing w:after="0"/>
              <w:rPr>
                <w:color w:val="000000"/>
              </w:rPr>
            </w:pPr>
            <w:r w:rsidRPr="009D6323">
              <w:rPr>
                <w:color w:val="000000"/>
              </w:rPr>
              <w:t>-0.752</w:t>
            </w:r>
          </w:p>
        </w:tc>
        <w:tc>
          <w:tcPr>
            <w:tcW w:w="1283" w:type="dxa"/>
            <w:tcBorders>
              <w:top w:val="single" w:sz="4" w:space="0" w:color="000000"/>
              <w:left w:val="single" w:sz="4" w:space="0" w:color="000000"/>
              <w:bottom w:val="single" w:sz="4" w:space="0" w:color="000000"/>
              <w:right w:val="single" w:sz="4" w:space="0" w:color="000000"/>
            </w:tcBorders>
          </w:tcPr>
          <w:p w14:paraId="6CA58F3F" w14:textId="77777777" w:rsidR="00182F42" w:rsidRPr="009D6323" w:rsidRDefault="00000000">
            <w:pPr>
              <w:spacing w:after="0"/>
              <w:rPr>
                <w:color w:val="000000"/>
              </w:rPr>
            </w:pPr>
            <w:r w:rsidRPr="009D6323">
              <w:rPr>
                <w:color w:val="000000"/>
              </w:rPr>
              <w:t>0.998</w:t>
            </w:r>
          </w:p>
        </w:tc>
        <w:tc>
          <w:tcPr>
            <w:tcW w:w="836" w:type="dxa"/>
            <w:tcBorders>
              <w:top w:val="single" w:sz="4" w:space="0" w:color="000000"/>
              <w:left w:val="single" w:sz="4" w:space="0" w:color="000000"/>
              <w:bottom w:val="single" w:sz="4" w:space="0" w:color="000000"/>
              <w:right w:val="single" w:sz="4" w:space="0" w:color="000000"/>
            </w:tcBorders>
          </w:tcPr>
          <w:p w14:paraId="267553D5" w14:textId="77777777" w:rsidR="00182F42" w:rsidRPr="009D6323" w:rsidRDefault="00000000">
            <w:pPr>
              <w:spacing w:after="0"/>
              <w:rPr>
                <w:color w:val="000000"/>
              </w:rPr>
            </w:pPr>
            <w:r w:rsidRPr="009D6323">
              <w:rPr>
                <w:color w:val="000000"/>
              </w:rPr>
              <w:t>-0.056</w:t>
            </w:r>
          </w:p>
        </w:tc>
        <w:tc>
          <w:tcPr>
            <w:tcW w:w="836" w:type="dxa"/>
            <w:tcBorders>
              <w:top w:val="single" w:sz="4" w:space="0" w:color="000000"/>
              <w:left w:val="single" w:sz="4" w:space="0" w:color="000000"/>
              <w:bottom w:val="single" w:sz="4" w:space="0" w:color="000000"/>
              <w:right w:val="single" w:sz="4" w:space="0" w:color="000000"/>
            </w:tcBorders>
          </w:tcPr>
          <w:p w14:paraId="7E1DD43D" w14:textId="77777777" w:rsidR="00182F42" w:rsidRPr="009D6323" w:rsidRDefault="00000000">
            <w:pPr>
              <w:spacing w:after="0"/>
              <w:rPr>
                <w:color w:val="000000"/>
              </w:rPr>
            </w:pPr>
            <w:r w:rsidRPr="009D6323">
              <w:rPr>
                <w:color w:val="000000"/>
              </w:rPr>
              <w:t>-0.753</w:t>
            </w:r>
          </w:p>
        </w:tc>
        <w:tc>
          <w:tcPr>
            <w:tcW w:w="876" w:type="dxa"/>
            <w:tcBorders>
              <w:top w:val="single" w:sz="4" w:space="0" w:color="000000"/>
              <w:left w:val="single" w:sz="4" w:space="0" w:color="000000"/>
              <w:bottom w:val="single" w:sz="4" w:space="0" w:color="000000"/>
              <w:right w:val="single" w:sz="4" w:space="0" w:color="000000"/>
            </w:tcBorders>
          </w:tcPr>
          <w:p w14:paraId="59641B66" w14:textId="77777777" w:rsidR="00182F42" w:rsidRPr="009D6323" w:rsidRDefault="00000000">
            <w:pPr>
              <w:spacing w:after="0"/>
              <w:rPr>
                <w:color w:val="000000"/>
              </w:rPr>
            </w:pPr>
            <w:r w:rsidRPr="009D6323">
              <w:rPr>
                <w:color w:val="000000"/>
              </w:rPr>
              <w:t>0.452</w:t>
            </w:r>
          </w:p>
        </w:tc>
      </w:tr>
      <w:tr w:rsidR="00182F42" w:rsidRPr="009D6323" w14:paraId="2390338D" w14:textId="77777777">
        <w:tc>
          <w:tcPr>
            <w:tcW w:w="2596" w:type="dxa"/>
            <w:tcBorders>
              <w:top w:val="single" w:sz="4" w:space="0" w:color="000000"/>
              <w:left w:val="single" w:sz="4" w:space="0" w:color="000000"/>
              <w:bottom w:val="single" w:sz="4" w:space="0" w:color="000000"/>
              <w:right w:val="single" w:sz="4" w:space="0" w:color="000000"/>
            </w:tcBorders>
          </w:tcPr>
          <w:p w14:paraId="6018178C" w14:textId="77777777" w:rsidR="00182F42" w:rsidRPr="009D6323" w:rsidRDefault="00000000">
            <w:pPr>
              <w:spacing w:after="0"/>
              <w:rPr>
                <w:color w:val="000000"/>
              </w:rPr>
            </w:pPr>
            <w:r w:rsidRPr="009D6323">
              <w:rPr>
                <w:color w:val="000000"/>
              </w:rPr>
              <w:t>IT (dummy)</w:t>
            </w:r>
          </w:p>
        </w:tc>
        <w:tc>
          <w:tcPr>
            <w:tcW w:w="876" w:type="dxa"/>
            <w:tcBorders>
              <w:top w:val="single" w:sz="4" w:space="0" w:color="000000"/>
              <w:left w:val="single" w:sz="4" w:space="0" w:color="000000"/>
              <w:bottom w:val="single" w:sz="4" w:space="0" w:color="000000"/>
              <w:right w:val="single" w:sz="4" w:space="0" w:color="000000"/>
            </w:tcBorders>
          </w:tcPr>
          <w:p w14:paraId="174C4E46" w14:textId="77777777" w:rsidR="00182F42" w:rsidRPr="009D6323" w:rsidRDefault="00000000">
            <w:pPr>
              <w:spacing w:after="0"/>
              <w:rPr>
                <w:color w:val="000000"/>
              </w:rPr>
            </w:pPr>
            <w:r w:rsidRPr="009D6323">
              <w:rPr>
                <w:color w:val="000000"/>
              </w:rPr>
              <w:t>-0.610</w:t>
            </w:r>
          </w:p>
        </w:tc>
        <w:tc>
          <w:tcPr>
            <w:tcW w:w="1283" w:type="dxa"/>
            <w:tcBorders>
              <w:top w:val="single" w:sz="4" w:space="0" w:color="000000"/>
              <w:left w:val="single" w:sz="4" w:space="0" w:color="000000"/>
              <w:bottom w:val="single" w:sz="4" w:space="0" w:color="000000"/>
              <w:right w:val="single" w:sz="4" w:space="0" w:color="000000"/>
            </w:tcBorders>
          </w:tcPr>
          <w:p w14:paraId="656382EF" w14:textId="77777777" w:rsidR="00182F42" w:rsidRPr="009D6323" w:rsidRDefault="00000000">
            <w:pPr>
              <w:spacing w:after="0"/>
              <w:rPr>
                <w:color w:val="000000"/>
              </w:rPr>
            </w:pPr>
            <w:r w:rsidRPr="009D6323">
              <w:rPr>
                <w:color w:val="000000"/>
              </w:rPr>
              <w:t>1.028</w:t>
            </w:r>
          </w:p>
        </w:tc>
        <w:tc>
          <w:tcPr>
            <w:tcW w:w="836" w:type="dxa"/>
            <w:tcBorders>
              <w:top w:val="single" w:sz="4" w:space="0" w:color="000000"/>
              <w:left w:val="single" w:sz="4" w:space="0" w:color="000000"/>
              <w:bottom w:val="single" w:sz="4" w:space="0" w:color="000000"/>
              <w:right w:val="single" w:sz="4" w:space="0" w:color="000000"/>
            </w:tcBorders>
          </w:tcPr>
          <w:p w14:paraId="35A2EACF" w14:textId="77777777" w:rsidR="00182F42" w:rsidRPr="009D6323" w:rsidRDefault="00000000">
            <w:pPr>
              <w:spacing w:after="0"/>
              <w:rPr>
                <w:color w:val="000000"/>
              </w:rPr>
            </w:pPr>
            <w:r w:rsidRPr="009D6323">
              <w:rPr>
                <w:color w:val="000000"/>
              </w:rPr>
              <w:t>-0.042</w:t>
            </w:r>
          </w:p>
        </w:tc>
        <w:tc>
          <w:tcPr>
            <w:tcW w:w="836" w:type="dxa"/>
            <w:tcBorders>
              <w:top w:val="single" w:sz="4" w:space="0" w:color="000000"/>
              <w:left w:val="single" w:sz="4" w:space="0" w:color="000000"/>
              <w:bottom w:val="single" w:sz="4" w:space="0" w:color="000000"/>
              <w:right w:val="single" w:sz="4" w:space="0" w:color="000000"/>
            </w:tcBorders>
          </w:tcPr>
          <w:p w14:paraId="4616D4D3" w14:textId="77777777" w:rsidR="00182F42" w:rsidRPr="009D6323" w:rsidRDefault="00000000">
            <w:pPr>
              <w:spacing w:after="0"/>
              <w:rPr>
                <w:color w:val="000000"/>
              </w:rPr>
            </w:pPr>
            <w:r w:rsidRPr="009D6323">
              <w:rPr>
                <w:color w:val="000000"/>
              </w:rPr>
              <w:t>-0.593</w:t>
            </w:r>
          </w:p>
        </w:tc>
        <w:tc>
          <w:tcPr>
            <w:tcW w:w="876" w:type="dxa"/>
            <w:tcBorders>
              <w:top w:val="single" w:sz="4" w:space="0" w:color="000000"/>
              <w:left w:val="single" w:sz="4" w:space="0" w:color="000000"/>
              <w:bottom w:val="single" w:sz="4" w:space="0" w:color="000000"/>
              <w:right w:val="single" w:sz="4" w:space="0" w:color="000000"/>
            </w:tcBorders>
          </w:tcPr>
          <w:p w14:paraId="74EF8362" w14:textId="77777777" w:rsidR="00182F42" w:rsidRPr="009D6323" w:rsidRDefault="00000000">
            <w:pPr>
              <w:spacing w:after="0"/>
              <w:rPr>
                <w:color w:val="000000"/>
              </w:rPr>
            </w:pPr>
            <w:r w:rsidRPr="009D6323">
              <w:rPr>
                <w:color w:val="000000"/>
              </w:rPr>
              <w:t>0.554</w:t>
            </w:r>
          </w:p>
        </w:tc>
      </w:tr>
    </w:tbl>
    <w:p w14:paraId="6E165FE4" w14:textId="77777777" w:rsidR="00182F42" w:rsidRPr="009D6323" w:rsidRDefault="00000000">
      <w:pPr>
        <w:pStyle w:val="NormalWeb"/>
        <w:spacing w:before="0" w:after="0" w:line="360" w:lineRule="auto"/>
        <w:rPr>
          <w:color w:val="000000"/>
        </w:rPr>
      </w:pPr>
      <w:r w:rsidRPr="009D6323">
        <w:rPr>
          <w:color w:val="000000"/>
        </w:rPr>
        <w:t>*Significant at the 0.05 level.</w:t>
      </w:r>
    </w:p>
    <w:p w14:paraId="6B69AC74" w14:textId="77777777" w:rsidR="00182F42" w:rsidRPr="009D6323" w:rsidRDefault="00000000">
      <w:pPr>
        <w:pStyle w:val="Heading3"/>
      </w:pPr>
      <w:r w:rsidRPr="009D6323">
        <w:rPr>
          <w:color w:val="000000"/>
        </w:rPr>
        <w:t>4.1.4 Collinearity Diagnostics</w:t>
      </w:r>
    </w:p>
    <w:p w14:paraId="5009DD71" w14:textId="77777777" w:rsidR="00182F42" w:rsidRPr="009D6323" w:rsidRDefault="00000000">
      <w:r w:rsidRPr="009D6323">
        <w:t>The calculated values of the variance inflation factor (VIF) ranged between 1.803 and 4.640, which are below the conventional threshold of 10; therefore, no severe multicollinearity was observed among the predictors. This was consistent with tolerance values above 0.2. This implies that the independent variables are not excessively correlated and that each adds distinct information to the model.</w:t>
      </w:r>
    </w:p>
    <w:p w14:paraId="25812945" w14:textId="77777777" w:rsidR="00182F42" w:rsidRPr="009D6323" w:rsidRDefault="00000000">
      <w:pPr>
        <w:pStyle w:val="Caption"/>
      </w:pPr>
      <w:r w:rsidRPr="009D6323">
        <w:t>Table 7: Collinearity Diagnostics</w:t>
      </w:r>
    </w:p>
    <w:tbl>
      <w:tblPr>
        <w:tblW w:w="4108" w:type="dxa"/>
        <w:tblLayout w:type="fixed"/>
        <w:tblLook w:val="04A0" w:firstRow="1" w:lastRow="0" w:firstColumn="1" w:lastColumn="0" w:noHBand="0" w:noVBand="1"/>
      </w:tblPr>
      <w:tblGrid>
        <w:gridCol w:w="2109"/>
        <w:gridCol w:w="1243"/>
        <w:gridCol w:w="756"/>
      </w:tblGrid>
      <w:tr w:rsidR="00182F42" w:rsidRPr="009D6323" w14:paraId="4F6D20F7" w14:textId="77777777">
        <w:tc>
          <w:tcPr>
            <w:tcW w:w="2109" w:type="dxa"/>
            <w:tcBorders>
              <w:top w:val="single" w:sz="4" w:space="0" w:color="000000"/>
              <w:left w:val="single" w:sz="4" w:space="0" w:color="000000"/>
              <w:bottom w:val="single" w:sz="4" w:space="0" w:color="000000"/>
              <w:right w:val="single" w:sz="4" w:space="0" w:color="000000"/>
            </w:tcBorders>
          </w:tcPr>
          <w:p w14:paraId="67190126" w14:textId="77777777" w:rsidR="00182F42" w:rsidRPr="009D6323" w:rsidRDefault="00000000">
            <w:pPr>
              <w:spacing w:after="0"/>
              <w:jc w:val="center"/>
              <w:rPr>
                <w:b/>
                <w:bCs/>
                <w:color w:val="000000"/>
              </w:rPr>
            </w:pPr>
            <w:r w:rsidRPr="009D6323">
              <w:rPr>
                <w:b/>
                <w:bCs/>
                <w:color w:val="000000"/>
              </w:rPr>
              <w:t>Variable</w:t>
            </w:r>
          </w:p>
        </w:tc>
        <w:tc>
          <w:tcPr>
            <w:tcW w:w="1243" w:type="dxa"/>
            <w:tcBorders>
              <w:top w:val="single" w:sz="4" w:space="0" w:color="000000"/>
              <w:left w:val="single" w:sz="4" w:space="0" w:color="000000"/>
              <w:bottom w:val="single" w:sz="4" w:space="0" w:color="000000"/>
              <w:right w:val="single" w:sz="4" w:space="0" w:color="000000"/>
            </w:tcBorders>
          </w:tcPr>
          <w:p w14:paraId="454DFAC7" w14:textId="77777777" w:rsidR="00182F42" w:rsidRPr="009D6323" w:rsidRDefault="00000000">
            <w:pPr>
              <w:spacing w:after="0"/>
              <w:jc w:val="center"/>
              <w:rPr>
                <w:b/>
                <w:bCs/>
                <w:color w:val="000000"/>
              </w:rPr>
            </w:pPr>
            <w:r w:rsidRPr="009D6323">
              <w:rPr>
                <w:b/>
                <w:bCs/>
                <w:color w:val="000000"/>
              </w:rPr>
              <w:t>Tolerance</w:t>
            </w:r>
          </w:p>
        </w:tc>
        <w:tc>
          <w:tcPr>
            <w:tcW w:w="756" w:type="dxa"/>
            <w:tcBorders>
              <w:top w:val="single" w:sz="4" w:space="0" w:color="000000"/>
              <w:left w:val="single" w:sz="4" w:space="0" w:color="000000"/>
              <w:bottom w:val="single" w:sz="4" w:space="0" w:color="000000"/>
              <w:right w:val="single" w:sz="4" w:space="0" w:color="000000"/>
            </w:tcBorders>
          </w:tcPr>
          <w:p w14:paraId="5B9A7451" w14:textId="77777777" w:rsidR="00182F42" w:rsidRPr="009D6323" w:rsidRDefault="00000000">
            <w:pPr>
              <w:spacing w:after="0"/>
              <w:jc w:val="center"/>
              <w:rPr>
                <w:b/>
                <w:bCs/>
                <w:color w:val="000000"/>
              </w:rPr>
            </w:pPr>
            <w:r w:rsidRPr="009D6323">
              <w:rPr>
                <w:b/>
                <w:bCs/>
                <w:color w:val="000000"/>
              </w:rPr>
              <w:t>VIF</w:t>
            </w:r>
          </w:p>
        </w:tc>
      </w:tr>
      <w:tr w:rsidR="00182F42" w:rsidRPr="009D6323" w14:paraId="70CB75BC" w14:textId="77777777">
        <w:tc>
          <w:tcPr>
            <w:tcW w:w="2109" w:type="dxa"/>
            <w:tcBorders>
              <w:top w:val="single" w:sz="4" w:space="0" w:color="000000"/>
              <w:left w:val="single" w:sz="4" w:space="0" w:color="000000"/>
              <w:bottom w:val="single" w:sz="4" w:space="0" w:color="000000"/>
              <w:right w:val="single" w:sz="4" w:space="0" w:color="000000"/>
            </w:tcBorders>
          </w:tcPr>
          <w:p w14:paraId="28967FE5" w14:textId="77777777" w:rsidR="00182F42" w:rsidRPr="009D6323" w:rsidRDefault="00000000">
            <w:pPr>
              <w:spacing w:after="0"/>
              <w:jc w:val="left"/>
              <w:rPr>
                <w:color w:val="000000"/>
              </w:rPr>
            </w:pPr>
            <w:r w:rsidRPr="009D6323">
              <w:rPr>
                <w:color w:val="000000"/>
              </w:rPr>
              <w:t>Sales Turnover Tax</w:t>
            </w:r>
          </w:p>
        </w:tc>
        <w:tc>
          <w:tcPr>
            <w:tcW w:w="1243" w:type="dxa"/>
            <w:tcBorders>
              <w:top w:val="single" w:sz="4" w:space="0" w:color="000000"/>
              <w:left w:val="single" w:sz="4" w:space="0" w:color="000000"/>
              <w:bottom w:val="single" w:sz="4" w:space="0" w:color="000000"/>
              <w:right w:val="single" w:sz="4" w:space="0" w:color="000000"/>
            </w:tcBorders>
          </w:tcPr>
          <w:p w14:paraId="30B537B4" w14:textId="77777777" w:rsidR="00182F42" w:rsidRPr="009D6323" w:rsidRDefault="00000000">
            <w:pPr>
              <w:spacing w:after="0"/>
              <w:rPr>
                <w:color w:val="000000"/>
              </w:rPr>
            </w:pPr>
            <w:r w:rsidRPr="009D6323">
              <w:rPr>
                <w:color w:val="000000"/>
              </w:rPr>
              <w:t>0.216</w:t>
            </w:r>
          </w:p>
        </w:tc>
        <w:tc>
          <w:tcPr>
            <w:tcW w:w="756" w:type="dxa"/>
            <w:tcBorders>
              <w:top w:val="single" w:sz="4" w:space="0" w:color="000000"/>
              <w:left w:val="single" w:sz="4" w:space="0" w:color="000000"/>
              <w:bottom w:val="single" w:sz="4" w:space="0" w:color="000000"/>
              <w:right w:val="single" w:sz="4" w:space="0" w:color="000000"/>
            </w:tcBorders>
          </w:tcPr>
          <w:p w14:paraId="3326C11E" w14:textId="77777777" w:rsidR="00182F42" w:rsidRPr="009D6323" w:rsidRDefault="00000000">
            <w:pPr>
              <w:spacing w:after="0"/>
              <w:rPr>
                <w:color w:val="000000"/>
              </w:rPr>
            </w:pPr>
            <w:r w:rsidRPr="009D6323">
              <w:rPr>
                <w:color w:val="000000"/>
              </w:rPr>
              <w:t>4.625</w:t>
            </w:r>
          </w:p>
        </w:tc>
      </w:tr>
      <w:tr w:rsidR="00182F42" w:rsidRPr="009D6323" w14:paraId="3D7B4CC8" w14:textId="77777777">
        <w:tc>
          <w:tcPr>
            <w:tcW w:w="2109" w:type="dxa"/>
            <w:tcBorders>
              <w:top w:val="single" w:sz="4" w:space="0" w:color="000000"/>
              <w:left w:val="single" w:sz="4" w:space="0" w:color="000000"/>
              <w:bottom w:val="single" w:sz="4" w:space="0" w:color="000000"/>
              <w:right w:val="single" w:sz="4" w:space="0" w:color="000000"/>
            </w:tcBorders>
          </w:tcPr>
          <w:p w14:paraId="4870A555" w14:textId="77777777" w:rsidR="00182F42" w:rsidRPr="009D6323" w:rsidRDefault="00000000">
            <w:pPr>
              <w:spacing w:after="0"/>
              <w:rPr>
                <w:color w:val="000000"/>
              </w:rPr>
            </w:pPr>
            <w:r w:rsidRPr="009D6323">
              <w:rPr>
                <w:color w:val="000000"/>
              </w:rPr>
              <w:t>Excise Duty</w:t>
            </w:r>
          </w:p>
        </w:tc>
        <w:tc>
          <w:tcPr>
            <w:tcW w:w="1243" w:type="dxa"/>
            <w:tcBorders>
              <w:top w:val="single" w:sz="4" w:space="0" w:color="000000"/>
              <w:left w:val="single" w:sz="4" w:space="0" w:color="000000"/>
              <w:bottom w:val="single" w:sz="4" w:space="0" w:color="000000"/>
              <w:right w:val="single" w:sz="4" w:space="0" w:color="000000"/>
            </w:tcBorders>
          </w:tcPr>
          <w:p w14:paraId="2483876C" w14:textId="77777777" w:rsidR="00182F42" w:rsidRPr="009D6323" w:rsidRDefault="00000000">
            <w:pPr>
              <w:spacing w:after="0"/>
              <w:rPr>
                <w:color w:val="000000"/>
              </w:rPr>
            </w:pPr>
            <w:r w:rsidRPr="009D6323">
              <w:rPr>
                <w:color w:val="000000"/>
              </w:rPr>
              <w:t>0.215</w:t>
            </w:r>
          </w:p>
        </w:tc>
        <w:tc>
          <w:tcPr>
            <w:tcW w:w="756" w:type="dxa"/>
            <w:tcBorders>
              <w:top w:val="single" w:sz="4" w:space="0" w:color="000000"/>
              <w:left w:val="single" w:sz="4" w:space="0" w:color="000000"/>
              <w:bottom w:val="single" w:sz="4" w:space="0" w:color="000000"/>
              <w:right w:val="single" w:sz="4" w:space="0" w:color="000000"/>
            </w:tcBorders>
          </w:tcPr>
          <w:p w14:paraId="64EEF008" w14:textId="77777777" w:rsidR="00182F42" w:rsidRPr="009D6323" w:rsidRDefault="00000000">
            <w:pPr>
              <w:spacing w:after="0"/>
              <w:rPr>
                <w:color w:val="000000"/>
              </w:rPr>
            </w:pPr>
            <w:r w:rsidRPr="009D6323">
              <w:rPr>
                <w:color w:val="000000"/>
              </w:rPr>
              <w:t>4.640</w:t>
            </w:r>
          </w:p>
        </w:tc>
      </w:tr>
      <w:tr w:rsidR="00182F42" w:rsidRPr="009D6323" w14:paraId="5135C899" w14:textId="77777777">
        <w:tc>
          <w:tcPr>
            <w:tcW w:w="2109" w:type="dxa"/>
            <w:tcBorders>
              <w:top w:val="single" w:sz="4" w:space="0" w:color="000000"/>
              <w:left w:val="single" w:sz="4" w:space="0" w:color="000000"/>
              <w:bottom w:val="single" w:sz="4" w:space="0" w:color="000000"/>
              <w:right w:val="single" w:sz="4" w:space="0" w:color="000000"/>
            </w:tcBorders>
          </w:tcPr>
          <w:p w14:paraId="3E3D6162" w14:textId="77777777" w:rsidR="00182F42" w:rsidRPr="009D6323" w:rsidRDefault="00000000">
            <w:pPr>
              <w:spacing w:after="0"/>
              <w:rPr>
                <w:color w:val="000000"/>
              </w:rPr>
            </w:pPr>
            <w:r w:rsidRPr="009D6323">
              <w:rPr>
                <w:color w:val="000000"/>
              </w:rPr>
              <w:t>VAT</w:t>
            </w:r>
          </w:p>
        </w:tc>
        <w:tc>
          <w:tcPr>
            <w:tcW w:w="1243" w:type="dxa"/>
            <w:tcBorders>
              <w:top w:val="single" w:sz="4" w:space="0" w:color="000000"/>
              <w:left w:val="single" w:sz="4" w:space="0" w:color="000000"/>
              <w:bottom w:val="single" w:sz="4" w:space="0" w:color="000000"/>
              <w:right w:val="single" w:sz="4" w:space="0" w:color="000000"/>
            </w:tcBorders>
          </w:tcPr>
          <w:p w14:paraId="53CDC671" w14:textId="77777777" w:rsidR="00182F42" w:rsidRPr="009D6323" w:rsidRDefault="00000000">
            <w:pPr>
              <w:spacing w:after="0"/>
              <w:rPr>
                <w:color w:val="000000"/>
              </w:rPr>
            </w:pPr>
            <w:r w:rsidRPr="009D6323">
              <w:rPr>
                <w:color w:val="000000"/>
              </w:rPr>
              <w:t>0.227</w:t>
            </w:r>
          </w:p>
        </w:tc>
        <w:tc>
          <w:tcPr>
            <w:tcW w:w="756" w:type="dxa"/>
            <w:tcBorders>
              <w:top w:val="single" w:sz="4" w:space="0" w:color="000000"/>
              <w:left w:val="single" w:sz="4" w:space="0" w:color="000000"/>
              <w:bottom w:val="single" w:sz="4" w:space="0" w:color="000000"/>
              <w:right w:val="single" w:sz="4" w:space="0" w:color="000000"/>
            </w:tcBorders>
          </w:tcPr>
          <w:p w14:paraId="1842AEBA" w14:textId="77777777" w:rsidR="00182F42" w:rsidRPr="009D6323" w:rsidRDefault="00000000">
            <w:pPr>
              <w:spacing w:after="0"/>
              <w:rPr>
                <w:color w:val="000000"/>
              </w:rPr>
            </w:pPr>
            <w:r w:rsidRPr="009D6323">
              <w:rPr>
                <w:color w:val="000000"/>
              </w:rPr>
              <w:t>4.404</w:t>
            </w:r>
          </w:p>
        </w:tc>
      </w:tr>
      <w:tr w:rsidR="00182F42" w:rsidRPr="009D6323" w14:paraId="30DC396F" w14:textId="77777777">
        <w:tc>
          <w:tcPr>
            <w:tcW w:w="2109" w:type="dxa"/>
            <w:tcBorders>
              <w:top w:val="single" w:sz="4" w:space="0" w:color="000000"/>
              <w:left w:val="single" w:sz="4" w:space="0" w:color="000000"/>
              <w:bottom w:val="single" w:sz="4" w:space="0" w:color="000000"/>
              <w:right w:val="single" w:sz="4" w:space="0" w:color="000000"/>
            </w:tcBorders>
          </w:tcPr>
          <w:p w14:paraId="175D63CF" w14:textId="77777777" w:rsidR="00182F42" w:rsidRPr="009D6323" w:rsidRDefault="00000000">
            <w:pPr>
              <w:spacing w:after="0"/>
              <w:rPr>
                <w:color w:val="000000"/>
              </w:rPr>
            </w:pPr>
            <w:r w:rsidRPr="009D6323">
              <w:rPr>
                <w:color w:val="000000"/>
              </w:rPr>
              <w:t>Stamp Duty</w:t>
            </w:r>
          </w:p>
        </w:tc>
        <w:tc>
          <w:tcPr>
            <w:tcW w:w="1243" w:type="dxa"/>
            <w:tcBorders>
              <w:top w:val="single" w:sz="4" w:space="0" w:color="000000"/>
              <w:left w:val="single" w:sz="4" w:space="0" w:color="000000"/>
              <w:bottom w:val="single" w:sz="4" w:space="0" w:color="000000"/>
              <w:right w:val="single" w:sz="4" w:space="0" w:color="000000"/>
            </w:tcBorders>
          </w:tcPr>
          <w:p w14:paraId="74CAC7F3" w14:textId="77777777" w:rsidR="00182F42" w:rsidRPr="009D6323" w:rsidRDefault="00000000">
            <w:pPr>
              <w:spacing w:after="0"/>
              <w:rPr>
                <w:color w:val="000000"/>
              </w:rPr>
            </w:pPr>
            <w:r w:rsidRPr="009D6323">
              <w:rPr>
                <w:color w:val="000000"/>
              </w:rPr>
              <w:t>0.229</w:t>
            </w:r>
          </w:p>
        </w:tc>
        <w:tc>
          <w:tcPr>
            <w:tcW w:w="756" w:type="dxa"/>
            <w:tcBorders>
              <w:top w:val="single" w:sz="4" w:space="0" w:color="000000"/>
              <w:left w:val="single" w:sz="4" w:space="0" w:color="000000"/>
              <w:bottom w:val="single" w:sz="4" w:space="0" w:color="000000"/>
              <w:right w:val="single" w:sz="4" w:space="0" w:color="000000"/>
            </w:tcBorders>
          </w:tcPr>
          <w:p w14:paraId="2265A79F" w14:textId="77777777" w:rsidR="00182F42" w:rsidRPr="009D6323" w:rsidRDefault="00000000">
            <w:pPr>
              <w:spacing w:after="0"/>
              <w:rPr>
                <w:color w:val="000000"/>
              </w:rPr>
            </w:pPr>
            <w:r w:rsidRPr="009D6323">
              <w:rPr>
                <w:color w:val="000000"/>
              </w:rPr>
              <w:t>4.373</w:t>
            </w:r>
          </w:p>
        </w:tc>
      </w:tr>
      <w:tr w:rsidR="00182F42" w:rsidRPr="009D6323" w14:paraId="36C0A0EC" w14:textId="77777777">
        <w:tc>
          <w:tcPr>
            <w:tcW w:w="2109" w:type="dxa"/>
            <w:tcBorders>
              <w:top w:val="single" w:sz="4" w:space="0" w:color="000000"/>
              <w:left w:val="single" w:sz="4" w:space="0" w:color="000000"/>
              <w:bottom w:val="single" w:sz="4" w:space="0" w:color="000000"/>
              <w:right w:val="single" w:sz="4" w:space="0" w:color="000000"/>
            </w:tcBorders>
          </w:tcPr>
          <w:p w14:paraId="0B94136C" w14:textId="77777777" w:rsidR="00182F42" w:rsidRPr="009D6323" w:rsidRDefault="00000000">
            <w:pPr>
              <w:spacing w:after="0"/>
              <w:rPr>
                <w:color w:val="000000"/>
              </w:rPr>
            </w:pPr>
            <w:r w:rsidRPr="009D6323">
              <w:rPr>
                <w:color w:val="000000"/>
              </w:rPr>
              <w:t>Years in Operation</w:t>
            </w:r>
          </w:p>
        </w:tc>
        <w:tc>
          <w:tcPr>
            <w:tcW w:w="1243" w:type="dxa"/>
            <w:tcBorders>
              <w:top w:val="single" w:sz="4" w:space="0" w:color="000000"/>
              <w:left w:val="single" w:sz="4" w:space="0" w:color="000000"/>
              <w:bottom w:val="single" w:sz="4" w:space="0" w:color="000000"/>
              <w:right w:val="single" w:sz="4" w:space="0" w:color="000000"/>
            </w:tcBorders>
          </w:tcPr>
          <w:p w14:paraId="4AB9BD46" w14:textId="77777777" w:rsidR="00182F42" w:rsidRPr="009D6323" w:rsidRDefault="00000000">
            <w:pPr>
              <w:spacing w:after="0"/>
              <w:rPr>
                <w:color w:val="000000"/>
              </w:rPr>
            </w:pPr>
            <w:r w:rsidRPr="009D6323">
              <w:rPr>
                <w:color w:val="000000"/>
              </w:rPr>
              <w:t>0.272</w:t>
            </w:r>
          </w:p>
        </w:tc>
        <w:tc>
          <w:tcPr>
            <w:tcW w:w="756" w:type="dxa"/>
            <w:tcBorders>
              <w:top w:val="single" w:sz="4" w:space="0" w:color="000000"/>
              <w:left w:val="single" w:sz="4" w:space="0" w:color="000000"/>
              <w:bottom w:val="single" w:sz="4" w:space="0" w:color="000000"/>
              <w:right w:val="single" w:sz="4" w:space="0" w:color="000000"/>
            </w:tcBorders>
          </w:tcPr>
          <w:p w14:paraId="529EF242" w14:textId="77777777" w:rsidR="00182F42" w:rsidRPr="009D6323" w:rsidRDefault="00000000">
            <w:pPr>
              <w:spacing w:after="0"/>
              <w:rPr>
                <w:color w:val="000000"/>
              </w:rPr>
            </w:pPr>
            <w:r w:rsidRPr="009D6323">
              <w:rPr>
                <w:color w:val="000000"/>
              </w:rPr>
              <w:t>3.675</w:t>
            </w:r>
          </w:p>
        </w:tc>
      </w:tr>
      <w:tr w:rsidR="00182F42" w:rsidRPr="009D6323" w14:paraId="6FF50160" w14:textId="77777777">
        <w:tc>
          <w:tcPr>
            <w:tcW w:w="2109" w:type="dxa"/>
            <w:tcBorders>
              <w:top w:val="single" w:sz="4" w:space="0" w:color="000000"/>
              <w:left w:val="single" w:sz="4" w:space="0" w:color="000000"/>
              <w:bottom w:val="single" w:sz="4" w:space="0" w:color="000000"/>
              <w:right w:val="single" w:sz="4" w:space="0" w:color="000000"/>
            </w:tcBorders>
          </w:tcPr>
          <w:p w14:paraId="16EA5A80" w14:textId="77777777" w:rsidR="00182F42" w:rsidRPr="009D6323" w:rsidRDefault="00000000">
            <w:pPr>
              <w:spacing w:after="0"/>
              <w:rPr>
                <w:color w:val="000000"/>
              </w:rPr>
            </w:pPr>
            <w:r w:rsidRPr="009D6323">
              <w:rPr>
                <w:color w:val="000000"/>
              </w:rPr>
              <w:t>Manufacturing</w:t>
            </w:r>
          </w:p>
        </w:tc>
        <w:tc>
          <w:tcPr>
            <w:tcW w:w="1243" w:type="dxa"/>
            <w:tcBorders>
              <w:top w:val="single" w:sz="4" w:space="0" w:color="000000"/>
              <w:left w:val="single" w:sz="4" w:space="0" w:color="000000"/>
              <w:bottom w:val="single" w:sz="4" w:space="0" w:color="000000"/>
              <w:right w:val="single" w:sz="4" w:space="0" w:color="000000"/>
            </w:tcBorders>
          </w:tcPr>
          <w:p w14:paraId="379E8F08" w14:textId="77777777" w:rsidR="00182F42" w:rsidRPr="009D6323" w:rsidRDefault="00000000">
            <w:pPr>
              <w:spacing w:after="0"/>
              <w:rPr>
                <w:color w:val="000000"/>
              </w:rPr>
            </w:pPr>
            <w:r w:rsidRPr="009D6323">
              <w:rPr>
                <w:color w:val="000000"/>
              </w:rPr>
              <w:t>0.555</w:t>
            </w:r>
          </w:p>
        </w:tc>
        <w:tc>
          <w:tcPr>
            <w:tcW w:w="756" w:type="dxa"/>
            <w:tcBorders>
              <w:top w:val="single" w:sz="4" w:space="0" w:color="000000"/>
              <w:left w:val="single" w:sz="4" w:space="0" w:color="000000"/>
              <w:bottom w:val="single" w:sz="4" w:space="0" w:color="000000"/>
              <w:right w:val="single" w:sz="4" w:space="0" w:color="000000"/>
            </w:tcBorders>
          </w:tcPr>
          <w:p w14:paraId="58E1F807" w14:textId="77777777" w:rsidR="00182F42" w:rsidRPr="009D6323" w:rsidRDefault="00000000">
            <w:pPr>
              <w:spacing w:after="0"/>
              <w:rPr>
                <w:color w:val="000000"/>
              </w:rPr>
            </w:pPr>
            <w:r w:rsidRPr="009D6323">
              <w:rPr>
                <w:color w:val="000000"/>
              </w:rPr>
              <w:t>1.803</w:t>
            </w:r>
          </w:p>
        </w:tc>
      </w:tr>
      <w:tr w:rsidR="00182F42" w:rsidRPr="009D6323" w14:paraId="2C9FE540" w14:textId="77777777">
        <w:tc>
          <w:tcPr>
            <w:tcW w:w="2109" w:type="dxa"/>
            <w:tcBorders>
              <w:top w:val="single" w:sz="4" w:space="0" w:color="000000"/>
              <w:left w:val="single" w:sz="4" w:space="0" w:color="000000"/>
              <w:bottom w:val="single" w:sz="4" w:space="0" w:color="000000"/>
              <w:right w:val="single" w:sz="4" w:space="0" w:color="000000"/>
            </w:tcBorders>
          </w:tcPr>
          <w:p w14:paraId="2542C21A" w14:textId="77777777" w:rsidR="00182F42" w:rsidRPr="009D6323" w:rsidRDefault="00000000">
            <w:pPr>
              <w:spacing w:after="0"/>
              <w:rPr>
                <w:color w:val="000000"/>
              </w:rPr>
            </w:pPr>
            <w:r w:rsidRPr="009D6323">
              <w:rPr>
                <w:color w:val="000000"/>
              </w:rPr>
              <w:t>Services</w:t>
            </w:r>
          </w:p>
        </w:tc>
        <w:tc>
          <w:tcPr>
            <w:tcW w:w="1243" w:type="dxa"/>
            <w:tcBorders>
              <w:top w:val="single" w:sz="4" w:space="0" w:color="000000"/>
              <w:left w:val="single" w:sz="4" w:space="0" w:color="000000"/>
              <w:bottom w:val="single" w:sz="4" w:space="0" w:color="000000"/>
              <w:right w:val="single" w:sz="4" w:space="0" w:color="000000"/>
            </w:tcBorders>
          </w:tcPr>
          <w:p w14:paraId="0D1D2D99" w14:textId="77777777" w:rsidR="00182F42" w:rsidRPr="009D6323" w:rsidRDefault="00000000">
            <w:pPr>
              <w:spacing w:after="0"/>
              <w:rPr>
                <w:color w:val="000000"/>
              </w:rPr>
            </w:pPr>
            <w:r w:rsidRPr="009D6323">
              <w:rPr>
                <w:color w:val="000000"/>
              </w:rPr>
              <w:t>0.553</w:t>
            </w:r>
          </w:p>
        </w:tc>
        <w:tc>
          <w:tcPr>
            <w:tcW w:w="756" w:type="dxa"/>
            <w:tcBorders>
              <w:top w:val="single" w:sz="4" w:space="0" w:color="000000"/>
              <w:left w:val="single" w:sz="4" w:space="0" w:color="000000"/>
              <w:bottom w:val="single" w:sz="4" w:space="0" w:color="000000"/>
              <w:right w:val="single" w:sz="4" w:space="0" w:color="000000"/>
            </w:tcBorders>
          </w:tcPr>
          <w:p w14:paraId="336B0B5E" w14:textId="77777777" w:rsidR="00182F42" w:rsidRPr="009D6323" w:rsidRDefault="00000000">
            <w:pPr>
              <w:spacing w:after="0"/>
              <w:rPr>
                <w:color w:val="000000"/>
              </w:rPr>
            </w:pPr>
            <w:r w:rsidRPr="009D6323">
              <w:rPr>
                <w:color w:val="000000"/>
              </w:rPr>
              <w:t>1.810</w:t>
            </w:r>
          </w:p>
        </w:tc>
      </w:tr>
      <w:tr w:rsidR="00182F42" w:rsidRPr="009D6323" w14:paraId="2080D848" w14:textId="77777777">
        <w:tc>
          <w:tcPr>
            <w:tcW w:w="2109" w:type="dxa"/>
            <w:tcBorders>
              <w:top w:val="single" w:sz="4" w:space="0" w:color="000000"/>
              <w:left w:val="single" w:sz="4" w:space="0" w:color="000000"/>
              <w:bottom w:val="single" w:sz="4" w:space="0" w:color="000000"/>
              <w:right w:val="single" w:sz="4" w:space="0" w:color="000000"/>
            </w:tcBorders>
          </w:tcPr>
          <w:p w14:paraId="0D2A8266" w14:textId="77777777" w:rsidR="00182F42" w:rsidRPr="009D6323" w:rsidRDefault="00000000">
            <w:pPr>
              <w:spacing w:after="0"/>
              <w:rPr>
                <w:color w:val="000000"/>
              </w:rPr>
            </w:pPr>
            <w:r w:rsidRPr="009D6323">
              <w:rPr>
                <w:color w:val="000000"/>
              </w:rPr>
              <w:t>Trade</w:t>
            </w:r>
          </w:p>
        </w:tc>
        <w:tc>
          <w:tcPr>
            <w:tcW w:w="1243" w:type="dxa"/>
            <w:tcBorders>
              <w:top w:val="single" w:sz="4" w:space="0" w:color="000000"/>
              <w:left w:val="single" w:sz="4" w:space="0" w:color="000000"/>
              <w:bottom w:val="single" w:sz="4" w:space="0" w:color="000000"/>
              <w:right w:val="single" w:sz="4" w:space="0" w:color="000000"/>
            </w:tcBorders>
          </w:tcPr>
          <w:p w14:paraId="32D934BC" w14:textId="77777777" w:rsidR="00182F42" w:rsidRPr="009D6323" w:rsidRDefault="00000000">
            <w:pPr>
              <w:spacing w:after="0"/>
              <w:rPr>
                <w:color w:val="000000"/>
              </w:rPr>
            </w:pPr>
            <w:r w:rsidRPr="009D6323">
              <w:rPr>
                <w:color w:val="000000"/>
              </w:rPr>
              <w:t>0.508</w:t>
            </w:r>
          </w:p>
        </w:tc>
        <w:tc>
          <w:tcPr>
            <w:tcW w:w="756" w:type="dxa"/>
            <w:tcBorders>
              <w:top w:val="single" w:sz="4" w:space="0" w:color="000000"/>
              <w:left w:val="single" w:sz="4" w:space="0" w:color="000000"/>
              <w:bottom w:val="single" w:sz="4" w:space="0" w:color="000000"/>
              <w:right w:val="single" w:sz="4" w:space="0" w:color="000000"/>
            </w:tcBorders>
          </w:tcPr>
          <w:p w14:paraId="51C8D42E" w14:textId="77777777" w:rsidR="00182F42" w:rsidRPr="009D6323" w:rsidRDefault="00000000">
            <w:pPr>
              <w:spacing w:after="0"/>
              <w:rPr>
                <w:color w:val="000000"/>
              </w:rPr>
            </w:pPr>
            <w:r w:rsidRPr="009D6323">
              <w:rPr>
                <w:color w:val="000000"/>
              </w:rPr>
              <w:t>1.969</w:t>
            </w:r>
          </w:p>
        </w:tc>
      </w:tr>
      <w:tr w:rsidR="00182F42" w:rsidRPr="009D6323" w14:paraId="4A0DD7D2" w14:textId="77777777">
        <w:tc>
          <w:tcPr>
            <w:tcW w:w="2109" w:type="dxa"/>
            <w:tcBorders>
              <w:top w:val="single" w:sz="4" w:space="0" w:color="000000"/>
              <w:left w:val="single" w:sz="4" w:space="0" w:color="000000"/>
              <w:bottom w:val="single" w:sz="4" w:space="0" w:color="000000"/>
              <w:right w:val="single" w:sz="4" w:space="0" w:color="000000"/>
            </w:tcBorders>
          </w:tcPr>
          <w:p w14:paraId="09F60765" w14:textId="77777777" w:rsidR="00182F42" w:rsidRPr="009D6323" w:rsidRDefault="00000000">
            <w:pPr>
              <w:spacing w:after="0"/>
              <w:rPr>
                <w:color w:val="000000"/>
              </w:rPr>
            </w:pPr>
            <w:r w:rsidRPr="009D6323">
              <w:rPr>
                <w:color w:val="000000"/>
              </w:rPr>
              <w:t>IT</w:t>
            </w:r>
          </w:p>
        </w:tc>
        <w:tc>
          <w:tcPr>
            <w:tcW w:w="1243" w:type="dxa"/>
            <w:tcBorders>
              <w:top w:val="single" w:sz="4" w:space="0" w:color="000000"/>
              <w:left w:val="single" w:sz="4" w:space="0" w:color="000000"/>
              <w:bottom w:val="single" w:sz="4" w:space="0" w:color="000000"/>
              <w:right w:val="single" w:sz="4" w:space="0" w:color="000000"/>
            </w:tcBorders>
          </w:tcPr>
          <w:p w14:paraId="3E865AE0" w14:textId="77777777" w:rsidR="00182F42" w:rsidRPr="009D6323" w:rsidRDefault="00000000">
            <w:pPr>
              <w:spacing w:after="0"/>
              <w:rPr>
                <w:color w:val="000000"/>
              </w:rPr>
            </w:pPr>
            <w:r w:rsidRPr="009D6323">
              <w:rPr>
                <w:color w:val="000000"/>
              </w:rPr>
              <w:t>0.485</w:t>
            </w:r>
          </w:p>
        </w:tc>
        <w:tc>
          <w:tcPr>
            <w:tcW w:w="756" w:type="dxa"/>
            <w:tcBorders>
              <w:top w:val="single" w:sz="4" w:space="0" w:color="000000"/>
              <w:left w:val="single" w:sz="4" w:space="0" w:color="000000"/>
              <w:bottom w:val="single" w:sz="4" w:space="0" w:color="000000"/>
              <w:right w:val="single" w:sz="4" w:space="0" w:color="000000"/>
            </w:tcBorders>
          </w:tcPr>
          <w:p w14:paraId="43590B28" w14:textId="77777777" w:rsidR="00182F42" w:rsidRPr="009D6323" w:rsidRDefault="00000000">
            <w:pPr>
              <w:spacing w:after="0"/>
              <w:rPr>
                <w:color w:val="000000"/>
              </w:rPr>
            </w:pPr>
            <w:r w:rsidRPr="009D6323">
              <w:rPr>
                <w:color w:val="000000"/>
              </w:rPr>
              <w:t>2.063</w:t>
            </w:r>
          </w:p>
        </w:tc>
      </w:tr>
    </w:tbl>
    <w:p w14:paraId="101D6869" w14:textId="77777777" w:rsidR="00182F42" w:rsidRPr="009D6323" w:rsidRDefault="00000000">
      <w:pPr>
        <w:pStyle w:val="Heading3"/>
        <w:rPr>
          <w:color w:val="000000"/>
        </w:rPr>
      </w:pPr>
      <w:r w:rsidRPr="009D6323">
        <w:rPr>
          <w:rStyle w:val="Strong"/>
          <w:bCs/>
          <w:color w:val="000000"/>
        </w:rPr>
        <w:t>4.1.5 Residuals Statistics</w:t>
      </w:r>
    </w:p>
    <w:p w14:paraId="533B44CF" w14:textId="77777777" w:rsidR="00182F42" w:rsidRPr="009D6323" w:rsidRDefault="00000000">
      <w:r w:rsidRPr="009D6323">
        <w:t xml:space="preserve">Table 8, which presents residual statistics, indicates that the standardised residuals ranged from -2.97 to 2.84, suggesting no evidence of outliers. The standard deviation is close to 1, which </w:t>
      </w:r>
      <w:r w:rsidRPr="009D6323">
        <w:lastRenderedPageBreak/>
        <w:t>means that the model assumptions regarding residual distribution are largely satisfied. This supports the reliability of the regression estimates.</w:t>
      </w:r>
    </w:p>
    <w:p w14:paraId="23CB89AD" w14:textId="77777777" w:rsidR="00182F42" w:rsidRPr="009D6323" w:rsidRDefault="00000000">
      <w:pPr>
        <w:pStyle w:val="Caption"/>
      </w:pPr>
      <w:r w:rsidRPr="009D6323">
        <w:t>Table 8- Residuals Statistics</w:t>
      </w:r>
    </w:p>
    <w:tbl>
      <w:tblPr>
        <w:tblW w:w="7771" w:type="dxa"/>
        <w:tblLayout w:type="fixed"/>
        <w:tblLook w:val="04A0" w:firstRow="1" w:lastRow="0" w:firstColumn="1" w:lastColumn="0" w:noHBand="0" w:noVBand="1"/>
      </w:tblPr>
      <w:tblGrid>
        <w:gridCol w:w="2196"/>
        <w:gridCol w:w="1243"/>
        <w:gridCol w:w="1283"/>
        <w:gridCol w:w="803"/>
        <w:gridCol w:w="1670"/>
        <w:gridCol w:w="576"/>
      </w:tblGrid>
      <w:tr w:rsidR="00182F42" w:rsidRPr="009D6323" w14:paraId="145BE3D7" w14:textId="77777777">
        <w:tc>
          <w:tcPr>
            <w:tcW w:w="2196" w:type="dxa"/>
            <w:tcBorders>
              <w:top w:val="single" w:sz="4" w:space="0" w:color="000000"/>
              <w:left w:val="single" w:sz="4" w:space="0" w:color="000000"/>
              <w:bottom w:val="single" w:sz="4" w:space="0" w:color="000000"/>
              <w:right w:val="single" w:sz="4" w:space="0" w:color="000000"/>
            </w:tcBorders>
          </w:tcPr>
          <w:p w14:paraId="526D6878" w14:textId="77777777" w:rsidR="00182F42" w:rsidRPr="009D6323" w:rsidRDefault="00000000">
            <w:pPr>
              <w:spacing w:after="0"/>
              <w:jc w:val="center"/>
              <w:rPr>
                <w:b/>
                <w:bCs/>
                <w:color w:val="000000"/>
              </w:rPr>
            </w:pPr>
            <w:r w:rsidRPr="009D6323">
              <w:rPr>
                <w:b/>
                <w:bCs/>
                <w:color w:val="000000"/>
              </w:rPr>
              <w:t>Statistic</w:t>
            </w:r>
          </w:p>
        </w:tc>
        <w:tc>
          <w:tcPr>
            <w:tcW w:w="1243" w:type="dxa"/>
            <w:tcBorders>
              <w:top w:val="single" w:sz="4" w:space="0" w:color="000000"/>
              <w:left w:val="single" w:sz="4" w:space="0" w:color="000000"/>
              <w:bottom w:val="single" w:sz="4" w:space="0" w:color="000000"/>
              <w:right w:val="single" w:sz="4" w:space="0" w:color="000000"/>
            </w:tcBorders>
          </w:tcPr>
          <w:p w14:paraId="4A4DAD64" w14:textId="77777777" w:rsidR="00182F42" w:rsidRPr="009D6323" w:rsidRDefault="00000000">
            <w:pPr>
              <w:spacing w:after="0"/>
              <w:jc w:val="center"/>
              <w:rPr>
                <w:b/>
                <w:bCs/>
                <w:color w:val="000000"/>
              </w:rPr>
            </w:pPr>
            <w:r w:rsidRPr="009D6323">
              <w:rPr>
                <w:b/>
                <w:bCs/>
                <w:color w:val="000000"/>
              </w:rPr>
              <w:t>Minimum</w:t>
            </w:r>
          </w:p>
        </w:tc>
        <w:tc>
          <w:tcPr>
            <w:tcW w:w="1283" w:type="dxa"/>
            <w:tcBorders>
              <w:top w:val="single" w:sz="4" w:space="0" w:color="000000"/>
              <w:left w:val="single" w:sz="4" w:space="0" w:color="000000"/>
              <w:bottom w:val="single" w:sz="4" w:space="0" w:color="000000"/>
              <w:right w:val="single" w:sz="4" w:space="0" w:color="000000"/>
            </w:tcBorders>
          </w:tcPr>
          <w:p w14:paraId="2101C174" w14:textId="77777777" w:rsidR="00182F42" w:rsidRPr="009D6323" w:rsidRDefault="00000000">
            <w:pPr>
              <w:spacing w:after="0"/>
              <w:jc w:val="center"/>
              <w:rPr>
                <w:b/>
                <w:bCs/>
                <w:color w:val="000000"/>
              </w:rPr>
            </w:pPr>
            <w:r w:rsidRPr="009D6323">
              <w:rPr>
                <w:b/>
                <w:bCs/>
                <w:color w:val="000000"/>
              </w:rPr>
              <w:t>Maximum</w:t>
            </w:r>
          </w:p>
        </w:tc>
        <w:tc>
          <w:tcPr>
            <w:tcW w:w="803" w:type="dxa"/>
            <w:tcBorders>
              <w:top w:val="single" w:sz="4" w:space="0" w:color="000000"/>
              <w:left w:val="single" w:sz="4" w:space="0" w:color="000000"/>
              <w:bottom w:val="single" w:sz="4" w:space="0" w:color="000000"/>
              <w:right w:val="single" w:sz="4" w:space="0" w:color="000000"/>
            </w:tcBorders>
          </w:tcPr>
          <w:p w14:paraId="5B6736BC" w14:textId="77777777" w:rsidR="00182F42" w:rsidRPr="009D6323" w:rsidRDefault="00000000">
            <w:pPr>
              <w:spacing w:after="0"/>
              <w:jc w:val="center"/>
              <w:rPr>
                <w:b/>
                <w:bCs/>
                <w:color w:val="000000"/>
              </w:rPr>
            </w:pPr>
            <w:r w:rsidRPr="009D6323">
              <w:rPr>
                <w:b/>
                <w:bCs/>
                <w:color w:val="000000"/>
              </w:rPr>
              <w:t>Mean</w:t>
            </w:r>
          </w:p>
        </w:tc>
        <w:tc>
          <w:tcPr>
            <w:tcW w:w="1670" w:type="dxa"/>
            <w:tcBorders>
              <w:top w:val="single" w:sz="4" w:space="0" w:color="000000"/>
              <w:left w:val="single" w:sz="4" w:space="0" w:color="000000"/>
              <w:bottom w:val="single" w:sz="4" w:space="0" w:color="000000"/>
              <w:right w:val="single" w:sz="4" w:space="0" w:color="000000"/>
            </w:tcBorders>
          </w:tcPr>
          <w:p w14:paraId="21ABC1F6" w14:textId="77777777" w:rsidR="00182F42" w:rsidRPr="009D6323" w:rsidRDefault="00000000">
            <w:pPr>
              <w:spacing w:after="0"/>
              <w:jc w:val="center"/>
              <w:rPr>
                <w:b/>
                <w:bCs/>
                <w:color w:val="000000"/>
              </w:rPr>
            </w:pPr>
            <w:r w:rsidRPr="009D6323">
              <w:rPr>
                <w:b/>
                <w:bCs/>
                <w:color w:val="000000"/>
              </w:rPr>
              <w:t>Std. Deviation</w:t>
            </w:r>
          </w:p>
        </w:tc>
        <w:tc>
          <w:tcPr>
            <w:tcW w:w="576" w:type="dxa"/>
            <w:tcBorders>
              <w:top w:val="single" w:sz="4" w:space="0" w:color="000000"/>
              <w:left w:val="single" w:sz="4" w:space="0" w:color="000000"/>
              <w:bottom w:val="single" w:sz="4" w:space="0" w:color="000000"/>
              <w:right w:val="single" w:sz="4" w:space="0" w:color="000000"/>
            </w:tcBorders>
          </w:tcPr>
          <w:p w14:paraId="553CB0EA" w14:textId="77777777" w:rsidR="00182F42" w:rsidRPr="009D6323" w:rsidRDefault="00000000">
            <w:pPr>
              <w:spacing w:after="0"/>
              <w:jc w:val="center"/>
              <w:rPr>
                <w:b/>
                <w:bCs/>
                <w:color w:val="000000"/>
              </w:rPr>
            </w:pPr>
            <w:r w:rsidRPr="009D6323">
              <w:rPr>
                <w:b/>
                <w:bCs/>
                <w:color w:val="000000"/>
              </w:rPr>
              <w:t>N</w:t>
            </w:r>
          </w:p>
        </w:tc>
      </w:tr>
      <w:tr w:rsidR="00182F42" w:rsidRPr="009D6323" w14:paraId="3AE0E6CC" w14:textId="77777777">
        <w:tc>
          <w:tcPr>
            <w:tcW w:w="2196" w:type="dxa"/>
            <w:tcBorders>
              <w:top w:val="single" w:sz="4" w:space="0" w:color="000000"/>
              <w:left w:val="single" w:sz="4" w:space="0" w:color="000000"/>
              <w:bottom w:val="single" w:sz="4" w:space="0" w:color="000000"/>
              <w:right w:val="single" w:sz="4" w:space="0" w:color="000000"/>
            </w:tcBorders>
          </w:tcPr>
          <w:p w14:paraId="244078FD" w14:textId="77777777" w:rsidR="00182F42" w:rsidRPr="009D6323" w:rsidRDefault="00000000">
            <w:pPr>
              <w:spacing w:after="0"/>
              <w:jc w:val="left"/>
              <w:rPr>
                <w:color w:val="000000"/>
              </w:rPr>
            </w:pPr>
            <w:r w:rsidRPr="009D6323">
              <w:rPr>
                <w:color w:val="000000"/>
              </w:rPr>
              <w:t>Predicted Value</w:t>
            </w:r>
          </w:p>
        </w:tc>
        <w:tc>
          <w:tcPr>
            <w:tcW w:w="1243" w:type="dxa"/>
            <w:tcBorders>
              <w:top w:val="single" w:sz="4" w:space="0" w:color="000000"/>
              <w:left w:val="single" w:sz="4" w:space="0" w:color="000000"/>
              <w:bottom w:val="single" w:sz="4" w:space="0" w:color="000000"/>
              <w:right w:val="single" w:sz="4" w:space="0" w:color="000000"/>
            </w:tcBorders>
          </w:tcPr>
          <w:p w14:paraId="586E3922" w14:textId="77777777" w:rsidR="00182F42" w:rsidRPr="009D6323" w:rsidRDefault="00000000">
            <w:pPr>
              <w:spacing w:after="0"/>
              <w:rPr>
                <w:color w:val="000000"/>
              </w:rPr>
            </w:pPr>
            <w:r w:rsidRPr="009D6323">
              <w:rPr>
                <w:color w:val="000000"/>
              </w:rPr>
              <w:t>56.18</w:t>
            </w:r>
          </w:p>
        </w:tc>
        <w:tc>
          <w:tcPr>
            <w:tcW w:w="1283" w:type="dxa"/>
            <w:tcBorders>
              <w:top w:val="single" w:sz="4" w:space="0" w:color="000000"/>
              <w:left w:val="single" w:sz="4" w:space="0" w:color="000000"/>
              <w:bottom w:val="single" w:sz="4" w:space="0" w:color="000000"/>
              <w:right w:val="single" w:sz="4" w:space="0" w:color="000000"/>
            </w:tcBorders>
          </w:tcPr>
          <w:p w14:paraId="1792A22C" w14:textId="77777777" w:rsidR="00182F42" w:rsidRPr="009D6323" w:rsidRDefault="00000000">
            <w:pPr>
              <w:spacing w:after="0"/>
              <w:rPr>
                <w:color w:val="000000"/>
              </w:rPr>
            </w:pPr>
            <w:r w:rsidRPr="009D6323">
              <w:rPr>
                <w:color w:val="000000"/>
              </w:rPr>
              <w:t>67.51</w:t>
            </w:r>
          </w:p>
        </w:tc>
        <w:tc>
          <w:tcPr>
            <w:tcW w:w="803" w:type="dxa"/>
            <w:tcBorders>
              <w:top w:val="single" w:sz="4" w:space="0" w:color="000000"/>
              <w:left w:val="single" w:sz="4" w:space="0" w:color="000000"/>
              <w:bottom w:val="single" w:sz="4" w:space="0" w:color="000000"/>
              <w:right w:val="single" w:sz="4" w:space="0" w:color="000000"/>
            </w:tcBorders>
          </w:tcPr>
          <w:p w14:paraId="6F643D23" w14:textId="77777777" w:rsidR="00182F42" w:rsidRPr="009D6323" w:rsidRDefault="00000000">
            <w:pPr>
              <w:spacing w:after="0"/>
              <w:rPr>
                <w:color w:val="000000"/>
              </w:rPr>
            </w:pPr>
            <w:r w:rsidRPr="009D6323">
              <w:rPr>
                <w:color w:val="000000"/>
              </w:rPr>
              <w:t>61.39</w:t>
            </w:r>
          </w:p>
        </w:tc>
        <w:tc>
          <w:tcPr>
            <w:tcW w:w="1670" w:type="dxa"/>
            <w:tcBorders>
              <w:top w:val="single" w:sz="4" w:space="0" w:color="000000"/>
              <w:left w:val="single" w:sz="4" w:space="0" w:color="000000"/>
              <w:bottom w:val="single" w:sz="4" w:space="0" w:color="000000"/>
              <w:right w:val="single" w:sz="4" w:space="0" w:color="000000"/>
            </w:tcBorders>
          </w:tcPr>
          <w:p w14:paraId="738A48AB" w14:textId="77777777" w:rsidR="00182F42" w:rsidRPr="009D6323" w:rsidRDefault="00000000">
            <w:pPr>
              <w:spacing w:after="0"/>
              <w:rPr>
                <w:color w:val="000000"/>
              </w:rPr>
            </w:pPr>
            <w:r w:rsidRPr="009D6323">
              <w:rPr>
                <w:color w:val="000000"/>
              </w:rPr>
              <w:t>2.09</w:t>
            </w:r>
          </w:p>
        </w:tc>
        <w:tc>
          <w:tcPr>
            <w:tcW w:w="576" w:type="dxa"/>
            <w:tcBorders>
              <w:top w:val="single" w:sz="4" w:space="0" w:color="000000"/>
              <w:left w:val="single" w:sz="4" w:space="0" w:color="000000"/>
              <w:bottom w:val="single" w:sz="4" w:space="0" w:color="000000"/>
              <w:right w:val="single" w:sz="4" w:space="0" w:color="000000"/>
            </w:tcBorders>
          </w:tcPr>
          <w:p w14:paraId="1B12CA20" w14:textId="77777777" w:rsidR="00182F42" w:rsidRPr="009D6323" w:rsidRDefault="00000000">
            <w:pPr>
              <w:spacing w:after="0"/>
              <w:rPr>
                <w:color w:val="000000"/>
              </w:rPr>
            </w:pPr>
            <w:r w:rsidRPr="009D6323">
              <w:rPr>
                <w:color w:val="000000"/>
              </w:rPr>
              <w:t>187</w:t>
            </w:r>
          </w:p>
        </w:tc>
      </w:tr>
      <w:tr w:rsidR="00182F42" w:rsidRPr="009D6323" w14:paraId="138100B3" w14:textId="77777777">
        <w:tc>
          <w:tcPr>
            <w:tcW w:w="2196" w:type="dxa"/>
            <w:tcBorders>
              <w:top w:val="single" w:sz="4" w:space="0" w:color="000000"/>
              <w:left w:val="single" w:sz="4" w:space="0" w:color="000000"/>
              <w:bottom w:val="single" w:sz="4" w:space="0" w:color="000000"/>
              <w:right w:val="single" w:sz="4" w:space="0" w:color="000000"/>
            </w:tcBorders>
          </w:tcPr>
          <w:p w14:paraId="6102EA49" w14:textId="77777777" w:rsidR="00182F42" w:rsidRPr="009D6323" w:rsidRDefault="00000000">
            <w:pPr>
              <w:spacing w:after="0"/>
              <w:rPr>
                <w:color w:val="000000"/>
              </w:rPr>
            </w:pPr>
            <w:r w:rsidRPr="009D6323">
              <w:rPr>
                <w:color w:val="000000"/>
              </w:rPr>
              <w:t>Residual</w:t>
            </w:r>
          </w:p>
        </w:tc>
        <w:tc>
          <w:tcPr>
            <w:tcW w:w="1243" w:type="dxa"/>
            <w:tcBorders>
              <w:top w:val="single" w:sz="4" w:space="0" w:color="000000"/>
              <w:left w:val="single" w:sz="4" w:space="0" w:color="000000"/>
              <w:bottom w:val="single" w:sz="4" w:space="0" w:color="000000"/>
              <w:right w:val="single" w:sz="4" w:space="0" w:color="000000"/>
            </w:tcBorders>
          </w:tcPr>
          <w:p w14:paraId="47E2EBFA" w14:textId="77777777" w:rsidR="00182F42" w:rsidRPr="009D6323" w:rsidRDefault="00000000">
            <w:pPr>
              <w:spacing w:after="0"/>
              <w:rPr>
                <w:color w:val="000000"/>
              </w:rPr>
            </w:pPr>
            <w:r w:rsidRPr="009D6323">
              <w:rPr>
                <w:color w:val="000000"/>
              </w:rPr>
              <w:t>-26.54</w:t>
            </w:r>
          </w:p>
        </w:tc>
        <w:tc>
          <w:tcPr>
            <w:tcW w:w="1283" w:type="dxa"/>
            <w:tcBorders>
              <w:top w:val="single" w:sz="4" w:space="0" w:color="000000"/>
              <w:left w:val="single" w:sz="4" w:space="0" w:color="000000"/>
              <w:bottom w:val="single" w:sz="4" w:space="0" w:color="000000"/>
              <w:right w:val="single" w:sz="4" w:space="0" w:color="000000"/>
            </w:tcBorders>
          </w:tcPr>
          <w:p w14:paraId="6783C084" w14:textId="77777777" w:rsidR="00182F42" w:rsidRPr="009D6323" w:rsidRDefault="00000000">
            <w:pPr>
              <w:spacing w:after="0"/>
              <w:rPr>
                <w:color w:val="000000"/>
              </w:rPr>
            </w:pPr>
            <w:r w:rsidRPr="009D6323">
              <w:rPr>
                <w:color w:val="000000"/>
              </w:rPr>
              <w:t>25.88</w:t>
            </w:r>
          </w:p>
        </w:tc>
        <w:tc>
          <w:tcPr>
            <w:tcW w:w="803" w:type="dxa"/>
            <w:tcBorders>
              <w:top w:val="single" w:sz="4" w:space="0" w:color="000000"/>
              <w:left w:val="single" w:sz="4" w:space="0" w:color="000000"/>
              <w:bottom w:val="single" w:sz="4" w:space="0" w:color="000000"/>
              <w:right w:val="single" w:sz="4" w:space="0" w:color="000000"/>
            </w:tcBorders>
          </w:tcPr>
          <w:p w14:paraId="447D7AF8" w14:textId="77777777" w:rsidR="00182F42" w:rsidRPr="009D6323" w:rsidRDefault="00000000">
            <w:pPr>
              <w:spacing w:after="0"/>
              <w:rPr>
                <w:color w:val="000000"/>
              </w:rPr>
            </w:pPr>
            <w:r w:rsidRPr="009D6323">
              <w:rPr>
                <w:color w:val="000000"/>
              </w:rPr>
              <w:t>0.00</w:t>
            </w:r>
          </w:p>
        </w:tc>
        <w:tc>
          <w:tcPr>
            <w:tcW w:w="1670" w:type="dxa"/>
            <w:tcBorders>
              <w:top w:val="single" w:sz="4" w:space="0" w:color="000000"/>
              <w:left w:val="single" w:sz="4" w:space="0" w:color="000000"/>
              <w:bottom w:val="single" w:sz="4" w:space="0" w:color="000000"/>
              <w:right w:val="single" w:sz="4" w:space="0" w:color="000000"/>
            </w:tcBorders>
          </w:tcPr>
          <w:p w14:paraId="1CE34EF8" w14:textId="77777777" w:rsidR="00182F42" w:rsidRPr="009D6323" w:rsidRDefault="00000000">
            <w:pPr>
              <w:spacing w:after="0"/>
              <w:rPr>
                <w:color w:val="000000"/>
              </w:rPr>
            </w:pPr>
            <w:r w:rsidRPr="009D6323">
              <w:rPr>
                <w:color w:val="000000"/>
              </w:rPr>
              <w:t>9.82</w:t>
            </w:r>
          </w:p>
        </w:tc>
        <w:tc>
          <w:tcPr>
            <w:tcW w:w="576" w:type="dxa"/>
            <w:tcBorders>
              <w:top w:val="single" w:sz="4" w:space="0" w:color="000000"/>
              <w:left w:val="single" w:sz="4" w:space="0" w:color="000000"/>
              <w:bottom w:val="single" w:sz="4" w:space="0" w:color="000000"/>
              <w:right w:val="single" w:sz="4" w:space="0" w:color="000000"/>
            </w:tcBorders>
          </w:tcPr>
          <w:p w14:paraId="57592F86" w14:textId="77777777" w:rsidR="00182F42" w:rsidRPr="009D6323" w:rsidRDefault="00000000">
            <w:pPr>
              <w:spacing w:after="0"/>
              <w:rPr>
                <w:color w:val="000000"/>
              </w:rPr>
            </w:pPr>
            <w:r w:rsidRPr="009D6323">
              <w:rPr>
                <w:color w:val="000000"/>
              </w:rPr>
              <w:t>187</w:t>
            </w:r>
          </w:p>
        </w:tc>
      </w:tr>
      <w:tr w:rsidR="00182F42" w:rsidRPr="009D6323" w14:paraId="18D0EA2A" w14:textId="77777777">
        <w:tc>
          <w:tcPr>
            <w:tcW w:w="2196" w:type="dxa"/>
            <w:tcBorders>
              <w:top w:val="single" w:sz="4" w:space="0" w:color="000000"/>
              <w:left w:val="single" w:sz="4" w:space="0" w:color="000000"/>
              <w:bottom w:val="single" w:sz="4" w:space="0" w:color="000000"/>
              <w:right w:val="single" w:sz="4" w:space="0" w:color="000000"/>
            </w:tcBorders>
          </w:tcPr>
          <w:p w14:paraId="57047E69" w14:textId="77777777" w:rsidR="00182F42" w:rsidRPr="009D6323" w:rsidRDefault="00000000">
            <w:pPr>
              <w:spacing w:after="0"/>
              <w:rPr>
                <w:color w:val="000000"/>
              </w:rPr>
            </w:pPr>
            <w:r w:rsidRPr="009D6323">
              <w:rPr>
                <w:color w:val="000000"/>
              </w:rPr>
              <w:t>Std. Predicted Value</w:t>
            </w:r>
          </w:p>
        </w:tc>
        <w:tc>
          <w:tcPr>
            <w:tcW w:w="1243" w:type="dxa"/>
            <w:tcBorders>
              <w:top w:val="single" w:sz="4" w:space="0" w:color="000000"/>
              <w:left w:val="single" w:sz="4" w:space="0" w:color="000000"/>
              <w:bottom w:val="single" w:sz="4" w:space="0" w:color="000000"/>
              <w:right w:val="single" w:sz="4" w:space="0" w:color="000000"/>
            </w:tcBorders>
          </w:tcPr>
          <w:p w14:paraId="62726280" w14:textId="77777777" w:rsidR="00182F42" w:rsidRPr="009D6323" w:rsidRDefault="00000000">
            <w:pPr>
              <w:spacing w:after="0"/>
              <w:rPr>
                <w:color w:val="000000"/>
              </w:rPr>
            </w:pPr>
            <w:r w:rsidRPr="009D6323">
              <w:rPr>
                <w:color w:val="000000"/>
              </w:rPr>
              <w:t>-2.49</w:t>
            </w:r>
          </w:p>
        </w:tc>
        <w:tc>
          <w:tcPr>
            <w:tcW w:w="1283" w:type="dxa"/>
            <w:tcBorders>
              <w:top w:val="single" w:sz="4" w:space="0" w:color="000000"/>
              <w:left w:val="single" w:sz="4" w:space="0" w:color="000000"/>
              <w:bottom w:val="single" w:sz="4" w:space="0" w:color="000000"/>
              <w:right w:val="single" w:sz="4" w:space="0" w:color="000000"/>
            </w:tcBorders>
          </w:tcPr>
          <w:p w14:paraId="5939B8F7" w14:textId="77777777" w:rsidR="00182F42" w:rsidRPr="009D6323" w:rsidRDefault="00000000">
            <w:pPr>
              <w:spacing w:after="0"/>
              <w:rPr>
                <w:color w:val="000000"/>
              </w:rPr>
            </w:pPr>
            <w:r w:rsidRPr="009D6323">
              <w:rPr>
                <w:color w:val="000000"/>
              </w:rPr>
              <w:t>2.92</w:t>
            </w:r>
          </w:p>
        </w:tc>
        <w:tc>
          <w:tcPr>
            <w:tcW w:w="803" w:type="dxa"/>
            <w:tcBorders>
              <w:top w:val="single" w:sz="4" w:space="0" w:color="000000"/>
              <w:left w:val="single" w:sz="4" w:space="0" w:color="000000"/>
              <w:bottom w:val="single" w:sz="4" w:space="0" w:color="000000"/>
              <w:right w:val="single" w:sz="4" w:space="0" w:color="000000"/>
            </w:tcBorders>
          </w:tcPr>
          <w:p w14:paraId="1679CE39" w14:textId="77777777" w:rsidR="00182F42" w:rsidRPr="009D6323" w:rsidRDefault="00000000">
            <w:pPr>
              <w:spacing w:after="0"/>
              <w:rPr>
                <w:color w:val="000000"/>
              </w:rPr>
            </w:pPr>
            <w:r w:rsidRPr="009D6323">
              <w:rPr>
                <w:color w:val="000000"/>
              </w:rPr>
              <w:t>0.00</w:t>
            </w:r>
          </w:p>
        </w:tc>
        <w:tc>
          <w:tcPr>
            <w:tcW w:w="1670" w:type="dxa"/>
            <w:tcBorders>
              <w:top w:val="single" w:sz="4" w:space="0" w:color="000000"/>
              <w:left w:val="single" w:sz="4" w:space="0" w:color="000000"/>
              <w:bottom w:val="single" w:sz="4" w:space="0" w:color="000000"/>
              <w:right w:val="single" w:sz="4" w:space="0" w:color="000000"/>
            </w:tcBorders>
          </w:tcPr>
          <w:p w14:paraId="59E92929" w14:textId="77777777" w:rsidR="00182F42" w:rsidRPr="009D6323" w:rsidRDefault="00000000">
            <w:pPr>
              <w:spacing w:after="0"/>
              <w:rPr>
                <w:color w:val="000000"/>
              </w:rPr>
            </w:pPr>
            <w:r w:rsidRPr="009D6323">
              <w:rPr>
                <w:color w:val="000000"/>
              </w:rPr>
              <w:t>1.00</w:t>
            </w:r>
          </w:p>
        </w:tc>
        <w:tc>
          <w:tcPr>
            <w:tcW w:w="576" w:type="dxa"/>
            <w:tcBorders>
              <w:top w:val="single" w:sz="4" w:space="0" w:color="000000"/>
              <w:left w:val="single" w:sz="4" w:space="0" w:color="000000"/>
              <w:bottom w:val="single" w:sz="4" w:space="0" w:color="000000"/>
              <w:right w:val="single" w:sz="4" w:space="0" w:color="000000"/>
            </w:tcBorders>
          </w:tcPr>
          <w:p w14:paraId="60DCFC88" w14:textId="77777777" w:rsidR="00182F42" w:rsidRPr="009D6323" w:rsidRDefault="00000000">
            <w:pPr>
              <w:spacing w:after="0"/>
              <w:rPr>
                <w:color w:val="000000"/>
              </w:rPr>
            </w:pPr>
            <w:r w:rsidRPr="009D6323">
              <w:rPr>
                <w:color w:val="000000"/>
              </w:rPr>
              <w:t>187</w:t>
            </w:r>
          </w:p>
        </w:tc>
      </w:tr>
      <w:tr w:rsidR="00182F42" w:rsidRPr="009D6323" w14:paraId="2995BCBE" w14:textId="77777777">
        <w:tc>
          <w:tcPr>
            <w:tcW w:w="2196" w:type="dxa"/>
            <w:tcBorders>
              <w:top w:val="single" w:sz="4" w:space="0" w:color="000000"/>
              <w:left w:val="single" w:sz="4" w:space="0" w:color="000000"/>
              <w:bottom w:val="single" w:sz="4" w:space="0" w:color="000000"/>
              <w:right w:val="single" w:sz="4" w:space="0" w:color="000000"/>
            </w:tcBorders>
          </w:tcPr>
          <w:p w14:paraId="21B4114B" w14:textId="77777777" w:rsidR="00182F42" w:rsidRPr="009D6323" w:rsidRDefault="00000000">
            <w:pPr>
              <w:spacing w:after="0"/>
              <w:rPr>
                <w:color w:val="000000"/>
              </w:rPr>
            </w:pPr>
            <w:r w:rsidRPr="009D6323">
              <w:rPr>
                <w:color w:val="000000"/>
              </w:rPr>
              <w:t>Std. Residual</w:t>
            </w:r>
          </w:p>
        </w:tc>
        <w:tc>
          <w:tcPr>
            <w:tcW w:w="1243" w:type="dxa"/>
            <w:tcBorders>
              <w:top w:val="single" w:sz="4" w:space="0" w:color="000000"/>
              <w:left w:val="single" w:sz="4" w:space="0" w:color="000000"/>
              <w:bottom w:val="single" w:sz="4" w:space="0" w:color="000000"/>
              <w:right w:val="single" w:sz="4" w:space="0" w:color="000000"/>
            </w:tcBorders>
          </w:tcPr>
          <w:p w14:paraId="14084164" w14:textId="77777777" w:rsidR="00182F42" w:rsidRPr="009D6323" w:rsidRDefault="00000000">
            <w:pPr>
              <w:spacing w:after="0"/>
              <w:rPr>
                <w:color w:val="000000"/>
              </w:rPr>
            </w:pPr>
            <w:r w:rsidRPr="009D6323">
              <w:rPr>
                <w:color w:val="000000"/>
              </w:rPr>
              <w:t>-2.97</w:t>
            </w:r>
          </w:p>
        </w:tc>
        <w:tc>
          <w:tcPr>
            <w:tcW w:w="1283" w:type="dxa"/>
            <w:tcBorders>
              <w:top w:val="single" w:sz="4" w:space="0" w:color="000000"/>
              <w:left w:val="single" w:sz="4" w:space="0" w:color="000000"/>
              <w:bottom w:val="single" w:sz="4" w:space="0" w:color="000000"/>
              <w:right w:val="single" w:sz="4" w:space="0" w:color="000000"/>
            </w:tcBorders>
          </w:tcPr>
          <w:p w14:paraId="1BC15653" w14:textId="77777777" w:rsidR="00182F42" w:rsidRPr="009D6323" w:rsidRDefault="00000000">
            <w:pPr>
              <w:spacing w:after="0"/>
              <w:rPr>
                <w:color w:val="000000"/>
              </w:rPr>
            </w:pPr>
            <w:r w:rsidRPr="009D6323">
              <w:rPr>
                <w:color w:val="000000"/>
              </w:rPr>
              <w:t>2.84</w:t>
            </w:r>
          </w:p>
        </w:tc>
        <w:tc>
          <w:tcPr>
            <w:tcW w:w="803" w:type="dxa"/>
            <w:tcBorders>
              <w:top w:val="single" w:sz="4" w:space="0" w:color="000000"/>
              <w:left w:val="single" w:sz="4" w:space="0" w:color="000000"/>
              <w:bottom w:val="single" w:sz="4" w:space="0" w:color="000000"/>
              <w:right w:val="single" w:sz="4" w:space="0" w:color="000000"/>
            </w:tcBorders>
          </w:tcPr>
          <w:p w14:paraId="63195C15" w14:textId="77777777" w:rsidR="00182F42" w:rsidRPr="009D6323" w:rsidRDefault="00000000">
            <w:pPr>
              <w:spacing w:after="0"/>
              <w:rPr>
                <w:color w:val="000000"/>
              </w:rPr>
            </w:pPr>
            <w:r w:rsidRPr="009D6323">
              <w:rPr>
                <w:color w:val="000000"/>
              </w:rPr>
              <w:t>0.00</w:t>
            </w:r>
          </w:p>
        </w:tc>
        <w:tc>
          <w:tcPr>
            <w:tcW w:w="1670" w:type="dxa"/>
            <w:tcBorders>
              <w:top w:val="single" w:sz="4" w:space="0" w:color="000000"/>
              <w:left w:val="single" w:sz="4" w:space="0" w:color="000000"/>
              <w:bottom w:val="single" w:sz="4" w:space="0" w:color="000000"/>
              <w:right w:val="single" w:sz="4" w:space="0" w:color="000000"/>
            </w:tcBorders>
          </w:tcPr>
          <w:p w14:paraId="5EEE78BB" w14:textId="77777777" w:rsidR="00182F42" w:rsidRPr="009D6323" w:rsidRDefault="00000000">
            <w:pPr>
              <w:spacing w:after="0"/>
              <w:rPr>
                <w:color w:val="000000"/>
              </w:rPr>
            </w:pPr>
            <w:r w:rsidRPr="009D6323">
              <w:rPr>
                <w:color w:val="000000"/>
              </w:rPr>
              <w:t>0.99</w:t>
            </w:r>
          </w:p>
        </w:tc>
        <w:tc>
          <w:tcPr>
            <w:tcW w:w="576" w:type="dxa"/>
            <w:tcBorders>
              <w:top w:val="single" w:sz="4" w:space="0" w:color="000000"/>
              <w:left w:val="single" w:sz="4" w:space="0" w:color="000000"/>
              <w:bottom w:val="single" w:sz="4" w:space="0" w:color="000000"/>
              <w:right w:val="single" w:sz="4" w:space="0" w:color="000000"/>
            </w:tcBorders>
          </w:tcPr>
          <w:p w14:paraId="7D9A755F" w14:textId="77777777" w:rsidR="00182F42" w:rsidRPr="009D6323" w:rsidRDefault="00000000">
            <w:pPr>
              <w:spacing w:after="0"/>
              <w:rPr>
                <w:color w:val="000000"/>
              </w:rPr>
            </w:pPr>
            <w:r w:rsidRPr="009D6323">
              <w:rPr>
                <w:color w:val="000000"/>
              </w:rPr>
              <w:t>187</w:t>
            </w:r>
          </w:p>
        </w:tc>
      </w:tr>
    </w:tbl>
    <w:p w14:paraId="707688FB" w14:textId="77777777" w:rsidR="00182F42" w:rsidRPr="009D6323" w:rsidRDefault="00000000">
      <w:pPr>
        <w:pStyle w:val="Heading3"/>
        <w:rPr>
          <w:bCs w:val="0"/>
          <w:color w:val="000000"/>
        </w:rPr>
      </w:pPr>
      <w:r w:rsidRPr="009D6323">
        <w:rPr>
          <w:rStyle w:val="Strong"/>
          <w:bCs/>
          <w:color w:val="000000"/>
        </w:rPr>
        <w:t>4.1.6 Overall Interpretation</w:t>
      </w:r>
    </w:p>
    <w:p w14:paraId="0E71FBB9" w14:textId="77777777" w:rsidR="00182F42" w:rsidRPr="009D6323" w:rsidRDefault="00000000">
      <w:r w:rsidRPr="009D6323">
        <w:t>The regression model shows that VAT burden significantly and negatively affects the financial performance of SMEs, even after considering years of operation and sector differences. Other tax burdens, including Sales Turnover Tax, Excise Duty, and Stamp Duty, were not major predictors. The model diagnostics show that there is no multicollinearity issue, the residuals are non-problematic, and the small explanatory power reflects the complexity of SME performance, in which non-tax variables may also play significant roles.</w:t>
      </w:r>
    </w:p>
    <w:p w14:paraId="45D2A978" w14:textId="77777777" w:rsidR="00182F42" w:rsidRPr="009D6323" w:rsidRDefault="00000000">
      <w:pPr>
        <w:pStyle w:val="Heading3"/>
      </w:pPr>
      <w:r w:rsidRPr="009D6323">
        <w:rPr>
          <w:color w:val="000000"/>
        </w:rPr>
        <w:t>4.1.7 Model Diagnostics</w:t>
      </w:r>
    </w:p>
    <w:p w14:paraId="3DBC4273" w14:textId="77777777" w:rsidR="00182F42" w:rsidRPr="009D6323" w:rsidRDefault="00000000">
      <w:pPr>
        <w:spacing w:after="0"/>
        <w:rPr>
          <w:color w:val="000000"/>
        </w:rPr>
      </w:pPr>
      <w:r w:rsidRPr="009D6323">
        <w:t>Durbin-Watson: 2.059 (no autocorrelation). Variance inflation factors (VIFs): below 5, indicating no severe multicollinearity. Breusch-Pagan test: p = 0.236 (no significant indication of heteroscedasticity). Shapiro-Wilk test: a slight violation of normality (p &lt; 0.01), which is acceptable given the sample size.</w:t>
      </w:r>
    </w:p>
    <w:p w14:paraId="7A4E1828" w14:textId="77777777" w:rsidR="00182F42" w:rsidRPr="009D6323" w:rsidRDefault="00000000">
      <w:pPr>
        <w:pStyle w:val="Heading3"/>
      </w:pPr>
      <w:r w:rsidRPr="009D6323">
        <w:rPr>
          <w:color w:val="000000"/>
        </w:rPr>
        <w:t>Table 9 Hypothesis</w:t>
      </w:r>
      <w:r w:rsidRPr="009D6323">
        <w:t xml:space="preserve"> Testing Decisions</w:t>
      </w:r>
    </w:p>
    <w:tbl>
      <w:tblPr>
        <w:tblW w:w="9576" w:type="dxa"/>
        <w:tblLayout w:type="fixed"/>
        <w:tblLook w:val="04A0" w:firstRow="1" w:lastRow="0" w:firstColumn="1" w:lastColumn="0" w:noHBand="0" w:noVBand="1"/>
      </w:tblPr>
      <w:tblGrid>
        <w:gridCol w:w="1350"/>
        <w:gridCol w:w="5550"/>
        <w:gridCol w:w="2676"/>
      </w:tblGrid>
      <w:tr w:rsidR="00182F42" w:rsidRPr="009D6323" w14:paraId="68B788C1" w14:textId="77777777">
        <w:tc>
          <w:tcPr>
            <w:tcW w:w="1350" w:type="dxa"/>
            <w:tcBorders>
              <w:top w:val="single" w:sz="4" w:space="0" w:color="000000"/>
              <w:left w:val="single" w:sz="4" w:space="0" w:color="000000"/>
              <w:bottom w:val="single" w:sz="4" w:space="0" w:color="000000"/>
              <w:right w:val="single" w:sz="4" w:space="0" w:color="000000"/>
            </w:tcBorders>
          </w:tcPr>
          <w:p w14:paraId="2101A354"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Hypothesis</w:t>
            </w:r>
          </w:p>
        </w:tc>
        <w:tc>
          <w:tcPr>
            <w:tcW w:w="5550" w:type="dxa"/>
            <w:tcBorders>
              <w:top w:val="single" w:sz="4" w:space="0" w:color="000000"/>
              <w:left w:val="single" w:sz="4" w:space="0" w:color="000000"/>
              <w:bottom w:val="single" w:sz="4" w:space="0" w:color="000000"/>
              <w:right w:val="single" w:sz="4" w:space="0" w:color="000000"/>
            </w:tcBorders>
          </w:tcPr>
          <w:p w14:paraId="56E39D77"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Statement</w:t>
            </w:r>
          </w:p>
        </w:tc>
        <w:tc>
          <w:tcPr>
            <w:tcW w:w="2676" w:type="dxa"/>
            <w:tcBorders>
              <w:top w:val="single" w:sz="4" w:space="0" w:color="000000"/>
              <w:left w:val="single" w:sz="4" w:space="0" w:color="000000"/>
              <w:bottom w:val="single" w:sz="4" w:space="0" w:color="000000"/>
              <w:right w:val="single" w:sz="4" w:space="0" w:color="000000"/>
            </w:tcBorders>
          </w:tcPr>
          <w:p w14:paraId="751CB0CC"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Decision</w:t>
            </w:r>
          </w:p>
        </w:tc>
      </w:tr>
      <w:tr w:rsidR="00182F42" w:rsidRPr="009D6323" w14:paraId="22E88BF3" w14:textId="77777777">
        <w:tc>
          <w:tcPr>
            <w:tcW w:w="1350" w:type="dxa"/>
            <w:tcBorders>
              <w:top w:val="single" w:sz="4" w:space="0" w:color="000000"/>
              <w:left w:val="single" w:sz="4" w:space="0" w:color="000000"/>
              <w:bottom w:val="single" w:sz="4" w:space="0" w:color="000000"/>
              <w:right w:val="single" w:sz="4" w:space="0" w:color="000000"/>
            </w:tcBorders>
          </w:tcPr>
          <w:p w14:paraId="64063DAF"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H1</w:t>
            </w:r>
          </w:p>
        </w:tc>
        <w:tc>
          <w:tcPr>
            <w:tcW w:w="5550" w:type="dxa"/>
            <w:tcBorders>
              <w:top w:val="single" w:sz="4" w:space="0" w:color="000000"/>
              <w:left w:val="single" w:sz="4" w:space="0" w:color="000000"/>
              <w:bottom w:val="single" w:sz="4" w:space="0" w:color="000000"/>
              <w:right w:val="single" w:sz="4" w:space="0" w:color="000000"/>
            </w:tcBorders>
          </w:tcPr>
          <w:p w14:paraId="5E796027" w14:textId="77777777" w:rsidR="00182F42" w:rsidRPr="009D6323" w:rsidRDefault="00000000">
            <w:pPr>
              <w:spacing w:after="0"/>
              <w:jc w:val="left"/>
            </w:pPr>
            <w:r w:rsidRPr="009D6323">
              <w:rPr>
                <w:rFonts w:eastAsia="Times New Roman"/>
                <w:color w:val="000000"/>
                <w:szCs w:val="24"/>
              </w:rPr>
              <w:t>No significant impact of sales turnover tax on financial performance</w:t>
            </w:r>
          </w:p>
        </w:tc>
        <w:tc>
          <w:tcPr>
            <w:tcW w:w="2676" w:type="dxa"/>
            <w:tcBorders>
              <w:top w:val="single" w:sz="4" w:space="0" w:color="000000"/>
              <w:left w:val="single" w:sz="4" w:space="0" w:color="000000"/>
              <w:bottom w:val="single" w:sz="4" w:space="0" w:color="000000"/>
              <w:right w:val="single" w:sz="4" w:space="0" w:color="000000"/>
            </w:tcBorders>
          </w:tcPr>
          <w:p w14:paraId="716AA27D"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Fail to reject null (Supported)</w:t>
            </w:r>
          </w:p>
        </w:tc>
      </w:tr>
      <w:tr w:rsidR="00182F42" w:rsidRPr="009D6323" w14:paraId="1E14B8AE" w14:textId="77777777">
        <w:tc>
          <w:tcPr>
            <w:tcW w:w="1350" w:type="dxa"/>
            <w:tcBorders>
              <w:top w:val="single" w:sz="4" w:space="0" w:color="000000"/>
              <w:left w:val="single" w:sz="4" w:space="0" w:color="000000"/>
              <w:bottom w:val="single" w:sz="4" w:space="0" w:color="000000"/>
              <w:right w:val="single" w:sz="4" w:space="0" w:color="000000"/>
            </w:tcBorders>
          </w:tcPr>
          <w:p w14:paraId="4E4DAA8A"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H2</w:t>
            </w:r>
          </w:p>
        </w:tc>
        <w:tc>
          <w:tcPr>
            <w:tcW w:w="5550" w:type="dxa"/>
            <w:tcBorders>
              <w:top w:val="single" w:sz="4" w:space="0" w:color="000000"/>
              <w:left w:val="single" w:sz="4" w:space="0" w:color="000000"/>
              <w:bottom w:val="single" w:sz="4" w:space="0" w:color="000000"/>
              <w:right w:val="single" w:sz="4" w:space="0" w:color="000000"/>
            </w:tcBorders>
          </w:tcPr>
          <w:p w14:paraId="149451FE"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Excise duty does not significantly affect financial performance</w:t>
            </w:r>
          </w:p>
        </w:tc>
        <w:tc>
          <w:tcPr>
            <w:tcW w:w="2676" w:type="dxa"/>
            <w:tcBorders>
              <w:top w:val="single" w:sz="4" w:space="0" w:color="000000"/>
              <w:left w:val="single" w:sz="4" w:space="0" w:color="000000"/>
              <w:bottom w:val="single" w:sz="4" w:space="0" w:color="000000"/>
              <w:right w:val="single" w:sz="4" w:space="0" w:color="000000"/>
            </w:tcBorders>
          </w:tcPr>
          <w:p w14:paraId="191A394B"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Fail to reject null (Supported)</w:t>
            </w:r>
          </w:p>
        </w:tc>
      </w:tr>
      <w:tr w:rsidR="00182F42" w:rsidRPr="009D6323" w14:paraId="7671E229" w14:textId="77777777">
        <w:tc>
          <w:tcPr>
            <w:tcW w:w="1350" w:type="dxa"/>
            <w:tcBorders>
              <w:top w:val="single" w:sz="4" w:space="0" w:color="000000"/>
              <w:left w:val="single" w:sz="4" w:space="0" w:color="000000"/>
              <w:bottom w:val="single" w:sz="4" w:space="0" w:color="000000"/>
              <w:right w:val="single" w:sz="4" w:space="0" w:color="000000"/>
            </w:tcBorders>
          </w:tcPr>
          <w:p w14:paraId="1BFDBB29"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H3</w:t>
            </w:r>
          </w:p>
        </w:tc>
        <w:tc>
          <w:tcPr>
            <w:tcW w:w="5550" w:type="dxa"/>
            <w:tcBorders>
              <w:top w:val="single" w:sz="4" w:space="0" w:color="000000"/>
              <w:left w:val="single" w:sz="4" w:space="0" w:color="000000"/>
              <w:bottom w:val="single" w:sz="4" w:space="0" w:color="000000"/>
              <w:right w:val="single" w:sz="4" w:space="0" w:color="000000"/>
            </w:tcBorders>
          </w:tcPr>
          <w:p w14:paraId="7001E677"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VAT does not substantially impact financial performance</w:t>
            </w:r>
          </w:p>
        </w:tc>
        <w:tc>
          <w:tcPr>
            <w:tcW w:w="2676" w:type="dxa"/>
            <w:tcBorders>
              <w:top w:val="single" w:sz="4" w:space="0" w:color="000000"/>
              <w:left w:val="single" w:sz="4" w:space="0" w:color="000000"/>
              <w:bottom w:val="single" w:sz="4" w:space="0" w:color="000000"/>
              <w:right w:val="single" w:sz="4" w:space="0" w:color="000000"/>
            </w:tcBorders>
          </w:tcPr>
          <w:p w14:paraId="13F34384"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Reject null (Not supported)</w:t>
            </w:r>
          </w:p>
        </w:tc>
      </w:tr>
      <w:tr w:rsidR="00182F42" w:rsidRPr="009D6323" w14:paraId="639C0824" w14:textId="77777777">
        <w:tc>
          <w:tcPr>
            <w:tcW w:w="1350" w:type="dxa"/>
            <w:tcBorders>
              <w:top w:val="single" w:sz="4" w:space="0" w:color="000000"/>
              <w:left w:val="single" w:sz="4" w:space="0" w:color="000000"/>
              <w:bottom w:val="single" w:sz="4" w:space="0" w:color="000000"/>
              <w:right w:val="single" w:sz="4" w:space="0" w:color="000000"/>
            </w:tcBorders>
          </w:tcPr>
          <w:p w14:paraId="09FE3C7A"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lastRenderedPageBreak/>
              <w:t>H4</w:t>
            </w:r>
          </w:p>
        </w:tc>
        <w:tc>
          <w:tcPr>
            <w:tcW w:w="5550" w:type="dxa"/>
            <w:tcBorders>
              <w:top w:val="single" w:sz="4" w:space="0" w:color="000000"/>
              <w:left w:val="single" w:sz="4" w:space="0" w:color="000000"/>
              <w:bottom w:val="single" w:sz="4" w:space="0" w:color="000000"/>
              <w:right w:val="single" w:sz="4" w:space="0" w:color="000000"/>
            </w:tcBorders>
          </w:tcPr>
          <w:p w14:paraId="7962D847"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Stamp duty does not significantly impact financial performance</w:t>
            </w:r>
          </w:p>
        </w:tc>
        <w:tc>
          <w:tcPr>
            <w:tcW w:w="2676" w:type="dxa"/>
            <w:tcBorders>
              <w:top w:val="single" w:sz="4" w:space="0" w:color="000000"/>
              <w:left w:val="single" w:sz="4" w:space="0" w:color="000000"/>
              <w:bottom w:val="single" w:sz="4" w:space="0" w:color="000000"/>
              <w:right w:val="single" w:sz="4" w:space="0" w:color="000000"/>
            </w:tcBorders>
          </w:tcPr>
          <w:p w14:paraId="60101254"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Fail to reject null (Supported)</w:t>
            </w:r>
          </w:p>
        </w:tc>
      </w:tr>
    </w:tbl>
    <w:p w14:paraId="73F12EEE" w14:textId="77777777" w:rsidR="00182F42" w:rsidRPr="009D6323" w:rsidRDefault="00000000">
      <w:r w:rsidRPr="009D6323">
        <w:t>The regression results indicate that VAT is the only tax factor that is statistically significant to SME financial performance in this sample. The other tax variables are not significant, which supports the null hypotheses for H1, H2, and H4 but rejects the null hypothesis for H3.</w:t>
      </w:r>
    </w:p>
    <w:p w14:paraId="06A26935" w14:textId="77777777" w:rsidR="00182F42" w:rsidRPr="009D6323" w:rsidRDefault="00000000">
      <w:pPr>
        <w:pStyle w:val="Heading2"/>
      </w:pPr>
      <w:r w:rsidRPr="009D6323">
        <w:rPr>
          <w:color w:val="000000"/>
        </w:rPr>
        <w:t>4.2 Summary of Hypotheses Testing</w:t>
      </w:r>
    </w:p>
    <w:p w14:paraId="1FAADCC4" w14:textId="77777777" w:rsidR="00182F42" w:rsidRPr="009D6323" w:rsidRDefault="00000000">
      <w:r w:rsidRPr="009D6323">
        <w:t>Table 10 provides a summary of the hypotheses examined in this study, the statistical findings of the multiple regression analysis, and the decisions made. This was determined by the significance levels (p-values) of the coefficients in Model 2, which incorporated the control variables of years of operation and sector of operation.</w:t>
      </w:r>
    </w:p>
    <w:p w14:paraId="78E3FBC1" w14:textId="77777777" w:rsidR="00182F42" w:rsidRPr="009D6323" w:rsidRDefault="00000000">
      <w:pPr>
        <w:pStyle w:val="Caption"/>
      </w:pPr>
      <w:r w:rsidRPr="009D6323">
        <w:t>Table 10: Summary of Hypotheses Testing</w:t>
      </w:r>
    </w:p>
    <w:tbl>
      <w:tblPr>
        <w:tblW w:w="9350" w:type="dxa"/>
        <w:tblLayout w:type="fixed"/>
        <w:tblLook w:val="04A0" w:firstRow="1" w:lastRow="0" w:firstColumn="1" w:lastColumn="0" w:noHBand="0" w:noVBand="1"/>
      </w:tblPr>
      <w:tblGrid>
        <w:gridCol w:w="1435"/>
        <w:gridCol w:w="4140"/>
        <w:gridCol w:w="900"/>
        <w:gridCol w:w="1005"/>
        <w:gridCol w:w="1870"/>
      </w:tblGrid>
      <w:tr w:rsidR="00182F42" w:rsidRPr="009D6323" w14:paraId="77E1D894" w14:textId="77777777">
        <w:tc>
          <w:tcPr>
            <w:tcW w:w="1435" w:type="dxa"/>
            <w:tcBorders>
              <w:top w:val="single" w:sz="4" w:space="0" w:color="000000"/>
              <w:left w:val="single" w:sz="4" w:space="0" w:color="000000"/>
              <w:bottom w:val="single" w:sz="4" w:space="0" w:color="000000"/>
              <w:right w:val="single" w:sz="4" w:space="0" w:color="000000"/>
            </w:tcBorders>
          </w:tcPr>
          <w:p w14:paraId="5D3E0FED"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Hypothesis</w:t>
            </w:r>
          </w:p>
        </w:tc>
        <w:tc>
          <w:tcPr>
            <w:tcW w:w="4140" w:type="dxa"/>
            <w:tcBorders>
              <w:top w:val="single" w:sz="4" w:space="0" w:color="000000"/>
              <w:left w:val="single" w:sz="4" w:space="0" w:color="000000"/>
              <w:bottom w:val="single" w:sz="4" w:space="0" w:color="000000"/>
              <w:right w:val="single" w:sz="4" w:space="0" w:color="000000"/>
            </w:tcBorders>
          </w:tcPr>
          <w:p w14:paraId="30F5D7D5"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Statement</w:t>
            </w:r>
          </w:p>
        </w:tc>
        <w:tc>
          <w:tcPr>
            <w:tcW w:w="900" w:type="dxa"/>
            <w:tcBorders>
              <w:top w:val="single" w:sz="4" w:space="0" w:color="000000"/>
              <w:left w:val="single" w:sz="4" w:space="0" w:color="000000"/>
              <w:bottom w:val="single" w:sz="4" w:space="0" w:color="000000"/>
              <w:right w:val="single" w:sz="4" w:space="0" w:color="000000"/>
            </w:tcBorders>
          </w:tcPr>
          <w:p w14:paraId="6265CCF6"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β (B)</w:t>
            </w:r>
          </w:p>
        </w:tc>
        <w:tc>
          <w:tcPr>
            <w:tcW w:w="1005" w:type="dxa"/>
            <w:tcBorders>
              <w:top w:val="single" w:sz="4" w:space="0" w:color="000000"/>
              <w:left w:val="single" w:sz="4" w:space="0" w:color="000000"/>
              <w:bottom w:val="single" w:sz="4" w:space="0" w:color="000000"/>
              <w:right w:val="single" w:sz="4" w:space="0" w:color="000000"/>
            </w:tcBorders>
          </w:tcPr>
          <w:p w14:paraId="7674D740"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p-value</w:t>
            </w:r>
          </w:p>
        </w:tc>
        <w:tc>
          <w:tcPr>
            <w:tcW w:w="1870" w:type="dxa"/>
            <w:tcBorders>
              <w:top w:val="single" w:sz="4" w:space="0" w:color="000000"/>
              <w:left w:val="single" w:sz="4" w:space="0" w:color="000000"/>
              <w:bottom w:val="single" w:sz="4" w:space="0" w:color="000000"/>
              <w:right w:val="single" w:sz="4" w:space="0" w:color="000000"/>
            </w:tcBorders>
          </w:tcPr>
          <w:p w14:paraId="7B72A2F0" w14:textId="77777777" w:rsidR="00182F42" w:rsidRPr="009D6323" w:rsidRDefault="00000000">
            <w:pPr>
              <w:spacing w:after="0"/>
              <w:jc w:val="center"/>
              <w:rPr>
                <w:rFonts w:eastAsia="Times New Roman"/>
                <w:b/>
                <w:bCs/>
                <w:color w:val="000000"/>
                <w:szCs w:val="24"/>
              </w:rPr>
            </w:pPr>
            <w:r w:rsidRPr="009D6323">
              <w:rPr>
                <w:rFonts w:eastAsia="Times New Roman"/>
                <w:b/>
                <w:bCs/>
                <w:color w:val="000000"/>
                <w:szCs w:val="24"/>
              </w:rPr>
              <w:t>Decision on Null Hypothesis</w:t>
            </w:r>
          </w:p>
        </w:tc>
      </w:tr>
      <w:tr w:rsidR="00182F42" w:rsidRPr="009D6323" w14:paraId="4AC4E41D" w14:textId="77777777">
        <w:tc>
          <w:tcPr>
            <w:tcW w:w="1435" w:type="dxa"/>
            <w:tcBorders>
              <w:top w:val="single" w:sz="4" w:space="0" w:color="000000"/>
              <w:left w:val="single" w:sz="4" w:space="0" w:color="000000"/>
              <w:bottom w:val="single" w:sz="4" w:space="0" w:color="000000"/>
              <w:right w:val="single" w:sz="4" w:space="0" w:color="000000"/>
            </w:tcBorders>
          </w:tcPr>
          <w:p w14:paraId="2E3EAEA9"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H1</w:t>
            </w:r>
          </w:p>
        </w:tc>
        <w:tc>
          <w:tcPr>
            <w:tcW w:w="4140" w:type="dxa"/>
            <w:tcBorders>
              <w:top w:val="single" w:sz="4" w:space="0" w:color="000000"/>
              <w:left w:val="single" w:sz="4" w:space="0" w:color="000000"/>
              <w:bottom w:val="single" w:sz="4" w:space="0" w:color="000000"/>
              <w:right w:val="single" w:sz="4" w:space="0" w:color="000000"/>
            </w:tcBorders>
          </w:tcPr>
          <w:p w14:paraId="35BF5DD7"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No significant impact of sales turnover tax on the financial performance of SMEs</w:t>
            </w:r>
          </w:p>
        </w:tc>
        <w:tc>
          <w:tcPr>
            <w:tcW w:w="900" w:type="dxa"/>
            <w:tcBorders>
              <w:top w:val="single" w:sz="4" w:space="0" w:color="000000"/>
              <w:left w:val="single" w:sz="4" w:space="0" w:color="000000"/>
              <w:bottom w:val="single" w:sz="4" w:space="0" w:color="000000"/>
              <w:right w:val="single" w:sz="4" w:space="0" w:color="000000"/>
            </w:tcBorders>
          </w:tcPr>
          <w:p w14:paraId="097FCFC9"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-0.770</w:t>
            </w:r>
          </w:p>
        </w:tc>
        <w:tc>
          <w:tcPr>
            <w:tcW w:w="1005" w:type="dxa"/>
            <w:tcBorders>
              <w:top w:val="single" w:sz="4" w:space="0" w:color="000000"/>
              <w:left w:val="single" w:sz="4" w:space="0" w:color="000000"/>
              <w:bottom w:val="single" w:sz="4" w:space="0" w:color="000000"/>
              <w:right w:val="single" w:sz="4" w:space="0" w:color="000000"/>
            </w:tcBorders>
          </w:tcPr>
          <w:p w14:paraId="0752FADC"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0.128</w:t>
            </w:r>
          </w:p>
        </w:tc>
        <w:tc>
          <w:tcPr>
            <w:tcW w:w="1870" w:type="dxa"/>
            <w:tcBorders>
              <w:top w:val="single" w:sz="4" w:space="0" w:color="000000"/>
              <w:left w:val="single" w:sz="4" w:space="0" w:color="000000"/>
              <w:bottom w:val="single" w:sz="4" w:space="0" w:color="000000"/>
              <w:right w:val="single" w:sz="4" w:space="0" w:color="000000"/>
            </w:tcBorders>
          </w:tcPr>
          <w:p w14:paraId="156E7D2D"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Fail to Reject (Supported)</w:t>
            </w:r>
          </w:p>
        </w:tc>
      </w:tr>
      <w:tr w:rsidR="00182F42" w:rsidRPr="009D6323" w14:paraId="5FD03A34" w14:textId="77777777">
        <w:tc>
          <w:tcPr>
            <w:tcW w:w="1435" w:type="dxa"/>
            <w:tcBorders>
              <w:top w:val="single" w:sz="4" w:space="0" w:color="000000"/>
              <w:left w:val="single" w:sz="4" w:space="0" w:color="000000"/>
              <w:bottom w:val="single" w:sz="4" w:space="0" w:color="000000"/>
              <w:right w:val="single" w:sz="4" w:space="0" w:color="000000"/>
            </w:tcBorders>
          </w:tcPr>
          <w:p w14:paraId="7E701249"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H2</w:t>
            </w:r>
          </w:p>
        </w:tc>
        <w:tc>
          <w:tcPr>
            <w:tcW w:w="4140" w:type="dxa"/>
            <w:tcBorders>
              <w:top w:val="single" w:sz="4" w:space="0" w:color="000000"/>
              <w:left w:val="single" w:sz="4" w:space="0" w:color="000000"/>
              <w:bottom w:val="single" w:sz="4" w:space="0" w:color="000000"/>
              <w:right w:val="single" w:sz="4" w:space="0" w:color="000000"/>
            </w:tcBorders>
          </w:tcPr>
          <w:p w14:paraId="2C7A6DFC" w14:textId="77777777" w:rsidR="00182F42" w:rsidRPr="009D6323" w:rsidRDefault="00000000">
            <w:pPr>
              <w:spacing w:after="0"/>
              <w:jc w:val="left"/>
            </w:pPr>
            <w:r w:rsidRPr="009D6323">
              <w:rPr>
                <w:rFonts w:eastAsia="Times New Roman"/>
                <w:color w:val="000000"/>
                <w:szCs w:val="24"/>
              </w:rPr>
              <w:t>Excise duty does not present a significant effect on the financial performance of SMEs</w:t>
            </w:r>
          </w:p>
        </w:tc>
        <w:tc>
          <w:tcPr>
            <w:tcW w:w="900" w:type="dxa"/>
            <w:tcBorders>
              <w:top w:val="single" w:sz="4" w:space="0" w:color="000000"/>
              <w:left w:val="single" w:sz="4" w:space="0" w:color="000000"/>
              <w:bottom w:val="single" w:sz="4" w:space="0" w:color="000000"/>
              <w:right w:val="single" w:sz="4" w:space="0" w:color="000000"/>
            </w:tcBorders>
          </w:tcPr>
          <w:p w14:paraId="6FDA32F0"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-0.195</w:t>
            </w:r>
          </w:p>
        </w:tc>
        <w:tc>
          <w:tcPr>
            <w:tcW w:w="1005" w:type="dxa"/>
            <w:tcBorders>
              <w:top w:val="single" w:sz="4" w:space="0" w:color="000000"/>
              <w:left w:val="single" w:sz="4" w:space="0" w:color="000000"/>
              <w:bottom w:val="single" w:sz="4" w:space="0" w:color="000000"/>
              <w:right w:val="single" w:sz="4" w:space="0" w:color="000000"/>
            </w:tcBorders>
          </w:tcPr>
          <w:p w14:paraId="20E10B97"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0.719</w:t>
            </w:r>
          </w:p>
        </w:tc>
        <w:tc>
          <w:tcPr>
            <w:tcW w:w="1870" w:type="dxa"/>
            <w:tcBorders>
              <w:top w:val="single" w:sz="4" w:space="0" w:color="000000"/>
              <w:left w:val="single" w:sz="4" w:space="0" w:color="000000"/>
              <w:bottom w:val="single" w:sz="4" w:space="0" w:color="000000"/>
              <w:right w:val="single" w:sz="4" w:space="0" w:color="000000"/>
            </w:tcBorders>
          </w:tcPr>
          <w:p w14:paraId="748650A2"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Fail to Reject (Supported)</w:t>
            </w:r>
          </w:p>
        </w:tc>
      </w:tr>
      <w:tr w:rsidR="00182F42" w:rsidRPr="009D6323" w14:paraId="26C47309" w14:textId="77777777">
        <w:tc>
          <w:tcPr>
            <w:tcW w:w="1435" w:type="dxa"/>
            <w:tcBorders>
              <w:top w:val="single" w:sz="4" w:space="0" w:color="000000"/>
              <w:left w:val="single" w:sz="4" w:space="0" w:color="000000"/>
              <w:bottom w:val="single" w:sz="4" w:space="0" w:color="000000"/>
              <w:right w:val="single" w:sz="4" w:space="0" w:color="000000"/>
            </w:tcBorders>
          </w:tcPr>
          <w:p w14:paraId="5255D7B3"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H3</w:t>
            </w:r>
          </w:p>
        </w:tc>
        <w:tc>
          <w:tcPr>
            <w:tcW w:w="4140" w:type="dxa"/>
            <w:tcBorders>
              <w:top w:val="single" w:sz="4" w:space="0" w:color="000000"/>
              <w:left w:val="single" w:sz="4" w:space="0" w:color="000000"/>
              <w:bottom w:val="single" w:sz="4" w:space="0" w:color="000000"/>
              <w:right w:val="single" w:sz="4" w:space="0" w:color="000000"/>
            </w:tcBorders>
          </w:tcPr>
          <w:p w14:paraId="4240BCB4"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VAT does not substantially impact financial performance of SMEs</w:t>
            </w:r>
          </w:p>
        </w:tc>
        <w:tc>
          <w:tcPr>
            <w:tcW w:w="900" w:type="dxa"/>
            <w:tcBorders>
              <w:top w:val="single" w:sz="4" w:space="0" w:color="000000"/>
              <w:left w:val="single" w:sz="4" w:space="0" w:color="000000"/>
              <w:bottom w:val="single" w:sz="4" w:space="0" w:color="000000"/>
              <w:right w:val="single" w:sz="4" w:space="0" w:color="000000"/>
            </w:tcBorders>
          </w:tcPr>
          <w:p w14:paraId="48941497"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-1.055</w:t>
            </w:r>
          </w:p>
        </w:tc>
        <w:tc>
          <w:tcPr>
            <w:tcW w:w="1005" w:type="dxa"/>
            <w:tcBorders>
              <w:top w:val="single" w:sz="4" w:space="0" w:color="000000"/>
              <w:left w:val="single" w:sz="4" w:space="0" w:color="000000"/>
              <w:bottom w:val="single" w:sz="4" w:space="0" w:color="000000"/>
              <w:right w:val="single" w:sz="4" w:space="0" w:color="000000"/>
            </w:tcBorders>
          </w:tcPr>
          <w:p w14:paraId="73E6BE78"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0.030*</w:t>
            </w:r>
          </w:p>
        </w:tc>
        <w:tc>
          <w:tcPr>
            <w:tcW w:w="1870" w:type="dxa"/>
            <w:tcBorders>
              <w:top w:val="single" w:sz="4" w:space="0" w:color="000000"/>
              <w:left w:val="single" w:sz="4" w:space="0" w:color="000000"/>
              <w:bottom w:val="single" w:sz="4" w:space="0" w:color="000000"/>
              <w:right w:val="single" w:sz="4" w:space="0" w:color="000000"/>
            </w:tcBorders>
          </w:tcPr>
          <w:p w14:paraId="7625E4B9"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Reject (Not Supported)</w:t>
            </w:r>
          </w:p>
        </w:tc>
      </w:tr>
      <w:tr w:rsidR="00182F42" w:rsidRPr="009D6323" w14:paraId="5755341C" w14:textId="77777777">
        <w:tc>
          <w:tcPr>
            <w:tcW w:w="1435" w:type="dxa"/>
            <w:tcBorders>
              <w:top w:val="single" w:sz="4" w:space="0" w:color="000000"/>
              <w:left w:val="single" w:sz="4" w:space="0" w:color="000000"/>
              <w:bottom w:val="single" w:sz="4" w:space="0" w:color="000000"/>
              <w:right w:val="single" w:sz="4" w:space="0" w:color="000000"/>
            </w:tcBorders>
          </w:tcPr>
          <w:p w14:paraId="597DF46A"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H4</w:t>
            </w:r>
          </w:p>
        </w:tc>
        <w:tc>
          <w:tcPr>
            <w:tcW w:w="4140" w:type="dxa"/>
            <w:tcBorders>
              <w:top w:val="single" w:sz="4" w:space="0" w:color="000000"/>
              <w:left w:val="single" w:sz="4" w:space="0" w:color="000000"/>
              <w:bottom w:val="single" w:sz="4" w:space="0" w:color="000000"/>
              <w:right w:val="single" w:sz="4" w:space="0" w:color="000000"/>
            </w:tcBorders>
          </w:tcPr>
          <w:p w14:paraId="50165FAC"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Stamp duty does not have a substantial impact on the financial performance of SMEs</w:t>
            </w:r>
          </w:p>
        </w:tc>
        <w:tc>
          <w:tcPr>
            <w:tcW w:w="900" w:type="dxa"/>
            <w:tcBorders>
              <w:top w:val="single" w:sz="4" w:space="0" w:color="000000"/>
              <w:left w:val="single" w:sz="4" w:space="0" w:color="000000"/>
              <w:bottom w:val="single" w:sz="4" w:space="0" w:color="000000"/>
              <w:right w:val="single" w:sz="4" w:space="0" w:color="000000"/>
            </w:tcBorders>
          </w:tcPr>
          <w:p w14:paraId="0561292C"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-0.144</w:t>
            </w:r>
          </w:p>
        </w:tc>
        <w:tc>
          <w:tcPr>
            <w:tcW w:w="1005" w:type="dxa"/>
            <w:tcBorders>
              <w:top w:val="single" w:sz="4" w:space="0" w:color="000000"/>
              <w:left w:val="single" w:sz="4" w:space="0" w:color="000000"/>
              <w:bottom w:val="single" w:sz="4" w:space="0" w:color="000000"/>
              <w:right w:val="single" w:sz="4" w:space="0" w:color="000000"/>
            </w:tcBorders>
          </w:tcPr>
          <w:p w14:paraId="7B752EBC"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0.769</w:t>
            </w:r>
          </w:p>
        </w:tc>
        <w:tc>
          <w:tcPr>
            <w:tcW w:w="1870" w:type="dxa"/>
            <w:tcBorders>
              <w:top w:val="single" w:sz="4" w:space="0" w:color="000000"/>
              <w:left w:val="single" w:sz="4" w:space="0" w:color="000000"/>
              <w:bottom w:val="single" w:sz="4" w:space="0" w:color="000000"/>
              <w:right w:val="single" w:sz="4" w:space="0" w:color="000000"/>
            </w:tcBorders>
          </w:tcPr>
          <w:p w14:paraId="598ED383"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Fail to Reject (Supported)</w:t>
            </w:r>
          </w:p>
        </w:tc>
      </w:tr>
    </w:tbl>
    <w:p w14:paraId="7ABD091C" w14:textId="77777777" w:rsidR="00182F42" w:rsidRPr="009D6323" w:rsidRDefault="00000000">
      <w:pPr>
        <w:spacing w:after="0"/>
        <w:jc w:val="left"/>
        <w:rPr>
          <w:rFonts w:eastAsia="Times New Roman"/>
          <w:color w:val="000000"/>
          <w:szCs w:val="24"/>
        </w:rPr>
      </w:pPr>
      <w:r w:rsidRPr="009D6323">
        <w:rPr>
          <w:rFonts w:eastAsia="Times New Roman"/>
          <w:color w:val="000000"/>
          <w:szCs w:val="24"/>
        </w:rPr>
        <w:t>*Significant at the 0.05 level.</w:t>
      </w:r>
      <w:r w:rsidRPr="009D6323">
        <w:rPr>
          <w:rFonts w:eastAsia="Times New Roman"/>
          <w:color w:val="000000"/>
          <w:szCs w:val="24"/>
        </w:rPr>
        <w:br/>
      </w:r>
      <w:r w:rsidRPr="009D6323">
        <w:rPr>
          <w:rFonts w:eastAsia="Times New Roman"/>
          <w:i/>
          <w:iCs/>
          <w:color w:val="000000"/>
          <w:szCs w:val="24"/>
        </w:rPr>
        <w:t>Source: Field data (2025)</w:t>
      </w:r>
    </w:p>
    <w:p w14:paraId="41136970" w14:textId="77777777" w:rsidR="00182F42" w:rsidRPr="009D6323" w:rsidRDefault="00000000">
      <w:pPr>
        <w:pStyle w:val="Heading2"/>
        <w:rPr>
          <w:color w:val="000000"/>
        </w:rPr>
      </w:pPr>
      <w:r w:rsidRPr="009D6323">
        <w:rPr>
          <w:color w:val="000000"/>
        </w:rPr>
        <w:t>Interpretation</w:t>
      </w:r>
    </w:p>
    <w:p w14:paraId="20C0C7AE" w14:textId="77777777" w:rsidR="00182F42" w:rsidRPr="009D6323" w:rsidRDefault="00000000">
      <w:r w:rsidRPr="009D6323">
        <w:t xml:space="preserve">The findings indicate that Value Added Tax (VAT) is the only tax variable with a statistically significant correlation with financial performance, and the relationship is negative. This implies </w:t>
      </w:r>
      <w:r w:rsidRPr="009D6323">
        <w:lastRenderedPageBreak/>
        <w:t>that SMEs that perceive higher VAT burdens tend to record lower performance scores, even after considering sector and firm age. Excise Duty, Sales Turnover Tax, and Stamp Duty have negative signs but are not statistically significant, meaning that the perceived burden does not consistently predict financial performance across the sample in this study. Overall, these findings are partly consistent with previous studies indicating that some taxes, especially VAT, may have more direct and immediate cash-flow implications for SMEs, whereas other taxes may not have a significant short-term performance consequence.</w:t>
      </w:r>
    </w:p>
    <w:p w14:paraId="1EB91775" w14:textId="77777777" w:rsidR="00182F42" w:rsidRPr="009D6323" w:rsidRDefault="00000000">
      <w:pPr>
        <w:pStyle w:val="Heading2"/>
        <w:jc w:val="center"/>
        <w:rPr>
          <w:rStyle w:val="Strong"/>
          <w:color w:val="000000"/>
        </w:rPr>
      </w:pPr>
      <w:r w:rsidRPr="009D6323">
        <w:rPr>
          <w:color w:val="000000"/>
        </w:rPr>
        <w:t xml:space="preserve">5. DISCUSSION </w:t>
      </w:r>
    </w:p>
    <w:p w14:paraId="3DC5B4A7" w14:textId="77777777" w:rsidR="00182F42" w:rsidRPr="009D6323" w:rsidRDefault="00000000">
      <w:pPr>
        <w:pStyle w:val="Heading2"/>
        <w:rPr>
          <w:color w:val="000000"/>
        </w:rPr>
      </w:pPr>
      <w:r w:rsidRPr="009D6323">
        <w:rPr>
          <w:rStyle w:val="Strong"/>
          <w:color w:val="000000"/>
        </w:rPr>
        <w:t>5.1 Discussion of Findings</w:t>
      </w:r>
    </w:p>
    <w:p w14:paraId="64B039A4" w14:textId="77777777" w:rsidR="00182F42" w:rsidRPr="009D6323" w:rsidRDefault="00000000">
      <w:r w:rsidRPr="009D6323">
        <w:t>This study investigated the impact of Sales Turnover Tax, Excise Duty, Value Added Tax (VAT), and Stamp Duty on the financial performance of registered SMEs in Nairobi City County, Kenya. The multiple regression results presented mixed evidence, with VAT being the only statistically significant tax variable affecting financial performance.</w:t>
      </w:r>
    </w:p>
    <w:p w14:paraId="57A033A6" w14:textId="77777777" w:rsidR="00182F42" w:rsidRPr="009D6323" w:rsidRDefault="00000000">
      <w:pPr>
        <w:pStyle w:val="Heading3"/>
        <w:rPr>
          <w:color w:val="000000"/>
        </w:rPr>
      </w:pPr>
      <w:r w:rsidRPr="009D6323">
        <w:rPr>
          <w:color w:val="000000"/>
        </w:rPr>
        <w:t>5.1.1 Sales Turnover Tax and Financial Performance</w:t>
      </w:r>
    </w:p>
    <w:p w14:paraId="37EA56CC" w14:textId="77777777" w:rsidR="00182F42" w:rsidRPr="009D6323" w:rsidRDefault="00000000">
      <w:r w:rsidRPr="009D6323">
        <w:t>The regression results indicated a negative but insignificant relationship between Sales Turnover Tax and the financial performance of SMEs (p = 0.128), suggesting that although a higher tax burden is associated with lower financial performance, the relationship is not strong enough to be a decisive determinant of performance. This outcome may be attributed to adaptation mechanisms such as pricing adjustments, supplier renegotiation, product differentiation, and operational efficiency, which enable SMEs to absorb the effects of taxation without significantly affecting profitability. Consistent with Resource Mobilisation Theory, the findings suggest that internal resources and capabilities, including operational efficiency and strategic resource allocation, play a more significant role in sustaining performance than external factors such as sales turnover tax. While turnover tax may create operational and cash-flow challenges, particularly because taxes are payable irrespective of profit margins, its effect does not translate into a significant reduction in financial performance. Therefore, sales turnover tax does not appear to be a major determinant of SME performance in this context.</w:t>
      </w:r>
    </w:p>
    <w:p w14:paraId="3410B4BD" w14:textId="77777777" w:rsidR="00182F42" w:rsidRPr="009D6323" w:rsidRDefault="00000000">
      <w:pPr>
        <w:pStyle w:val="Heading3"/>
        <w:rPr>
          <w:color w:val="000000"/>
        </w:rPr>
      </w:pPr>
      <w:r w:rsidRPr="009D6323">
        <w:rPr>
          <w:color w:val="000000"/>
        </w:rPr>
        <w:lastRenderedPageBreak/>
        <w:t>5.1.2 Excise Duty and Financial Performance</w:t>
      </w:r>
    </w:p>
    <w:p w14:paraId="7FF28E53" w14:textId="77777777" w:rsidR="00182F42" w:rsidRPr="009D6323" w:rsidRDefault="00000000">
      <w:r w:rsidRPr="009D6323">
        <w:t>The regression findings showed a negative but statistically insignificant relationship between Excise Duty and the financial performance of SMEs (p = 0.719), indicating that excise duty is not a key determinant of performance differences among SMEs. The low effect may be attributed to the sector-specific nature of excise duty, which mainly applies to certain goods and services and is therefore not uniformly experienced by all SMEs. Empirical evidence suggests that excise rates have a greater impact on manufacturing and import-based industries and a minimal effect on SMEs outside these categories (Muriithi &amp; Paul, 2022). In addition, strategic pricing changes, product reformulations, sourcing adjustments, and effective cost management enable many SMEs to absorb or transfer excise-related costs. Consistent with Resource Mobilisation Theory, the findings suggest that internal capabilities and resource management play a more significant role in determining financial performance than isolated external costs such as excise duty. Consequently, although excise duty may affect profitability in some sectors, it does not have a significant impact on the overall SME population in Starehe.</w:t>
      </w:r>
    </w:p>
    <w:p w14:paraId="174AF3ED" w14:textId="77777777" w:rsidR="00182F42" w:rsidRPr="009D6323" w:rsidRDefault="00000000">
      <w:pPr>
        <w:pStyle w:val="Heading3"/>
        <w:rPr>
          <w:color w:val="000000"/>
        </w:rPr>
      </w:pPr>
      <w:r w:rsidRPr="009D6323">
        <w:rPr>
          <w:color w:val="000000"/>
        </w:rPr>
        <w:t>5.1.3 Value Added Tax (VAT) and Financial Performance</w:t>
      </w:r>
    </w:p>
    <w:p w14:paraId="317C829F" w14:textId="77777777" w:rsidR="00182F42" w:rsidRPr="009D6323" w:rsidRDefault="00000000">
      <w:r w:rsidRPr="009D6323">
        <w:t>The regression analysis revealed a statistically significant negative relationship between Value Added Tax (VAT) and the financial performance of SMEs (B = -1.055, p = 0.030), indicating that VAT has a more immediate and quantifiable effect on performance than the other tax variables under study. The negative effect may be attributed to cash-flow constraints arising from VAT remittance before revenue collection, as well as compliance requirements such as maintaining accurate records, regular filing, and timely payment, which increase administrative costs and disrupt operational efficiency (Ndlovu &amp; Schutte, 2024; Mascagni et al., 2023). Consistent with Resource Mobilisation Theory, VAT reduces financial resources and operational flexibility, limiting the ability of SMEs to reinvest, expand operations, and meet other financial obligations. Since VAT is widely applied across industries and transactions and is payable regardless of profitability, its burden is difficult to avoid. These findings support the view that VAT is one of the most significant tax-related factors affecting the financial performance, competitiveness, growth, and profitability of SMEs.</w:t>
      </w:r>
    </w:p>
    <w:p w14:paraId="10ABD818" w14:textId="77777777" w:rsidR="00182F42" w:rsidRPr="009D6323" w:rsidRDefault="00000000">
      <w:pPr>
        <w:pStyle w:val="Heading3"/>
      </w:pPr>
      <w:r w:rsidRPr="009D6323">
        <w:rPr>
          <w:color w:val="000000"/>
        </w:rPr>
        <w:lastRenderedPageBreak/>
        <w:t>5.1.4 Stamp Duty and Financial Performance</w:t>
      </w:r>
    </w:p>
    <w:p w14:paraId="2B8DCB64" w14:textId="5697EC0D" w:rsidR="00182F42" w:rsidRPr="009D6323" w:rsidRDefault="00000000">
      <w:r w:rsidRPr="009D6323">
        <w:t>The regression findings showed a negative but statistically insignificant relationship between Stamp Duty and the financial performance of SMEs in Nairobi City County (B = -0.144, p = 0.769), indicating that its effect is not large or consistent. This is consistent with the nature of stamp duty in Kenya, which is mainly based on legal and commercial transactions such as property transfers, contracts, leases, and share transactions, meaning that many SMEs in service industries, hospitality, and small-scale trade may rarely experience it in their day-to-day activities. Consequently, its impact is indirect, infrequent, and concentrated among fewer businesses involved in acquiring assets or leasing property. Literature indicates that stamp duty is not a recurrent expense for most SMEs and is often treated as a one-off transaction cost, which reduces its effect on operating margin and profitability (Onwuka et al., 202</w:t>
      </w:r>
      <w:r w:rsidR="00D3029B">
        <w:t>1</w:t>
      </w:r>
      <w:r w:rsidRPr="009D6323">
        <w:t>). From the perspective of Resource Mobilisation Theory, such occasional external costs do not significantly interfere with the ability of SMEs to use internal resources to create competitive advantage unless they are frequent or high. Overall, stamp duty does not play a leading role in SME financial performance at the sector-wide level, and policy interventions targeting it are likely to have limited short-term effects compared with more recurrent taxes such as VAT.</w:t>
      </w:r>
    </w:p>
    <w:p w14:paraId="79C0776B" w14:textId="77777777" w:rsidR="00182F42" w:rsidRPr="009D6323" w:rsidRDefault="00000000">
      <w:pPr>
        <w:pStyle w:val="Heading1"/>
      </w:pPr>
      <w:r w:rsidRPr="009D6323">
        <w:t>6. CONCLUSION</w:t>
      </w:r>
    </w:p>
    <w:p w14:paraId="67B237A2" w14:textId="77777777" w:rsidR="00182F42" w:rsidRPr="009D6323" w:rsidRDefault="00000000">
      <w:r w:rsidRPr="009D6323">
        <w:t>The regression findings indicate that sales turnover tax is negatively related but statistically insignificant to the financial performance of SMEs in Nairobi City County, implying that it is not a major factor in SME profitability or operational success. Although SMEs reporting a higher turnover tax burden show slight differences in performance scores, the impact is not statistically significant. The results suggest that most SMEs respond to turnover-based taxation through cost control, pricing adjustments, and improved operational efficiency to protect against financial loss. This aligns with Resource Mobilisation Theory, which emphasises that internal resources and capabilities are more decisive than isolated external factors in influencing firm performance. Overall, sales turnover tax does not have a significant direct impact on the financial health of SMEs, and policy interventions may be more effective when focused on VAT or other constraints such as access to finance, technological adoption, and market access.</w:t>
      </w:r>
    </w:p>
    <w:p w14:paraId="3B0D341E" w14:textId="77777777" w:rsidR="00182F42" w:rsidRPr="009D6323" w:rsidRDefault="00000000">
      <w:r w:rsidRPr="009D6323">
        <w:t xml:space="preserve">The paper finds that excise duty is negatively but statistically insignificantly related to the financial performance of SMEs in Nairobi City County, indicating that it does not significantly </w:t>
      </w:r>
      <w:r w:rsidRPr="009D6323">
        <w:lastRenderedPageBreak/>
        <w:t>contribute to performance differences among SMEs in the study region. This limited effect is attributed to the fact that excise duty is imposed on specific goods and services, such as alcoholic drinks, tobacco, petroleum, and luxury items, and therefore does not directly affect many SMEs in the services, hospitality, and IT sectors. In addition, SMEs liable to excise duty often adopt strategies such as pricing changes, supplier negotiations, and product diversification to reduce its financial effects. These results align with Resource Mobilisation Theory, which emphasises that internal resources such as cost control, innovation, and market positioning are more decisive for performance than isolated external cost factors. Overall, excise duty is not a decisive factor affecting SME financial performance, and its net effect is low compared with recurring taxes such as VAT.</w:t>
      </w:r>
    </w:p>
    <w:p w14:paraId="04953CD1" w14:textId="77777777" w:rsidR="00182F42" w:rsidRPr="009D6323" w:rsidRDefault="00000000">
      <w:r w:rsidRPr="009D6323">
        <w:t>The research findings conclude that Value Added Tax (VAT) has a statistically significant negative correlation with the financial performance of SMEs in Nairobi City County, making it the only significant predictor among the four tax variables studied. Regression analysis shows that an increase in the perceived VAT burden leads to a decline in performance scores, reflecting its direct effect on profitability through cash-flow and operational liquidity constraints. SMEs are often required to remit VAT to the revenue authority before receiving payment from customers, creating a gap that limits working capital, particularly for firms with thin margins and limited access to credit. These findings are consistent with empirical evidence that VAT compliance imposes administrative and financial strain through record-keeping, timely filing, and complex reporting requirements, disproportionately affecting SMEs compared with larger firms (Ndlovu &amp; Schutte, 2024; Mascagni et al., 2023). From the perspective of Resource Mobilisation Theory, VAT undermines firm performance by reducing the ability to mobilise and deploy internal resources effectively, as it is difficult to avoid or transfer to consumers without loss of competitiveness. Overall, VAT is one of the most notable limitations to SME financial performance in Nairobi City County.</w:t>
      </w:r>
    </w:p>
    <w:p w14:paraId="6C4AD033" w14:textId="5EC451A9" w:rsidR="00182F42" w:rsidRPr="009D6323" w:rsidRDefault="00000000">
      <w:r w:rsidRPr="009D6323">
        <w:t xml:space="preserve">The research findings conclude that Stamp Duty is negatively but statistically insignificantly associated with the financial performance of SMEs in Nairobi City County, indicating that it is not a significant determinant of variation in performance across the study population. This is because stamp duty in Kenya is imposed on particular transactions such as property transfers, property leases, and share transactions, and for most SMEs in retail, hospitality, and services, it </w:t>
      </w:r>
      <w:r w:rsidRPr="009D6323">
        <w:lastRenderedPageBreak/>
        <w:t>is not a recurrent cost and is only incurred on rare occasions. As a result, its effects on overall annual financial performance are not significant and are not uniform across the industry. These findings align with Onwuka et al. (202</w:t>
      </w:r>
      <w:r w:rsidR="00D3029B">
        <w:t>1</w:t>
      </w:r>
      <w:r w:rsidRPr="009D6323">
        <w:t>), who addressed stamp duty and revenue generation, and they support the view that stamp duty is mainly a transaction-based cost with limited recurrent impact on SME profitability. From the perspective of Resource Mobilisation Theory, non-recurrent external costs such as stamp duty are less likely to undermine competitive position unless they are very high or frequent and can often be absorbed without long-term negative impact on performance. Overall, stamp duty is not a major determinant of SME financial performance in Nairobi City County, and policy efforts may be more effective when directed at recurrent taxes such as VAT.</w:t>
      </w:r>
    </w:p>
    <w:p w14:paraId="0D22302A" w14:textId="77777777" w:rsidR="00182F42" w:rsidRPr="009D6323" w:rsidRDefault="00000000">
      <w:pPr>
        <w:pStyle w:val="Heading1"/>
      </w:pPr>
      <w:r w:rsidRPr="009D6323">
        <w:t>7. RECOMMENDATIONS</w:t>
      </w:r>
    </w:p>
    <w:p w14:paraId="739E63A4" w14:textId="77777777" w:rsidR="00182F42" w:rsidRPr="009D6323" w:rsidRDefault="00000000">
      <w:r w:rsidRPr="009D6323">
        <w:t>On the basis of the study results, several recommendations are provided to address tax-related issues affecting the financial performance of SMEs in Nairobi City County. These recommendations are formulated in relation to the four hypotheses of this study.</w:t>
      </w:r>
    </w:p>
    <w:p w14:paraId="1E61871D" w14:textId="77777777" w:rsidR="00182F42" w:rsidRPr="009D6323" w:rsidRDefault="00000000">
      <w:r w:rsidRPr="009D6323">
        <w:t>The correlation between sales turnover tax and SME financial performance was negative but statistically non-significant. Policymakers should maintain the current turnover tax regime while raising awareness and training SMEs on tax planning behaviour. Tax authorities should provide easier-to-follow guidelines, tax calculators, and advisory services to enable SMEs to budget for turnover tax payments and integrate them into cash-flow projections as an operating cost.</w:t>
      </w:r>
    </w:p>
    <w:p w14:paraId="1E8912D1" w14:textId="77777777" w:rsidR="00182F42" w:rsidRPr="009D6323" w:rsidRDefault="00000000">
      <w:r w:rsidRPr="009D6323">
        <w:t>Excise duty had a negative but non-significant effect on SME performance; therefore, widespread reforms may not have a significant impact on the SME sector overall. However, reforms should target sectors where excise duty is a significant cost, including beverages, petroleum distribution, and imports of excisable goods. KRA should consider differential excise duty rates and temporary exemptions for small manufacturers, while SME owners should consider product diversification and alternative sourcing.</w:t>
      </w:r>
    </w:p>
    <w:p w14:paraId="0BA3A702" w14:textId="77777777" w:rsidR="00182F42" w:rsidRPr="009D6323" w:rsidRDefault="00000000">
      <w:r w:rsidRPr="009D6323">
        <w:t xml:space="preserve">VAT had a statistically significant negative effect on SME performance, requiring immediate reforms to reduce compliance costs and cash-flow impacts. Government should consider deferring VAT remittance, </w:t>
      </w:r>
      <w:proofErr w:type="gramStart"/>
      <w:r w:rsidRPr="009D6323">
        <w:t>simplifying</w:t>
      </w:r>
      <w:proofErr w:type="gramEnd"/>
      <w:r w:rsidRPr="009D6323">
        <w:t xml:space="preserve"> VAT return systems, and introducing industry-specific exemptions or reduced rates. SME managers should strengthen cash-flow management through </w:t>
      </w:r>
      <w:r w:rsidRPr="009D6323">
        <w:lastRenderedPageBreak/>
        <w:t>credit control, prepaid invoicing, synchronising payments and receipts, and improving bookkeeping and VAT compliance training.</w:t>
      </w:r>
    </w:p>
    <w:p w14:paraId="204AAB5B" w14:textId="77777777" w:rsidR="00182F42" w:rsidRPr="009D6323" w:rsidRDefault="00000000">
      <w:pPr>
        <w:rPr>
          <w:rStyle w:val="Heading3Char"/>
          <w:rFonts w:eastAsia="Calibri"/>
          <w:b w:val="0"/>
          <w:bCs w:val="0"/>
          <w:color w:val="000000"/>
        </w:rPr>
      </w:pPr>
      <w:r w:rsidRPr="009D6323">
        <w:t>Stamp duty had no meaningful impact on SME financial performance; therefore, broad-based reform is not a pressing issue. However, for SMEs in property-intensive or high-contractual-transaction industries, assessment and payment processes should be simplified to reduce administrative delays and costs. Exemptions or low rates for SMEs purchasing property may encourage long-term investment, while transaction planning and legal advice can help reduce unnecessary costs.</w:t>
      </w:r>
    </w:p>
    <w:p w14:paraId="6B9C7B4D" w14:textId="77777777" w:rsidR="00182F42" w:rsidRPr="009D6323" w:rsidRDefault="00000000">
      <w:pPr>
        <w:pStyle w:val="Heading3"/>
      </w:pPr>
      <w:r w:rsidRPr="009D6323">
        <w:rPr>
          <w:rStyle w:val="Heading3Char"/>
          <w:rFonts w:eastAsia="Calibri"/>
          <w:color w:val="000000"/>
        </w:rPr>
        <w:t xml:space="preserve">7.1 Significance of the Study </w:t>
      </w:r>
    </w:p>
    <w:p w14:paraId="6D33307B" w14:textId="77777777" w:rsidR="00182F42" w:rsidRPr="009D6323" w:rsidRDefault="00000000">
      <w:r w:rsidRPr="009D6323">
        <w:t>Because MSMEs play a vital role in any economy by providing employment opportunities and contributing significantly to GDP, this article has scientific and economic importance. It studies the impact of tax structure on the survival of MSMEs and will be useful to both government and MSME-sector policy formulators. The results of this research will assist in policy decision-making on revenue generation for the Government of Kenya in the area of taxation. This study is also important to SMEs both within and outside Kenya. The findings can be used to support the development of SMEs and assist them in thriving in Kenya. Furthermore, the research contributes to the literature on tax policy and serves as a reference for the academic community. Researchers and scholars seeking materials on tax policy can refer to this article for additional perspective.</w:t>
      </w:r>
    </w:p>
    <w:p w14:paraId="5FD7D418" w14:textId="77777777" w:rsidR="00182F42" w:rsidRPr="009D6323" w:rsidRDefault="00000000">
      <w:pPr>
        <w:pStyle w:val="Heading2"/>
      </w:pPr>
      <w:r w:rsidRPr="009D6323">
        <w:t>7.2 Limitations and Suggestions for Further Research</w:t>
      </w:r>
    </w:p>
    <w:p w14:paraId="75F08ED5" w14:textId="77777777" w:rsidR="00182F42" w:rsidRPr="009D6323" w:rsidRDefault="00000000">
      <w:pPr>
        <w:spacing w:after="0"/>
        <w:rPr>
          <w:rFonts w:eastAsia="Times New Roman"/>
          <w:color w:val="000000"/>
          <w:szCs w:val="24"/>
        </w:rPr>
      </w:pPr>
      <w:r w:rsidRPr="009D6323">
        <w:t>Although this research has provided useful information regarding the correlation between tax and SME financial performance in Nairobi City County, several limitations remain and may be investigated further by scholars.</w:t>
      </w:r>
    </w:p>
    <w:p w14:paraId="28A473B9" w14:textId="77777777" w:rsidR="00182F42" w:rsidRPr="009D6323" w:rsidRDefault="00182F42">
      <w:pPr>
        <w:spacing w:after="0"/>
        <w:rPr>
          <w:rFonts w:eastAsia="Times New Roman"/>
          <w:color w:val="000000"/>
          <w:szCs w:val="24"/>
        </w:rPr>
      </w:pPr>
    </w:p>
    <w:p w14:paraId="47F83AE0" w14:textId="77777777" w:rsidR="00182F42" w:rsidRPr="009D6323" w:rsidRDefault="00000000">
      <w:pPr>
        <w:pStyle w:val="ListParagraph"/>
        <w:numPr>
          <w:ilvl w:val="0"/>
          <w:numId w:val="3"/>
        </w:numPr>
        <w:spacing w:after="0"/>
        <w:rPr>
          <w:rFonts w:eastAsia="Times New Roman"/>
          <w:color w:val="000000"/>
          <w:szCs w:val="24"/>
        </w:rPr>
      </w:pPr>
      <w:r w:rsidRPr="009D6323">
        <w:t>The research scope was limited to registered small and medium-sized enterprises in Nairobi City County, Kenya. Although the results may be applicable to other areas, future research should extend the scope to other sub-counties or counties in Kenya to enable comparative analysis of different economic and regulatory environments and to determine whether the observed trends are national or local.</w:t>
      </w:r>
    </w:p>
    <w:p w14:paraId="18F785D5" w14:textId="77777777" w:rsidR="00182F42" w:rsidRPr="009D6323" w:rsidRDefault="00000000">
      <w:pPr>
        <w:pStyle w:val="ListParagraph"/>
        <w:numPr>
          <w:ilvl w:val="0"/>
          <w:numId w:val="3"/>
        </w:numPr>
        <w:spacing w:after="0"/>
        <w:rPr>
          <w:rFonts w:eastAsia="Times New Roman"/>
          <w:color w:val="000000"/>
          <w:szCs w:val="24"/>
        </w:rPr>
      </w:pPr>
      <w:r w:rsidRPr="009D6323">
        <w:lastRenderedPageBreak/>
        <w:t>This study also used a descriptive research design, which limits its applicability in every setting. Longitudinal research conducted over several years would provide more information on how changes in taxation, such as VAT rates or turnover tax levels, affect SME performance in the long term beyond the cross-sectional time record.</w:t>
      </w:r>
    </w:p>
    <w:p w14:paraId="6AD609C7" w14:textId="77777777" w:rsidR="00182F42" w:rsidRPr="009D6323" w:rsidRDefault="00000000">
      <w:pPr>
        <w:pStyle w:val="ListParagraph"/>
        <w:numPr>
          <w:ilvl w:val="0"/>
          <w:numId w:val="3"/>
        </w:numPr>
        <w:spacing w:after="0"/>
        <w:rPr>
          <w:rFonts w:eastAsia="Times New Roman"/>
          <w:color w:val="000000"/>
          <w:szCs w:val="24"/>
        </w:rPr>
      </w:pPr>
      <w:r w:rsidRPr="009D6323">
        <w:t>The study focused on taxes, meaning that other factors not related to tax and government regulations were not fully captured. Further studies should include non-tax factors such as access to credit, use of technology, management competence, and competitive forces to enhance explanatory capacity and provide a more holistic picture of SME success.</w:t>
      </w:r>
    </w:p>
    <w:p w14:paraId="3042097C" w14:textId="77777777" w:rsidR="00182F42" w:rsidRPr="009D6323" w:rsidRDefault="00000000">
      <w:pPr>
        <w:pStyle w:val="ListParagraph"/>
        <w:numPr>
          <w:ilvl w:val="0"/>
          <w:numId w:val="3"/>
        </w:numPr>
        <w:spacing w:after="0"/>
        <w:rPr>
          <w:rFonts w:eastAsia="Times New Roman"/>
          <w:color w:val="000000"/>
          <w:szCs w:val="24"/>
        </w:rPr>
      </w:pPr>
      <w:r w:rsidRPr="009D6323">
        <w:t>The study was limited to quantitative data in drawing conclusions. Qualitative studies using in-depth interviews or case studies may supplement quantitative findings by revealing how SMEs perceive, cope with, and respond to tax obligations in ways not captured by quantitative data.</w:t>
      </w:r>
    </w:p>
    <w:p w14:paraId="7072ACFD" w14:textId="77777777" w:rsidR="00182F42" w:rsidRPr="009D6323" w:rsidRDefault="00000000">
      <w:pPr>
        <w:pStyle w:val="ListParagraph"/>
        <w:numPr>
          <w:ilvl w:val="0"/>
          <w:numId w:val="3"/>
        </w:numPr>
        <w:spacing w:after="0"/>
        <w:rPr>
          <w:rFonts w:eastAsia="Times New Roman"/>
          <w:color w:val="000000"/>
          <w:szCs w:val="24"/>
        </w:rPr>
      </w:pPr>
      <w:r w:rsidRPr="009D6323">
        <w:t>Lastly, cross-border examinations within the East African Community may improve understanding of how tax policy design, implementation, and compliance requirements influence SME growth and sustainability.</w:t>
      </w:r>
    </w:p>
    <w:p w14:paraId="7A636908" w14:textId="77777777" w:rsidR="00182F42" w:rsidRPr="009D6323" w:rsidRDefault="00182F42">
      <w:pPr>
        <w:pStyle w:val="ListParagraph"/>
        <w:spacing w:after="0"/>
        <w:rPr>
          <w:rFonts w:eastAsia="Times New Roman"/>
          <w:color w:val="000000"/>
          <w:szCs w:val="24"/>
        </w:rPr>
      </w:pPr>
    </w:p>
    <w:p w14:paraId="52C15350" w14:textId="77777777" w:rsidR="00182F42" w:rsidRPr="009D6323" w:rsidRDefault="00000000">
      <w:pPr>
        <w:numPr>
          <w:ilvl w:val="0"/>
          <w:numId w:val="3"/>
        </w:numPr>
        <w:spacing w:after="160" w:line="257" w:lineRule="auto"/>
        <w:rPr>
          <w:rFonts w:ascii="Arial" w:hAnsi="Arial" w:cs="Arial"/>
          <w:lang w:val="en-IN"/>
        </w:rPr>
      </w:pPr>
      <w:r w:rsidRPr="009D6323">
        <w:rPr>
          <w:rFonts w:ascii="Arial" w:hAnsi="Arial" w:cs="Arial"/>
          <w:lang w:val="en-IN"/>
        </w:rPr>
        <w:t>Declaration of AI Use</w:t>
      </w:r>
    </w:p>
    <w:p w14:paraId="5DA60432" w14:textId="77777777" w:rsidR="00182F42" w:rsidRPr="009D6323" w:rsidRDefault="00000000" w:rsidP="00E65928">
      <w:pPr>
        <w:pStyle w:val="NoSpacing"/>
        <w:ind w:left="720"/>
        <w:rPr>
          <w:rFonts w:ascii="Arial" w:hAnsi="Arial" w:cs="Arial"/>
        </w:rPr>
      </w:pPr>
      <w:r w:rsidRPr="009D6323">
        <w:rPr>
          <w:rFonts w:ascii="Arial" w:eastAsia="Calibri" w:hAnsi="Arial" w:cs="Arial"/>
          <w:lang w:val="en-I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p w14:paraId="44FBCDBA" w14:textId="77777777" w:rsidR="00182F42" w:rsidRPr="009D6323" w:rsidRDefault="00182F42">
      <w:pPr>
        <w:pStyle w:val="ListParagraph"/>
        <w:spacing w:after="0"/>
        <w:rPr>
          <w:rFonts w:ascii="Arial" w:eastAsia="Times New Roman" w:hAnsi="Arial" w:cs="Arial"/>
          <w:color w:val="000000"/>
          <w:szCs w:val="24"/>
        </w:rPr>
      </w:pPr>
    </w:p>
    <w:p w14:paraId="0B103110" w14:textId="77777777" w:rsidR="00182F42" w:rsidRPr="009D6323" w:rsidRDefault="00000000">
      <w:pPr>
        <w:pStyle w:val="Heading1"/>
        <w:rPr>
          <w:color w:val="000000"/>
          <w:lang w:val="pt-BR"/>
        </w:rPr>
      </w:pPr>
      <w:r w:rsidRPr="009D6323">
        <w:rPr>
          <w:color w:val="000000"/>
          <w:lang w:val="pt-BR"/>
        </w:rPr>
        <w:t>REFERENCES</w:t>
      </w:r>
    </w:p>
    <w:p w14:paraId="1A50F930" w14:textId="77777777" w:rsidR="00182F42" w:rsidRDefault="00182F42" w:rsidP="00B10B70">
      <w:pPr>
        <w:ind w:left="-720"/>
        <w:rPr>
          <w:color w:val="000000"/>
          <w:szCs w:val="24"/>
        </w:rPr>
      </w:pPr>
    </w:p>
    <w:p w14:paraId="62B7CC10"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Akanbi, A. (2020). The impact of tax collection and incentives on economic growth: Evidence from Nigeria. </w:t>
      </w:r>
      <w:r w:rsidRPr="00D3029B">
        <w:rPr>
          <w:rFonts w:eastAsia="Times New Roman"/>
          <w:i/>
          <w:iCs/>
          <w:szCs w:val="24"/>
          <w:lang w:eastAsia="en-US"/>
        </w:rPr>
        <w:t>International Journal of Business and Economics Research, 9</w:t>
      </w:r>
      <w:r w:rsidRPr="00D3029B">
        <w:rPr>
          <w:rFonts w:eastAsia="Times New Roman"/>
          <w:szCs w:val="24"/>
          <w:lang w:eastAsia="en-US"/>
        </w:rPr>
        <w:t xml:space="preserve">(4), 170–175. </w:t>
      </w:r>
      <w:hyperlink r:id="rId7" w:history="1">
        <w:r w:rsidRPr="00D3029B">
          <w:rPr>
            <w:rFonts w:eastAsia="Times New Roman"/>
            <w:color w:val="0000FF"/>
            <w:szCs w:val="24"/>
            <w:u w:val="single"/>
            <w:lang w:eastAsia="en-US"/>
          </w:rPr>
          <w:t>https://doi.org/10.11648/j.ijber.20200904.12</w:t>
        </w:r>
      </w:hyperlink>
    </w:p>
    <w:p w14:paraId="401C7FFE" w14:textId="5979FA03"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b/>
          <w:bCs/>
          <w:szCs w:val="24"/>
          <w:lang w:eastAsia="en-US"/>
        </w:rPr>
        <w:lastRenderedPageBreak/>
        <w:t xml:space="preserve">State Department for Micro, Small and Medium Enterprises Development. (2023). </w:t>
      </w:r>
      <w:r w:rsidRPr="00D3029B">
        <w:rPr>
          <w:rFonts w:eastAsia="Times New Roman"/>
          <w:b/>
          <w:bCs/>
          <w:i/>
          <w:iCs/>
          <w:szCs w:val="24"/>
          <w:lang w:eastAsia="en-US"/>
        </w:rPr>
        <w:t>Strategic plan (2023–2027)</w:t>
      </w:r>
      <w:r w:rsidRPr="00D3029B">
        <w:rPr>
          <w:rFonts w:eastAsia="Times New Roman"/>
          <w:b/>
          <w:bCs/>
          <w:szCs w:val="24"/>
          <w:lang w:eastAsia="en-US"/>
        </w:rPr>
        <w:t xml:space="preserve">. Government of Kenya. </w:t>
      </w:r>
      <w:hyperlink r:id="rId8" w:history="1">
        <w:r w:rsidRPr="00D3029B">
          <w:rPr>
            <w:rFonts w:eastAsia="Times New Roman"/>
            <w:b/>
            <w:bCs/>
            <w:color w:val="0000FF"/>
            <w:szCs w:val="24"/>
            <w:u w:val="single"/>
            <w:lang w:eastAsia="en-US"/>
          </w:rPr>
          <w:t>https://www.msme.go.ke/sites/default/files/Documents/SDMSMED%20STRATEGIC%20PLAN%20%282023-2027%29%20ZERO%20DRAFT.pdf</w:t>
        </w:r>
      </w:hyperlink>
    </w:p>
    <w:p w14:paraId="2067089E"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Alzulfah</w:t>
      </w:r>
      <w:proofErr w:type="spellEnd"/>
      <w:r w:rsidRPr="00D3029B">
        <w:rPr>
          <w:rFonts w:eastAsia="Times New Roman"/>
          <w:szCs w:val="24"/>
          <w:lang w:eastAsia="en-US"/>
        </w:rPr>
        <w:t xml:space="preserve">, A. H., &amp; Gharib, A. A. (2020). The impact of the application of the value-added tax on the financial performance of Saudi joint-stock companies. </w:t>
      </w:r>
      <w:r w:rsidRPr="00D3029B">
        <w:rPr>
          <w:rFonts w:eastAsia="Times New Roman"/>
          <w:i/>
          <w:iCs/>
          <w:szCs w:val="24"/>
          <w:lang w:eastAsia="en-US"/>
        </w:rPr>
        <w:t>Journal of Economic, Administrative and Legal Sciences, 4</w:t>
      </w:r>
      <w:r w:rsidRPr="00D3029B">
        <w:rPr>
          <w:rFonts w:eastAsia="Times New Roman"/>
          <w:szCs w:val="24"/>
          <w:lang w:eastAsia="en-US"/>
        </w:rPr>
        <w:t xml:space="preserve">(12), 66–81. </w:t>
      </w:r>
      <w:hyperlink r:id="rId9" w:history="1">
        <w:r w:rsidRPr="00D3029B">
          <w:rPr>
            <w:rFonts w:eastAsia="Times New Roman"/>
            <w:color w:val="0000FF"/>
            <w:szCs w:val="24"/>
            <w:u w:val="single"/>
            <w:lang w:eastAsia="en-US"/>
          </w:rPr>
          <w:t>https://doi.org/10.26389/AJSRP.A190420</w:t>
        </w:r>
      </w:hyperlink>
    </w:p>
    <w:p w14:paraId="2BC26AF8"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Bhalla, N., Kaur, I., &amp; Sharma, R. K. (2022). Examining the effect of tax reform determinants, firms’ characteristics and demographic factors on the financial performance of small and micro enterprises. </w:t>
      </w:r>
      <w:r w:rsidRPr="00D3029B">
        <w:rPr>
          <w:rFonts w:eastAsia="Times New Roman"/>
          <w:i/>
          <w:iCs/>
          <w:szCs w:val="24"/>
          <w:lang w:eastAsia="en-US"/>
        </w:rPr>
        <w:t>Sustainability, 14</w:t>
      </w:r>
      <w:r w:rsidRPr="00D3029B">
        <w:rPr>
          <w:rFonts w:eastAsia="Times New Roman"/>
          <w:szCs w:val="24"/>
          <w:lang w:eastAsia="en-US"/>
        </w:rPr>
        <w:t xml:space="preserve">(14), Article 8270. </w:t>
      </w:r>
      <w:hyperlink r:id="rId10" w:history="1">
        <w:r w:rsidRPr="00D3029B">
          <w:rPr>
            <w:rFonts w:eastAsia="Times New Roman"/>
            <w:color w:val="0000FF"/>
            <w:szCs w:val="24"/>
            <w:u w:val="single"/>
            <w:lang w:eastAsia="en-US"/>
          </w:rPr>
          <w:t>https://doi.org/10.3390/su14148270</w:t>
        </w:r>
      </w:hyperlink>
    </w:p>
    <w:p w14:paraId="5C8E7034"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Borgianni</w:t>
      </w:r>
      <w:proofErr w:type="spellEnd"/>
      <w:r w:rsidRPr="00D3029B">
        <w:rPr>
          <w:rFonts w:eastAsia="Times New Roman"/>
          <w:szCs w:val="24"/>
          <w:lang w:eastAsia="en-US"/>
        </w:rPr>
        <w:t xml:space="preserve">, Y., &amp; </w:t>
      </w:r>
      <w:proofErr w:type="spellStart"/>
      <w:r w:rsidRPr="00D3029B">
        <w:rPr>
          <w:rFonts w:eastAsia="Times New Roman"/>
          <w:szCs w:val="24"/>
          <w:lang w:eastAsia="en-US"/>
        </w:rPr>
        <w:t>Maccioni</w:t>
      </w:r>
      <w:proofErr w:type="spellEnd"/>
      <w:r w:rsidRPr="00D3029B">
        <w:rPr>
          <w:rFonts w:eastAsia="Times New Roman"/>
          <w:szCs w:val="24"/>
          <w:lang w:eastAsia="en-US"/>
        </w:rPr>
        <w:t xml:space="preserve">, L. (2020). Review of the use of neurophysiological and biometric measures in experimental design research. </w:t>
      </w:r>
      <w:r w:rsidRPr="00D3029B">
        <w:rPr>
          <w:rFonts w:eastAsia="Times New Roman"/>
          <w:i/>
          <w:iCs/>
          <w:szCs w:val="24"/>
          <w:lang w:eastAsia="en-US"/>
        </w:rPr>
        <w:t>Artificial Intelligence for Engineering Design, Analysis and Manufacturing, 34</w:t>
      </w:r>
      <w:r w:rsidRPr="00D3029B">
        <w:rPr>
          <w:rFonts w:eastAsia="Times New Roman"/>
          <w:szCs w:val="24"/>
          <w:lang w:eastAsia="en-US"/>
        </w:rPr>
        <w:t xml:space="preserve">(2), 248–285. </w:t>
      </w:r>
      <w:hyperlink r:id="rId11" w:history="1">
        <w:r w:rsidRPr="00D3029B">
          <w:rPr>
            <w:rFonts w:eastAsia="Times New Roman"/>
            <w:color w:val="0000FF"/>
            <w:szCs w:val="24"/>
            <w:u w:val="single"/>
            <w:lang w:eastAsia="en-US"/>
          </w:rPr>
          <w:t>https://doi.org/10.1017/S0890060420000062</w:t>
        </w:r>
      </w:hyperlink>
    </w:p>
    <w:p w14:paraId="5F735900"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Brealey, R. A., Myers, S. C., &amp; Allen, F. (2020). </w:t>
      </w:r>
      <w:r w:rsidRPr="00D3029B">
        <w:rPr>
          <w:rFonts w:eastAsia="Times New Roman"/>
          <w:i/>
          <w:iCs/>
          <w:szCs w:val="24"/>
          <w:lang w:eastAsia="en-US"/>
        </w:rPr>
        <w:t>Principles of corporate finance</w:t>
      </w:r>
      <w:r w:rsidRPr="00D3029B">
        <w:rPr>
          <w:rFonts w:eastAsia="Times New Roman"/>
          <w:szCs w:val="24"/>
          <w:lang w:eastAsia="en-US"/>
        </w:rPr>
        <w:t xml:space="preserve"> (13th ed.). McGraw-Hill Education. </w:t>
      </w:r>
      <w:hyperlink r:id="rId12" w:history="1">
        <w:r w:rsidRPr="00D3029B">
          <w:rPr>
            <w:rFonts w:eastAsia="Times New Roman"/>
            <w:color w:val="0000FF"/>
            <w:szCs w:val="24"/>
            <w:u w:val="single"/>
            <w:lang w:eastAsia="en-US"/>
          </w:rPr>
          <w:t>https://www.mheducation.com/highered/product/principles-of-corporate-finance-brealey.html</w:t>
        </w:r>
      </w:hyperlink>
    </w:p>
    <w:p w14:paraId="672A343B" w14:textId="377918DC"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Davis, C. H. F., III. (2019). Student activism, resource mobilization, and new tactical repertoires in the “digital age.” In D. L. Morgan &amp; C. H. F. Davis III (Eds.), </w:t>
      </w:r>
      <w:r w:rsidRPr="00D3029B">
        <w:rPr>
          <w:rFonts w:eastAsia="Times New Roman"/>
          <w:i/>
          <w:iCs/>
          <w:szCs w:val="24"/>
          <w:lang w:eastAsia="en-US"/>
        </w:rPr>
        <w:t>Student activism, politics, and campus climate in higher education</w:t>
      </w:r>
      <w:r w:rsidRPr="00D3029B">
        <w:rPr>
          <w:rFonts w:eastAsia="Times New Roman"/>
          <w:szCs w:val="24"/>
          <w:lang w:eastAsia="en-US"/>
        </w:rPr>
        <w:t xml:space="preserve"> (pp. 112–124). Routledge. </w:t>
      </w:r>
      <w:hyperlink r:id="rId13" w:history="1">
        <w:r w:rsidRPr="00D3029B">
          <w:rPr>
            <w:rFonts w:eastAsia="Times New Roman"/>
            <w:color w:val="0000FF"/>
            <w:szCs w:val="24"/>
            <w:u w:val="single"/>
            <w:lang w:eastAsia="en-US"/>
          </w:rPr>
          <w:t>https://doi.org/10.4324/9780429449178-7</w:t>
        </w:r>
      </w:hyperlink>
      <w:r w:rsidRPr="00D3029B">
        <w:rPr>
          <w:rFonts w:eastAsia="Times New Roman"/>
          <w:szCs w:val="24"/>
          <w:lang w:eastAsia="en-US"/>
        </w:rPr>
        <w:t xml:space="preserve"> </w:t>
      </w:r>
    </w:p>
    <w:p w14:paraId="5922B677"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Egbunike, F. C., </w:t>
      </w:r>
      <w:proofErr w:type="spellStart"/>
      <w:r w:rsidRPr="00D3029B">
        <w:rPr>
          <w:rFonts w:eastAsia="Times New Roman"/>
          <w:szCs w:val="24"/>
          <w:lang w:eastAsia="en-US"/>
        </w:rPr>
        <w:t>Emudainohwo</w:t>
      </w:r>
      <w:proofErr w:type="spellEnd"/>
      <w:r w:rsidRPr="00D3029B">
        <w:rPr>
          <w:rFonts w:eastAsia="Times New Roman"/>
          <w:szCs w:val="24"/>
          <w:lang w:eastAsia="en-US"/>
        </w:rPr>
        <w:t xml:space="preserve">, O. B., &amp; </w:t>
      </w:r>
      <w:proofErr w:type="spellStart"/>
      <w:r w:rsidRPr="00D3029B">
        <w:rPr>
          <w:rFonts w:eastAsia="Times New Roman"/>
          <w:szCs w:val="24"/>
          <w:lang w:eastAsia="en-US"/>
        </w:rPr>
        <w:t>Gunardi</w:t>
      </w:r>
      <w:proofErr w:type="spellEnd"/>
      <w:r w:rsidRPr="00D3029B">
        <w:rPr>
          <w:rFonts w:eastAsia="Times New Roman"/>
          <w:szCs w:val="24"/>
          <w:lang w:eastAsia="en-US"/>
        </w:rPr>
        <w:t xml:space="preserve">, A. (2018). Tax revenue and economic growth: A study of Nigeria and Ghana. </w:t>
      </w:r>
      <w:proofErr w:type="spellStart"/>
      <w:r w:rsidRPr="00D3029B">
        <w:rPr>
          <w:rFonts w:eastAsia="Times New Roman"/>
          <w:i/>
          <w:iCs/>
          <w:szCs w:val="24"/>
          <w:lang w:eastAsia="en-US"/>
        </w:rPr>
        <w:t>Signifikan</w:t>
      </w:r>
      <w:proofErr w:type="spellEnd"/>
      <w:r w:rsidRPr="00D3029B">
        <w:rPr>
          <w:rFonts w:eastAsia="Times New Roman"/>
          <w:i/>
          <w:iCs/>
          <w:szCs w:val="24"/>
          <w:lang w:eastAsia="en-US"/>
        </w:rPr>
        <w:t xml:space="preserve">: </w:t>
      </w:r>
      <w:proofErr w:type="spellStart"/>
      <w:r w:rsidRPr="00D3029B">
        <w:rPr>
          <w:rFonts w:eastAsia="Times New Roman"/>
          <w:i/>
          <w:iCs/>
          <w:szCs w:val="24"/>
          <w:lang w:eastAsia="en-US"/>
        </w:rPr>
        <w:t>Jurnal</w:t>
      </w:r>
      <w:proofErr w:type="spellEnd"/>
      <w:r w:rsidRPr="00D3029B">
        <w:rPr>
          <w:rFonts w:eastAsia="Times New Roman"/>
          <w:i/>
          <w:iCs/>
          <w:szCs w:val="24"/>
          <w:lang w:eastAsia="en-US"/>
        </w:rPr>
        <w:t xml:space="preserve"> </w:t>
      </w:r>
      <w:proofErr w:type="spellStart"/>
      <w:r w:rsidRPr="00D3029B">
        <w:rPr>
          <w:rFonts w:eastAsia="Times New Roman"/>
          <w:i/>
          <w:iCs/>
          <w:szCs w:val="24"/>
          <w:lang w:eastAsia="en-US"/>
        </w:rPr>
        <w:t>Ilmu</w:t>
      </w:r>
      <w:proofErr w:type="spellEnd"/>
      <w:r w:rsidRPr="00D3029B">
        <w:rPr>
          <w:rFonts w:eastAsia="Times New Roman"/>
          <w:i/>
          <w:iCs/>
          <w:szCs w:val="24"/>
          <w:lang w:eastAsia="en-US"/>
        </w:rPr>
        <w:t xml:space="preserve"> Ekonomi, 7</w:t>
      </w:r>
      <w:r w:rsidRPr="00D3029B">
        <w:rPr>
          <w:rFonts w:eastAsia="Times New Roman"/>
          <w:szCs w:val="24"/>
          <w:lang w:eastAsia="en-US"/>
        </w:rPr>
        <w:t xml:space="preserve">(2), 213–220. </w:t>
      </w:r>
      <w:hyperlink r:id="rId14" w:history="1">
        <w:r w:rsidRPr="00D3029B">
          <w:rPr>
            <w:rFonts w:eastAsia="Times New Roman"/>
            <w:color w:val="0000FF"/>
            <w:szCs w:val="24"/>
            <w:u w:val="single"/>
            <w:lang w:eastAsia="en-US"/>
          </w:rPr>
          <w:t>https://doi.org/10.15408/sjie.v7i2.7341</w:t>
        </w:r>
      </w:hyperlink>
    </w:p>
    <w:p w14:paraId="23BED6D0" w14:textId="0190FDCE"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Osebe</w:t>
      </w:r>
      <w:proofErr w:type="spellEnd"/>
      <w:r w:rsidRPr="00D3029B">
        <w:rPr>
          <w:rFonts w:eastAsia="Times New Roman"/>
          <w:szCs w:val="24"/>
          <w:lang w:eastAsia="en-US"/>
        </w:rPr>
        <w:t xml:space="preserve">, P. R., Kirui, J. K., &amp; Naibei, I. K. (2019). Impact of corporate governance on effective corporate tax rates among listed firms in Kenya. </w:t>
      </w:r>
      <w:r w:rsidRPr="00D3029B">
        <w:rPr>
          <w:rFonts w:eastAsia="Times New Roman"/>
          <w:i/>
          <w:iCs/>
          <w:szCs w:val="24"/>
          <w:lang w:eastAsia="en-US"/>
        </w:rPr>
        <w:t>Research Journal of Finance and Accounting, 10</w:t>
      </w:r>
      <w:r w:rsidRPr="00D3029B">
        <w:rPr>
          <w:rFonts w:eastAsia="Times New Roman"/>
          <w:szCs w:val="24"/>
          <w:lang w:eastAsia="en-US"/>
        </w:rPr>
        <w:t xml:space="preserve">(18), 23–33. </w:t>
      </w:r>
      <w:hyperlink r:id="rId15" w:history="1">
        <w:r w:rsidRPr="00D3029B">
          <w:rPr>
            <w:rFonts w:eastAsia="Times New Roman"/>
            <w:color w:val="0000FF"/>
            <w:szCs w:val="24"/>
            <w:u w:val="single"/>
            <w:lang w:eastAsia="en-US"/>
          </w:rPr>
          <w:t>https://doi.org/10.7176/RJFA/10-18-04</w:t>
        </w:r>
      </w:hyperlink>
    </w:p>
    <w:p w14:paraId="6B43AC65"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Ghassibe</w:t>
      </w:r>
      <w:proofErr w:type="spellEnd"/>
      <w:r w:rsidRPr="00D3029B">
        <w:rPr>
          <w:rFonts w:eastAsia="Times New Roman"/>
          <w:szCs w:val="24"/>
          <w:lang w:eastAsia="en-US"/>
        </w:rPr>
        <w:t xml:space="preserve">, M., </w:t>
      </w:r>
      <w:proofErr w:type="spellStart"/>
      <w:r w:rsidRPr="00D3029B">
        <w:rPr>
          <w:rFonts w:eastAsia="Times New Roman"/>
          <w:szCs w:val="24"/>
          <w:lang w:eastAsia="en-US"/>
        </w:rPr>
        <w:t>Appendino</w:t>
      </w:r>
      <w:proofErr w:type="spellEnd"/>
      <w:r w:rsidRPr="00D3029B">
        <w:rPr>
          <w:rFonts w:eastAsia="Times New Roman"/>
          <w:szCs w:val="24"/>
          <w:lang w:eastAsia="en-US"/>
        </w:rPr>
        <w:t xml:space="preserve">, M., &amp; Mahmoudi, S. E. (2019). </w:t>
      </w:r>
      <w:r w:rsidRPr="00D3029B">
        <w:rPr>
          <w:rFonts w:eastAsia="Times New Roman"/>
          <w:i/>
          <w:iCs/>
          <w:szCs w:val="24"/>
          <w:lang w:eastAsia="en-US"/>
        </w:rPr>
        <w:t>SME financial inclusion for sustained growth in the Middle East and Central Asia</w:t>
      </w:r>
      <w:r w:rsidRPr="00D3029B">
        <w:rPr>
          <w:rFonts w:eastAsia="Times New Roman"/>
          <w:szCs w:val="24"/>
          <w:lang w:eastAsia="en-US"/>
        </w:rPr>
        <w:t xml:space="preserve"> (IMF Working Paper No. 19/209). International Monetary Fund. </w:t>
      </w:r>
      <w:hyperlink r:id="rId16" w:history="1">
        <w:r w:rsidRPr="00D3029B">
          <w:rPr>
            <w:rFonts w:eastAsia="Times New Roman"/>
            <w:color w:val="0000FF"/>
            <w:szCs w:val="24"/>
            <w:u w:val="single"/>
            <w:lang w:eastAsia="en-US"/>
          </w:rPr>
          <w:t>https://doi.org/10.5089/9781513509112.001</w:t>
        </w:r>
      </w:hyperlink>
    </w:p>
    <w:p w14:paraId="1E399FCC" w14:textId="4A023EFF"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val="nl-BE" w:eastAsia="en-US"/>
        </w:rPr>
        <w:t xml:space="preserve">Tong, P., Zhao, C., &amp; Wang, H. (2019). </w:t>
      </w:r>
      <w:r w:rsidRPr="00D3029B">
        <w:rPr>
          <w:rFonts w:eastAsia="Times New Roman"/>
          <w:szCs w:val="24"/>
          <w:lang w:eastAsia="en-US"/>
        </w:rPr>
        <w:t xml:space="preserve">Research on the survival and sustainable development of small and medium-sized enterprises in China under the background of low-carbon economy. </w:t>
      </w:r>
      <w:r w:rsidRPr="00D3029B">
        <w:rPr>
          <w:rFonts w:eastAsia="Times New Roman"/>
          <w:i/>
          <w:iCs/>
          <w:szCs w:val="24"/>
          <w:lang w:eastAsia="en-US"/>
        </w:rPr>
        <w:t>Sustainability, 11</w:t>
      </w:r>
      <w:r w:rsidRPr="00D3029B">
        <w:rPr>
          <w:rFonts w:eastAsia="Times New Roman"/>
          <w:szCs w:val="24"/>
          <w:lang w:eastAsia="en-US"/>
        </w:rPr>
        <w:t xml:space="preserve">(5), Article 1221. </w:t>
      </w:r>
      <w:hyperlink r:id="rId17" w:history="1">
        <w:r w:rsidRPr="00D3029B">
          <w:rPr>
            <w:rFonts w:eastAsia="Times New Roman"/>
            <w:color w:val="0000FF"/>
            <w:szCs w:val="24"/>
            <w:u w:val="single"/>
            <w:lang w:eastAsia="en-US"/>
          </w:rPr>
          <w:t>https://doi.org/10.3390/su11051221</w:t>
        </w:r>
      </w:hyperlink>
    </w:p>
    <w:p w14:paraId="23B40763"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Kaberia, S. K., &amp; </w:t>
      </w:r>
      <w:proofErr w:type="spellStart"/>
      <w:r w:rsidRPr="00D3029B">
        <w:rPr>
          <w:rFonts w:eastAsia="Times New Roman"/>
          <w:szCs w:val="24"/>
          <w:lang w:eastAsia="en-US"/>
        </w:rPr>
        <w:t>Muathe</w:t>
      </w:r>
      <w:proofErr w:type="spellEnd"/>
      <w:r w:rsidRPr="00D3029B">
        <w:rPr>
          <w:rFonts w:eastAsia="Times New Roman"/>
          <w:szCs w:val="24"/>
          <w:lang w:eastAsia="en-US"/>
        </w:rPr>
        <w:t xml:space="preserve">, S. M. A. (2021). Effect of COVID-19 pandemic on performance of women owned micro, small and medium enterprises in Kenya. </w:t>
      </w:r>
      <w:r w:rsidRPr="00D3029B">
        <w:rPr>
          <w:rFonts w:eastAsia="Times New Roman"/>
          <w:i/>
          <w:iCs/>
          <w:szCs w:val="24"/>
          <w:lang w:eastAsia="en-US"/>
        </w:rPr>
        <w:t>International Journal of Social Science Studies, 9</w:t>
      </w:r>
      <w:r w:rsidRPr="00D3029B">
        <w:rPr>
          <w:rFonts w:eastAsia="Times New Roman"/>
          <w:szCs w:val="24"/>
          <w:lang w:eastAsia="en-US"/>
        </w:rPr>
        <w:t xml:space="preserve">(1), 7–21. </w:t>
      </w:r>
      <w:hyperlink r:id="rId18" w:history="1">
        <w:r w:rsidRPr="00D3029B">
          <w:rPr>
            <w:rFonts w:eastAsia="Times New Roman"/>
            <w:color w:val="0000FF"/>
            <w:szCs w:val="24"/>
            <w:u w:val="single"/>
            <w:lang w:eastAsia="en-US"/>
          </w:rPr>
          <w:t>https://redfame.com/journal/index.php/ijsss/article/view/5089</w:t>
        </w:r>
      </w:hyperlink>
    </w:p>
    <w:p w14:paraId="4C8C363C"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lastRenderedPageBreak/>
        <w:t xml:space="preserve">Kabisa, K. N., &amp; Musau, S. (2026). Tax reforms and compliance among small and medium enterprises in Bungoma County, Kenya. </w:t>
      </w:r>
      <w:r w:rsidRPr="00D3029B">
        <w:rPr>
          <w:rFonts w:eastAsia="Times New Roman"/>
          <w:i/>
          <w:iCs/>
          <w:szCs w:val="24"/>
          <w:lang w:eastAsia="en-US"/>
        </w:rPr>
        <w:t>Asian Journal of Economics, Finance and Management, 8</w:t>
      </w:r>
      <w:r w:rsidRPr="00D3029B">
        <w:rPr>
          <w:rFonts w:eastAsia="Times New Roman"/>
          <w:szCs w:val="24"/>
          <w:lang w:eastAsia="en-US"/>
        </w:rPr>
        <w:t xml:space="preserve">(1), 320–328. </w:t>
      </w:r>
      <w:hyperlink r:id="rId19" w:history="1">
        <w:r w:rsidRPr="00D3029B">
          <w:rPr>
            <w:rFonts w:eastAsia="Times New Roman"/>
            <w:color w:val="0000FF"/>
            <w:szCs w:val="24"/>
            <w:u w:val="single"/>
            <w:lang w:eastAsia="en-US"/>
          </w:rPr>
          <w:t>https://doi.org/10.56557/ajefm/2026/v8i1373</w:t>
        </w:r>
      </w:hyperlink>
    </w:p>
    <w:p w14:paraId="3A096A66"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Kayumba, I. Z., Yaacob, A. S., &amp; Amin, S. N. (2022). Perceptions of individual taxpayers towards the intention to pay stamp duty tax to Zanzibar Revenue Board. </w:t>
      </w:r>
      <w:r w:rsidRPr="00D3029B">
        <w:rPr>
          <w:rFonts w:eastAsia="Times New Roman"/>
          <w:i/>
          <w:iCs/>
          <w:szCs w:val="24"/>
          <w:lang w:eastAsia="en-US"/>
        </w:rPr>
        <w:t>Open Journal of Accounting, 11</w:t>
      </w:r>
      <w:r w:rsidRPr="00D3029B">
        <w:rPr>
          <w:rFonts w:eastAsia="Times New Roman"/>
          <w:szCs w:val="24"/>
          <w:lang w:eastAsia="en-US"/>
        </w:rPr>
        <w:t xml:space="preserve">(2), 71–79. </w:t>
      </w:r>
      <w:hyperlink r:id="rId20" w:history="1">
        <w:r w:rsidRPr="00D3029B">
          <w:rPr>
            <w:rFonts w:eastAsia="Times New Roman"/>
            <w:color w:val="0000FF"/>
            <w:szCs w:val="24"/>
            <w:u w:val="single"/>
            <w:lang w:eastAsia="en-US"/>
          </w:rPr>
          <w:t>https://doi.org/10.4236/ojacct.2022.112005</w:t>
        </w:r>
      </w:hyperlink>
    </w:p>
    <w:p w14:paraId="1643934A"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Kenya National Bureau of Statistics. (2022). </w:t>
      </w:r>
      <w:r w:rsidRPr="00D3029B">
        <w:rPr>
          <w:rFonts w:eastAsia="Times New Roman"/>
          <w:i/>
          <w:iCs/>
          <w:szCs w:val="24"/>
          <w:lang w:eastAsia="en-US"/>
        </w:rPr>
        <w:t>Economic survey 2022</w:t>
      </w:r>
      <w:r w:rsidRPr="00D3029B">
        <w:rPr>
          <w:rFonts w:eastAsia="Times New Roman"/>
          <w:szCs w:val="24"/>
          <w:lang w:eastAsia="en-US"/>
        </w:rPr>
        <w:t xml:space="preserve">. </w:t>
      </w:r>
      <w:hyperlink r:id="rId21" w:history="1">
        <w:r w:rsidRPr="00D3029B">
          <w:rPr>
            <w:rFonts w:eastAsia="Times New Roman"/>
            <w:color w:val="0000FF"/>
            <w:szCs w:val="24"/>
            <w:u w:val="single"/>
            <w:lang w:eastAsia="en-US"/>
          </w:rPr>
          <w:t>https://www.knbs.or.ke/reports/2022-economic-survey/</w:t>
        </w:r>
      </w:hyperlink>
    </w:p>
    <w:p w14:paraId="39763541"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Kiptum, A., </w:t>
      </w:r>
      <w:proofErr w:type="spellStart"/>
      <w:r w:rsidRPr="00D3029B">
        <w:rPr>
          <w:rFonts w:eastAsia="Times New Roman"/>
          <w:szCs w:val="24"/>
          <w:lang w:eastAsia="en-US"/>
        </w:rPr>
        <w:t>Kapkiyai</w:t>
      </w:r>
      <w:proofErr w:type="spellEnd"/>
      <w:r w:rsidRPr="00D3029B">
        <w:rPr>
          <w:rFonts w:eastAsia="Times New Roman"/>
          <w:szCs w:val="24"/>
          <w:lang w:eastAsia="en-US"/>
        </w:rPr>
        <w:t xml:space="preserve">, C., &amp; Kirui, D. (2024). Tax service quality and tax compliance among small and medium enterprises in North Rift Economic Block, Kenya: A moderated mediation model of government trust and social value orientation. </w:t>
      </w:r>
      <w:r w:rsidRPr="00D3029B">
        <w:rPr>
          <w:rFonts w:eastAsia="Times New Roman"/>
          <w:i/>
          <w:iCs/>
          <w:szCs w:val="24"/>
          <w:lang w:eastAsia="en-US"/>
        </w:rPr>
        <w:t>Asian Journal of Economics, Business and Accounting, 24</w:t>
      </w:r>
      <w:r w:rsidRPr="00D3029B">
        <w:rPr>
          <w:rFonts w:eastAsia="Times New Roman"/>
          <w:szCs w:val="24"/>
          <w:lang w:eastAsia="en-US"/>
        </w:rPr>
        <w:t xml:space="preserve">(10), 28–41. </w:t>
      </w:r>
      <w:hyperlink r:id="rId22" w:history="1">
        <w:r w:rsidRPr="00D3029B">
          <w:rPr>
            <w:rFonts w:eastAsia="Times New Roman"/>
            <w:color w:val="0000FF"/>
            <w:szCs w:val="24"/>
            <w:u w:val="single"/>
            <w:lang w:eastAsia="en-US"/>
          </w:rPr>
          <w:t>https://doi.org/10.9734/ajeba/2024/v24i101510</w:t>
        </w:r>
      </w:hyperlink>
    </w:p>
    <w:p w14:paraId="06E5E15F"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Kisaka</w:t>
      </w:r>
      <w:proofErr w:type="spellEnd"/>
      <w:r w:rsidRPr="00D3029B">
        <w:rPr>
          <w:rFonts w:eastAsia="Times New Roman"/>
          <w:szCs w:val="24"/>
          <w:lang w:eastAsia="en-US"/>
        </w:rPr>
        <w:t xml:space="preserve">, V. N. (2021). </w:t>
      </w:r>
      <w:r w:rsidRPr="00D3029B">
        <w:rPr>
          <w:rFonts w:eastAsia="Times New Roman"/>
          <w:i/>
          <w:iCs/>
          <w:szCs w:val="24"/>
          <w:lang w:eastAsia="en-US"/>
        </w:rPr>
        <w:t>Public financial management and financial performance of county governments in Kenya</w:t>
      </w:r>
      <w:r w:rsidRPr="00D3029B">
        <w:rPr>
          <w:rFonts w:eastAsia="Times New Roman"/>
          <w:szCs w:val="24"/>
          <w:lang w:eastAsia="en-US"/>
        </w:rPr>
        <w:t xml:space="preserve"> [Master’s research project, Kenyatta University]. Kenyatta University Institutional Repository. </w:t>
      </w:r>
      <w:hyperlink r:id="rId23" w:history="1">
        <w:r w:rsidRPr="00D3029B">
          <w:rPr>
            <w:rFonts w:eastAsia="Times New Roman"/>
            <w:color w:val="0000FF"/>
            <w:szCs w:val="24"/>
            <w:u w:val="single"/>
            <w:lang w:eastAsia="en-US"/>
          </w:rPr>
          <w:t>https://ir-library.ku.ac.ke/items/00d9c1e8-09eb-4126-9dc5-42cee6e0338a</w:t>
        </w:r>
      </w:hyperlink>
    </w:p>
    <w:p w14:paraId="3C03BC6C"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Kumawat, R. M. (2023). Taxation policies and economic inequality: Strategies for a more equitable society. In </w:t>
      </w:r>
      <w:r w:rsidRPr="00D3029B">
        <w:rPr>
          <w:rFonts w:eastAsia="Times New Roman"/>
          <w:i/>
          <w:iCs/>
          <w:szCs w:val="24"/>
          <w:lang w:eastAsia="en-US"/>
        </w:rPr>
        <w:t>A decade of shaping the future: Global harmony, co-operation and G20</w:t>
      </w:r>
      <w:r w:rsidRPr="00D3029B">
        <w:rPr>
          <w:rFonts w:eastAsia="Times New Roman"/>
          <w:szCs w:val="24"/>
          <w:lang w:eastAsia="en-US"/>
        </w:rPr>
        <w:t xml:space="preserve"> (IIP Series, Vol. 3, pp. 121–129). Iterative International Publishers. </w:t>
      </w:r>
      <w:hyperlink r:id="rId24" w:history="1">
        <w:r w:rsidRPr="00D3029B">
          <w:rPr>
            <w:rFonts w:eastAsia="Times New Roman"/>
            <w:color w:val="0000FF"/>
            <w:szCs w:val="24"/>
            <w:u w:val="single"/>
            <w:lang w:eastAsia="en-US"/>
          </w:rPr>
          <w:t>https://doi.org/10.58532/nbennurch14</w:t>
        </w:r>
      </w:hyperlink>
    </w:p>
    <w:p w14:paraId="76605CF0"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Mascagni, G., Dom, R., Santoro, F., &amp; Mukama, D. (2023). The VAT in practice: Equity, enforcement, and complexity. </w:t>
      </w:r>
      <w:r w:rsidRPr="00D3029B">
        <w:rPr>
          <w:rFonts w:eastAsia="Times New Roman"/>
          <w:i/>
          <w:iCs/>
          <w:szCs w:val="24"/>
          <w:lang w:eastAsia="en-US"/>
        </w:rPr>
        <w:t>International Tax and Public Finance, 30</w:t>
      </w:r>
      <w:r w:rsidRPr="00D3029B">
        <w:rPr>
          <w:rFonts w:eastAsia="Times New Roman"/>
          <w:szCs w:val="24"/>
          <w:lang w:eastAsia="en-US"/>
        </w:rPr>
        <w:t xml:space="preserve">(2), 525–563. </w:t>
      </w:r>
      <w:hyperlink r:id="rId25" w:history="1">
        <w:r w:rsidRPr="00D3029B">
          <w:rPr>
            <w:rFonts w:eastAsia="Times New Roman"/>
            <w:color w:val="0000FF"/>
            <w:szCs w:val="24"/>
            <w:u w:val="single"/>
            <w:lang w:eastAsia="en-US"/>
          </w:rPr>
          <w:t>https://doi.org/10.1007/s10797-022-09743-z</w:t>
        </w:r>
      </w:hyperlink>
    </w:p>
    <w:p w14:paraId="69DA5DFE"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Jensen, M. C., &amp; Meckling, W. H. (1976). Theory of the firm: Managerial behavior, agency costs and ownership structure. </w:t>
      </w:r>
      <w:r w:rsidRPr="00D3029B">
        <w:rPr>
          <w:rFonts w:eastAsia="Times New Roman"/>
          <w:i/>
          <w:iCs/>
          <w:szCs w:val="24"/>
          <w:lang w:eastAsia="en-US"/>
        </w:rPr>
        <w:t>Journal of Financial Economics, 3</w:t>
      </w:r>
      <w:r w:rsidRPr="00D3029B">
        <w:rPr>
          <w:rFonts w:eastAsia="Times New Roman"/>
          <w:szCs w:val="24"/>
          <w:lang w:eastAsia="en-US"/>
        </w:rPr>
        <w:t xml:space="preserve">(4), 305–360. </w:t>
      </w:r>
      <w:hyperlink r:id="rId26" w:history="1">
        <w:r w:rsidRPr="00D3029B">
          <w:rPr>
            <w:rFonts w:eastAsia="Times New Roman"/>
            <w:color w:val="0000FF"/>
            <w:szCs w:val="24"/>
            <w:u w:val="single"/>
            <w:lang w:eastAsia="en-US"/>
          </w:rPr>
          <w:t>https://doi.org/10.1016/0304-405X(76)90026-X</w:t>
        </w:r>
      </w:hyperlink>
    </w:p>
    <w:p w14:paraId="7954CE62" w14:textId="0F3AE66C"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Micro and Small Enterprises Authority. (2022). </w:t>
      </w:r>
      <w:r w:rsidRPr="00D3029B">
        <w:rPr>
          <w:rFonts w:eastAsia="Times New Roman"/>
          <w:i/>
          <w:iCs/>
          <w:szCs w:val="24"/>
          <w:lang w:eastAsia="en-US"/>
        </w:rPr>
        <w:t>Strategic plan 2022–2027</w:t>
      </w:r>
      <w:r w:rsidRPr="00D3029B">
        <w:rPr>
          <w:rFonts w:eastAsia="Times New Roman"/>
          <w:szCs w:val="24"/>
          <w:lang w:eastAsia="en-US"/>
        </w:rPr>
        <w:t>. Government Printer.</w:t>
      </w:r>
      <w:r w:rsidRPr="00D3029B">
        <w:rPr>
          <w:rFonts w:eastAsia="Times New Roman"/>
          <w:b/>
          <w:bCs/>
          <w:szCs w:val="24"/>
          <w:lang w:eastAsia="en-US"/>
        </w:rPr>
        <w:t>]</w:t>
      </w:r>
    </w:p>
    <w:p w14:paraId="457E8222"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Mirrlees</w:t>
      </w:r>
      <w:proofErr w:type="spellEnd"/>
      <w:r w:rsidRPr="00D3029B">
        <w:rPr>
          <w:rFonts w:eastAsia="Times New Roman"/>
          <w:szCs w:val="24"/>
          <w:lang w:eastAsia="en-US"/>
        </w:rPr>
        <w:t xml:space="preserve">, J. A. (1971). An exploration in the theory of optimum income taxation. </w:t>
      </w:r>
      <w:r w:rsidRPr="00D3029B">
        <w:rPr>
          <w:rFonts w:eastAsia="Times New Roman"/>
          <w:i/>
          <w:iCs/>
          <w:szCs w:val="24"/>
          <w:lang w:eastAsia="en-US"/>
        </w:rPr>
        <w:t>The Review of Economic Studies, 38</w:t>
      </w:r>
      <w:r w:rsidRPr="00D3029B">
        <w:rPr>
          <w:rFonts w:eastAsia="Times New Roman"/>
          <w:szCs w:val="24"/>
          <w:lang w:eastAsia="en-US"/>
        </w:rPr>
        <w:t xml:space="preserve">(2), 175–208. </w:t>
      </w:r>
      <w:hyperlink r:id="rId27" w:history="1">
        <w:r w:rsidRPr="00D3029B">
          <w:rPr>
            <w:rFonts w:eastAsia="Times New Roman"/>
            <w:color w:val="0000FF"/>
            <w:szCs w:val="24"/>
            <w:u w:val="single"/>
            <w:lang w:eastAsia="en-US"/>
          </w:rPr>
          <w:t>https://doi.org/10.2307/2296779</w:t>
        </w:r>
      </w:hyperlink>
    </w:p>
    <w:p w14:paraId="215327FF"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Muhwa, G., &amp; </w:t>
      </w:r>
      <w:proofErr w:type="spellStart"/>
      <w:r w:rsidRPr="00D3029B">
        <w:rPr>
          <w:rFonts w:eastAsia="Times New Roman"/>
          <w:szCs w:val="24"/>
          <w:lang w:eastAsia="en-US"/>
        </w:rPr>
        <w:t>Omboi</w:t>
      </w:r>
      <w:proofErr w:type="spellEnd"/>
      <w:r w:rsidRPr="00D3029B">
        <w:rPr>
          <w:rFonts w:eastAsia="Times New Roman"/>
          <w:szCs w:val="24"/>
          <w:lang w:eastAsia="en-US"/>
        </w:rPr>
        <w:t xml:space="preserve">, B. (2023). Imposition of tax penalties and interest and its influence on tax compliance of small and medium-sized enterprises in Nairobi County, Kenya. </w:t>
      </w:r>
      <w:r w:rsidRPr="00D3029B">
        <w:rPr>
          <w:rFonts w:eastAsia="Times New Roman"/>
          <w:i/>
          <w:iCs/>
          <w:szCs w:val="24"/>
          <w:lang w:eastAsia="en-US"/>
        </w:rPr>
        <w:t>The University Journal, 5</w:t>
      </w:r>
      <w:r w:rsidRPr="00D3029B">
        <w:rPr>
          <w:rFonts w:eastAsia="Times New Roman"/>
          <w:szCs w:val="24"/>
          <w:lang w:eastAsia="en-US"/>
        </w:rPr>
        <w:t xml:space="preserve">(2), 40–50. </w:t>
      </w:r>
      <w:hyperlink r:id="rId28" w:history="1">
        <w:r w:rsidRPr="00D3029B">
          <w:rPr>
            <w:rFonts w:eastAsia="Times New Roman"/>
            <w:color w:val="0000FF"/>
            <w:szCs w:val="24"/>
            <w:u w:val="single"/>
            <w:lang w:eastAsia="en-US"/>
          </w:rPr>
          <w:t>https://doi.org/10.59952/tuj.v5i2.190</w:t>
        </w:r>
      </w:hyperlink>
    </w:p>
    <w:p w14:paraId="0E322CB8"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Murray, A., Kotha, S., &amp; Fisher, G. (2020). Community-based resource mobilization: How entrepreneurs acquire resources from distributed non-professionals via crowdfunding. </w:t>
      </w:r>
      <w:r w:rsidRPr="00D3029B">
        <w:rPr>
          <w:rFonts w:eastAsia="Times New Roman"/>
          <w:i/>
          <w:iCs/>
          <w:szCs w:val="24"/>
          <w:lang w:eastAsia="en-US"/>
        </w:rPr>
        <w:t>Organization Science, 31</w:t>
      </w:r>
      <w:r w:rsidRPr="00D3029B">
        <w:rPr>
          <w:rFonts w:eastAsia="Times New Roman"/>
          <w:szCs w:val="24"/>
          <w:lang w:eastAsia="en-US"/>
        </w:rPr>
        <w:t xml:space="preserve">(4), 960–989. </w:t>
      </w:r>
      <w:hyperlink r:id="rId29" w:history="1">
        <w:r w:rsidRPr="00D3029B">
          <w:rPr>
            <w:rFonts w:eastAsia="Times New Roman"/>
            <w:color w:val="0000FF"/>
            <w:szCs w:val="24"/>
            <w:u w:val="single"/>
            <w:lang w:eastAsia="en-US"/>
          </w:rPr>
          <w:t>https://doi.org/10.1287/orsc.2019.1339</w:t>
        </w:r>
      </w:hyperlink>
    </w:p>
    <w:p w14:paraId="35EA4278"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lastRenderedPageBreak/>
        <w:t xml:space="preserve">Muriithi, S. N., &amp; Paul, S. N. (2022). Strategic management practices and sustainability of agribusiness enterprises in Nyeri County, Kenya. </w:t>
      </w:r>
      <w:r w:rsidRPr="00D3029B">
        <w:rPr>
          <w:rFonts w:eastAsia="Times New Roman"/>
          <w:i/>
          <w:iCs/>
          <w:szCs w:val="24"/>
          <w:lang w:eastAsia="en-US"/>
        </w:rPr>
        <w:t>Journal of International Business and Management, 5</w:t>
      </w:r>
      <w:r w:rsidRPr="00D3029B">
        <w:rPr>
          <w:rFonts w:eastAsia="Times New Roman"/>
          <w:szCs w:val="24"/>
          <w:lang w:eastAsia="en-US"/>
        </w:rPr>
        <w:t xml:space="preserve">(12), 1–11. </w:t>
      </w:r>
      <w:hyperlink r:id="rId30" w:history="1">
        <w:r w:rsidRPr="00D3029B">
          <w:rPr>
            <w:rFonts w:eastAsia="Times New Roman"/>
            <w:color w:val="0000FF"/>
            <w:szCs w:val="24"/>
            <w:u w:val="single"/>
            <w:lang w:eastAsia="en-US"/>
          </w:rPr>
          <w:t>https://doi.org/10.37227/JIBM-2021-09-1257</w:t>
        </w:r>
      </w:hyperlink>
    </w:p>
    <w:p w14:paraId="7704D533"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Musyoka, N. N. (2019). </w:t>
      </w:r>
      <w:r w:rsidRPr="00D3029B">
        <w:rPr>
          <w:rFonts w:eastAsia="Times New Roman"/>
          <w:i/>
          <w:iCs/>
          <w:szCs w:val="24"/>
          <w:lang w:eastAsia="en-US"/>
        </w:rPr>
        <w:t>Effect of tax reforms on voluntary tax compliance among small and medium enterprises in Kenya: A case of Nairobi County</w:t>
      </w:r>
      <w:r w:rsidRPr="00D3029B">
        <w:rPr>
          <w:rFonts w:eastAsia="Times New Roman"/>
          <w:szCs w:val="24"/>
          <w:lang w:eastAsia="en-US"/>
        </w:rPr>
        <w:t xml:space="preserve"> [Master’s research project, Strathmore University]. Strathmore University Institutional Repository. </w:t>
      </w:r>
      <w:hyperlink r:id="rId31" w:history="1">
        <w:r w:rsidRPr="00D3029B">
          <w:rPr>
            <w:rFonts w:eastAsia="Times New Roman"/>
            <w:color w:val="0000FF"/>
            <w:szCs w:val="24"/>
            <w:u w:val="single"/>
            <w:lang w:eastAsia="en-US"/>
          </w:rPr>
          <w:t>https://su-plus.strathmore.edu/items/d7c915d0-6c1f-4d48-aed4-63e3b81677db</w:t>
        </w:r>
      </w:hyperlink>
    </w:p>
    <w:p w14:paraId="0F73FD0B"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Mwangangi, A. K., &amp; </w:t>
      </w:r>
      <w:proofErr w:type="spellStart"/>
      <w:r w:rsidRPr="00D3029B">
        <w:rPr>
          <w:rFonts w:eastAsia="Times New Roman"/>
          <w:szCs w:val="24"/>
          <w:lang w:eastAsia="en-US"/>
        </w:rPr>
        <w:t>Memba</w:t>
      </w:r>
      <w:proofErr w:type="spellEnd"/>
      <w:r w:rsidRPr="00D3029B">
        <w:rPr>
          <w:rFonts w:eastAsia="Times New Roman"/>
          <w:szCs w:val="24"/>
          <w:lang w:eastAsia="en-US"/>
        </w:rPr>
        <w:t xml:space="preserve">, F. M. (2022). Online tax system and tax compliance by small and medium enterprises: Case of Kitui County in Kenya. </w:t>
      </w:r>
      <w:r w:rsidRPr="00D3029B">
        <w:rPr>
          <w:rFonts w:eastAsia="Times New Roman"/>
          <w:i/>
          <w:iCs/>
          <w:szCs w:val="24"/>
          <w:lang w:eastAsia="en-US"/>
        </w:rPr>
        <w:t>Journal of Accounting, 5</w:t>
      </w:r>
      <w:r w:rsidRPr="00D3029B">
        <w:rPr>
          <w:rFonts w:eastAsia="Times New Roman"/>
          <w:szCs w:val="24"/>
          <w:lang w:eastAsia="en-US"/>
        </w:rPr>
        <w:t xml:space="preserve">(1), 34–58. </w:t>
      </w:r>
      <w:hyperlink r:id="rId32" w:history="1">
        <w:r w:rsidRPr="00D3029B">
          <w:rPr>
            <w:rFonts w:eastAsia="Times New Roman"/>
            <w:color w:val="0000FF"/>
            <w:szCs w:val="24"/>
            <w:u w:val="single"/>
            <w:lang w:eastAsia="en-US"/>
          </w:rPr>
          <w:t>https://doi.org/10.47941/jacc.1070</w:t>
        </w:r>
      </w:hyperlink>
    </w:p>
    <w:p w14:paraId="6FBF37AE"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Mwangangi, R. I. (2023). Mitigating taxation effects on small business enterprises performance in Kenya. </w:t>
      </w:r>
      <w:r w:rsidRPr="00D3029B">
        <w:rPr>
          <w:rFonts w:eastAsia="Times New Roman"/>
          <w:i/>
          <w:iCs/>
          <w:szCs w:val="24"/>
          <w:lang w:eastAsia="en-US"/>
        </w:rPr>
        <w:t>European Journal of Business and Management Research, 8</w:t>
      </w:r>
      <w:r w:rsidRPr="00D3029B">
        <w:rPr>
          <w:rFonts w:eastAsia="Times New Roman"/>
          <w:szCs w:val="24"/>
          <w:lang w:eastAsia="en-US"/>
        </w:rPr>
        <w:t xml:space="preserve">(3), 293–297. </w:t>
      </w:r>
      <w:hyperlink r:id="rId33" w:history="1">
        <w:r w:rsidRPr="00D3029B">
          <w:rPr>
            <w:rFonts w:eastAsia="Times New Roman"/>
            <w:color w:val="0000FF"/>
            <w:szCs w:val="24"/>
            <w:u w:val="single"/>
            <w:lang w:eastAsia="en-US"/>
          </w:rPr>
          <w:t>https://doi.org/10.24018/ejbmr.2023.8.3.1952</w:t>
        </w:r>
      </w:hyperlink>
    </w:p>
    <w:p w14:paraId="15C80041"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Mwangi, V. W. (2019). </w:t>
      </w:r>
      <w:r w:rsidRPr="00D3029B">
        <w:rPr>
          <w:rFonts w:eastAsia="Times New Roman"/>
          <w:i/>
          <w:iCs/>
          <w:szCs w:val="24"/>
          <w:lang w:eastAsia="en-US"/>
        </w:rPr>
        <w:t>Effects of excise duty on financial performance of manufacturing firms in Kenya: A case of manufacturing firms in Kiambu County</w:t>
      </w:r>
      <w:r w:rsidRPr="00D3029B">
        <w:rPr>
          <w:rFonts w:eastAsia="Times New Roman"/>
          <w:szCs w:val="24"/>
          <w:lang w:eastAsia="en-US"/>
        </w:rPr>
        <w:t xml:space="preserve"> [Master’s research project, United States International University–Africa]. USIU-Africa Digital Repository. </w:t>
      </w:r>
      <w:hyperlink r:id="rId34" w:history="1">
        <w:r w:rsidRPr="00D3029B">
          <w:rPr>
            <w:rFonts w:eastAsia="Times New Roman"/>
            <w:color w:val="0000FF"/>
            <w:szCs w:val="24"/>
            <w:u w:val="single"/>
            <w:lang w:eastAsia="en-US"/>
          </w:rPr>
          <w:t>https://erepo.usiu.ac.ke/handle/11732/5541</w:t>
        </w:r>
      </w:hyperlink>
    </w:p>
    <w:p w14:paraId="34BE82C6"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val="nl-BE" w:eastAsia="en-US"/>
        </w:rPr>
        <w:t xml:space="preserve">Ndlovu, M. O., &amp; Schutte, D. P. (2024). </w:t>
      </w:r>
      <w:r w:rsidRPr="00D3029B">
        <w:rPr>
          <w:rFonts w:eastAsia="Times New Roman"/>
          <w:szCs w:val="24"/>
          <w:lang w:eastAsia="en-US"/>
        </w:rPr>
        <w:t xml:space="preserve">Understanding the challenges encountered by small business owners regarding value-added tax compliance. </w:t>
      </w:r>
      <w:r w:rsidRPr="00D3029B">
        <w:rPr>
          <w:rFonts w:eastAsia="Times New Roman"/>
          <w:i/>
          <w:iCs/>
          <w:szCs w:val="24"/>
          <w:lang w:eastAsia="en-US"/>
        </w:rPr>
        <w:t>South African Journal of Economic and Management Sciences, 27</w:t>
      </w:r>
      <w:r w:rsidRPr="00D3029B">
        <w:rPr>
          <w:rFonts w:eastAsia="Times New Roman"/>
          <w:szCs w:val="24"/>
          <w:lang w:eastAsia="en-US"/>
        </w:rPr>
        <w:t xml:space="preserve">(1), Article a5589. </w:t>
      </w:r>
      <w:hyperlink r:id="rId35" w:history="1">
        <w:r w:rsidRPr="00D3029B">
          <w:rPr>
            <w:rFonts w:eastAsia="Times New Roman"/>
            <w:color w:val="0000FF"/>
            <w:szCs w:val="24"/>
            <w:u w:val="single"/>
            <w:lang w:eastAsia="en-US"/>
          </w:rPr>
          <w:t>https://doi.org/10.4102/sajems.v27i1.5589</w:t>
        </w:r>
      </w:hyperlink>
    </w:p>
    <w:p w14:paraId="0BABB283" w14:textId="1508C261"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Ngugi, J. W., &amp; </w:t>
      </w:r>
      <w:proofErr w:type="spellStart"/>
      <w:r w:rsidRPr="00D3029B">
        <w:rPr>
          <w:rFonts w:eastAsia="Times New Roman"/>
          <w:szCs w:val="24"/>
          <w:lang w:eastAsia="en-US"/>
        </w:rPr>
        <w:t>Moronge</w:t>
      </w:r>
      <w:proofErr w:type="spellEnd"/>
      <w:r w:rsidRPr="00D3029B">
        <w:rPr>
          <w:rFonts w:eastAsia="Times New Roman"/>
          <w:szCs w:val="24"/>
          <w:lang w:eastAsia="en-US"/>
        </w:rPr>
        <w:t xml:space="preserve">, M. (2020). Effects of supplier appraisal practices on performance of manufacturing firms in Nairobi County, Kenya. </w:t>
      </w:r>
      <w:r w:rsidRPr="00D3029B">
        <w:rPr>
          <w:rFonts w:eastAsia="Times New Roman"/>
          <w:i/>
          <w:iCs/>
          <w:szCs w:val="24"/>
          <w:lang w:eastAsia="en-US"/>
        </w:rPr>
        <w:t>The Strategic Journal of Business &amp; Change Management, 7</w:t>
      </w:r>
      <w:r w:rsidRPr="00D3029B">
        <w:rPr>
          <w:rFonts w:eastAsia="Times New Roman"/>
          <w:szCs w:val="24"/>
          <w:lang w:eastAsia="en-US"/>
        </w:rPr>
        <w:t xml:space="preserve">(3), 500–510. </w:t>
      </w:r>
      <w:hyperlink r:id="rId36" w:history="1">
        <w:r w:rsidRPr="00D3029B">
          <w:rPr>
            <w:rFonts w:eastAsia="Times New Roman"/>
            <w:color w:val="0000FF"/>
            <w:szCs w:val="24"/>
            <w:u w:val="single"/>
            <w:lang w:eastAsia="en-US"/>
          </w:rPr>
          <w:t>https://strategicjournals.com/index.php/journal/article/view/1688/0</w:t>
        </w:r>
      </w:hyperlink>
      <w:r w:rsidRPr="00D3029B">
        <w:rPr>
          <w:rFonts w:eastAsia="Times New Roman"/>
          <w:szCs w:val="24"/>
          <w:lang w:eastAsia="en-US"/>
        </w:rPr>
        <w:t xml:space="preserve"> </w:t>
      </w:r>
    </w:p>
    <w:p w14:paraId="54EBF121" w14:textId="4B0162DF"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Ogbeiwi, K. O., &amp; </w:t>
      </w:r>
      <w:proofErr w:type="spellStart"/>
      <w:r w:rsidRPr="00D3029B">
        <w:rPr>
          <w:rFonts w:eastAsia="Times New Roman"/>
          <w:szCs w:val="24"/>
          <w:lang w:eastAsia="en-US"/>
        </w:rPr>
        <w:t>Okoughenu</w:t>
      </w:r>
      <w:proofErr w:type="spellEnd"/>
      <w:r w:rsidRPr="00D3029B">
        <w:rPr>
          <w:rFonts w:eastAsia="Times New Roman"/>
          <w:szCs w:val="24"/>
          <w:lang w:eastAsia="en-US"/>
        </w:rPr>
        <w:t xml:space="preserve">, S. A. (2020). Market risk and corporate performance: An insight into the Nigerian listed companies. </w:t>
      </w:r>
      <w:r w:rsidRPr="00D3029B">
        <w:rPr>
          <w:rFonts w:eastAsia="Times New Roman"/>
          <w:i/>
          <w:iCs/>
          <w:szCs w:val="24"/>
          <w:lang w:eastAsia="en-US"/>
        </w:rPr>
        <w:t>Ilorin Journal of Accounting, 7</w:t>
      </w:r>
      <w:r w:rsidRPr="00D3029B">
        <w:rPr>
          <w:rFonts w:eastAsia="Times New Roman"/>
          <w:szCs w:val="24"/>
          <w:lang w:eastAsia="en-US"/>
        </w:rPr>
        <w:t xml:space="preserve">(1), 1–19. </w:t>
      </w:r>
    </w:p>
    <w:p w14:paraId="7A8E58E6"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Ojo, A. O., &amp; Shittu, S. A. (2023). Value added tax compliance and small and medium enterprises (SMEs): Analysis of influential factors in Nigeria. </w:t>
      </w:r>
      <w:r w:rsidRPr="00D3029B">
        <w:rPr>
          <w:rFonts w:eastAsia="Times New Roman"/>
          <w:i/>
          <w:iCs/>
          <w:szCs w:val="24"/>
          <w:lang w:eastAsia="en-US"/>
        </w:rPr>
        <w:t>Cogent Business &amp; Management, 10</w:t>
      </w:r>
      <w:r w:rsidRPr="00D3029B">
        <w:rPr>
          <w:rFonts w:eastAsia="Times New Roman"/>
          <w:szCs w:val="24"/>
          <w:lang w:eastAsia="en-US"/>
        </w:rPr>
        <w:t xml:space="preserve">(2), Article 2228553. </w:t>
      </w:r>
      <w:hyperlink r:id="rId37" w:history="1">
        <w:r w:rsidRPr="00D3029B">
          <w:rPr>
            <w:rFonts w:eastAsia="Times New Roman"/>
            <w:color w:val="0000FF"/>
            <w:szCs w:val="24"/>
            <w:u w:val="single"/>
            <w:lang w:eastAsia="en-US"/>
          </w:rPr>
          <w:t>https://doi.org/10.1080/23311975.2023.2228553</w:t>
        </w:r>
      </w:hyperlink>
    </w:p>
    <w:p w14:paraId="41F56E8F" w14:textId="6C3C02D1"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Onwuka, O. O., &amp; Orji, U. O. (2021). Stamp duty, revenue generation and economic growth in Nigeria. </w:t>
      </w:r>
      <w:r w:rsidRPr="00D3029B">
        <w:rPr>
          <w:rFonts w:eastAsia="Times New Roman"/>
          <w:i/>
          <w:iCs/>
          <w:szCs w:val="24"/>
          <w:lang w:eastAsia="en-US"/>
        </w:rPr>
        <w:t>Journal of Accounting and Financial Management, 7</w:t>
      </w:r>
      <w:r w:rsidRPr="00D3029B">
        <w:rPr>
          <w:rFonts w:eastAsia="Times New Roman"/>
          <w:szCs w:val="24"/>
          <w:lang w:eastAsia="en-US"/>
        </w:rPr>
        <w:t xml:space="preserve">(3), 82–97. </w:t>
      </w:r>
      <w:hyperlink r:id="rId38" w:history="1">
        <w:r w:rsidRPr="00D3029B">
          <w:rPr>
            <w:rFonts w:eastAsia="Times New Roman"/>
            <w:color w:val="0000FF"/>
            <w:szCs w:val="24"/>
            <w:u w:val="single"/>
            <w:lang w:eastAsia="en-US"/>
          </w:rPr>
          <w:t>https://iiardjournals.org/get/JAFM/VOL.%207%20NO.%203%202021/Stamp%20duty%2C%20revenue.pdf</w:t>
        </w:r>
      </w:hyperlink>
      <w:r w:rsidRPr="00D3029B">
        <w:rPr>
          <w:rFonts w:eastAsia="Times New Roman"/>
          <w:szCs w:val="24"/>
          <w:lang w:eastAsia="en-US"/>
        </w:rPr>
        <w:t xml:space="preserve"> </w:t>
      </w:r>
    </w:p>
    <w:p w14:paraId="7F9F394A"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Otekunrin</w:t>
      </w:r>
      <w:proofErr w:type="spellEnd"/>
      <w:r w:rsidRPr="00D3029B">
        <w:rPr>
          <w:rFonts w:eastAsia="Times New Roman"/>
          <w:szCs w:val="24"/>
          <w:lang w:eastAsia="en-US"/>
        </w:rPr>
        <w:t xml:space="preserve">, A. O., </w:t>
      </w:r>
      <w:proofErr w:type="spellStart"/>
      <w:r w:rsidRPr="00D3029B">
        <w:rPr>
          <w:rFonts w:eastAsia="Times New Roman"/>
          <w:szCs w:val="24"/>
          <w:lang w:eastAsia="en-US"/>
        </w:rPr>
        <w:t>Nwanji</w:t>
      </w:r>
      <w:proofErr w:type="spellEnd"/>
      <w:r w:rsidRPr="00D3029B">
        <w:rPr>
          <w:rFonts w:eastAsia="Times New Roman"/>
          <w:szCs w:val="24"/>
          <w:lang w:eastAsia="en-US"/>
        </w:rPr>
        <w:t xml:space="preserve">, T. I., </w:t>
      </w:r>
      <w:proofErr w:type="spellStart"/>
      <w:r w:rsidRPr="00D3029B">
        <w:rPr>
          <w:rFonts w:eastAsia="Times New Roman"/>
          <w:szCs w:val="24"/>
          <w:lang w:eastAsia="en-US"/>
        </w:rPr>
        <w:t>Eluyela</w:t>
      </w:r>
      <w:proofErr w:type="spellEnd"/>
      <w:r w:rsidRPr="00D3029B">
        <w:rPr>
          <w:rFonts w:eastAsia="Times New Roman"/>
          <w:szCs w:val="24"/>
          <w:lang w:eastAsia="en-US"/>
        </w:rPr>
        <w:t xml:space="preserve">, D. F., Inegbedion, H., &amp; Eleda, T. (2021). E-tax system effectiveness in reducing tax evasion in Nigeria. </w:t>
      </w:r>
      <w:r w:rsidRPr="00D3029B">
        <w:rPr>
          <w:rFonts w:eastAsia="Times New Roman"/>
          <w:i/>
          <w:iCs/>
          <w:szCs w:val="24"/>
          <w:lang w:eastAsia="en-US"/>
        </w:rPr>
        <w:t>Problems and Perspectives in Management, 19</w:t>
      </w:r>
      <w:r w:rsidRPr="00D3029B">
        <w:rPr>
          <w:rFonts w:eastAsia="Times New Roman"/>
          <w:szCs w:val="24"/>
          <w:lang w:eastAsia="en-US"/>
        </w:rPr>
        <w:t xml:space="preserve">(4), 175–185. </w:t>
      </w:r>
      <w:hyperlink r:id="rId39" w:history="1">
        <w:r w:rsidRPr="00D3029B">
          <w:rPr>
            <w:rFonts w:eastAsia="Times New Roman"/>
            <w:color w:val="0000FF"/>
            <w:szCs w:val="24"/>
            <w:u w:val="single"/>
            <w:lang w:eastAsia="en-US"/>
          </w:rPr>
          <w:t>https://doi.org/10.21511/ppm.19(4).2021.15</w:t>
        </w:r>
      </w:hyperlink>
    </w:p>
    <w:p w14:paraId="1A65C7D1"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lastRenderedPageBreak/>
        <w:t xml:space="preserve">Owino, O. B. (2019). The effect of custom and excise duties on economic growth in Kenya. </w:t>
      </w:r>
      <w:r w:rsidRPr="00D3029B">
        <w:rPr>
          <w:rFonts w:eastAsia="Times New Roman"/>
          <w:i/>
          <w:iCs/>
          <w:szCs w:val="24"/>
          <w:lang w:eastAsia="en-US"/>
        </w:rPr>
        <w:t>International Journal of Scientific and Research Publications, 9</w:t>
      </w:r>
      <w:r w:rsidRPr="00D3029B">
        <w:rPr>
          <w:rFonts w:eastAsia="Times New Roman"/>
          <w:szCs w:val="24"/>
          <w:lang w:eastAsia="en-US"/>
        </w:rPr>
        <w:t xml:space="preserve">(1), Article p8564. </w:t>
      </w:r>
      <w:hyperlink r:id="rId40" w:history="1">
        <w:r w:rsidRPr="00D3029B">
          <w:rPr>
            <w:rFonts w:eastAsia="Times New Roman"/>
            <w:color w:val="0000FF"/>
            <w:szCs w:val="24"/>
            <w:u w:val="single"/>
            <w:lang w:eastAsia="en-US"/>
          </w:rPr>
          <w:t>https://doi.org/10.29322/IJSRP.9.01.2019.p8564</w:t>
        </w:r>
      </w:hyperlink>
    </w:p>
    <w:p w14:paraId="4DAF612F"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Oyinlola, M. A., Adedeji, A. A., Bolarinwa, M. O., &amp; Olabisi, N. (2020). Governance, domestic resource </w:t>
      </w:r>
      <w:proofErr w:type="spellStart"/>
      <w:r w:rsidRPr="00D3029B">
        <w:rPr>
          <w:rFonts w:eastAsia="Times New Roman"/>
          <w:szCs w:val="24"/>
          <w:lang w:eastAsia="en-US"/>
        </w:rPr>
        <w:t>mobilisation</w:t>
      </w:r>
      <w:proofErr w:type="spellEnd"/>
      <w:r w:rsidRPr="00D3029B">
        <w:rPr>
          <w:rFonts w:eastAsia="Times New Roman"/>
          <w:szCs w:val="24"/>
          <w:lang w:eastAsia="en-US"/>
        </w:rPr>
        <w:t xml:space="preserve">, and inclusive growth in sub-Saharan Africa. </w:t>
      </w:r>
      <w:r w:rsidRPr="00D3029B">
        <w:rPr>
          <w:rFonts w:eastAsia="Times New Roman"/>
          <w:i/>
          <w:iCs/>
          <w:szCs w:val="24"/>
          <w:lang w:eastAsia="en-US"/>
        </w:rPr>
        <w:t>Economic Analysis and Policy, 65</w:t>
      </w:r>
      <w:r w:rsidRPr="00D3029B">
        <w:rPr>
          <w:rFonts w:eastAsia="Times New Roman"/>
          <w:szCs w:val="24"/>
          <w:lang w:eastAsia="en-US"/>
        </w:rPr>
        <w:t xml:space="preserve">, 68–88. </w:t>
      </w:r>
      <w:hyperlink r:id="rId41" w:history="1">
        <w:r w:rsidRPr="00D3029B">
          <w:rPr>
            <w:rFonts w:eastAsia="Times New Roman"/>
            <w:color w:val="0000FF"/>
            <w:szCs w:val="24"/>
            <w:u w:val="single"/>
            <w:lang w:eastAsia="en-US"/>
          </w:rPr>
          <w:t>https://doi.org/10.1016/j.eap.2019.11.006</w:t>
        </w:r>
      </w:hyperlink>
    </w:p>
    <w:p w14:paraId="5C30341F"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Oyoo, P. O., &amp; Kariuki, G. (2023). The nexus between working capital management practices and the financial performance of service sector small and medium-sized enterprises (SMEs) in Nairobi City County, Kenya. </w:t>
      </w:r>
      <w:r w:rsidRPr="00D3029B">
        <w:rPr>
          <w:rFonts w:eastAsia="Times New Roman"/>
          <w:i/>
          <w:iCs/>
          <w:szCs w:val="24"/>
          <w:lang w:eastAsia="en-US"/>
        </w:rPr>
        <w:t>Journal of Finance and Accounting, 7</w:t>
      </w:r>
      <w:r w:rsidRPr="00D3029B">
        <w:rPr>
          <w:rFonts w:eastAsia="Times New Roman"/>
          <w:szCs w:val="24"/>
          <w:lang w:eastAsia="en-US"/>
        </w:rPr>
        <w:t xml:space="preserve">(10), 21–35. </w:t>
      </w:r>
      <w:hyperlink r:id="rId42" w:history="1">
        <w:r w:rsidRPr="00D3029B">
          <w:rPr>
            <w:rFonts w:eastAsia="Times New Roman"/>
            <w:color w:val="0000FF"/>
            <w:szCs w:val="24"/>
            <w:u w:val="single"/>
            <w:lang w:eastAsia="en-US"/>
          </w:rPr>
          <w:t>https://doi.org/10.53819/81018102t2258</w:t>
        </w:r>
      </w:hyperlink>
    </w:p>
    <w:p w14:paraId="404C6041"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Ramsey, F. P. (1927). A contribution to the theory of taxation. </w:t>
      </w:r>
      <w:r w:rsidRPr="00D3029B">
        <w:rPr>
          <w:rFonts w:eastAsia="Times New Roman"/>
          <w:i/>
          <w:iCs/>
          <w:szCs w:val="24"/>
          <w:lang w:eastAsia="en-US"/>
        </w:rPr>
        <w:t>The Economic Journal, 37</w:t>
      </w:r>
      <w:r w:rsidRPr="00D3029B">
        <w:rPr>
          <w:rFonts w:eastAsia="Times New Roman"/>
          <w:szCs w:val="24"/>
          <w:lang w:eastAsia="en-US"/>
        </w:rPr>
        <w:t xml:space="preserve">(145), 47–61. </w:t>
      </w:r>
      <w:hyperlink r:id="rId43" w:history="1">
        <w:r w:rsidRPr="00D3029B">
          <w:rPr>
            <w:rFonts w:eastAsia="Times New Roman"/>
            <w:color w:val="0000FF"/>
            <w:szCs w:val="24"/>
            <w:u w:val="single"/>
            <w:lang w:eastAsia="en-US"/>
          </w:rPr>
          <w:t>https://doi.org/10.2307/2222721</w:t>
        </w:r>
      </w:hyperlink>
    </w:p>
    <w:p w14:paraId="4D157308"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Rezigalla, A. A. (2020). Observational study designs: Synopsis for selecting an appropriate study design. </w:t>
      </w:r>
      <w:r w:rsidRPr="00D3029B">
        <w:rPr>
          <w:rFonts w:eastAsia="Times New Roman"/>
          <w:i/>
          <w:iCs/>
          <w:szCs w:val="24"/>
          <w:lang w:eastAsia="en-US"/>
        </w:rPr>
        <w:t>Cureus, 12</w:t>
      </w:r>
      <w:r w:rsidRPr="00D3029B">
        <w:rPr>
          <w:rFonts w:eastAsia="Times New Roman"/>
          <w:szCs w:val="24"/>
          <w:lang w:eastAsia="en-US"/>
        </w:rPr>
        <w:t xml:space="preserve">(1), Article e6692. </w:t>
      </w:r>
      <w:hyperlink r:id="rId44" w:history="1">
        <w:r w:rsidRPr="00D3029B">
          <w:rPr>
            <w:rFonts w:eastAsia="Times New Roman"/>
            <w:color w:val="0000FF"/>
            <w:szCs w:val="24"/>
            <w:u w:val="single"/>
            <w:lang w:eastAsia="en-US"/>
          </w:rPr>
          <w:t>https://doi.org/10.7759/cureus.6692</w:t>
        </w:r>
      </w:hyperlink>
    </w:p>
    <w:p w14:paraId="4AEAD671"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Saed, S., &amp; </w:t>
      </w:r>
      <w:proofErr w:type="spellStart"/>
      <w:r w:rsidRPr="00D3029B">
        <w:rPr>
          <w:rFonts w:eastAsia="Times New Roman"/>
          <w:szCs w:val="24"/>
          <w:lang w:eastAsia="en-US"/>
        </w:rPr>
        <w:t>Ainebyona</w:t>
      </w:r>
      <w:proofErr w:type="spellEnd"/>
      <w:r w:rsidRPr="00D3029B">
        <w:rPr>
          <w:rFonts w:eastAsia="Times New Roman"/>
          <w:szCs w:val="24"/>
          <w:lang w:eastAsia="en-US"/>
        </w:rPr>
        <w:t xml:space="preserve">, G. (2020). Understanding the effects of value added tax (VAT) on small and medium enterprises (SMEs) of Hargeisa, Somaliland. </w:t>
      </w:r>
      <w:r w:rsidRPr="00D3029B">
        <w:rPr>
          <w:rFonts w:eastAsia="Times New Roman"/>
          <w:i/>
          <w:iCs/>
          <w:szCs w:val="24"/>
          <w:lang w:eastAsia="en-US"/>
        </w:rPr>
        <w:t>American Research Journal of Humanities &amp; Social Science, 2</w:t>
      </w:r>
      <w:r w:rsidRPr="00D3029B">
        <w:rPr>
          <w:rFonts w:eastAsia="Times New Roman"/>
          <w:szCs w:val="24"/>
          <w:lang w:eastAsia="en-US"/>
        </w:rPr>
        <w:t xml:space="preserve">(12), 34–42. </w:t>
      </w:r>
      <w:hyperlink r:id="rId45" w:history="1">
        <w:r w:rsidRPr="00D3029B">
          <w:rPr>
            <w:rFonts w:eastAsia="Times New Roman"/>
            <w:color w:val="0000FF"/>
            <w:szCs w:val="24"/>
            <w:u w:val="single"/>
            <w:lang w:eastAsia="en-US"/>
          </w:rPr>
          <w:t>https://www.researchgate.net/publication/339749694_Understanding_the_Effects_of_Value_Added_Tax_VAT_on_Small_and_Medium_Enterprises_SMEs_of_Hargeisa_Somaliland</w:t>
        </w:r>
      </w:hyperlink>
    </w:p>
    <w:p w14:paraId="2E319367"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Sileyew</w:t>
      </w:r>
      <w:proofErr w:type="spellEnd"/>
      <w:r w:rsidRPr="00D3029B">
        <w:rPr>
          <w:rFonts w:eastAsia="Times New Roman"/>
          <w:szCs w:val="24"/>
          <w:lang w:eastAsia="en-US"/>
        </w:rPr>
        <w:t>, K. J. (2019). Research design and methodology. In E. Abu-</w:t>
      </w:r>
      <w:proofErr w:type="spellStart"/>
      <w:r w:rsidRPr="00D3029B">
        <w:rPr>
          <w:rFonts w:eastAsia="Times New Roman"/>
          <w:szCs w:val="24"/>
          <w:lang w:eastAsia="en-US"/>
        </w:rPr>
        <w:t>Taieh</w:t>
      </w:r>
      <w:proofErr w:type="spellEnd"/>
      <w:r w:rsidRPr="00D3029B">
        <w:rPr>
          <w:rFonts w:eastAsia="Times New Roman"/>
          <w:szCs w:val="24"/>
          <w:lang w:eastAsia="en-US"/>
        </w:rPr>
        <w:t xml:space="preserve">, A. El </w:t>
      </w:r>
      <w:proofErr w:type="spellStart"/>
      <w:r w:rsidRPr="00D3029B">
        <w:rPr>
          <w:rFonts w:eastAsia="Times New Roman"/>
          <w:szCs w:val="24"/>
          <w:lang w:eastAsia="en-US"/>
        </w:rPr>
        <w:t>Mouatasim</w:t>
      </w:r>
      <w:proofErr w:type="spellEnd"/>
      <w:r w:rsidRPr="00D3029B">
        <w:rPr>
          <w:rFonts w:eastAsia="Times New Roman"/>
          <w:szCs w:val="24"/>
          <w:lang w:eastAsia="en-US"/>
        </w:rPr>
        <w:t xml:space="preserve">, &amp; I. H. Al Hadid (Eds.), </w:t>
      </w:r>
      <w:r w:rsidRPr="00D3029B">
        <w:rPr>
          <w:rFonts w:eastAsia="Times New Roman"/>
          <w:i/>
          <w:iCs/>
          <w:szCs w:val="24"/>
          <w:lang w:eastAsia="en-US"/>
        </w:rPr>
        <w:t>Cyberspace</w:t>
      </w:r>
      <w:r w:rsidRPr="00D3029B">
        <w:rPr>
          <w:rFonts w:eastAsia="Times New Roman"/>
          <w:szCs w:val="24"/>
          <w:lang w:eastAsia="en-US"/>
        </w:rPr>
        <w:t xml:space="preserve"> (pp. 1–12). </w:t>
      </w:r>
      <w:proofErr w:type="spellStart"/>
      <w:r w:rsidRPr="00D3029B">
        <w:rPr>
          <w:rFonts w:eastAsia="Times New Roman"/>
          <w:szCs w:val="24"/>
          <w:lang w:eastAsia="en-US"/>
        </w:rPr>
        <w:t>IntechOpen</w:t>
      </w:r>
      <w:proofErr w:type="spellEnd"/>
      <w:r w:rsidRPr="00D3029B">
        <w:rPr>
          <w:rFonts w:eastAsia="Times New Roman"/>
          <w:szCs w:val="24"/>
          <w:lang w:eastAsia="en-US"/>
        </w:rPr>
        <w:t xml:space="preserve">. </w:t>
      </w:r>
      <w:hyperlink r:id="rId46" w:history="1">
        <w:r w:rsidRPr="00D3029B">
          <w:rPr>
            <w:rFonts w:eastAsia="Times New Roman"/>
            <w:color w:val="0000FF"/>
            <w:szCs w:val="24"/>
            <w:u w:val="single"/>
            <w:lang w:eastAsia="en-US"/>
          </w:rPr>
          <w:t>https://doi.org/10.5772/intechopen.85731</w:t>
        </w:r>
      </w:hyperlink>
    </w:p>
    <w:p w14:paraId="3EF0B4E7" w14:textId="46946C29"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Brealey, R. A., Myers, S. C., &amp; Allen, F. (2020). </w:t>
      </w:r>
      <w:r w:rsidRPr="00D3029B">
        <w:rPr>
          <w:rFonts w:eastAsia="Times New Roman"/>
          <w:i/>
          <w:iCs/>
          <w:szCs w:val="24"/>
          <w:lang w:eastAsia="en-US"/>
        </w:rPr>
        <w:t>Principles of corporate finance</w:t>
      </w:r>
      <w:r w:rsidRPr="00D3029B">
        <w:rPr>
          <w:rFonts w:eastAsia="Times New Roman"/>
          <w:szCs w:val="24"/>
          <w:lang w:eastAsia="en-US"/>
        </w:rPr>
        <w:t xml:space="preserve"> (13th ed.). McGraw-Hill Education. </w:t>
      </w:r>
      <w:hyperlink r:id="rId47" w:history="1">
        <w:r w:rsidRPr="00D3029B">
          <w:rPr>
            <w:rFonts w:eastAsia="Times New Roman"/>
            <w:color w:val="0000FF"/>
            <w:szCs w:val="24"/>
            <w:u w:val="single"/>
            <w:lang w:eastAsia="en-US"/>
          </w:rPr>
          <w:t>https://www.mheducation.com/highered/product/principles-of-corporate-finance-brealey.html</w:t>
        </w:r>
      </w:hyperlink>
    </w:p>
    <w:p w14:paraId="3358DDA2"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Wanyagathi</w:t>
      </w:r>
      <w:proofErr w:type="spellEnd"/>
      <w:r w:rsidRPr="00D3029B">
        <w:rPr>
          <w:rFonts w:eastAsia="Times New Roman"/>
          <w:szCs w:val="24"/>
          <w:lang w:eastAsia="en-US"/>
        </w:rPr>
        <w:t xml:space="preserve"> Maina, A. (2019). The Kenyan tax regime for the oil and gas sector: An international tax perspective to policy and practical challenges. </w:t>
      </w:r>
      <w:r w:rsidRPr="00D3029B">
        <w:rPr>
          <w:rFonts w:eastAsia="Times New Roman"/>
          <w:i/>
          <w:iCs/>
          <w:szCs w:val="24"/>
          <w:lang w:eastAsia="en-US"/>
        </w:rPr>
        <w:t>Revista de Derecho Fiscal, 14</w:t>
      </w:r>
      <w:r w:rsidRPr="00D3029B">
        <w:rPr>
          <w:rFonts w:eastAsia="Times New Roman"/>
          <w:szCs w:val="24"/>
          <w:lang w:eastAsia="en-US"/>
        </w:rPr>
        <w:t xml:space="preserve">, 203–219. </w:t>
      </w:r>
      <w:hyperlink r:id="rId48" w:history="1">
        <w:r w:rsidRPr="00D3029B">
          <w:rPr>
            <w:rFonts w:eastAsia="Times New Roman"/>
            <w:color w:val="0000FF"/>
            <w:szCs w:val="24"/>
            <w:u w:val="single"/>
            <w:lang w:eastAsia="en-US"/>
          </w:rPr>
          <w:t>https://doi.org/10.18601/16926722.n14.10</w:t>
        </w:r>
      </w:hyperlink>
    </w:p>
    <w:p w14:paraId="733B4FEA" w14:textId="77777777"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r w:rsidRPr="00D3029B">
        <w:rPr>
          <w:rFonts w:eastAsia="Times New Roman"/>
          <w:szCs w:val="24"/>
          <w:lang w:eastAsia="en-US"/>
        </w:rPr>
        <w:t xml:space="preserve">Wu, J., &amp; Din, B. H. (2023). The relationship between tax incentives, financial performance and CSR: Evidence from Chinese listed companies. </w:t>
      </w:r>
      <w:r w:rsidRPr="00D3029B">
        <w:rPr>
          <w:rFonts w:eastAsia="Times New Roman"/>
          <w:i/>
          <w:iCs/>
          <w:szCs w:val="24"/>
          <w:lang w:eastAsia="en-US"/>
        </w:rPr>
        <w:t>Journal of Namibian Studies: History Politics Culture, 33</w:t>
      </w:r>
      <w:r w:rsidRPr="00D3029B">
        <w:rPr>
          <w:rFonts w:eastAsia="Times New Roman"/>
          <w:szCs w:val="24"/>
          <w:lang w:eastAsia="en-US"/>
        </w:rPr>
        <w:t xml:space="preserve">(Special Issue 2). </w:t>
      </w:r>
      <w:hyperlink r:id="rId49" w:history="1">
        <w:r w:rsidRPr="00D3029B">
          <w:rPr>
            <w:rFonts w:eastAsia="Times New Roman"/>
            <w:color w:val="0000FF"/>
            <w:szCs w:val="24"/>
            <w:u w:val="single"/>
            <w:lang w:eastAsia="en-US"/>
          </w:rPr>
          <w:t>https://namibian-studies.com/index.php/JNS/article/view/863/699</w:t>
        </w:r>
      </w:hyperlink>
    </w:p>
    <w:p w14:paraId="745D7B69" w14:textId="47062BF9" w:rsidR="00D3029B" w:rsidRPr="00D3029B" w:rsidRDefault="00D3029B" w:rsidP="00D3029B">
      <w:pPr>
        <w:suppressAutoHyphens w:val="0"/>
        <w:spacing w:before="100" w:beforeAutospacing="1" w:after="100" w:afterAutospacing="1" w:line="240" w:lineRule="auto"/>
        <w:ind w:left="540" w:hanging="540"/>
        <w:rPr>
          <w:rFonts w:eastAsia="Times New Roman"/>
          <w:szCs w:val="24"/>
          <w:lang w:eastAsia="en-US"/>
        </w:rPr>
      </w:pPr>
      <w:proofErr w:type="spellStart"/>
      <w:r w:rsidRPr="00D3029B">
        <w:rPr>
          <w:rFonts w:eastAsia="Times New Roman"/>
          <w:szCs w:val="24"/>
          <w:lang w:eastAsia="en-US"/>
        </w:rPr>
        <w:t>Zogning</w:t>
      </w:r>
      <w:proofErr w:type="spellEnd"/>
      <w:r w:rsidRPr="00D3029B">
        <w:rPr>
          <w:rFonts w:eastAsia="Times New Roman"/>
          <w:szCs w:val="24"/>
          <w:lang w:eastAsia="en-US"/>
        </w:rPr>
        <w:t xml:space="preserve">, F. (2017). Agency theory: A critical review. </w:t>
      </w:r>
      <w:r w:rsidRPr="00D3029B">
        <w:rPr>
          <w:rFonts w:eastAsia="Times New Roman"/>
          <w:i/>
          <w:iCs/>
          <w:szCs w:val="24"/>
          <w:lang w:eastAsia="en-US"/>
        </w:rPr>
        <w:t>European Journal of Business and Management, 9</w:t>
      </w:r>
      <w:r w:rsidRPr="00D3029B">
        <w:rPr>
          <w:rFonts w:eastAsia="Times New Roman"/>
          <w:szCs w:val="24"/>
          <w:lang w:eastAsia="en-US"/>
        </w:rPr>
        <w:t xml:space="preserve">(2), 1–8. </w:t>
      </w:r>
      <w:hyperlink r:id="rId50" w:history="1">
        <w:r w:rsidRPr="00D3029B">
          <w:rPr>
            <w:rFonts w:eastAsia="Times New Roman"/>
            <w:color w:val="0000FF"/>
            <w:szCs w:val="24"/>
            <w:u w:val="single"/>
            <w:lang w:eastAsia="en-US"/>
          </w:rPr>
          <w:t>https://www.iiste.org/Journals/index.php/EJBM/article/view/34900</w:t>
        </w:r>
      </w:hyperlink>
    </w:p>
    <w:sectPr w:rsidR="00D3029B" w:rsidRPr="00D3029B">
      <w:headerReference w:type="default" r:id="rId51"/>
      <w:footerReference w:type="default" r:id="rId52"/>
      <w:pgSz w:w="12240" w:h="15840"/>
      <w:pgMar w:top="1440" w:right="1440" w:bottom="1440" w:left="1440" w:header="720" w:footer="720" w:gutter="0"/>
      <w:pgNumType w:start="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099A8" w14:textId="77777777" w:rsidR="004B01BB" w:rsidRDefault="004B01BB">
      <w:pPr>
        <w:spacing w:after="0" w:line="240" w:lineRule="auto"/>
      </w:pPr>
      <w:r>
        <w:separator/>
      </w:r>
    </w:p>
  </w:endnote>
  <w:endnote w:type="continuationSeparator" w:id="0">
    <w:p w14:paraId="25C4BA3E" w14:textId="77777777" w:rsidR="004B01BB" w:rsidRDefault="004B0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0174" w14:textId="77777777" w:rsidR="00182F42" w:rsidRDefault="0018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49BD" w14:textId="77777777" w:rsidR="004B01BB" w:rsidRDefault="004B01BB">
      <w:pPr>
        <w:spacing w:after="0" w:line="240" w:lineRule="auto"/>
      </w:pPr>
      <w:r>
        <w:separator/>
      </w:r>
    </w:p>
  </w:footnote>
  <w:footnote w:type="continuationSeparator" w:id="0">
    <w:p w14:paraId="62EB07EC" w14:textId="77777777" w:rsidR="004B01BB" w:rsidRDefault="004B01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8E19" w14:textId="77777777" w:rsidR="00182F42" w:rsidRDefault="00000000">
    <w:pPr>
      <w:pStyle w:val="Header"/>
      <w:rPr>
        <w:lang w:eastAsia="en-US"/>
      </w:rPr>
    </w:pPr>
    <w:r>
      <w:rPr>
        <w:lang w:eastAsia="en-US"/>
      </w:rPr>
      <w:pict w14:anchorId="18E1EA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54330" o:spid="_x0000_s1025" type="#_x0000_t136" style="position:absolute;left:0;text-align:left;margin-left:0;margin-top:0;width:593.8pt;height:70.8pt;rotation:315;z-index:1;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Times New Roman&quot;;font-size:1pt" trim="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1189"/>
    <w:multiLevelType w:val="multilevel"/>
    <w:tmpl w:val="D3C26CA0"/>
    <w:lvl w:ilvl="0">
      <w:start w:val="1"/>
      <w:numFmt w:val="lowerRoman"/>
      <w:lvlText w:val="%1."/>
      <w:lvlJc w:val="righ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9A71A15"/>
    <w:multiLevelType w:val="multilevel"/>
    <w:tmpl w:val="AC8E59C4"/>
    <w:lvl w:ilvl="0">
      <w:start w:val="1"/>
      <w:numFmt w:val="bullet"/>
      <w:lvlText w:val=""/>
      <w:lvlJc w:val="left"/>
      <w:pPr>
        <w:tabs>
          <w:tab w:val="num" w:pos="0"/>
        </w:tabs>
        <w:ind w:left="72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D31440"/>
    <w:multiLevelType w:val="multilevel"/>
    <w:tmpl w:val="035E9D4C"/>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FF85F52"/>
    <w:multiLevelType w:val="hybridMultilevel"/>
    <w:tmpl w:val="15F6D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6262270">
    <w:abstractNumId w:val="2"/>
  </w:num>
  <w:num w:numId="2" w16cid:durableId="154415878">
    <w:abstractNumId w:val="0"/>
  </w:num>
  <w:num w:numId="3" w16cid:durableId="1366365079">
    <w:abstractNumId w:val="1"/>
  </w:num>
  <w:num w:numId="4" w16cid:durableId="455372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autoHyphenation/>
  <w:hyphenationZone w:val="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MzNDYwNjQxMTUxtTRS0lEKTi0uzszPAykwqQUA2pAV/CwAAAA="/>
  </w:docVars>
  <w:rsids>
    <w:rsidRoot w:val="00182F42"/>
    <w:rsid w:val="000018B1"/>
    <w:rsid w:val="00134A37"/>
    <w:rsid w:val="00182F42"/>
    <w:rsid w:val="001D69DE"/>
    <w:rsid w:val="002F0BA7"/>
    <w:rsid w:val="003B2EB4"/>
    <w:rsid w:val="004B01BB"/>
    <w:rsid w:val="005B0593"/>
    <w:rsid w:val="007769B2"/>
    <w:rsid w:val="00847666"/>
    <w:rsid w:val="009D6323"/>
    <w:rsid w:val="009E4DF5"/>
    <w:rsid w:val="00B10B70"/>
    <w:rsid w:val="00B83F5B"/>
    <w:rsid w:val="00C478C9"/>
    <w:rsid w:val="00C96B63"/>
    <w:rsid w:val="00CC5BAB"/>
    <w:rsid w:val="00D3029B"/>
    <w:rsid w:val="00DB47DC"/>
    <w:rsid w:val="00E65928"/>
    <w:rsid w:val="00EB5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C5A367B"/>
  <w15:docId w15:val="{88F7670F-B91A-4F3E-B8CB-145C19D8B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360" w:lineRule="auto"/>
      <w:jc w:val="both"/>
    </w:pPr>
    <w:rPr>
      <w:rFonts w:ascii="Times New Roman" w:eastAsia="Calibri" w:hAnsi="Times New Roman" w:cs="Times New Roman"/>
      <w:sz w:val="24"/>
      <w:szCs w:val="22"/>
      <w:lang w:eastAsia="zh-CN"/>
    </w:rPr>
  </w:style>
  <w:style w:type="paragraph" w:styleId="Heading1">
    <w:name w:val="heading 1"/>
    <w:basedOn w:val="Normal"/>
    <w:next w:val="Normal"/>
    <w:uiPriority w:val="9"/>
    <w:qFormat/>
    <w:pPr>
      <w:keepNext/>
      <w:keepLines/>
      <w:numPr>
        <w:numId w:val="1"/>
      </w:numPr>
      <w:spacing w:after="0"/>
      <w:jc w:val="center"/>
      <w:outlineLvl w:val="0"/>
    </w:pPr>
    <w:rPr>
      <w:b/>
      <w:szCs w:val="24"/>
    </w:rPr>
  </w:style>
  <w:style w:type="paragraph" w:styleId="Heading2">
    <w:name w:val="heading 2"/>
    <w:basedOn w:val="Normal"/>
    <w:next w:val="Normal"/>
    <w:uiPriority w:val="9"/>
    <w:unhideWhenUsed/>
    <w:qFormat/>
    <w:pPr>
      <w:keepNext/>
      <w:keepLines/>
      <w:numPr>
        <w:ilvl w:val="1"/>
        <w:numId w:val="1"/>
      </w:numPr>
      <w:spacing w:before="200" w:after="0"/>
      <w:jc w:val="left"/>
      <w:outlineLvl w:val="1"/>
    </w:pPr>
    <w:rPr>
      <w:rFonts w:eastAsia="Times New Roman"/>
      <w:b/>
      <w:bCs/>
      <w:szCs w:val="26"/>
    </w:rPr>
  </w:style>
  <w:style w:type="paragraph" w:styleId="Heading3">
    <w:name w:val="heading 3"/>
    <w:basedOn w:val="Normal"/>
    <w:next w:val="Normal"/>
    <w:uiPriority w:val="9"/>
    <w:unhideWhenUsed/>
    <w:qFormat/>
    <w:pPr>
      <w:keepNext/>
      <w:numPr>
        <w:ilvl w:val="2"/>
        <w:numId w:val="1"/>
      </w:numPr>
      <w:spacing w:before="240" w:after="60"/>
      <w:jc w:val="left"/>
      <w:outlineLvl w:val="2"/>
    </w:pPr>
    <w:rPr>
      <w:rFonts w:eastAsia="Times New Roman"/>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4z0">
    <w:name w:val="WW8Num4z0"/>
    <w:qFormat/>
    <w:rPr>
      <w:rFonts w:ascii="Symbol" w:hAnsi="Symbol" w:cs="Symbol"/>
      <w:color w:val="000000"/>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6z0">
    <w:name w:val="WW8Num6z0"/>
    <w:qFormat/>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Times New Roman" w:eastAsia="Calibri" w:hAnsi="Times New Roman" w:cs="Times New Roman"/>
    </w:rPr>
  </w:style>
  <w:style w:type="character" w:styleId="Hyperlink">
    <w:name w:val="Hyperlink"/>
    <w:rPr>
      <w:color w:val="0000FF"/>
      <w:u w:val="single"/>
    </w:rPr>
  </w:style>
  <w:style w:type="character" w:customStyle="1" w:styleId="Heading1Char">
    <w:name w:val="Heading 1 Char"/>
    <w:qFormat/>
    <w:rPr>
      <w:rFonts w:ascii="Times New Roman" w:hAnsi="Times New Roman" w:cs="Times New Roman"/>
      <w:b/>
      <w:sz w:val="24"/>
      <w:szCs w:val="24"/>
    </w:rPr>
  </w:style>
  <w:style w:type="character" w:customStyle="1" w:styleId="Heading2Char">
    <w:name w:val="Heading 2 Char"/>
    <w:qFormat/>
    <w:rPr>
      <w:rFonts w:ascii="Times New Roman" w:eastAsia="Times New Roman" w:hAnsi="Times New Roman" w:cs="Times New Roman"/>
      <w:b/>
      <w:bCs/>
      <w:sz w:val="24"/>
      <w:szCs w:val="26"/>
    </w:rPr>
  </w:style>
  <w:style w:type="character" w:customStyle="1" w:styleId="Heading3Char">
    <w:name w:val="Heading 3 Char"/>
    <w:qFormat/>
    <w:rPr>
      <w:rFonts w:ascii="Times New Roman" w:eastAsia="Times New Roman" w:hAnsi="Times New Roman" w:cs="Times New Roman"/>
      <w:b/>
      <w:bCs/>
      <w:sz w:val="24"/>
      <w:szCs w:val="26"/>
    </w:rPr>
  </w:style>
  <w:style w:type="character" w:customStyle="1" w:styleId="FooterChar">
    <w:name w:val="Footer Char"/>
    <w:qFormat/>
  </w:style>
  <w:style w:type="character" w:customStyle="1" w:styleId="HeaderChar">
    <w:name w:val="Header Char"/>
    <w:qFormat/>
  </w:style>
  <w:style w:type="character" w:customStyle="1" w:styleId="NoSpacingChar">
    <w:name w:val="No Spacing Char"/>
    <w:qFormat/>
    <w:rPr>
      <w:rFonts w:ascii="Times New Roman" w:eastAsia="Times New Roman" w:hAnsi="Times New Roman" w:cs="Times New Roman"/>
      <w:sz w:val="24"/>
    </w:rPr>
  </w:style>
  <w:style w:type="character" w:customStyle="1" w:styleId="UnresolvedMention1">
    <w:name w:val="Unresolved Mention1"/>
    <w:qFormat/>
    <w:rPr>
      <w:color w:val="605E5C"/>
      <w:shd w:val="clear" w:color="auto" w:fill="E1DFDD"/>
    </w:rPr>
  </w:style>
  <w:style w:type="character" w:customStyle="1" w:styleId="BalloonTextChar">
    <w:name w:val="Balloon Text Char"/>
    <w:qFormat/>
    <w:rPr>
      <w:rFonts w:ascii="Tahoma" w:hAnsi="Tahoma" w:cs="Tahoma"/>
      <w:sz w:val="16"/>
      <w:szCs w:val="16"/>
    </w:rPr>
  </w:style>
  <w:style w:type="character" w:customStyle="1" w:styleId="BodyTextChar">
    <w:name w:val="Body Text Char"/>
    <w:qFormat/>
    <w:rPr>
      <w:rFonts w:ascii="Times New Roman" w:eastAsia="Times New Roman" w:hAnsi="Times New Roman" w:cs="Times New Roman"/>
      <w:sz w:val="24"/>
      <w:szCs w:val="24"/>
    </w:rPr>
  </w:style>
  <w:style w:type="character" w:customStyle="1" w:styleId="TitleChar">
    <w:name w:val="Title Char"/>
    <w:qFormat/>
    <w:rPr>
      <w:rFonts w:ascii="Cambria" w:eastAsia="Times New Roman" w:hAnsi="Cambria" w:cs="Cambria"/>
      <w:b/>
      <w:bCs/>
      <w:kern w:val="2"/>
      <w:sz w:val="32"/>
      <w:szCs w:val="32"/>
    </w:rPr>
  </w:style>
  <w:style w:type="character" w:customStyle="1" w:styleId="markedcontent">
    <w:name w:val="markedcontent"/>
    <w:qFormat/>
  </w:style>
  <w:style w:type="character" w:styleId="UnresolvedMention">
    <w:name w:val="Unresolved Mention"/>
    <w:qFormat/>
    <w:rPr>
      <w:color w:val="605E5C"/>
      <w:shd w:val="clear" w:color="auto" w:fill="E1DFDD"/>
    </w:rPr>
  </w:style>
  <w:style w:type="character" w:customStyle="1" w:styleId="ListParagraphChar">
    <w:name w:val="List Paragraph Char"/>
    <w:qFormat/>
    <w:rPr>
      <w:rFonts w:ascii="Times New Roman" w:hAnsi="Times New Roman" w:cs="Times New Roman"/>
      <w:sz w:val="24"/>
      <w:szCs w:val="22"/>
    </w:rPr>
  </w:style>
  <w:style w:type="character" w:styleId="Strong">
    <w:name w:val="Strong"/>
    <w:qFormat/>
    <w:rPr>
      <w:b/>
      <w:bCs/>
    </w:rPr>
  </w:style>
  <w:style w:type="character" w:styleId="Emphasis">
    <w:name w:val="Emphasis"/>
    <w:qFormat/>
    <w:rPr>
      <w:i/>
      <w:iCs/>
    </w:rPr>
  </w:style>
  <w:style w:type="paragraph" w:customStyle="1" w:styleId="Heading">
    <w:name w:val="Heading"/>
    <w:basedOn w:val="Normal"/>
    <w:next w:val="Normal"/>
    <w:qFormat/>
    <w:pPr>
      <w:spacing w:before="240" w:after="60" w:line="257" w:lineRule="auto"/>
      <w:jc w:val="center"/>
      <w:outlineLvl w:val="0"/>
    </w:pPr>
    <w:rPr>
      <w:rFonts w:ascii="Cambria" w:eastAsia="Times New Roman" w:hAnsi="Cambria" w:cs="Cambria"/>
      <w:b/>
      <w:bCs/>
      <w:kern w:val="2"/>
      <w:sz w:val="32"/>
      <w:szCs w:val="32"/>
    </w:rPr>
  </w:style>
  <w:style w:type="paragraph" w:styleId="BodyText">
    <w:name w:val="Body Text"/>
    <w:basedOn w:val="Normal"/>
    <w:pPr>
      <w:widowControl w:val="0"/>
      <w:autoSpaceDE w:val="0"/>
      <w:spacing w:after="0" w:line="240" w:lineRule="auto"/>
      <w:jc w:val="left"/>
    </w:pPr>
    <w:rPr>
      <w:rFonts w:eastAsia="Times New Roman"/>
      <w:szCs w:val="24"/>
    </w:rPr>
  </w:style>
  <w:style w:type="paragraph" w:styleId="List">
    <w:name w:val="List"/>
    <w:basedOn w:val="BodyText"/>
    <w:rPr>
      <w:rFonts w:cs="Lohit Devanagari"/>
    </w:rPr>
  </w:style>
  <w:style w:type="paragraph" w:styleId="Caption">
    <w:name w:val="caption"/>
    <w:basedOn w:val="Normal"/>
    <w:next w:val="Normal"/>
    <w:qFormat/>
    <w:pPr>
      <w:spacing w:before="120" w:after="120"/>
    </w:pPr>
    <w:rPr>
      <w:rFonts w:eastAsia="Times New Roman"/>
      <w:b/>
      <w:bCs/>
      <w:color w:val="000000"/>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spacing w:after="0" w:line="240" w:lineRule="auto"/>
    </w:pPr>
  </w:style>
  <w:style w:type="paragraph" w:styleId="Header">
    <w:name w:val="header"/>
    <w:basedOn w:val="Normal"/>
    <w:pPr>
      <w:spacing w:after="0" w:line="240" w:lineRule="auto"/>
    </w:pPr>
  </w:style>
  <w:style w:type="paragraph" w:styleId="TOC1">
    <w:name w:val="toc 1"/>
    <w:basedOn w:val="Normal"/>
    <w:next w:val="Normal"/>
  </w:style>
  <w:style w:type="paragraph" w:styleId="TOC2">
    <w:name w:val="toc 2"/>
    <w:basedOn w:val="Normal"/>
    <w:next w:val="Normal"/>
    <w:pPr>
      <w:ind w:left="240"/>
    </w:pPr>
  </w:style>
  <w:style w:type="paragraph" w:styleId="TOC3">
    <w:name w:val="toc 3"/>
    <w:basedOn w:val="Normal"/>
    <w:next w:val="Normal"/>
    <w:pPr>
      <w:ind w:left="480"/>
    </w:pPr>
  </w:style>
  <w:style w:type="paragraph" w:styleId="ListParagraph">
    <w:name w:val="List Paragraph"/>
    <w:basedOn w:val="Normal"/>
    <w:qFormat/>
    <w:pPr>
      <w:ind w:left="720"/>
      <w:contextualSpacing/>
    </w:pPr>
  </w:style>
  <w:style w:type="paragraph" w:customStyle="1" w:styleId="TOCHeading1">
    <w:name w:val="TOC Heading1"/>
    <w:basedOn w:val="Heading1"/>
    <w:next w:val="Normal"/>
    <w:qFormat/>
    <w:pPr>
      <w:numPr>
        <w:numId w:val="0"/>
      </w:numPr>
      <w:spacing w:before="480"/>
      <w:jc w:val="both"/>
      <w:outlineLvl w:val="9"/>
    </w:pPr>
    <w:rPr>
      <w:rFonts w:ascii="Cambria" w:eastAsia="Times New Roman" w:hAnsi="Cambria" w:cs="Cambria"/>
      <w:bCs/>
      <w:color w:val="365F91"/>
      <w:sz w:val="28"/>
      <w:szCs w:val="28"/>
    </w:rPr>
  </w:style>
  <w:style w:type="paragraph" w:customStyle="1" w:styleId="Default">
    <w:name w:val="Default"/>
    <w:qFormat/>
    <w:pPr>
      <w:suppressAutoHyphens/>
      <w:autoSpaceDE w:val="0"/>
    </w:pPr>
    <w:rPr>
      <w:rFonts w:ascii="Times New Roman" w:eastAsia="Calibri" w:hAnsi="Times New Roman" w:cs="Times New Roman"/>
      <w:color w:val="000000"/>
      <w:sz w:val="24"/>
      <w:szCs w:val="24"/>
      <w:lang w:eastAsia="zh-CN"/>
    </w:rPr>
  </w:style>
  <w:style w:type="paragraph" w:styleId="NoSpacing">
    <w:name w:val="No Spacing"/>
    <w:qFormat/>
    <w:pPr>
      <w:suppressAutoHyphens/>
      <w:jc w:val="both"/>
    </w:pPr>
    <w:rPr>
      <w:rFonts w:ascii="Times New Roman" w:eastAsia="Times New Roman" w:hAnsi="Times New Roman" w:cs="Times New Roman"/>
      <w:sz w:val="24"/>
      <w:lang w:eastAsia="zh-CN"/>
    </w:rPr>
  </w:style>
  <w:style w:type="paragraph" w:styleId="BalloonText">
    <w:name w:val="Balloon Text"/>
    <w:basedOn w:val="Normal"/>
    <w:qFormat/>
    <w:pPr>
      <w:spacing w:after="0" w:line="240" w:lineRule="auto"/>
    </w:pPr>
    <w:rPr>
      <w:rFonts w:ascii="Tahoma" w:hAnsi="Tahoma" w:cs="Tahoma"/>
      <w:sz w:val="16"/>
      <w:szCs w:val="16"/>
    </w:rPr>
  </w:style>
  <w:style w:type="paragraph" w:styleId="TOC4">
    <w:name w:val="toc 4"/>
    <w:basedOn w:val="Normal"/>
    <w:next w:val="Normal"/>
    <w:pPr>
      <w:spacing w:after="100" w:line="276" w:lineRule="auto"/>
      <w:ind w:left="660"/>
      <w:jc w:val="left"/>
    </w:pPr>
    <w:rPr>
      <w:rFonts w:ascii="Calibri" w:eastAsia="Times New Roman" w:hAnsi="Calibri"/>
      <w:sz w:val="22"/>
    </w:rPr>
  </w:style>
  <w:style w:type="paragraph" w:styleId="TOC5">
    <w:name w:val="toc 5"/>
    <w:basedOn w:val="Normal"/>
    <w:next w:val="Normal"/>
    <w:pPr>
      <w:spacing w:after="100" w:line="276" w:lineRule="auto"/>
      <w:ind w:left="880"/>
      <w:jc w:val="left"/>
    </w:pPr>
    <w:rPr>
      <w:rFonts w:ascii="Calibri" w:eastAsia="Times New Roman" w:hAnsi="Calibri"/>
      <w:sz w:val="22"/>
    </w:rPr>
  </w:style>
  <w:style w:type="paragraph" w:styleId="TOC6">
    <w:name w:val="toc 6"/>
    <w:basedOn w:val="Normal"/>
    <w:next w:val="Normal"/>
    <w:pPr>
      <w:spacing w:after="100" w:line="276" w:lineRule="auto"/>
      <w:ind w:left="1100"/>
      <w:jc w:val="left"/>
    </w:pPr>
    <w:rPr>
      <w:rFonts w:ascii="Calibri" w:eastAsia="Times New Roman" w:hAnsi="Calibri"/>
      <w:sz w:val="22"/>
    </w:rPr>
  </w:style>
  <w:style w:type="paragraph" w:styleId="TOC7">
    <w:name w:val="toc 7"/>
    <w:basedOn w:val="Normal"/>
    <w:next w:val="Normal"/>
    <w:pPr>
      <w:spacing w:after="100" w:line="276" w:lineRule="auto"/>
      <w:ind w:left="1320"/>
      <w:jc w:val="left"/>
    </w:pPr>
    <w:rPr>
      <w:rFonts w:ascii="Calibri" w:eastAsia="Times New Roman" w:hAnsi="Calibri"/>
      <w:sz w:val="22"/>
    </w:rPr>
  </w:style>
  <w:style w:type="paragraph" w:styleId="TOC8">
    <w:name w:val="toc 8"/>
    <w:basedOn w:val="Normal"/>
    <w:next w:val="Normal"/>
    <w:pPr>
      <w:spacing w:after="100" w:line="276" w:lineRule="auto"/>
      <w:ind w:left="1540"/>
      <w:jc w:val="left"/>
    </w:pPr>
    <w:rPr>
      <w:rFonts w:ascii="Calibri" w:eastAsia="Times New Roman" w:hAnsi="Calibri"/>
      <w:sz w:val="22"/>
    </w:rPr>
  </w:style>
  <w:style w:type="paragraph" w:styleId="TOC9">
    <w:name w:val="toc 9"/>
    <w:basedOn w:val="Normal"/>
    <w:next w:val="Normal"/>
    <w:pPr>
      <w:spacing w:after="100" w:line="276" w:lineRule="auto"/>
      <w:ind w:left="1760"/>
      <w:jc w:val="left"/>
    </w:pPr>
    <w:rPr>
      <w:rFonts w:ascii="Calibri" w:eastAsia="Times New Roman" w:hAnsi="Calibri"/>
      <w:sz w:val="22"/>
    </w:rPr>
  </w:style>
  <w:style w:type="paragraph" w:styleId="NormalWeb">
    <w:name w:val="Normal (Web)"/>
    <w:basedOn w:val="Normal"/>
    <w:qFormat/>
    <w:pPr>
      <w:spacing w:before="280" w:after="280" w:line="240" w:lineRule="auto"/>
      <w:jc w:val="left"/>
    </w:pPr>
    <w:rPr>
      <w:rFonts w:eastAsia="Times New Roman"/>
      <w:szCs w:val="24"/>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paragraph" w:customStyle="1" w:styleId="pdq2pgselectionanchorcontainer">
    <w:name w:val="pdq2pg_selectionanchorcontainer"/>
    <w:basedOn w:val="Normal"/>
    <w:rsid w:val="00B10B70"/>
    <w:pPr>
      <w:suppressAutoHyphens w:val="0"/>
      <w:spacing w:before="100" w:beforeAutospacing="1" w:after="100" w:afterAutospacing="1" w:line="240" w:lineRule="auto"/>
      <w:jc w:val="left"/>
    </w:pPr>
    <w:rPr>
      <w:rFonts w:eastAsia="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4324/9780429449178-7" TargetMode="External"/><Relationship Id="rId18" Type="http://schemas.openxmlformats.org/officeDocument/2006/relationships/hyperlink" Target="https://redfame.com/journal/index.php/ijsss/article/view/5089" TargetMode="External"/><Relationship Id="rId26" Type="http://schemas.openxmlformats.org/officeDocument/2006/relationships/hyperlink" Target="https://doi.org/10.1016/0304-405X(76)90026-X" TargetMode="External"/><Relationship Id="rId39" Type="http://schemas.openxmlformats.org/officeDocument/2006/relationships/hyperlink" Target="https://doi.org/10.21511/ppm.19(4).2021.15" TargetMode="External"/><Relationship Id="rId21" Type="http://schemas.openxmlformats.org/officeDocument/2006/relationships/hyperlink" Target="https://www.knbs.or.ke/reports/2022-economic-survey/" TargetMode="External"/><Relationship Id="rId34" Type="http://schemas.openxmlformats.org/officeDocument/2006/relationships/hyperlink" Target="https://erepo.usiu.ac.ke/handle/11732/5541" TargetMode="External"/><Relationship Id="rId42" Type="http://schemas.openxmlformats.org/officeDocument/2006/relationships/hyperlink" Target="https://doi.org/10.53819/81018102t2258" TargetMode="External"/><Relationship Id="rId47" Type="http://schemas.openxmlformats.org/officeDocument/2006/relationships/hyperlink" Target="https://www.mheducation.com/highered/product/principles-of-corporate-finance-brealey.html" TargetMode="External"/><Relationship Id="rId50" Type="http://schemas.openxmlformats.org/officeDocument/2006/relationships/hyperlink" Target="https://www.iiste.org/Journals/index.php/EJBM/article/view/34900" TargetMode="External"/><Relationship Id="rId7" Type="http://schemas.openxmlformats.org/officeDocument/2006/relationships/hyperlink" Target="https://doi.org/10.11648/j.ijber.20200904.12" TargetMode="External"/><Relationship Id="rId2" Type="http://schemas.openxmlformats.org/officeDocument/2006/relationships/styles" Target="styles.xml"/><Relationship Id="rId16" Type="http://schemas.openxmlformats.org/officeDocument/2006/relationships/hyperlink" Target="https://doi.org/10.5089/9781513509112.001" TargetMode="External"/><Relationship Id="rId29" Type="http://schemas.openxmlformats.org/officeDocument/2006/relationships/hyperlink" Target="https://doi.org/10.1287/orsc.2019.1339" TargetMode="External"/><Relationship Id="rId11" Type="http://schemas.openxmlformats.org/officeDocument/2006/relationships/hyperlink" Target="https://doi.org/10.1017/S0890060420000062" TargetMode="External"/><Relationship Id="rId24" Type="http://schemas.openxmlformats.org/officeDocument/2006/relationships/hyperlink" Target="https://doi.org/10.58532/nbennurch14" TargetMode="External"/><Relationship Id="rId32" Type="http://schemas.openxmlformats.org/officeDocument/2006/relationships/hyperlink" Target="https://doi.org/10.47941/jacc.1070" TargetMode="External"/><Relationship Id="rId37" Type="http://schemas.openxmlformats.org/officeDocument/2006/relationships/hyperlink" Target="https://doi.org/10.1080/23311975.2023.2228553" TargetMode="External"/><Relationship Id="rId40" Type="http://schemas.openxmlformats.org/officeDocument/2006/relationships/hyperlink" Target="https://doi.org/10.29322/IJSRP.9.01.2019.p8564" TargetMode="External"/><Relationship Id="rId45" Type="http://schemas.openxmlformats.org/officeDocument/2006/relationships/hyperlink" Target="https://www.researchgate.net/publication/339749694_Understanding_the_Effects_of_Value_Added_Tax_VAT_on_Small_and_Medium_Enterprises_SMEs_of_Hargeisa_Somaliland"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3390/su14148270" TargetMode="External"/><Relationship Id="rId19" Type="http://schemas.openxmlformats.org/officeDocument/2006/relationships/hyperlink" Target="https://doi.org/10.56557/ajefm/2026/v8i1373" TargetMode="External"/><Relationship Id="rId31" Type="http://schemas.openxmlformats.org/officeDocument/2006/relationships/hyperlink" Target="https://su-plus.strathmore.edu/items/d7c915d0-6c1f-4d48-aed4-63e3b81677db" TargetMode="External"/><Relationship Id="rId44" Type="http://schemas.openxmlformats.org/officeDocument/2006/relationships/hyperlink" Target="https://doi.org/10.7759/cureus.6692"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26389/AJSRP.A190420" TargetMode="External"/><Relationship Id="rId14" Type="http://schemas.openxmlformats.org/officeDocument/2006/relationships/hyperlink" Target="https://doi.org/10.15408/sjie.v7i2.7341" TargetMode="External"/><Relationship Id="rId22" Type="http://schemas.openxmlformats.org/officeDocument/2006/relationships/hyperlink" Target="https://doi.org/10.9734/ajeba/2024/v24i101510" TargetMode="External"/><Relationship Id="rId27" Type="http://schemas.openxmlformats.org/officeDocument/2006/relationships/hyperlink" Target="https://doi.org/10.2307/2296779" TargetMode="External"/><Relationship Id="rId30" Type="http://schemas.openxmlformats.org/officeDocument/2006/relationships/hyperlink" Target="https://doi.org/10.37227/JIBM-2021-09-1257" TargetMode="External"/><Relationship Id="rId35" Type="http://schemas.openxmlformats.org/officeDocument/2006/relationships/hyperlink" Target="https://doi.org/10.4102/sajems.v27i1.5589" TargetMode="External"/><Relationship Id="rId43" Type="http://schemas.openxmlformats.org/officeDocument/2006/relationships/hyperlink" Target="https://doi.org/10.2307/2222721" TargetMode="External"/><Relationship Id="rId48" Type="http://schemas.openxmlformats.org/officeDocument/2006/relationships/hyperlink" Target="https://doi.org/10.18601/16926722.n14.10" TargetMode="External"/><Relationship Id="rId8" Type="http://schemas.openxmlformats.org/officeDocument/2006/relationships/hyperlink" Target="https://www.msme.go.ke/sites/default/files/Documents/SDMSMED%20STRATEGIC%20PLAN%20%282023-2027%29%20ZERO%20DRAFT.pdf" TargetMode="External"/><Relationship Id="rId51"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yperlink" Target="https://www.mheducation.com/highered/product/principles-of-corporate-finance-brealey.html" TargetMode="External"/><Relationship Id="rId17" Type="http://schemas.openxmlformats.org/officeDocument/2006/relationships/hyperlink" Target="https://doi.org/10.3390/su11051221" TargetMode="External"/><Relationship Id="rId25" Type="http://schemas.openxmlformats.org/officeDocument/2006/relationships/hyperlink" Target="https://doi.org/10.1007/s10797-022-09743-z" TargetMode="External"/><Relationship Id="rId33" Type="http://schemas.openxmlformats.org/officeDocument/2006/relationships/hyperlink" Target="https://doi.org/10.24018/ejbmr.2023.8.3.1952" TargetMode="External"/><Relationship Id="rId38" Type="http://schemas.openxmlformats.org/officeDocument/2006/relationships/hyperlink" Target="https://iiardjournals.org/get/JAFM/VOL.%207%20NO.%203%202021/Stamp%20duty%2C%20revenue.pdf" TargetMode="External"/><Relationship Id="rId46" Type="http://schemas.openxmlformats.org/officeDocument/2006/relationships/hyperlink" Target="https://doi.org/10.5772/intechopen.85731" TargetMode="External"/><Relationship Id="rId20" Type="http://schemas.openxmlformats.org/officeDocument/2006/relationships/hyperlink" Target="https://doi.org/10.4236/ojacct.2022.112005" TargetMode="External"/><Relationship Id="rId41" Type="http://schemas.openxmlformats.org/officeDocument/2006/relationships/hyperlink" Target="https://doi.org/10.1016/j.eap.2019.11.006"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7176/RJFA/10-18-04" TargetMode="External"/><Relationship Id="rId23" Type="http://schemas.openxmlformats.org/officeDocument/2006/relationships/hyperlink" Target="https://ir-library.ku.ac.ke/items/00d9c1e8-09eb-4126-9dc5-42cee6e0338a" TargetMode="External"/><Relationship Id="rId28" Type="http://schemas.openxmlformats.org/officeDocument/2006/relationships/hyperlink" Target="https://doi.org/10.59952/tuj.v5i2.190" TargetMode="External"/><Relationship Id="rId36" Type="http://schemas.openxmlformats.org/officeDocument/2006/relationships/hyperlink" Target="https://strategicjournals.com/index.php/journal/article/view/1688/0" TargetMode="External"/><Relationship Id="rId49" Type="http://schemas.openxmlformats.org/officeDocument/2006/relationships/hyperlink" Target="https://namibian-studies.com/index.php/JNS/article/view/863/699"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30</Pages>
  <Words>10147</Words>
  <Characters>57844</Characters>
  <Application>Microsoft Office Word</Application>
  <DocSecurity>0</DocSecurity>
  <Lines>482</Lines>
  <Paragraphs>135</Paragraphs>
  <ScaleCrop>false</ScaleCrop>
  <Company/>
  <LinksUpToDate>false</LinksUpToDate>
  <CharactersWithSpaces>67856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Amina</dc:creator>
  <cp:keywords/>
  <dc:description/>
  <cp:lastModifiedBy>Editor-90</cp:lastModifiedBy>
  <cp:revision>53</cp:revision>
  <cp:lastPrinted>2024-03-13T15:59:00Z</cp:lastPrinted>
  <dcterms:created xsi:type="dcterms:W3CDTF">2026-06-15T10:15:00Z</dcterms:created>
  <dcterms:modified xsi:type="dcterms:W3CDTF">2026-06-25T12:49:00Z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d180cff332bb2bec9a34470313fbd922cd91e03234e094ea75ec273f0c40b3a1</vt:lpwstr>
  </property>
  <property fmtid="{D5CDD505-2E9C-101B-9397-08002B2CF9AE}" pid="3" name="ICV">
    <vt:lpwstr>9F3B5B83CEFB4ECC8369C7C97C327413_13</vt:lpwstr>
  </property>
  <property fmtid="{D5CDD505-2E9C-101B-9397-08002B2CF9AE}" pid="4" name="KSOProductBuildVer">
    <vt:lpwstr>1033-12.2.0.13292</vt:lpwstr>
  </property>
</Properties>
</file>