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C5C9B" w:rsidP="00441B6F">
      <w:pPr>
        <w:pStyle w:val="Title"/>
        <w:spacing w:after="0"/>
        <w:jc w:val="both"/>
        <w:rPr>
          <w:rFonts w:ascii="Arial" w:hAnsi="Arial" w:cs="Arial"/>
        </w:rPr>
      </w:pPr>
      <w:r w:rsidRPr="007C5C9B">
        <w:rPr>
          <w:rFonts w:ascii="Arial" w:hAnsi="Arial" w:cs="Arial"/>
        </w:rPr>
        <w:t>Original Research Article</w:t>
      </w:r>
    </w:p>
    <w:p w:rsidR="007C5C9B" w:rsidRDefault="007C5C9B" w:rsidP="00441B6F">
      <w:pPr>
        <w:pStyle w:val="Title"/>
        <w:spacing w:after="0"/>
        <w:jc w:val="both"/>
        <w:rPr>
          <w:rFonts w:ascii="Arial" w:hAnsi="Arial" w:cs="Arial"/>
        </w:rPr>
      </w:pPr>
    </w:p>
    <w:p w:rsidR="00D54367" w:rsidRPr="00D54367" w:rsidRDefault="00D54367" w:rsidP="00D54367">
      <w:pPr>
        <w:jc w:val="right"/>
        <w:rPr>
          <w:rFonts w:ascii="Arial" w:hAnsi="Arial" w:cs="Arial"/>
          <w:b/>
          <w:sz w:val="36"/>
          <w:szCs w:val="36"/>
        </w:rPr>
      </w:pPr>
      <w:r w:rsidRPr="00893BC2">
        <w:rPr>
          <w:rFonts w:ascii="Arial" w:hAnsi="Arial" w:cs="Arial"/>
          <w:b/>
          <w:sz w:val="36"/>
          <w:szCs w:val="36"/>
          <w:highlight w:val="yellow"/>
        </w:rPr>
        <w:t>Modeling the Dynamics of Nigerian Crude Oil Price Durations</w:t>
      </w:r>
      <w:r w:rsidR="00893BC2" w:rsidRPr="00893BC2">
        <w:rPr>
          <w:rFonts w:ascii="Arial" w:hAnsi="Arial" w:cs="Arial"/>
          <w:b/>
          <w:sz w:val="36"/>
          <w:szCs w:val="36"/>
          <w:highlight w:val="yellow"/>
        </w:rPr>
        <w:t>: Evidence from</w:t>
      </w:r>
      <w:r w:rsidRPr="00893BC2">
        <w:rPr>
          <w:rFonts w:ascii="Arial" w:hAnsi="Arial" w:cs="Arial"/>
          <w:b/>
          <w:sz w:val="36"/>
          <w:szCs w:val="36"/>
          <w:highlight w:val="yellow"/>
        </w:rPr>
        <w:t xml:space="preserve"> Symmetric Autoregressive Conditional Duration (ACD) Models</w:t>
      </w:r>
    </w:p>
    <w:p w:rsidR="00A258C3" w:rsidRPr="00D54367" w:rsidRDefault="00A258C3" w:rsidP="00441B6F">
      <w:pPr>
        <w:pStyle w:val="Author"/>
        <w:spacing w:line="240" w:lineRule="auto"/>
        <w:jc w:val="both"/>
        <w:rPr>
          <w:rFonts w:ascii="Arial" w:hAnsi="Arial" w:cs="Arial"/>
          <w:sz w:val="36"/>
        </w:rPr>
      </w:pPr>
    </w:p>
    <w:p w:rsidR="007C5C9B" w:rsidRPr="00D54367" w:rsidRDefault="007C5C9B" w:rsidP="00D54367">
      <w:pPr>
        <w:pStyle w:val="NormalWeb"/>
        <w:spacing w:before="0" w:beforeAutospacing="0" w:after="0" w:afterAutospacing="0"/>
        <w:jc w:val="right"/>
        <w:rPr>
          <w:rFonts w:ascii="Arial" w:hAnsi="Arial" w:cs="Arial"/>
          <w:sz w:val="20"/>
          <w:szCs w:val="20"/>
        </w:rPr>
      </w:pPr>
    </w:p>
    <w:p w:rsidR="002C57D2" w:rsidRPr="00FB3A86" w:rsidRDefault="002C57D2" w:rsidP="00441B6F">
      <w:pPr>
        <w:pStyle w:val="Affiliation"/>
        <w:spacing w:after="0" w:line="240" w:lineRule="auto"/>
        <w:jc w:val="both"/>
        <w:rPr>
          <w:rFonts w:ascii="Arial" w:hAnsi="Arial" w:cs="Arial"/>
        </w:rPr>
      </w:pPr>
    </w:p>
    <w:p w:rsidR="00B01FCD" w:rsidRPr="00FB3A86" w:rsidRDefault="00AC73E4" w:rsidP="00441B6F">
      <w:pPr>
        <w:pStyle w:val="Copyright"/>
        <w:spacing w:after="0" w:line="240" w:lineRule="auto"/>
        <w:jc w:val="both"/>
        <w:rPr>
          <w:rFonts w:ascii="Arial" w:hAnsi="Arial" w:cs="Arial"/>
        </w:rPr>
        <w:sectPr w:rsidR="00B01FCD" w:rsidRPr="00FB3A86" w:rsidSect="001B3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D54367">
      <w:pPr>
        <w:pStyle w:val="AbstHead"/>
        <w:spacing w:after="0"/>
        <w:jc w:val="center"/>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54367" w:rsidTr="001E44FE">
        <w:tc>
          <w:tcPr>
            <w:tcW w:w="9576" w:type="dxa"/>
            <w:shd w:val="clear" w:color="auto" w:fill="F2F2F2"/>
          </w:tcPr>
          <w:p w:rsidR="00505F06" w:rsidRPr="00D54367" w:rsidRDefault="00D54367" w:rsidP="00D54367">
            <w:pPr>
              <w:pStyle w:val="NormalWeb"/>
              <w:jc w:val="both"/>
              <w:rPr>
                <w:rFonts w:ascii="Arial" w:hAnsi="Arial" w:cs="Arial"/>
                <w:sz w:val="20"/>
                <w:szCs w:val="20"/>
              </w:rPr>
            </w:pPr>
            <w:r w:rsidRPr="00D54367">
              <w:rPr>
                <w:rFonts w:ascii="Arial" w:hAnsi="Arial" w:cs="Arial"/>
                <w:sz w:val="20"/>
                <w:szCs w:val="20"/>
              </w:rPr>
              <w:t xml:space="preserve">This study models the temporal dynamics of Nigerian crude-oil price activity by treating unusually large daily volatility observations (squared log-returns) as point events and modeling the trading-day durations between such events with symmetric Autoregressive Conditional Duration (ACD) models. Using daily closing prices from 3 November 2009 to 22 April 2025, log-returns were computed and squared to form a volatility proxy; events were defined as squared-return exceedances above a pre-specified threshold and event clusters were collapsed to produce a duration series. Stationarity of the duration series was confirmed using KPSS stationarity test, and strong serial dependence motivated ACD-type modeling. A range of </w:t>
            </w:r>
            <w:proofErr w:type="gramStart"/>
            <w:r w:rsidRPr="00D54367">
              <w:rPr>
                <w:rFonts w:ascii="Arial" w:hAnsi="Arial" w:cs="Arial"/>
                <w:sz w:val="20"/>
                <w:szCs w:val="20"/>
              </w:rPr>
              <w:t>ACD(</w:t>
            </w:r>
            <w:proofErr w:type="gramEnd"/>
            <w:r w:rsidRPr="00D54367">
              <w:rPr>
                <w:rFonts w:ascii="Arial" w:hAnsi="Arial" w:cs="Arial"/>
                <w:sz w:val="20"/>
                <w:szCs w:val="20"/>
              </w:rPr>
              <w:t xml:space="preserve">2,3) and Log-ACD(2,3) model specifications were estimated under Weibull and Log-Weibull error distributions respectively; information criteria selected Log-ACD(2,3) as the preferred model, with statistically significant lag coefficients and a sum of autoregressive parameters below unity (i.e., </w:t>
            </w:r>
            <m:oMath>
              <m:nary>
                <m:naryPr>
                  <m:chr m:val="∑"/>
                  <m:limLoc m:val="undOvr"/>
                  <m:subHide m:val="1"/>
                  <m:supHide m:val="1"/>
                  <m:ctrlPr>
                    <w:rPr>
                      <w:rFonts w:ascii="Cambria Math" w:hAnsi="Arial" w:cs="Arial"/>
                      <w:i/>
                      <w:sz w:val="20"/>
                      <w:szCs w:val="20"/>
                    </w:rPr>
                  </m:ctrlPr>
                </m:naryPr>
                <m:sub/>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Arial" w:cs="Arial"/>
                  <w:sz w:val="20"/>
                  <w:szCs w:val="20"/>
                </w:rPr>
                <m:t>+</m:t>
              </m:r>
              <m:nary>
                <m:naryPr>
                  <m:chr m:val="∑"/>
                  <m:limLoc m:val="undOvr"/>
                  <m:subHide m:val="1"/>
                  <m:supHide m:val="1"/>
                  <m:ctrlPr>
                    <w:rPr>
                      <w:rFonts w:ascii="Cambria Math" w:hAnsi="Arial" w:cs="Arial"/>
                      <w:i/>
                      <w:sz w:val="20"/>
                      <w:szCs w:val="20"/>
                    </w:rPr>
                  </m:ctrlPr>
                </m:naryPr>
                <m:sub/>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e>
              </m:nary>
              <m:r>
                <w:rPr>
                  <w:rFonts w:ascii="Cambria Math" w:hAnsi="Arial" w:cs="Arial"/>
                  <w:sz w:val="20"/>
                  <w:szCs w:val="20"/>
                </w:rPr>
                <m:t>&lt;1</m:t>
              </m:r>
            </m:oMath>
            <w:r w:rsidRPr="00D54367">
              <w:rPr>
                <w:rFonts w:ascii="Arial" w:hAnsi="Arial" w:cs="Arial"/>
                <w:sz w:val="20"/>
                <w:szCs w:val="20"/>
              </w:rPr>
              <w:t>) – evidence of persistent but mean-reverting duration dynamics. Diagnostics (Ljung-Box on standardized residuals) indicated that the selected models effectively captured serial dependence, leaving residuals that resembled white noise. The results imply that durations between volatility spikes in the Nigerian crude market are predictable and that log-linear duration specifications (Log-ACD) offer superior fit and forecasting potential compared to the standard ACD form. These findings offer a new way of understanding volatility clustering by viewing it through a point-process lens, which adds depth to traditional volatility models used in risk management and policy decisions. The study suggests that Nigerian fiscal authorities should consider adopting Log-ACD-based volatility forecasts as part of their fiscal risk management framework. Doing so would help them better anticipate shocks in the crude oil market and respond promptly through measures such as expenditure control, hedging, and reserve adjustments thereby protecting budget stability and ensuring steady revenue flows.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D54367" w:rsidRPr="00D54367">
        <w:rPr>
          <w:rFonts w:ascii="Arial" w:hAnsi="Arial" w:cs="Arial"/>
          <w:i/>
        </w:rPr>
        <w:t>Autoregressive Conditional Duration Models, Events, Mean-</w:t>
      </w:r>
      <w:proofErr w:type="spellStart"/>
      <w:r w:rsidR="00D54367" w:rsidRPr="00D54367">
        <w:rPr>
          <w:rFonts w:ascii="Arial" w:hAnsi="Arial" w:cs="Arial"/>
          <w:i/>
        </w:rPr>
        <w:t>Revertion</w:t>
      </w:r>
      <w:proofErr w:type="spellEnd"/>
      <w:r w:rsidR="00D54367" w:rsidRPr="00D54367">
        <w:rPr>
          <w:rFonts w:ascii="Arial" w:hAnsi="Arial" w:cs="Arial"/>
          <w:i/>
        </w:rPr>
        <w:t>, Nigerian Crude Oil Prices, Squared Log-Returns</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2664FF" w:rsidRPr="002664FF" w:rsidRDefault="002664FF" w:rsidP="002664FF">
      <w:pPr>
        <w:pStyle w:val="NormalWeb"/>
        <w:jc w:val="both"/>
        <w:rPr>
          <w:rFonts w:ascii="Arial" w:hAnsi="Arial" w:cs="Arial"/>
          <w:sz w:val="20"/>
          <w:szCs w:val="20"/>
        </w:rPr>
      </w:pPr>
      <w:r w:rsidRPr="002664FF">
        <w:rPr>
          <w:rFonts w:ascii="Arial" w:hAnsi="Arial" w:cs="Arial"/>
          <w:sz w:val="20"/>
          <w:szCs w:val="20"/>
        </w:rPr>
        <w:t xml:space="preserve">Crude oil plays a vital role in the global energy and financial systems, serving as one of the most influential commodities in international trade and economic planning. However, the crude oil market is characterized by high volatility, as prices fluctuate due to numerous interrelated factors such as geopolitical tensions, supply and demand imbalances, global economic performance, and speculative trading activities (Kilian &amp; Murphy, 2014). For </w:t>
      </w:r>
      <w:r w:rsidRPr="002664FF">
        <w:rPr>
          <w:rFonts w:ascii="Arial" w:hAnsi="Arial" w:cs="Arial"/>
          <w:sz w:val="20"/>
          <w:szCs w:val="20"/>
        </w:rPr>
        <w:lastRenderedPageBreak/>
        <w:t>Nigeria, which remains one of Africa’s major oil-producing countries, this volatility poses significant economic challenges. The nation’s heavy dependence on oil revenues makes it highly susceptible to global oil price swings, which in turn affect key macroeconomic variables such as exchange rates, inflation, and gross domestic product (Akpan, 2009). As a result, understanding the nature, dynamics, and timing of oil price movements is essential for sound fiscal management, economic forecasting, and policy formulation.</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While many studies have focused on modeling oil price levels and returns, relatively few have examined the </w:t>
      </w:r>
      <w:r w:rsidRPr="002664FF">
        <w:rPr>
          <w:rStyle w:val="Emphasis"/>
          <w:rFonts w:ascii="Arial" w:hAnsi="Arial" w:cs="Arial"/>
          <w:sz w:val="20"/>
          <w:szCs w:val="20"/>
        </w:rPr>
        <w:t>timing</w:t>
      </w:r>
      <w:r w:rsidRPr="002664FF">
        <w:rPr>
          <w:rFonts w:ascii="Arial" w:hAnsi="Arial" w:cs="Arial"/>
          <w:sz w:val="20"/>
          <w:szCs w:val="20"/>
        </w:rPr>
        <w:t xml:space="preserve"> of these price changes—known as price durations. Price durations refer to the time intervals between significant price movements, and they offer valuable information about the internal dynamics of market activity, volatility clustering, and </w:t>
      </w:r>
      <w:proofErr w:type="spellStart"/>
      <w:r w:rsidRPr="002664FF">
        <w:rPr>
          <w:rFonts w:ascii="Arial" w:hAnsi="Arial" w:cs="Arial"/>
          <w:sz w:val="20"/>
          <w:szCs w:val="20"/>
        </w:rPr>
        <w:t>behavioural</w:t>
      </w:r>
      <w:proofErr w:type="spellEnd"/>
      <w:r w:rsidRPr="002664FF">
        <w:rPr>
          <w:rFonts w:ascii="Arial" w:hAnsi="Arial" w:cs="Arial"/>
          <w:sz w:val="20"/>
          <w:szCs w:val="20"/>
        </w:rPr>
        <w:t xml:space="preserve"> patterns of traders. Traditional models like GARCH often emphasize the </w:t>
      </w:r>
      <w:r w:rsidRPr="002664FF">
        <w:rPr>
          <w:rStyle w:val="Emphasis"/>
          <w:rFonts w:ascii="Arial" w:hAnsi="Arial" w:cs="Arial"/>
          <w:sz w:val="20"/>
          <w:szCs w:val="20"/>
        </w:rPr>
        <w:t>magnitude</w:t>
      </w:r>
      <w:r w:rsidRPr="002664FF">
        <w:rPr>
          <w:rFonts w:ascii="Arial" w:hAnsi="Arial" w:cs="Arial"/>
          <w:sz w:val="20"/>
          <w:szCs w:val="20"/>
        </w:rPr>
        <w:t xml:space="preserve"> of volatility but tend to overlook the </w:t>
      </w:r>
      <w:r w:rsidRPr="002664FF">
        <w:rPr>
          <w:rStyle w:val="Emphasis"/>
          <w:rFonts w:ascii="Arial" w:hAnsi="Arial" w:cs="Arial"/>
          <w:sz w:val="20"/>
          <w:szCs w:val="20"/>
        </w:rPr>
        <w:t>timing</w:t>
      </w:r>
      <w:r w:rsidRPr="002664FF">
        <w:rPr>
          <w:rFonts w:ascii="Arial" w:hAnsi="Arial" w:cs="Arial"/>
          <w:sz w:val="20"/>
          <w:szCs w:val="20"/>
        </w:rPr>
        <w:t xml:space="preserve"> aspect, which can be equally important in understanding how markets evolve over time. Analyzing durations between crude oil price shocks can therefore reveal patterns of market activity or inactivity that standard time series approaches may fail to capture.</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The Autoregressive Conditional Duration (ACD) model, developed by Engle and Russell (1998), provides an effective framework for modeling such time-between-events data. Unlike conventional volatility models, ACD models focus on irregularly spaced events, emphasizing both their magnitude and timing. These models have been successfully applied in financial econometrics, particularly in high-frequency trading and market microstructure analysis (Bauwens &amp;</w:t>
      </w:r>
      <w:proofErr w:type="spellStart"/>
      <w:r w:rsidRPr="002664FF">
        <w:rPr>
          <w:rFonts w:ascii="Arial" w:hAnsi="Arial" w:cs="Arial"/>
          <w:sz w:val="20"/>
          <w:szCs w:val="20"/>
        </w:rPr>
        <w:t>Giot</w:t>
      </w:r>
      <w:proofErr w:type="spellEnd"/>
      <w:r w:rsidRPr="002664FF">
        <w:rPr>
          <w:rFonts w:ascii="Arial" w:hAnsi="Arial" w:cs="Arial"/>
          <w:sz w:val="20"/>
          <w:szCs w:val="20"/>
        </w:rPr>
        <w:t xml:space="preserve">, 2000). However, their application in the context of crude oil markets—especially for developing economies such as Nigeria—remains limited. This study therefore fills a crucial research gap by applying the symmetric ACD and Log-ACD models to analyze Nigerian crude oil price durations, offering a new perspective on volatility </w:t>
      </w:r>
      <w:proofErr w:type="spellStart"/>
      <w:r w:rsidRPr="002664FF">
        <w:rPr>
          <w:rFonts w:ascii="Arial" w:hAnsi="Arial" w:cs="Arial"/>
          <w:sz w:val="20"/>
          <w:szCs w:val="20"/>
        </w:rPr>
        <w:t>behaviour</w:t>
      </w:r>
      <w:proofErr w:type="spellEnd"/>
      <w:r w:rsidRPr="002664FF">
        <w:rPr>
          <w:rFonts w:ascii="Arial" w:hAnsi="Arial" w:cs="Arial"/>
          <w:sz w:val="20"/>
          <w:szCs w:val="20"/>
        </w:rPr>
        <w:t>.</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Ignoring the timing structure of extreme oil price movements can lead to incomplete forecasts and weak risk management strategies. In resource-dependent economies like Nigeria, such oversight can translate into poor fiscal decisions and inadequate responses to market shocks. Policymakers, energy investors, and financial planners need reliable models that not only predict the scale of oil price fluctuations but also anticipate </w:t>
      </w:r>
      <w:r w:rsidRPr="002664FF">
        <w:rPr>
          <w:rStyle w:val="Emphasis"/>
          <w:rFonts w:ascii="Arial" w:hAnsi="Arial" w:cs="Arial"/>
          <w:sz w:val="20"/>
          <w:szCs w:val="20"/>
        </w:rPr>
        <w:t>when</w:t>
      </w:r>
      <w:r w:rsidRPr="002664FF">
        <w:rPr>
          <w:rFonts w:ascii="Arial" w:hAnsi="Arial" w:cs="Arial"/>
          <w:sz w:val="20"/>
          <w:szCs w:val="20"/>
        </w:rPr>
        <w:t xml:space="preserve"> they might occur. Duration-based models such as the ACD framework provide a stronger analytical foundation for capturing these temporal dynamics, outperforming traditional GARCH-type models that assume regular timing between events (Dufour &amp; Engle, 2000).</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Beyond improving model accuracy, understanding oil price durations offers deeper knowledge of market </w:t>
      </w:r>
      <w:proofErr w:type="spellStart"/>
      <w:r w:rsidRPr="002664FF">
        <w:rPr>
          <w:rFonts w:ascii="Arial" w:hAnsi="Arial" w:cs="Arial"/>
          <w:sz w:val="20"/>
          <w:szCs w:val="20"/>
        </w:rPr>
        <w:t>behaviour</w:t>
      </w:r>
      <w:proofErr w:type="spellEnd"/>
      <w:r w:rsidRPr="002664FF">
        <w:rPr>
          <w:rFonts w:ascii="Arial" w:hAnsi="Arial" w:cs="Arial"/>
          <w:sz w:val="20"/>
          <w:szCs w:val="20"/>
        </w:rPr>
        <w:t xml:space="preserve">, such as speculative holding, herding, and panic reactions among traders (Fleming </w:t>
      </w:r>
      <w:r w:rsidRPr="002664FF">
        <w:rPr>
          <w:rFonts w:ascii="Arial" w:hAnsi="Arial" w:cs="Arial"/>
          <w:i/>
          <w:sz w:val="20"/>
          <w:szCs w:val="20"/>
        </w:rPr>
        <w:t>et al</w:t>
      </w:r>
      <w:r w:rsidRPr="002664FF">
        <w:rPr>
          <w:rFonts w:ascii="Arial" w:hAnsi="Arial" w:cs="Arial"/>
          <w:sz w:val="20"/>
          <w:szCs w:val="20"/>
        </w:rPr>
        <w:t xml:space="preserve">., 2006). These </w:t>
      </w:r>
      <w:proofErr w:type="spellStart"/>
      <w:r w:rsidRPr="002664FF">
        <w:rPr>
          <w:rFonts w:ascii="Arial" w:hAnsi="Arial" w:cs="Arial"/>
          <w:sz w:val="20"/>
          <w:szCs w:val="20"/>
        </w:rPr>
        <w:t>behavioural</w:t>
      </w:r>
      <w:proofErr w:type="spellEnd"/>
      <w:r w:rsidRPr="002664FF">
        <w:rPr>
          <w:rFonts w:ascii="Arial" w:hAnsi="Arial" w:cs="Arial"/>
          <w:sz w:val="20"/>
          <w:szCs w:val="20"/>
        </w:rPr>
        <w:t xml:space="preserve"> characteristics are key to explaining why oil prices sometimes experience prolonged stability followed by sudden bursts of volatility. By modeling these durations, this study seeks to capture the hidden patterns that underlie oil price movements, which can enhance the predictive power of volatility models and improve decision-making processes for both public and private stakeholders.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The significance of this study lies in its methodological, empirical, and policy contributions. Methodologically, it extends the use of duration models to the crude oil market, demonstrating their effectiveness in modeling time-dependent volatility structures. Empirically, it adds to the limited literature on duration-based analysis from developing economies, providing evidence from Nigeria’s oil market that has been largely underexplored in this regard. From a policy perspective, the study provides practical tools for Nigerian fiscal authorities and energy managers to monitor market risks more effectively, forecast potential </w:t>
      </w:r>
      <w:r w:rsidRPr="002664FF">
        <w:rPr>
          <w:rFonts w:ascii="Arial" w:hAnsi="Arial" w:cs="Arial"/>
          <w:sz w:val="20"/>
          <w:szCs w:val="20"/>
        </w:rPr>
        <w:lastRenderedPageBreak/>
        <w:t>disruptions, and design timely fiscal interventions such as hedging strategies, expenditure controls, and reserve management.</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Furthermore, the knowledge derived from this study has broader implications for financial analysts, energy economists, and traders. By accurately modeling the timing of oil price changes, algorithmic trading systems can be refined for greater efficiency, while financial regulators can better detect abnormal trading activities. For Nigeria in particular, improved understanding of crude oil price durations supports more stable macroeconomic planning, efficient revenue management, and resilient budgeting processes that can withstand global oil market shocks.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Overall, this study makes both academic and practical contributions by advancing the modeling of Nigerian crude oil price durations using the symmetric ACD and Log-ACD frameworks. It bridges an important gap in the literature by focusing on the temporal dimension of oil price volatility rather than merely its magnitude. The central aim of the research is therefore to analyze the durations between significant crude oil price movements using ACD models to capture temporal dependence, volatility clustering, and market </w:t>
      </w:r>
      <w:proofErr w:type="spellStart"/>
      <w:r w:rsidRPr="002664FF">
        <w:rPr>
          <w:rFonts w:ascii="Arial" w:hAnsi="Arial" w:cs="Arial"/>
          <w:sz w:val="20"/>
          <w:szCs w:val="20"/>
        </w:rPr>
        <w:t>behaviour</w:t>
      </w:r>
      <w:proofErr w:type="spellEnd"/>
      <w:r w:rsidRPr="002664FF">
        <w:rPr>
          <w:rFonts w:ascii="Arial" w:hAnsi="Arial" w:cs="Arial"/>
          <w:sz w:val="20"/>
          <w:szCs w:val="20"/>
        </w:rPr>
        <w:t>—providing a foundation for more robust forecasting and risk management in Nigeria’s oil-dependent economy.</w:t>
      </w:r>
    </w:p>
    <w:p w:rsidR="002664FF" w:rsidRPr="002664FF" w:rsidRDefault="002664FF" w:rsidP="002664FF">
      <w:pPr>
        <w:pStyle w:val="NormalWeb"/>
        <w:jc w:val="both"/>
        <w:rPr>
          <w:rFonts w:ascii="Arial" w:hAnsi="Arial" w:cs="Arial"/>
          <w:sz w:val="20"/>
          <w:szCs w:val="20"/>
        </w:rPr>
      </w:pPr>
      <w:r w:rsidRPr="002664FF">
        <w:rPr>
          <w:rFonts w:ascii="Arial" w:hAnsi="Arial" w:cs="Arial"/>
          <w:sz w:val="20"/>
          <w:szCs w:val="20"/>
        </w:rPr>
        <w:t>A considerable body of empirical research has documented the application and evolution of Autoregressive Conditional Duration (ACD) models across various financial and commodity markets. In their groundbreaking study, Engle and Russell (1998) introduced the ACD model as a novel framework for analyzing the time intervals between trades in financial markets. Using transaction data from major U.S. equities, they found strong evidence of autocorrelation in trade durations, demonstrating that accounting for event timing can greatly improve the understanding of market microstructure and volatility dynamics. Building on this work, Russell and Engle (2005) proposed a Multivariate ACD (MACD) model that jointly captures durations across multiple financial assets. Their findings revealed significant interdependencies in trading intensity between markets, emphasizing the importance of multivariate approaches in financial modeling.</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Expanding the application of duration models beyond traditional equity markets, </w:t>
      </w:r>
      <w:proofErr w:type="spellStart"/>
      <w:r w:rsidRPr="002664FF">
        <w:rPr>
          <w:rFonts w:ascii="Arial" w:hAnsi="Arial" w:cs="Arial"/>
          <w:sz w:val="20"/>
          <w:szCs w:val="20"/>
        </w:rPr>
        <w:t>Giot</w:t>
      </w:r>
      <w:proofErr w:type="spellEnd"/>
      <w:r w:rsidRPr="002664FF">
        <w:rPr>
          <w:rFonts w:ascii="Arial" w:hAnsi="Arial" w:cs="Arial"/>
          <w:sz w:val="20"/>
          <w:szCs w:val="20"/>
        </w:rPr>
        <w:t xml:space="preserve"> and Laurent (2003) examined the role of ACD models in modeling price durations and realized volatility within crude oil futures traded on the New York Mercantile Exchange (NYMEX). They reported that the ACD model consistently outperformed conventional time-series models in forecasting short-term volatility, recommending its use for real-time risk management in commodity markets. Similarly, </w:t>
      </w:r>
      <w:proofErr w:type="spellStart"/>
      <w:r w:rsidRPr="002664FF">
        <w:rPr>
          <w:rFonts w:ascii="Arial" w:hAnsi="Arial" w:cs="Arial"/>
          <w:sz w:val="20"/>
          <w:szCs w:val="20"/>
        </w:rPr>
        <w:t>Palan</w:t>
      </w:r>
      <w:proofErr w:type="spellEnd"/>
      <w:r w:rsidRPr="002664FF">
        <w:rPr>
          <w:rFonts w:ascii="Arial" w:hAnsi="Arial" w:cs="Arial"/>
          <w:sz w:val="20"/>
          <w:szCs w:val="20"/>
        </w:rPr>
        <w:t xml:space="preserve"> (2014) employed the Log-ACD model to investigate trade durations in the European carbon market using transaction-level data from the EU Emissions Trading Scheme (EU ETS). The study found evidence of long memory in trade durations and concluded that the Log-ACD variant offers greater flexibility and precision in modeling market activity, particularly in environmental finance applications.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In developing and emerging markets, the ACD framework has also been shown to be effective. Kumar and Maheswaran (2013) applied the model to high-frequency equity data from the Indian stock market and discovered patterns of duration clustering and volatility transmission similar to those in developed markets, confirming the global applicability of the ACD approach. In a related study, </w:t>
      </w:r>
      <w:proofErr w:type="spellStart"/>
      <w:r w:rsidRPr="002664FF">
        <w:rPr>
          <w:rFonts w:ascii="Arial" w:hAnsi="Arial" w:cs="Arial"/>
          <w:sz w:val="20"/>
          <w:szCs w:val="20"/>
        </w:rPr>
        <w:t>Monfared</w:t>
      </w:r>
      <w:proofErr w:type="spellEnd"/>
      <w:r w:rsidRPr="002664FF">
        <w:rPr>
          <w:rFonts w:ascii="Arial" w:hAnsi="Arial" w:cs="Arial"/>
          <w:sz w:val="20"/>
          <w:szCs w:val="20"/>
        </w:rPr>
        <w:t xml:space="preserve"> and </w:t>
      </w:r>
      <w:proofErr w:type="spellStart"/>
      <w:r w:rsidRPr="002664FF">
        <w:rPr>
          <w:rFonts w:ascii="Arial" w:hAnsi="Arial" w:cs="Arial"/>
          <w:sz w:val="20"/>
          <w:szCs w:val="20"/>
        </w:rPr>
        <w:t>Ashena</w:t>
      </w:r>
      <w:proofErr w:type="spellEnd"/>
      <w:r w:rsidRPr="002664FF">
        <w:rPr>
          <w:rFonts w:ascii="Arial" w:hAnsi="Arial" w:cs="Arial"/>
          <w:sz w:val="20"/>
          <w:szCs w:val="20"/>
        </w:rPr>
        <w:t xml:space="preserve"> (2014) assessed the impact of crude oil price shocks on financial market durations in Iran using minute-level data. They found that political events tended to amplify persistence in trade durations, concluding that ACD models can serve as valuable tools for policymakers seeking to monitor market reactions to external shocks.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lastRenderedPageBreak/>
        <w:t xml:space="preserve">Further contributions were made by </w:t>
      </w:r>
      <w:proofErr w:type="spellStart"/>
      <w:r w:rsidRPr="002664FF">
        <w:rPr>
          <w:rFonts w:ascii="Arial" w:hAnsi="Arial" w:cs="Arial"/>
          <w:sz w:val="20"/>
          <w:szCs w:val="20"/>
        </w:rPr>
        <w:t>Alomari</w:t>
      </w:r>
      <w:proofErr w:type="spellEnd"/>
      <w:r w:rsidRPr="002664FF">
        <w:rPr>
          <w:rFonts w:ascii="Arial" w:hAnsi="Arial" w:cs="Arial"/>
          <w:sz w:val="20"/>
          <w:szCs w:val="20"/>
        </w:rPr>
        <w:t xml:space="preserve"> and </w:t>
      </w:r>
      <w:proofErr w:type="spellStart"/>
      <w:r w:rsidRPr="002664FF">
        <w:rPr>
          <w:rFonts w:ascii="Arial" w:hAnsi="Arial" w:cs="Arial"/>
          <w:sz w:val="20"/>
          <w:szCs w:val="20"/>
        </w:rPr>
        <w:t>Alshehri</w:t>
      </w:r>
      <w:proofErr w:type="spellEnd"/>
      <w:r w:rsidRPr="002664FF">
        <w:rPr>
          <w:rFonts w:ascii="Arial" w:hAnsi="Arial" w:cs="Arial"/>
          <w:sz w:val="20"/>
          <w:szCs w:val="20"/>
        </w:rPr>
        <w:t xml:space="preserve"> (2017), who analyzed intraday crude oil futures contracts traded on the Intercontinental Exchange (ICE). Their results showed strong support for the Log-ACD specification, as durations exhibited notable seasonality and volatility clustering. They recommended integrating ACD-based methods into intraday trading strategies to enhance decision-making accuracy. Similarly, Liu (2020) extended the ACD framework through the Integrated Conditional Variance (ACD-ICV) model, using intraday data from the New York Stock Exchange (NYSE) to estimate monthly volatility. Compared with realized volatility and GARCH models, the ACD-ICV model demonstrated superior predictive performance and proved consistent with VIX estimates. The author suggested that ACD-based intraday aggregation techniques could serve as powerful tools for volatility forecasting and risk management.</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Several studies have since refined ACD models to improve flexibility and fit. Yan (2021) compared ACD models with exponential, Weibull, and gamma error distributions using SPY ETF trade duration data. The gamma-distributed ACD model provided the best empirical fit, highlighting the importance of choosing appropriate error distributions when modeling duration persistence. </w:t>
      </w:r>
      <w:proofErr w:type="spellStart"/>
      <w:r w:rsidRPr="002664FF">
        <w:rPr>
          <w:rFonts w:ascii="Arial" w:hAnsi="Arial" w:cs="Arial"/>
          <w:sz w:val="20"/>
          <w:szCs w:val="20"/>
        </w:rPr>
        <w:t>Saulo</w:t>
      </w:r>
      <w:r w:rsidRPr="002664FF">
        <w:rPr>
          <w:rFonts w:ascii="Arial" w:hAnsi="Arial" w:cs="Arial"/>
          <w:i/>
          <w:sz w:val="20"/>
          <w:szCs w:val="20"/>
        </w:rPr>
        <w:t>et</w:t>
      </w:r>
      <w:proofErr w:type="spellEnd"/>
      <w:r w:rsidRPr="002664FF">
        <w:rPr>
          <w:rFonts w:ascii="Arial" w:hAnsi="Arial" w:cs="Arial"/>
          <w:i/>
          <w:sz w:val="20"/>
          <w:szCs w:val="20"/>
        </w:rPr>
        <w:t xml:space="preserve"> al</w:t>
      </w:r>
      <w:r w:rsidRPr="002664FF">
        <w:rPr>
          <w:rFonts w:ascii="Arial" w:hAnsi="Arial" w:cs="Arial"/>
          <w:sz w:val="20"/>
          <w:szCs w:val="20"/>
        </w:rPr>
        <w:t xml:space="preserve">. (2021) further advanced the framework by developing a Quantile ACD model based on a skewed Birnbaum–Saunders distribution. This approach enabled the estimation of conditional quantiles rather than mean durations, allowing for a richer analysis of tail </w:t>
      </w:r>
      <w:proofErr w:type="spellStart"/>
      <w:r w:rsidRPr="002664FF">
        <w:rPr>
          <w:rFonts w:ascii="Arial" w:hAnsi="Arial" w:cs="Arial"/>
          <w:sz w:val="20"/>
          <w:szCs w:val="20"/>
        </w:rPr>
        <w:t>behaviours</w:t>
      </w:r>
      <w:proofErr w:type="spellEnd"/>
      <w:r w:rsidRPr="002664FF">
        <w:rPr>
          <w:rFonts w:ascii="Arial" w:hAnsi="Arial" w:cs="Arial"/>
          <w:sz w:val="20"/>
          <w:szCs w:val="20"/>
        </w:rPr>
        <w:t>. Their findings, validated through Monte Carlo simulations, showed that the Quantile ACD model captured joint and extreme duration dynamics more effectively than traditional mean-based models.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More recently, researchers have begun combining econometric and machine learning methods to enhance forecasting accuracy. Shi </w:t>
      </w:r>
      <w:r w:rsidRPr="002664FF">
        <w:rPr>
          <w:rFonts w:ascii="Arial" w:hAnsi="Arial" w:cs="Arial"/>
          <w:i/>
          <w:sz w:val="20"/>
          <w:szCs w:val="20"/>
        </w:rPr>
        <w:t>et al</w:t>
      </w:r>
      <w:r w:rsidRPr="002664FF">
        <w:rPr>
          <w:rFonts w:ascii="Arial" w:hAnsi="Arial" w:cs="Arial"/>
          <w:sz w:val="20"/>
          <w:szCs w:val="20"/>
        </w:rPr>
        <w:t xml:space="preserve">. (2021) introduced a hybrid model that integrates the traditional ACD structure with Long Short-Term Memory (LSTM) networks and attention mechanisms for predicting trade durations in ultra-high-frequency data. Their approach leveraged deep learning to identify influential past durations and achieved significantly higher predictive accuracy than classical ACD models. Similarly, </w:t>
      </w:r>
      <w:proofErr w:type="spellStart"/>
      <w:r w:rsidRPr="002664FF">
        <w:rPr>
          <w:rFonts w:ascii="Arial" w:hAnsi="Arial" w:cs="Arial"/>
          <w:sz w:val="20"/>
          <w:szCs w:val="20"/>
        </w:rPr>
        <w:t>Nunkoo</w:t>
      </w:r>
      <w:r w:rsidRPr="002664FF">
        <w:rPr>
          <w:rFonts w:ascii="Arial" w:hAnsi="Arial" w:cs="Arial"/>
          <w:i/>
          <w:sz w:val="20"/>
          <w:szCs w:val="20"/>
        </w:rPr>
        <w:t>et</w:t>
      </w:r>
      <w:proofErr w:type="spellEnd"/>
      <w:r w:rsidRPr="002664FF">
        <w:rPr>
          <w:rFonts w:ascii="Arial" w:hAnsi="Arial" w:cs="Arial"/>
          <w:i/>
          <w:sz w:val="20"/>
          <w:szCs w:val="20"/>
        </w:rPr>
        <w:t xml:space="preserve"> al</w:t>
      </w:r>
      <w:r w:rsidRPr="002664FF">
        <w:rPr>
          <w:rFonts w:ascii="Arial" w:hAnsi="Arial" w:cs="Arial"/>
          <w:sz w:val="20"/>
          <w:szCs w:val="20"/>
        </w:rPr>
        <w:t>. (2022) conducted an extensive comparative analysis of 36 ACD model variants using tick-by-tick data from eight mid-cap ETFs. Their evaluation of Box-Cox ACD (BACD), augmented BACD, and additive-multiplicative variants revealed that BACD and AMACD models with generalized-F error structures offered the best out-of-sample forecasting accuracy. The authors emphasized the need to balance model complexity with practical forecasting performance, particularly in liquidity-risk applications.</w:t>
      </w:r>
    </w:p>
    <w:p w:rsidR="00291F7C" w:rsidRDefault="002664FF" w:rsidP="00291F7C">
      <w:pPr>
        <w:pStyle w:val="NormalWeb"/>
        <w:spacing w:before="240" w:beforeAutospacing="0" w:after="0" w:afterAutospacing="0"/>
        <w:jc w:val="both"/>
        <w:rPr>
          <w:rFonts w:ascii="Arial" w:hAnsi="Arial" w:cs="Arial"/>
          <w:sz w:val="20"/>
          <w:szCs w:val="20"/>
        </w:rPr>
      </w:pPr>
      <w:r w:rsidRPr="002664FF">
        <w:rPr>
          <w:rFonts w:ascii="Arial" w:hAnsi="Arial" w:cs="Arial"/>
          <w:sz w:val="20"/>
          <w:szCs w:val="20"/>
        </w:rPr>
        <w:t xml:space="preserve">ACD models have also been applied in currency and cryptocurrency markets. Esteban Hernández (2023) adapted the ACD framework to high-frequency foreign exchange data, focusing on the South African rand/U.S. dollar pair. The study found strong duration persistence and meaningful microstructure patterns, demonstrating the effectiveness of ACD models in modeling liquidity and market </w:t>
      </w:r>
      <w:proofErr w:type="spellStart"/>
      <w:r w:rsidRPr="002664FF">
        <w:rPr>
          <w:rFonts w:ascii="Arial" w:hAnsi="Arial" w:cs="Arial"/>
          <w:sz w:val="20"/>
          <w:szCs w:val="20"/>
        </w:rPr>
        <w:t>behaviour</w:t>
      </w:r>
      <w:proofErr w:type="spellEnd"/>
      <w:r w:rsidRPr="002664FF">
        <w:rPr>
          <w:rFonts w:ascii="Arial" w:hAnsi="Arial" w:cs="Arial"/>
          <w:sz w:val="20"/>
          <w:szCs w:val="20"/>
        </w:rPr>
        <w:t xml:space="preserve"> even at ultra-high-frequency levels. Extending the theoretical foundation of ACD models, Cavaliere </w:t>
      </w:r>
      <w:r w:rsidRPr="002664FF">
        <w:rPr>
          <w:rFonts w:ascii="Arial" w:hAnsi="Arial" w:cs="Arial"/>
          <w:i/>
          <w:sz w:val="20"/>
          <w:szCs w:val="20"/>
        </w:rPr>
        <w:t>et al</w:t>
      </w:r>
      <w:r w:rsidRPr="002664FF">
        <w:rPr>
          <w:rFonts w:ascii="Arial" w:hAnsi="Arial" w:cs="Arial"/>
          <w:sz w:val="20"/>
          <w:szCs w:val="20"/>
        </w:rPr>
        <w:t>. (2025) developed asymptotic tests for integrated ACD models, addressing cases where durations may have infinite expectations. Their empirical analysis of high-frequency cryptocurrency ETF trades revealed infinite-mean durations for four out of five cryptocurrencies, underscoring the need to assess the statistical properties of durations before applying standard ACD inference procedures.</w:t>
      </w:r>
    </w:p>
    <w:p w:rsidR="00291F7C" w:rsidRDefault="00291F7C" w:rsidP="00291F7C">
      <w:pPr>
        <w:pStyle w:val="NormalWeb"/>
        <w:spacing w:before="240" w:beforeAutospacing="0" w:after="0" w:afterAutospacing="0"/>
        <w:jc w:val="both"/>
        <w:rPr>
          <w:rFonts w:ascii="Arial" w:hAnsi="Arial" w:cs="Arial"/>
          <w:sz w:val="20"/>
          <w:szCs w:val="20"/>
        </w:rPr>
      </w:pPr>
      <w:r w:rsidRPr="00291F7C">
        <w:rPr>
          <w:rFonts w:ascii="Arial" w:hAnsi="Arial" w:cs="Arial"/>
          <w:sz w:val="20"/>
          <w:szCs w:val="20"/>
          <w:highlight w:val="yellow"/>
        </w:rPr>
        <w:t xml:space="preserve">Recent studies have examined how oil price fluctuations influence macroeconomic indicators. For instance, </w:t>
      </w:r>
      <w:proofErr w:type="spellStart"/>
      <w:r w:rsidRPr="00291F7C">
        <w:rPr>
          <w:rFonts w:ascii="Arial" w:hAnsi="Arial" w:cs="Arial"/>
          <w:sz w:val="20"/>
          <w:szCs w:val="20"/>
          <w:highlight w:val="yellow"/>
        </w:rPr>
        <w:t>Chukwuocha</w:t>
      </w:r>
      <w:proofErr w:type="spellEnd"/>
      <w:r w:rsidRPr="00291F7C">
        <w:rPr>
          <w:rFonts w:ascii="Arial" w:hAnsi="Arial" w:cs="Arial"/>
          <w:sz w:val="20"/>
          <w:szCs w:val="20"/>
          <w:highlight w:val="yellow"/>
        </w:rPr>
        <w:t xml:space="preserve"> (2026) employed Dynamic Ordinary Least Squares (DOLS) and Vector Autoregressive (VAR) models to investigate the relationship between oil prices and inflation in Nigeria. Their findings reveal that oil price shocks significantly affect inflation through exchange rate pass-through and fiscal channels, with persistent impulse </w:t>
      </w:r>
      <w:r w:rsidRPr="00291F7C">
        <w:rPr>
          <w:rFonts w:ascii="Arial" w:hAnsi="Arial" w:cs="Arial"/>
          <w:sz w:val="20"/>
          <w:szCs w:val="20"/>
          <w:highlight w:val="yellow"/>
        </w:rPr>
        <w:lastRenderedPageBreak/>
        <w:t>responses indicating long-lasting effects. Similarly, Yusuf and Adeyemi (2025) applied a VAR framework and found that oil price volatility transmits strongly into interest rates, exchange rates, and government expenditure, reinforcing Nigeria’s vulnerability to external shocks. These studies focus on shock transmission mechanisms but do not account for the timing or spacing of oil price changes, which is critical for understanding market dynamics.</w:t>
      </w:r>
    </w:p>
    <w:p w:rsidR="00291F7C" w:rsidRPr="00BF47D2" w:rsidRDefault="00291F7C" w:rsidP="00291F7C">
      <w:pPr>
        <w:pStyle w:val="NormalWeb"/>
        <w:spacing w:before="240" w:beforeAutospacing="0" w:after="0" w:afterAutospacing="0"/>
        <w:jc w:val="both"/>
        <w:rPr>
          <w:rFonts w:ascii="Arial" w:hAnsi="Arial" w:cs="Arial"/>
          <w:sz w:val="20"/>
          <w:szCs w:val="20"/>
        </w:rPr>
      </w:pPr>
      <w:r w:rsidRPr="00291F7C">
        <w:rPr>
          <w:rFonts w:ascii="Arial" w:hAnsi="Arial" w:cs="Arial"/>
          <w:sz w:val="20"/>
          <w:szCs w:val="20"/>
          <w:highlight w:val="yellow"/>
        </w:rPr>
        <w:t>The nonlinear nature of oil price movements has attracted considerable attention in recent literature. Using the Nonlinear Autoregressive Distributed Lag (NARDL) model, Okeke (2025) found that positive and negative oil price shocks exert asymmetric effects on inflation, suggesting that economic agents respond differently depending on the direction of price changes. In a similar vein, Bello and Musa (2025) documented that oil price increases have stronger macroeconomic impacts than decreases, reflecting structural rigidities in Nigeria’s economy. These findings highlight asymmetry, which contrasts with the symmetry assumption in standard ACD models, thereby motivating potential extensions such as Asymmetric ACD (AACD) models.</w:t>
      </w:r>
    </w:p>
    <w:p w:rsidR="00291F7C" w:rsidRDefault="00291F7C" w:rsidP="00291F7C">
      <w:pPr>
        <w:pStyle w:val="NormalWeb"/>
        <w:spacing w:before="240" w:beforeAutospacing="0" w:after="0" w:afterAutospacing="0"/>
        <w:jc w:val="both"/>
        <w:rPr>
          <w:rFonts w:ascii="Arial" w:hAnsi="Arial" w:cs="Arial"/>
          <w:sz w:val="20"/>
          <w:szCs w:val="20"/>
        </w:rPr>
      </w:pPr>
      <w:r w:rsidRPr="00291F7C">
        <w:rPr>
          <w:rFonts w:ascii="Arial" w:hAnsi="Arial" w:cs="Arial"/>
          <w:sz w:val="20"/>
          <w:szCs w:val="20"/>
          <w:highlight w:val="yellow"/>
        </w:rPr>
        <w:t xml:space="preserve">Mohammed (2025) employed a combination of ARDL and Dynamic Conditional Correlation (DCC-GARCH) models to examine the impact of oil price shocks on foreign direct investment (FDI) and external financing. Their results indicate that oil price volatility significantly influences capital inflows, with periods of high volatility discouraging investment. The study also highlights the presence of time-varying correlations between oil prices and financial variables. Although this study considered time-varying relationships, it did not explicitly </w:t>
      </w:r>
      <w:proofErr w:type="gramStart"/>
      <w:r w:rsidRPr="00291F7C">
        <w:rPr>
          <w:rFonts w:ascii="Arial" w:hAnsi="Arial" w:cs="Arial"/>
          <w:sz w:val="20"/>
          <w:szCs w:val="20"/>
          <w:highlight w:val="yellow"/>
        </w:rPr>
        <w:t>modeled</w:t>
      </w:r>
      <w:proofErr w:type="gramEnd"/>
      <w:r w:rsidRPr="00291F7C">
        <w:rPr>
          <w:rFonts w:ascii="Arial" w:hAnsi="Arial" w:cs="Arial"/>
          <w:sz w:val="20"/>
          <w:szCs w:val="20"/>
          <w:highlight w:val="yellow"/>
        </w:rPr>
        <w:t xml:space="preserve"> the waiting time between oil price shocks, which could provide deeper understanding of market </w:t>
      </w:r>
      <w:proofErr w:type="spellStart"/>
      <w:r w:rsidRPr="00291F7C">
        <w:rPr>
          <w:rFonts w:ascii="Arial" w:hAnsi="Arial" w:cs="Arial"/>
          <w:sz w:val="20"/>
          <w:szCs w:val="20"/>
          <w:highlight w:val="yellow"/>
        </w:rPr>
        <w:t>behaviour</w:t>
      </w:r>
      <w:proofErr w:type="spellEnd"/>
      <w:r w:rsidRPr="00291F7C">
        <w:rPr>
          <w:rFonts w:ascii="Arial" w:hAnsi="Arial" w:cs="Arial"/>
          <w:sz w:val="20"/>
          <w:szCs w:val="20"/>
          <w:highlight w:val="yellow"/>
        </w:rPr>
        <w:t>.</w:t>
      </w:r>
    </w:p>
    <w:p w:rsidR="00291F7C" w:rsidRPr="002664FF" w:rsidRDefault="00291F7C" w:rsidP="00291F7C">
      <w:pPr>
        <w:pStyle w:val="NormalWeb"/>
        <w:spacing w:before="240" w:beforeAutospacing="0" w:after="0" w:afterAutospacing="0"/>
        <w:jc w:val="both"/>
        <w:rPr>
          <w:rFonts w:ascii="Arial" w:hAnsi="Arial" w:cs="Arial"/>
          <w:sz w:val="20"/>
          <w:szCs w:val="20"/>
        </w:rPr>
      </w:pPr>
      <w:r w:rsidRPr="00291F7C">
        <w:rPr>
          <w:rFonts w:ascii="Arial" w:hAnsi="Arial" w:cs="Arial"/>
          <w:sz w:val="20"/>
          <w:szCs w:val="20"/>
          <w:highlight w:val="yellow"/>
        </w:rPr>
        <w:t>Adebayo et al. (2025) compared ARIMA and GARCH models and concluded that GARCH models outperform ARIMA in capturing volatility clustering and persistence in oil price returns. Furthermore, Ibrahim and Lawal (2025) utilized the Exponential GARCH (EGARCH) model and found strong evidence of leverage effects, indicating that negative shocks have a larger impact on volatility than positive shocks of the same magnitude. While GARCH-type models effectively capture conditional variance dynamics, they fail to model the duration between events, which are the focus of ACD models.</w:t>
      </w:r>
    </w:p>
    <w:p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Collectively, these studies highlight the versatility, adaptability, and continuous evolution of ACD-type models in capturing the timing and intensity of market events. From traditional financial markets to energy commodities, environmental trading systems, and digital assets, ACD models have proven to be powerful tools for understanding volatility clustering, liquidity </w:t>
      </w:r>
      <w:proofErr w:type="spellStart"/>
      <w:r w:rsidRPr="002664FF">
        <w:rPr>
          <w:rFonts w:ascii="Arial" w:hAnsi="Arial" w:cs="Arial"/>
          <w:sz w:val="20"/>
          <w:szCs w:val="20"/>
        </w:rPr>
        <w:t>behaviour</w:t>
      </w:r>
      <w:proofErr w:type="spellEnd"/>
      <w:r w:rsidRPr="002664FF">
        <w:rPr>
          <w:rFonts w:ascii="Arial" w:hAnsi="Arial" w:cs="Arial"/>
          <w:sz w:val="20"/>
          <w:szCs w:val="20"/>
        </w:rPr>
        <w:t>, and temporal dependencies—making them essential instruments for both researchers and practitioners in modern econometrics.</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B15B5F" w:rsidRPr="00B15B5F" w:rsidRDefault="00B15B5F" w:rsidP="00B15B5F">
      <w:pPr>
        <w:rPr>
          <w:rFonts w:ascii="Arial" w:hAnsi="Arial" w:cs="Arial"/>
          <w:b/>
        </w:rPr>
      </w:pPr>
      <w:r>
        <w:rPr>
          <w:rFonts w:ascii="Arial" w:hAnsi="Arial" w:cs="Arial"/>
          <w:b/>
        </w:rPr>
        <w:t>2</w:t>
      </w:r>
      <w:r w:rsidRPr="00B15B5F">
        <w:rPr>
          <w:rFonts w:ascii="Arial" w:hAnsi="Arial" w:cs="Arial"/>
          <w:b/>
        </w:rPr>
        <w:t xml:space="preserve">.1 Data source and Data Preparation </w:t>
      </w:r>
    </w:p>
    <w:p w:rsidR="00B15B5F" w:rsidRPr="00B15B5F" w:rsidRDefault="00B15B5F" w:rsidP="00B15B5F">
      <w:pPr>
        <w:jc w:val="both"/>
        <w:rPr>
          <w:rFonts w:ascii="Arial" w:eastAsiaTheme="minorEastAsia" w:hAnsi="Arial" w:cs="Arial"/>
        </w:rPr>
      </w:pPr>
      <w:r w:rsidRPr="00B15B5F">
        <w:rPr>
          <w:rFonts w:ascii="Arial" w:hAnsi="Arial" w:cs="Arial"/>
        </w:rPr>
        <w:t>The data used in this study are the daily closing Nigerian crude oil prices from 03/11/2009 to 04/22/2025. The daily closing Nigerian crude oil prices (</w:t>
      </w:r>
      <m:oMath>
        <m:sSub>
          <m:sSubPr>
            <m:ctrlPr>
              <w:rPr>
                <w:rFonts w:ascii="Cambria Math" w:hAnsi="Arial" w:cs="Arial"/>
                <w:i/>
              </w:rPr>
            </m:ctrlPr>
          </m:sSubPr>
          <m:e>
            <m:r>
              <w:rPr>
                <w:rFonts w:ascii="Cambria Math" w:hAnsi="Cambria Math" w:cs="Arial"/>
              </w:rPr>
              <m:t>P</m:t>
            </m:r>
          </m:e>
          <m:sub>
            <m:r>
              <w:rPr>
                <w:rFonts w:ascii="Cambria Math" w:hAnsi="Cambria Math" w:cs="Arial"/>
              </w:rPr>
              <m:t>t</m:t>
            </m:r>
          </m:sub>
        </m:sSub>
      </m:oMath>
      <w:r w:rsidRPr="00B15B5F">
        <w:rPr>
          <w:rFonts w:ascii="Arial" w:hAnsi="Arial" w:cs="Arial"/>
        </w:rPr>
        <w:t xml:space="preserve">) are converted to daily log returns </w:t>
      </w:r>
      <m:oMath>
        <m:sSub>
          <m:sSubPr>
            <m:ctrlPr>
              <w:rPr>
                <w:rFonts w:ascii="Cambria Math" w:hAnsi="Arial" w:cs="Arial"/>
                <w:i/>
              </w:rPr>
            </m:ctrlPr>
          </m:sSubPr>
          <m:e>
            <m:r>
              <w:rPr>
                <w:rFonts w:ascii="Cambria Math" w:hAnsi="Arial" w:cs="Arial"/>
              </w:rPr>
              <m:t>(</m:t>
            </m:r>
            <m:r>
              <w:rPr>
                <w:rFonts w:ascii="Cambria Math" w:hAnsi="Cambria Math" w:cs="Arial"/>
              </w:rPr>
              <m:t>r</m:t>
            </m:r>
          </m:e>
          <m:sub>
            <m:r>
              <w:rPr>
                <w:rFonts w:ascii="Cambria Math" w:hAnsi="Cambria Math" w:cs="Arial"/>
              </w:rPr>
              <m:t>t</m:t>
            </m:r>
          </m:sub>
        </m:sSub>
        <m:r>
          <w:rPr>
            <w:rFonts w:ascii="Cambria Math" w:hAnsi="Arial" w:cs="Arial"/>
          </w:rPr>
          <m:t>)</m:t>
        </m:r>
      </m:oMath>
      <w:r w:rsidRPr="00B15B5F">
        <w:rPr>
          <w:rFonts w:ascii="Arial" w:eastAsiaTheme="minorEastAsia" w:hAnsi="Arial" w:cs="Arial"/>
        </w:rPr>
        <w:t xml:space="preserve"> as the continuously compounded log returns corresponding to the first differences in logarithms of closing daily crude oil prices of successive days. </w:t>
      </w:r>
      <w:r w:rsidRPr="00B15B5F">
        <w:rPr>
          <w:rFonts w:ascii="Arial" w:hAnsi="Arial" w:cs="Arial"/>
        </w:rPr>
        <w:t xml:space="preserve">The log-returns are computed using the following formula: </w:t>
      </w:r>
    </w:p>
    <w:p w:rsidR="00B15B5F" w:rsidRPr="00B15B5F" w:rsidRDefault="00AC73E4"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func>
            <m:funcPr>
              <m:ctrlPr>
                <w:rPr>
                  <w:rFonts w:ascii="Cambria Math" w:hAnsi="Arial" w:cs="Arial"/>
                  <w:i/>
                </w:rPr>
              </m:ctrlPr>
            </m:funcPr>
            <m:fName>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P</m:t>
                              </m:r>
                            </m:e>
                            <m:sub>
                              <m:r>
                                <w:rPr>
                                  <w:rFonts w:ascii="Cambria Math" w:hAnsi="Cambria Math" w:cs="Arial"/>
                                </w:rPr>
                                <m:t>t</m:t>
                              </m:r>
                            </m:sub>
                          </m:sSub>
                        </m:num>
                        <m:den>
                          <m:sSub>
                            <m:sSubPr>
                              <m:ctrlPr>
                                <w:rPr>
                                  <w:rFonts w:ascii="Cambria Math" w:hAnsi="Arial" w:cs="Arial"/>
                                  <w:i/>
                                </w:rPr>
                              </m:ctrlPr>
                            </m:sSubPr>
                            <m:e>
                              <m:r>
                                <w:rPr>
                                  <w:rFonts w:ascii="Cambria Math" w:hAnsi="Cambria Math" w:cs="Arial"/>
                                </w:rPr>
                                <m:t>P</m:t>
                              </m:r>
                            </m:e>
                            <m:sub>
                              <m:r>
                                <w:rPr>
                                  <w:rFonts w:ascii="Cambria Math" w:hAnsi="Cambria Math" w:cs="Arial"/>
                                </w:rPr>
                                <m:t>t</m:t>
                              </m:r>
                              <m:r>
                                <w:rPr>
                                  <w:rFonts w:ascii="Cambria Math" w:hAnsi="Arial" w:cs="Arial"/>
                                </w:rPr>
                                <m:t>-</m:t>
                              </m:r>
                              <m:r>
                                <w:rPr>
                                  <w:rFonts w:ascii="Cambria Math" w:hAnsi="Arial" w:cs="Arial"/>
                                </w:rPr>
                                <m:t>1</m:t>
                              </m:r>
                            </m:sub>
                          </m:sSub>
                        </m:den>
                      </m:f>
                    </m:e>
                  </m:d>
                </m:e>
              </m:func>
            </m:fName>
            <m:e>
              <m:r>
                <w:rPr>
                  <w:rFonts w:ascii="Arial" w:hAnsi="Arial" w:cs="Arial"/>
                </w:rPr>
                <m:t>×</m:t>
              </m:r>
              <m:r>
                <w:rPr>
                  <w:rFonts w:ascii="Cambria Math" w:hAnsi="Arial" w:cs="Arial"/>
                </w:rPr>
                <m:t>100</m:t>
              </m:r>
            </m:e>
          </m:func>
          <m:r>
            <w:rPr>
              <w:rFonts w:ascii="Cambria Math" w:hAnsi="Arial" w:cs="Arial"/>
            </w:rPr>
            <m:t>=</m:t>
          </m:r>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P</m:t>
                      </m:r>
                    </m:e>
                    <m:sub>
                      <m:r>
                        <w:rPr>
                          <w:rFonts w:ascii="Cambria Math" w:hAnsi="Cambria Math" w:cs="Arial"/>
                        </w:rPr>
                        <m:t>t</m:t>
                      </m:r>
                    </m:sub>
                  </m:sSub>
                </m:e>
              </m:d>
            </m:e>
          </m:func>
          <m:r>
            <w:rPr>
              <w:rFonts w:ascii="Cambria Math" w:hAnsi="Arial" w:cs="Arial"/>
            </w:rPr>
            <m:t>-</m:t>
          </m:r>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P</m:t>
                      </m:r>
                    </m:e>
                    <m:sub>
                      <m:r>
                        <w:rPr>
                          <w:rFonts w:ascii="Cambria Math" w:hAnsi="Cambria Math" w:cs="Arial"/>
                        </w:rPr>
                        <m:t>t</m:t>
                      </m:r>
                      <m:r>
                        <w:rPr>
                          <w:rFonts w:ascii="Cambria Math" w:hAnsi="Arial" w:cs="Arial"/>
                        </w:rPr>
                        <m:t>-</m:t>
                      </m:r>
                      <m:r>
                        <w:rPr>
                          <w:rFonts w:ascii="Cambria Math" w:hAnsi="Arial" w:cs="Arial"/>
                        </w:rPr>
                        <m:t>1</m:t>
                      </m:r>
                    </m:sub>
                  </m:sSub>
                </m:e>
              </m:d>
            </m:e>
          </m:func>
          <m:r>
            <w:rPr>
              <w:rFonts w:ascii="Cambria Math" w:hAnsi="Arial" w:cs="Arial"/>
            </w:rPr>
            <m:t>]</m:t>
          </m:r>
          <m:r>
            <w:rPr>
              <w:rFonts w:ascii="Arial" w:hAnsi="Arial" w:cs="Arial"/>
            </w:rPr>
            <m:t>×</m:t>
          </m:r>
          <m:r>
            <w:rPr>
              <w:rFonts w:ascii="Cambria Math" w:hAnsi="Arial" w:cs="Arial"/>
            </w:rPr>
            <m:t>100                                                                  (1)</m:t>
          </m:r>
        </m:oMath>
      </m:oMathPara>
    </w:p>
    <w:p w:rsidR="00B15B5F" w:rsidRPr="00B15B5F" w:rsidRDefault="00B15B5F" w:rsidP="00B15B5F">
      <w:pPr>
        <w:jc w:val="both"/>
        <w:rPr>
          <w:rFonts w:ascii="Arial" w:eastAsiaTheme="minorEastAsia" w:hAnsi="Arial" w:cs="Arial"/>
        </w:rPr>
      </w:pPr>
      <w:r w:rsidRPr="00B15B5F">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r</m:t>
            </m:r>
          </m:e>
          <m:sub>
            <m:r>
              <w:rPr>
                <w:rFonts w:ascii="Cambria Math" w:eastAsiaTheme="minorEastAsia" w:hAnsi="Cambria Math" w:cs="Arial"/>
              </w:rPr>
              <m:t>t</m:t>
            </m:r>
          </m:sub>
        </m:sSub>
      </m:oMath>
      <w:r w:rsidRPr="00B15B5F">
        <w:rPr>
          <w:rFonts w:ascii="Arial" w:eastAsiaTheme="minorEastAsia" w:hAnsi="Arial" w:cs="Arial"/>
        </w:rPr>
        <w:t xml:space="preserve"> denotes the daily crude oil returns, </w:t>
      </w:r>
      <m:oMath>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t</m:t>
            </m:r>
          </m:sub>
        </m:sSub>
      </m:oMath>
      <w:r w:rsidRPr="00B15B5F">
        <w:rPr>
          <w:rFonts w:ascii="Arial" w:eastAsiaTheme="minorEastAsia" w:hAnsi="Arial" w:cs="Arial"/>
        </w:rPr>
        <w:t xml:space="preserve"> denotes the closing crude oil price at the current day (</w:t>
      </w:r>
      <m:oMath>
        <m:r>
          <w:rPr>
            <w:rFonts w:ascii="Cambria Math" w:eastAsiaTheme="minorEastAsia" w:hAnsi="Cambria Math" w:cs="Arial"/>
          </w:rPr>
          <m:t>t</m:t>
        </m:r>
      </m:oMath>
      <w:r w:rsidRPr="00B15B5F">
        <w:rPr>
          <w:rFonts w:ascii="Arial" w:eastAsiaTheme="minorEastAsia" w:hAnsi="Arial" w:cs="Arial"/>
        </w:rPr>
        <w:t xml:space="preserve">) and </w:t>
      </w:r>
      <m:oMath>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oMath>
      <w:r w:rsidRPr="00B15B5F">
        <w:rPr>
          <w:rFonts w:ascii="Arial" w:eastAsiaTheme="minorEastAsia" w:hAnsi="Arial" w:cs="Arial"/>
        </w:rPr>
        <w:t xml:space="preserve"> denotes the closing crude oil price at the previous day (</w:t>
      </w:r>
      <m:oMath>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oMath>
      <w:r w:rsidRPr="00B15B5F">
        <w:rPr>
          <w:rFonts w:ascii="Arial" w:eastAsiaTheme="minorEastAsia" w:hAnsi="Arial" w:cs="Arial"/>
        </w:rPr>
        <w:t xml:space="preserve">). </w:t>
      </w:r>
      <w:r w:rsidRPr="00B15B5F">
        <w:rPr>
          <w:rFonts w:ascii="Arial" w:hAnsi="Arial" w:cs="Arial"/>
        </w:rPr>
        <w:t>The returns are scaled (e.g. absolute or squared) to ensure positivity such that:</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e>
          </m:d>
          <m:r>
            <m:rPr>
              <m:sty m:val="p"/>
            </m:rPr>
            <w:rPr>
              <w:rFonts w:ascii="Cambria Math" w:hAnsi="Arial" w:cs="Arial"/>
              <w:sz w:val="20"/>
              <w:szCs w:val="20"/>
            </w:rPr>
            <m:t>or</m:t>
          </m:r>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 xml:space="preserve">                                                                                                                                  (2)</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lastRenderedPageBreak/>
        <w:t xml:space="preserve">Here we use squared returns, </w:t>
      </w:r>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B15B5F">
        <w:rPr>
          <w:rFonts w:ascii="Arial" w:hAnsi="Arial" w:cs="Arial"/>
          <w:sz w:val="20"/>
          <w:szCs w:val="20"/>
        </w:rPr>
        <w:t xml:space="preserve"> act as the “durations” in our ACD models. </w:t>
      </w:r>
    </w:p>
    <w:p w:rsidR="00B15B5F" w:rsidRPr="00B15B5F" w:rsidRDefault="00B15B5F" w:rsidP="00B15B5F">
      <w:pPr>
        <w:spacing w:before="240"/>
        <w:jc w:val="both"/>
        <w:rPr>
          <w:rFonts w:ascii="Arial" w:hAnsi="Arial" w:cs="Arial"/>
        </w:rPr>
      </w:pPr>
      <w:r w:rsidRPr="00B15B5F">
        <w:rPr>
          <w:rStyle w:val="Strong"/>
          <w:rFonts w:ascii="Arial" w:hAnsi="Arial" w:cs="Arial"/>
        </w:rPr>
        <w:t xml:space="preserve">2.2 Kwiatkowski-Phillips-Schmidt-Shin (KPSS) </w:t>
      </w:r>
      <w:r w:rsidRPr="00B15B5F">
        <w:rPr>
          <w:rFonts w:ascii="Arial" w:hAnsi="Arial" w:cs="Arial"/>
          <w:b/>
        </w:rPr>
        <w:t>Stationarity</w:t>
      </w:r>
      <w:r w:rsidRPr="00B15B5F">
        <w:rPr>
          <w:rStyle w:val="Strong"/>
          <w:rFonts w:ascii="Arial" w:hAnsi="Arial" w:cs="Arial"/>
        </w:rPr>
        <w:t xml:space="preserve"> Test</w:t>
      </w:r>
    </w:p>
    <w:p w:rsidR="00B15B5F" w:rsidRPr="00B15B5F" w:rsidRDefault="00B15B5F" w:rsidP="00B15B5F">
      <w:pPr>
        <w:spacing w:before="240"/>
        <w:jc w:val="both"/>
        <w:rPr>
          <w:rFonts w:ascii="Arial" w:hAnsi="Arial" w:cs="Arial"/>
        </w:rPr>
      </w:pPr>
      <w:r w:rsidRPr="00B15B5F">
        <w:rPr>
          <w:rFonts w:ascii="Arial" w:hAnsi="Arial" w:cs="Arial"/>
        </w:rPr>
        <w:t xml:space="preserve">The </w:t>
      </w:r>
      <w:r w:rsidRPr="00B15B5F">
        <w:rPr>
          <w:rStyle w:val="Strong"/>
          <w:rFonts w:ascii="Arial" w:hAnsi="Arial" w:cs="Arial"/>
          <w:b w:val="0"/>
        </w:rPr>
        <w:t>Kwiatkowski-Phillips-Schmidt-Shin (KPSS) test</w:t>
      </w:r>
      <w:r w:rsidRPr="00B15B5F">
        <w:rPr>
          <w:rFonts w:ascii="Arial" w:hAnsi="Arial" w:cs="Arial"/>
        </w:rPr>
        <w:t xml:space="preserve"> is designed to test for stationarity in a time series. Unlike other unit root tests (e.g., Dickey-Fuller tests), which are parametric and test the null hypothesis of a unit root (non-stationarity), the KPSS test is a non-parametric test that evaluates the null hypothesis of stationarity against the alternative hypothesis of a unit root (Kwiatkowski, Phillips, Schmidt, &amp; Shin, 1992)). This makes it a complementary test to the Dickey-Fuller and its variants. The KPSS test evaluates stationarity based on the residuals from a regression of the series. There are different versions of the KPSS test depending on whether the time series includes an intercept, a trend, or neither.</w:t>
      </w:r>
    </w:p>
    <w:p w:rsidR="00B15B5F" w:rsidRPr="00B15B5F" w:rsidRDefault="00B15B5F" w:rsidP="00B15B5F">
      <w:pPr>
        <w:jc w:val="both"/>
        <w:rPr>
          <w:rFonts w:ascii="Arial" w:hAnsi="Arial" w:cs="Arial"/>
        </w:rPr>
      </w:pPr>
      <w:r w:rsidRPr="00B15B5F">
        <w:rPr>
          <w:rFonts w:ascii="Arial" w:hAnsi="Arial" w:cs="Arial"/>
        </w:rPr>
        <w:t>For level stationarity the model is:</w:t>
      </w:r>
    </w:p>
    <w:p w:rsidR="00B15B5F" w:rsidRPr="00B15B5F" w:rsidRDefault="00AC73E4"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μ</m:t>
          </m:r>
          <m:r>
            <w:rPr>
              <w:rFonts w:ascii="Cambria Math" w:hAnsi="Arial" w:cs="Arial"/>
            </w:rPr>
            <m:t>+</m:t>
          </m:r>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(3)</m:t>
          </m:r>
        </m:oMath>
      </m:oMathPara>
    </w:p>
    <w:p w:rsidR="00B15B5F" w:rsidRPr="00B15B5F" w:rsidRDefault="00B15B5F" w:rsidP="00B15B5F">
      <w:pPr>
        <w:jc w:val="both"/>
        <w:rPr>
          <w:rFonts w:ascii="Arial" w:hAnsi="Arial" w:cs="Arial"/>
        </w:rPr>
      </w:pPr>
      <w:r w:rsidRPr="00B15B5F">
        <w:rPr>
          <w:rFonts w:ascii="Arial" w:hAnsi="Arial" w:cs="Arial"/>
        </w:rPr>
        <w:t>For trend stationarity the model is:</w:t>
      </w:r>
    </w:p>
    <w:p w:rsidR="00B15B5F" w:rsidRPr="00B15B5F" w:rsidRDefault="00AC73E4"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μ</m:t>
          </m:r>
          <m:r>
            <w:rPr>
              <w:rFonts w:ascii="Cambria Math" w:hAnsi="Arial" w:cs="Arial"/>
            </w:rPr>
            <m:t>+</m:t>
          </m:r>
          <m:r>
            <w:rPr>
              <w:rFonts w:ascii="Cambria Math" w:hAnsi="Cambria Math" w:cs="Arial"/>
            </w:rPr>
            <m:t>βt</m:t>
          </m:r>
          <m:r>
            <w:rPr>
              <w:rFonts w:ascii="Cambria Math" w:hAnsi="Arial" w:cs="Arial"/>
            </w:rPr>
            <m:t>+</m:t>
          </m:r>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(4)</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B15B5F">
        <w:rPr>
          <w:rFonts w:ascii="Arial" w:hAnsi="Arial" w:cs="Arial"/>
          <w:sz w:val="20"/>
          <w:szCs w:val="20"/>
        </w:rPr>
        <w:t xml:space="preserve"> is the observed time series, </w:t>
      </w:r>
      <m:oMath>
        <m:r>
          <w:rPr>
            <w:rFonts w:ascii="Cambria Math" w:hAnsi="Cambria Math" w:cs="Arial"/>
            <w:sz w:val="20"/>
            <w:szCs w:val="20"/>
          </w:rPr>
          <m:t>μ</m:t>
        </m:r>
      </m:oMath>
      <w:r w:rsidRPr="00B15B5F">
        <w:rPr>
          <w:rFonts w:ascii="Arial" w:hAnsi="Arial" w:cs="Arial"/>
          <w:sz w:val="20"/>
          <w:szCs w:val="20"/>
        </w:rPr>
        <w:t xml:space="preserve"> is the intercept (level), </w:t>
      </w:r>
      <m:oMath>
        <m:r>
          <w:rPr>
            <w:rFonts w:ascii="Cambria Math" w:hAnsi="Cambria Math" w:cs="Arial"/>
            <w:sz w:val="20"/>
            <w:szCs w:val="20"/>
          </w:rPr>
          <m:t>βt</m:t>
        </m:r>
      </m:oMath>
      <w:r w:rsidRPr="00B15B5F">
        <w:rPr>
          <w:rFonts w:ascii="Arial" w:hAnsi="Arial" w:cs="Arial"/>
          <w:sz w:val="20"/>
          <w:szCs w:val="20"/>
        </w:rPr>
        <w:t xml:space="preserve"> is the deterministic trend component, </w:t>
      </w:r>
      <m:oMath>
        <m:sSub>
          <m:sSubPr>
            <m:ctrlPr>
              <w:rPr>
                <w:rFonts w:ascii="Cambria Math" w:eastAsiaTheme="minorHAnsi"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oMath>
      <w:r w:rsidRPr="00B15B5F">
        <w:rPr>
          <w:rFonts w:ascii="Arial" w:hAnsi="Arial" w:cs="Arial"/>
          <w:sz w:val="20"/>
          <w:szCs w:val="20"/>
        </w:rPr>
        <w:t xml:space="preserve"> is the random walk (i.e., a non-stationary component), </w:t>
      </w:r>
      <m:oMath>
        <m:sSub>
          <m:sSubPr>
            <m:ctrlPr>
              <w:rPr>
                <w:rFonts w:ascii="Cambria Math" w:eastAsiaTheme="minorHAnsi"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B15B5F">
        <w:rPr>
          <w:rFonts w:ascii="Arial" w:hAnsi="Arial" w:cs="Arial"/>
          <w:sz w:val="20"/>
          <w:szCs w:val="20"/>
        </w:rPr>
        <w:t>is stationary error term (white noise</w:t>
      </w:r>
      <w:proofErr w:type="gramStart"/>
      <w:r w:rsidRPr="00B15B5F">
        <w:rPr>
          <w:rFonts w:ascii="Arial" w:hAnsi="Arial" w:cs="Arial"/>
          <w:sz w:val="20"/>
          <w:szCs w:val="20"/>
        </w:rPr>
        <w:t>).For</w:t>
      </w:r>
      <w:proofErr w:type="gramEnd"/>
      <w:r w:rsidRPr="00B15B5F">
        <w:rPr>
          <w:rFonts w:ascii="Arial" w:hAnsi="Arial" w:cs="Arial"/>
          <w:sz w:val="20"/>
          <w:szCs w:val="20"/>
        </w:rPr>
        <w:t xml:space="preserve"> level/trend stationarity, the test checks the following pair of hypotheses: </w:t>
      </w:r>
    </w:p>
    <w:p w:rsidR="00B15B5F" w:rsidRPr="00B15B5F" w:rsidRDefault="00AC73E4"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Arial" w:cs="Arial"/>
            <w:sz w:val="20"/>
            <w:szCs w:val="20"/>
          </w:rPr>
          <m:t>=0</m:t>
        </m:r>
      </m:oMath>
      <w:r w:rsidR="00B15B5F" w:rsidRPr="00B15B5F">
        <w:rPr>
          <w:rFonts w:ascii="Arial" w:hAnsi="Arial" w:cs="Arial"/>
          <w:sz w:val="20"/>
          <w:szCs w:val="20"/>
        </w:rPr>
        <w:t xml:space="preserve"> (i.e., series is stationary)</w:t>
      </w:r>
    </w:p>
    <w:p w:rsidR="00B15B5F" w:rsidRPr="00B15B5F" w:rsidRDefault="00AC73E4"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Arial" w:cs="Arial"/>
            <w:sz w:val="20"/>
            <w:szCs w:val="20"/>
          </w:rPr>
          <m:t>≠</m:t>
        </m:r>
        <m:r>
          <w:rPr>
            <w:rFonts w:ascii="Cambria Math" w:hAnsi="Arial" w:cs="Arial"/>
            <w:sz w:val="20"/>
            <w:szCs w:val="20"/>
          </w:rPr>
          <m:t>0</m:t>
        </m:r>
      </m:oMath>
      <w:r w:rsidR="00B15B5F" w:rsidRPr="00B15B5F">
        <w:rPr>
          <w:rFonts w:ascii="Arial" w:hAnsi="Arial" w:cs="Arial"/>
          <w:sz w:val="20"/>
          <w:szCs w:val="20"/>
        </w:rPr>
        <w:t xml:space="preserve"> (i.e., series has a unit root)</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For level stationarity,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B15B5F">
        <w:rPr>
          <w:rFonts w:ascii="Arial" w:hAnsi="Arial" w:cs="Arial"/>
          <w:sz w:val="20"/>
          <w:szCs w:val="20"/>
        </w:rPr>
        <w:t xml:space="preserve"> is regressed on a constant whereas for trend stationarity, it is regressed on a constant and time trend to obtain the residuals: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w:rPr>
              <w:rFonts w:ascii="Cambria Math" w:hAnsi="Arial" w:cs="Arial"/>
              <w:sz w:val="20"/>
              <w:szCs w:val="20"/>
            </w:rPr>
            <m:t xml:space="preserve">                                                                                                                                             (5)</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cumulative residuals are computed as: </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t</m:t>
                  </m:r>
                </m:sub>
              </m:sSub>
            </m:e>
          </m:nary>
          <m:r>
            <m:rPr>
              <m:sty m:val="p"/>
            </m:rPr>
            <w:rPr>
              <w:rFonts w:ascii="Cambria Math" w:hAnsi="Arial" w:cs="Arial"/>
              <w:sz w:val="20"/>
              <w:szCs w:val="20"/>
            </w:rPr>
            <m:t>for</m:t>
          </m:r>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(6)</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To compute the long-run variance of residuals, let:</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Arial" w:cs="Arial"/>
                  <w:sz w:val="20"/>
                  <w:szCs w:val="20"/>
                </w:rPr>
                <m:t>0</m:t>
              </m:r>
            </m:sub>
          </m:sSub>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l</m:t>
              </m:r>
            </m:sup>
            <m:e>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j</m:t>
                  </m:r>
                </m:sub>
              </m:sSub>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Cambria Math" w:cs="Arial"/>
                      <w:sz w:val="20"/>
                      <w:szCs w:val="20"/>
                    </w:rPr>
                    <m:t>j</m:t>
                  </m:r>
                </m:sub>
              </m:sSub>
            </m:e>
          </m:nary>
          <m:r>
            <w:rPr>
              <w:rFonts w:ascii="Cambria Math" w:hAnsi="Arial" w:cs="Arial"/>
              <w:sz w:val="20"/>
              <w:szCs w:val="20"/>
            </w:rPr>
            <m:t xml:space="preserve">                                                                                                                               (7)</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Cambria Math" w:cs="Arial"/>
                <w:sz w:val="20"/>
                <w:szCs w:val="20"/>
              </w:rPr>
              <m:t>j</m:t>
            </m:r>
          </m:sub>
        </m:sSub>
      </m:oMath>
      <w:r w:rsidRPr="00B15B5F">
        <w:rPr>
          <w:rFonts w:ascii="Arial" w:hAnsi="Arial" w:cs="Arial"/>
          <w:sz w:val="20"/>
          <w:szCs w:val="20"/>
        </w:rPr>
        <w:t xml:space="preserve"> is the sample autocovariance at lag </w:t>
      </w:r>
      <m:oMath>
        <m:r>
          <w:rPr>
            <w:rStyle w:val="katex-mathml"/>
            <w:rFonts w:ascii="Cambria Math" w:hAnsi="Cambria Math" w:cs="Arial"/>
            <w:sz w:val="20"/>
            <w:szCs w:val="20"/>
          </w:rPr>
          <m:t>j</m:t>
        </m:r>
      </m:oMath>
      <w:r w:rsidRPr="00B15B5F">
        <w:rPr>
          <w:rStyle w:val="katex-mathml"/>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j</m:t>
            </m:r>
          </m:sub>
        </m:sSub>
        <m:r>
          <w:rPr>
            <w:rFonts w:ascii="Cambria Math" w:hAnsi="Arial" w:cs="Arial"/>
            <w:sz w:val="20"/>
            <w:szCs w:val="20"/>
          </w:rPr>
          <m:t>=1</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m:t>
            </m:r>
          </m:num>
          <m:den>
            <m:r>
              <w:rPr>
                <w:rFonts w:ascii="Cambria Math" w:hAnsi="Cambria Math" w:cs="Arial"/>
                <w:sz w:val="20"/>
                <w:szCs w:val="20"/>
              </w:rPr>
              <m:t>l</m:t>
            </m:r>
            <m:r>
              <w:rPr>
                <w:rFonts w:ascii="Cambria Math" w:hAnsi="Arial" w:cs="Arial"/>
                <w:sz w:val="20"/>
                <w:szCs w:val="20"/>
              </w:rPr>
              <m:t>+1</m:t>
            </m:r>
          </m:den>
        </m:f>
      </m:oMath>
      <w:r w:rsidRPr="00B15B5F">
        <w:rPr>
          <w:rFonts w:ascii="Arial" w:hAnsi="Arial" w:cs="Arial"/>
          <w:sz w:val="20"/>
          <w:szCs w:val="20"/>
        </w:rPr>
        <w:t xml:space="preserve"> is the Bartlett weights, </w:t>
      </w:r>
      <m:oMath>
        <m:r>
          <w:rPr>
            <w:rFonts w:ascii="Cambria Math" w:hAnsi="Cambria Math" w:cs="Arial"/>
            <w:sz w:val="20"/>
            <w:szCs w:val="20"/>
          </w:rPr>
          <m:t>l</m:t>
        </m:r>
      </m:oMath>
      <w:r w:rsidRPr="00B15B5F">
        <w:rPr>
          <w:rFonts w:ascii="Arial" w:hAnsi="Arial" w:cs="Arial"/>
          <w:sz w:val="20"/>
          <w:szCs w:val="20"/>
        </w:rPr>
        <w:t>is the truncation lag (which can be selected using rules like Newey-West). The KPSS test statistic is then computed as:</w:t>
      </w:r>
    </w:p>
    <w:p w:rsidR="00B15B5F" w:rsidRPr="00B15B5F"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KPSS</m:t>
          </m:r>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p>
                <m:sSupPr>
                  <m:ctrlPr>
                    <w:rPr>
                      <w:rFonts w:ascii="Cambria Math" w:hAnsi="Arial" w:cs="Arial"/>
                      <w:i/>
                      <w:sz w:val="20"/>
                      <w:szCs w:val="20"/>
                    </w:rPr>
                  </m:ctrlPr>
                </m:sSupPr>
                <m:e>
                  <m:r>
                    <w:rPr>
                      <w:rFonts w:ascii="Cambria Math" w:hAnsi="Cambria Math" w:cs="Arial"/>
                      <w:sz w:val="20"/>
                      <w:szCs w:val="20"/>
                    </w:rPr>
                    <m:t>T</m:t>
                  </m:r>
                </m:e>
                <m:sup>
                  <m:r>
                    <w:rPr>
                      <w:rFonts w:ascii="Cambria Math" w:hAnsi="Arial" w:cs="Arial"/>
                      <w:sz w:val="20"/>
                      <w:szCs w:val="20"/>
                    </w:rPr>
                    <m:t>2</m:t>
                  </m:r>
                </m:sup>
              </m:sSup>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sSubSup>
                <m:sSubSupPr>
                  <m:ctrlPr>
                    <w:rPr>
                      <w:rFonts w:ascii="Cambria Math" w:hAnsi="Arial" w:cs="Arial"/>
                      <w:i/>
                      <w:sz w:val="20"/>
                      <w:szCs w:val="20"/>
                    </w:rPr>
                  </m:ctrlPr>
                </m:sSubSupPr>
                <m:e>
                  <m:r>
                    <w:rPr>
                      <w:rFonts w:ascii="Cambria Math" w:hAnsi="Cambria Math" w:cs="Arial"/>
                      <w:sz w:val="20"/>
                      <w:szCs w:val="20"/>
                    </w:rPr>
                    <m:t>S</m:t>
                  </m:r>
                </m:e>
                <m:sub>
                  <m:r>
                    <w:rPr>
                      <w:rFonts w:ascii="Cambria Math" w:hAnsi="Cambria Math" w:cs="Arial"/>
                      <w:sz w:val="20"/>
                      <w:szCs w:val="20"/>
                    </w:rPr>
                    <m:t>t</m:t>
                  </m:r>
                </m:sub>
                <m:sup>
                  <m:r>
                    <w:rPr>
                      <w:rFonts w:ascii="Cambria Math" w:hAnsi="Arial" w:cs="Arial"/>
                      <w:sz w:val="20"/>
                      <w:szCs w:val="20"/>
                    </w:rPr>
                    <m:t>2</m:t>
                  </m:r>
                </m:sup>
              </m:sSubSup>
            </m:e>
          </m:nary>
          <m:r>
            <w:rPr>
              <w:rFonts w:ascii="Cambria Math" w:hAnsi="Arial" w:cs="Arial"/>
              <w:sz w:val="20"/>
              <w:szCs w:val="20"/>
            </w:rPr>
            <m:t xml:space="preserve">                                                                                                                             (8)</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Style w:val="katex-mathml"/>
            <w:rFonts w:ascii="Cambria Math" w:hAnsi="Cambria Math" w:cs="Arial"/>
            <w:sz w:val="20"/>
            <w:szCs w:val="20"/>
          </w:rPr>
          <m:t>T</m:t>
        </m:r>
      </m:oMath>
      <w:r w:rsidRPr="00B15B5F">
        <w:rPr>
          <w:rStyle w:val="katex-mathml"/>
          <w:rFonts w:ascii="Arial" w:hAnsi="Arial" w:cs="Arial"/>
          <w:sz w:val="20"/>
          <w:szCs w:val="20"/>
        </w:rPr>
        <w:t xml:space="preserve"> is the </w:t>
      </w:r>
      <w:r w:rsidRPr="00B15B5F">
        <w:rPr>
          <w:rFonts w:ascii="Arial" w:hAnsi="Arial" w:cs="Arial"/>
          <w:sz w:val="20"/>
          <w:szCs w:val="20"/>
        </w:rPr>
        <w:t xml:space="preserve">sample size, </w:t>
      </w:r>
      <m:oMath>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oMath>
      <w:r w:rsidRPr="00B15B5F">
        <w:rPr>
          <w:rFonts w:ascii="Arial" w:hAnsi="Arial" w:cs="Arial"/>
          <w:sz w:val="20"/>
          <w:szCs w:val="20"/>
        </w:rPr>
        <w:t xml:space="preserve"> is the long-run variance estimate, </w:t>
      </w:r>
      <m:oMath>
        <m:sSub>
          <m:sSubPr>
            <m:ctrlPr>
              <w:rPr>
                <w:rFonts w:ascii="Cambria Math" w:hAnsi="Arial"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Pr="00B15B5F">
        <w:rPr>
          <w:rFonts w:ascii="Arial" w:hAnsi="Arial" w:cs="Arial"/>
          <w:sz w:val="20"/>
          <w:szCs w:val="20"/>
        </w:rPr>
        <w:t xml:space="preserve"> is the cumulative </w:t>
      </w:r>
      <w:proofErr w:type="gramStart"/>
      <w:r w:rsidRPr="00B15B5F">
        <w:rPr>
          <w:rFonts w:ascii="Arial" w:hAnsi="Arial" w:cs="Arial"/>
          <w:sz w:val="20"/>
          <w:szCs w:val="20"/>
        </w:rPr>
        <w:t>residuals.</w:t>
      </w:r>
      <w:proofErr w:type="gramEnd"/>
    </w:p>
    <w:p w:rsidR="00B15B5F" w:rsidRPr="00B15B5F" w:rsidRDefault="00B15B5F" w:rsidP="00B15B5F">
      <w:pPr>
        <w:pStyle w:val="NormalWeb"/>
        <w:spacing w:before="240" w:beforeAutospacing="0" w:after="0" w:afterAutospacing="0"/>
        <w:jc w:val="both"/>
        <w:rPr>
          <w:rFonts w:ascii="Arial" w:hAnsi="Arial" w:cs="Arial"/>
          <w:sz w:val="20"/>
          <w:szCs w:val="20"/>
        </w:rPr>
      </w:pPr>
      <w:r w:rsidRPr="00B15B5F">
        <w:rPr>
          <w:rFonts w:ascii="Arial" w:hAnsi="Arial" w:cs="Arial"/>
          <w:sz w:val="20"/>
          <w:szCs w:val="20"/>
        </w:rPr>
        <w:t xml:space="preserve">If the KPSS test statistic </w:t>
      </w:r>
      <m:oMath>
        <m:r>
          <w:rPr>
            <w:rFonts w:ascii="Cambria Math" w:hAnsi="Arial" w:cs="Arial"/>
            <w:sz w:val="20"/>
            <w:szCs w:val="20"/>
          </w:rPr>
          <m:t>&gt;</m:t>
        </m:r>
      </m:oMath>
      <w:r w:rsidRPr="00B15B5F">
        <w:rPr>
          <w:rFonts w:ascii="Arial" w:hAnsi="Arial" w:cs="Arial"/>
          <w:sz w:val="20"/>
          <w:szCs w:val="20"/>
        </w:rPr>
        <w:t xml:space="preserve">critical value,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the series is not stationary. If the KPSS test statistic </w:t>
      </w:r>
      <m:oMath>
        <m:r>
          <w:rPr>
            <w:rFonts w:ascii="Cambria Math" w:hAnsi="Arial" w:cs="Arial"/>
            <w:sz w:val="20"/>
            <w:szCs w:val="20"/>
          </w:rPr>
          <m:t>≤</m:t>
        </m:r>
      </m:oMath>
      <w:r w:rsidRPr="00B15B5F">
        <w:rPr>
          <w:rFonts w:ascii="Arial" w:hAnsi="Arial" w:cs="Arial"/>
          <w:sz w:val="20"/>
          <w:szCs w:val="20"/>
        </w:rPr>
        <w:t xml:space="preserve"> critical value,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the series is stationary.</w:t>
      </w:r>
    </w:p>
    <w:p w:rsidR="00B15B5F" w:rsidRPr="00B15B5F" w:rsidRDefault="00B15B5F" w:rsidP="00B15B5F">
      <w:pPr>
        <w:pStyle w:val="NormalWeb"/>
        <w:spacing w:before="240" w:beforeAutospacing="0" w:after="0" w:afterAutospacing="0"/>
        <w:jc w:val="both"/>
        <w:rPr>
          <w:rFonts w:ascii="Arial" w:hAnsi="Arial" w:cs="Arial"/>
          <w:b/>
          <w:sz w:val="20"/>
          <w:szCs w:val="20"/>
        </w:rPr>
      </w:pPr>
      <w:r w:rsidRPr="00B15B5F">
        <w:rPr>
          <w:rFonts w:ascii="Arial" w:hAnsi="Arial" w:cs="Arial"/>
          <w:b/>
          <w:sz w:val="20"/>
          <w:szCs w:val="20"/>
        </w:rPr>
        <w:t xml:space="preserve">2.3 </w:t>
      </w:r>
      <w:proofErr w:type="spellStart"/>
      <w:r w:rsidRPr="00B15B5F">
        <w:rPr>
          <w:rFonts w:ascii="Arial" w:hAnsi="Arial" w:cs="Arial"/>
          <w:b/>
          <w:sz w:val="20"/>
          <w:szCs w:val="20"/>
        </w:rPr>
        <w:t>Ljung</w:t>
      </w:r>
      <w:proofErr w:type="spellEnd"/>
      <w:r w:rsidRPr="00B15B5F">
        <w:rPr>
          <w:rFonts w:ascii="Arial" w:hAnsi="Arial" w:cs="Arial"/>
          <w:b/>
          <w:sz w:val="20"/>
          <w:szCs w:val="20"/>
        </w:rPr>
        <w:t>-Box Q-statistics Test</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w:t>
      </w:r>
      <w:proofErr w:type="spellStart"/>
      <w:r w:rsidRPr="00B15B5F">
        <w:rPr>
          <w:rFonts w:ascii="Arial" w:hAnsi="Arial" w:cs="Arial"/>
          <w:sz w:val="20"/>
          <w:szCs w:val="20"/>
        </w:rPr>
        <w:t>Ljung</w:t>
      </w:r>
      <w:proofErr w:type="spellEnd"/>
      <w:r w:rsidRPr="00B15B5F">
        <w:rPr>
          <w:rFonts w:ascii="Arial" w:hAnsi="Arial" w:cs="Arial"/>
          <w:sz w:val="20"/>
          <w:szCs w:val="20"/>
        </w:rPr>
        <w:t>-Box test checks whether any group of autocorrelations in a time series are significantly different from zero. It is most often applied to residuals from a time series model to assess whether the residuals are white noise (i.e., no autocorrelation) (</w:t>
      </w:r>
      <w:proofErr w:type="spellStart"/>
      <w:r w:rsidRPr="00B15B5F">
        <w:rPr>
          <w:rFonts w:ascii="Arial" w:hAnsi="Arial" w:cs="Arial"/>
          <w:sz w:val="20"/>
          <w:szCs w:val="20"/>
        </w:rPr>
        <w:t>Ljung</w:t>
      </w:r>
      <w:proofErr w:type="spellEnd"/>
      <w:r w:rsidRPr="00B15B5F">
        <w:rPr>
          <w:rFonts w:ascii="Arial" w:hAnsi="Arial" w:cs="Arial"/>
          <w:sz w:val="20"/>
          <w:szCs w:val="20"/>
        </w:rPr>
        <w:t xml:space="preserve">&amp; Box, 1978). Given a time series </w:t>
      </w:r>
      <m:oMath>
        <m:sSubSup>
          <m:sSubSupPr>
            <m:ctrlPr>
              <w:rPr>
                <w:rFonts w:ascii="Cambria Math" w:hAnsi="Arial" w:cs="Arial"/>
                <w:i/>
                <w:sz w:val="20"/>
                <w:szCs w:val="20"/>
              </w:rPr>
            </m:ctrlPr>
          </m:sSub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sub>
            <m:r>
              <w:rPr>
                <w:rFonts w:ascii="Cambria Math" w:hAnsi="Cambria Math" w:cs="Arial"/>
                <w:sz w:val="20"/>
                <w:szCs w:val="20"/>
              </w:rPr>
              <m:t>t</m:t>
            </m:r>
            <m:r>
              <w:rPr>
                <w:rFonts w:ascii="Cambria Math" w:hAnsi="Arial" w:cs="Arial"/>
                <w:sz w:val="20"/>
                <w:szCs w:val="20"/>
              </w:rPr>
              <m:t>=1</m:t>
            </m:r>
          </m:sub>
          <m:sup>
            <m:r>
              <w:rPr>
                <w:rFonts w:ascii="Cambria Math" w:hAnsi="Cambria Math" w:cs="Arial"/>
                <w:sz w:val="20"/>
                <w:szCs w:val="20"/>
              </w:rPr>
              <m:t>n</m:t>
            </m:r>
          </m:sup>
        </m:sSubSup>
      </m:oMath>
      <w:r w:rsidRPr="00B15B5F">
        <w:rPr>
          <w:rFonts w:ascii="Arial" w:hAnsi="Arial" w:cs="Arial"/>
          <w:sz w:val="20"/>
          <w:szCs w:val="20"/>
        </w:rPr>
        <w:t xml:space="preserve">, and let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Sub>
      </m:oMath>
      <w:r w:rsidRPr="00B15B5F">
        <w:rPr>
          <w:rFonts w:ascii="Arial" w:hAnsi="Arial" w:cs="Arial"/>
          <w:sz w:val="20"/>
          <w:szCs w:val="20"/>
        </w:rPr>
        <w:t xml:space="preserve"> be the sample autocorrelation at lag </w:t>
      </w:r>
      <m:oMath>
        <m:r>
          <w:rPr>
            <w:rFonts w:ascii="Cambria Math" w:hAnsi="Cambria Math" w:cs="Arial"/>
            <w:sz w:val="20"/>
            <w:szCs w:val="20"/>
          </w:rPr>
          <m:t>k</m:t>
        </m:r>
      </m:oMath>
      <w:r w:rsidRPr="00B15B5F">
        <w:rPr>
          <w:rFonts w:ascii="Arial" w:hAnsi="Arial" w:cs="Arial"/>
          <w:sz w:val="20"/>
          <w:szCs w:val="20"/>
        </w:rPr>
        <w:t xml:space="preserve">, the Ljung-Box Q-statistic at lag </w:t>
      </w:r>
      <m:oMath>
        <m:r>
          <w:rPr>
            <w:rFonts w:ascii="Cambria Math" w:hAnsi="Cambria Math" w:cs="Arial"/>
            <w:sz w:val="20"/>
            <w:szCs w:val="20"/>
          </w:rPr>
          <m:t>h</m:t>
        </m:r>
      </m:oMath>
      <w:r w:rsidRPr="00B15B5F">
        <w:rPr>
          <w:rFonts w:ascii="Arial" w:hAnsi="Arial" w:cs="Arial"/>
          <w:sz w:val="20"/>
          <w:szCs w:val="20"/>
        </w:rPr>
        <w:t xml:space="preserve"> is given as: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LB</m:t>
              </m:r>
            </m:sub>
          </m:sSub>
          <m:r>
            <w:rPr>
              <w:rFonts w:ascii="Cambria Math" w:hAnsi="Arial" w:cs="Arial"/>
              <w:sz w:val="20"/>
              <w:szCs w:val="20"/>
            </w:rPr>
            <m:t>=</m:t>
          </m:r>
          <m:r>
            <w:rPr>
              <w:rFonts w:ascii="Cambria Math" w:hAnsi="Cambria Math" w:cs="Arial"/>
              <w:sz w:val="20"/>
              <w:szCs w:val="20"/>
            </w:rPr>
            <m:t>n</m:t>
          </m:r>
          <m:d>
            <m:dPr>
              <m:ctrlPr>
                <w:rPr>
                  <w:rFonts w:ascii="Cambria Math" w:hAnsi="Arial" w:cs="Arial"/>
                  <w:i/>
                  <w:sz w:val="20"/>
                  <w:szCs w:val="20"/>
                </w:rPr>
              </m:ctrlPr>
            </m:dPr>
            <m:e>
              <m:r>
                <w:rPr>
                  <w:rFonts w:ascii="Cambria Math" w:hAnsi="Cambria Math" w:cs="Arial"/>
                  <w:sz w:val="20"/>
                  <w:szCs w:val="20"/>
                </w:rPr>
                <m:t>n</m:t>
              </m:r>
              <m:r>
                <w:rPr>
                  <w:rFonts w:ascii="Cambria Math" w:hAnsi="Arial" w:cs="Arial"/>
                  <w:sz w:val="20"/>
                  <w:szCs w:val="20"/>
                </w:rPr>
                <m:t>+2</m:t>
              </m:r>
            </m:e>
          </m:d>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h</m:t>
              </m:r>
            </m:sup>
            <m:e>
              <m:f>
                <m:fPr>
                  <m:ctrlPr>
                    <w:rPr>
                      <w:rFonts w:ascii="Cambria Math" w:hAnsi="Arial" w:cs="Arial"/>
                      <w:i/>
                      <w:sz w:val="20"/>
                      <w:szCs w:val="20"/>
                    </w:rPr>
                  </m:ctrlPr>
                </m:fPr>
                <m:num>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up>
                      <m:r>
                        <w:rPr>
                          <w:rFonts w:ascii="Cambria Math" w:hAnsi="Arial" w:cs="Arial"/>
                          <w:sz w:val="20"/>
                          <w:szCs w:val="20"/>
                        </w:rPr>
                        <m:t>2</m:t>
                      </m:r>
                    </m:sup>
                  </m:sSubSup>
                </m:num>
                <m:den>
                  <m:r>
                    <w:rPr>
                      <w:rFonts w:ascii="Cambria Math" w:hAnsi="Cambria Math" w:cs="Arial"/>
                      <w:sz w:val="20"/>
                      <w:szCs w:val="20"/>
                    </w:rPr>
                    <m:t>n</m:t>
                  </m:r>
                  <m:r>
                    <w:rPr>
                      <w:rFonts w:ascii="Arial" w:hAnsi="Arial" w:cs="Arial"/>
                      <w:sz w:val="20"/>
                      <w:szCs w:val="20"/>
                    </w:rPr>
                    <m:t>-</m:t>
                  </m:r>
                  <m:r>
                    <w:rPr>
                      <w:rFonts w:ascii="Cambria Math" w:hAnsi="Cambria Math" w:cs="Arial"/>
                      <w:sz w:val="20"/>
                      <w:szCs w:val="20"/>
                    </w:rPr>
                    <m:t>k</m:t>
                  </m:r>
                </m:den>
              </m:f>
            </m:e>
          </m:nary>
          <m:r>
            <w:rPr>
              <w:rFonts w:ascii="Cambria Math" w:hAnsi="Arial" w:cs="Arial"/>
              <w:sz w:val="20"/>
              <w:szCs w:val="20"/>
            </w:rPr>
            <m:t xml:space="preserve">                                                                                                          (9)</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Style w:val="mord"/>
            <w:rFonts w:ascii="Cambria Math" w:hAnsi="Cambria Math" w:cs="Arial"/>
            <w:sz w:val="20"/>
            <w:szCs w:val="20"/>
          </w:rPr>
          <m:t>n</m:t>
        </m:r>
      </m:oMath>
      <w:r w:rsidRPr="00B15B5F">
        <w:rPr>
          <w:rFonts w:ascii="Arial" w:hAnsi="Arial" w:cs="Arial"/>
          <w:sz w:val="20"/>
          <w:szCs w:val="20"/>
        </w:rPr>
        <w:t xml:space="preserve"> is the sample size, </w:t>
      </w:r>
      <m:oMath>
        <m:r>
          <w:rPr>
            <w:rStyle w:val="mord"/>
            <w:rFonts w:ascii="Cambria Math" w:hAnsi="Cambria Math" w:cs="Arial"/>
            <w:sz w:val="20"/>
            <w:szCs w:val="20"/>
          </w:rPr>
          <m:t>h</m:t>
        </m:r>
      </m:oMath>
      <w:r w:rsidRPr="00B15B5F">
        <w:rPr>
          <w:rFonts w:ascii="Arial" w:hAnsi="Arial" w:cs="Arial"/>
          <w:sz w:val="20"/>
          <w:szCs w:val="20"/>
        </w:rPr>
        <w:t xml:space="preserve"> is the number of lags being tested,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Sub>
      </m:oMath>
      <w:r w:rsidRPr="00B15B5F">
        <w:rPr>
          <w:rFonts w:ascii="Arial" w:hAnsi="Arial" w:cs="Arial"/>
          <w:sz w:val="20"/>
          <w:szCs w:val="20"/>
        </w:rPr>
        <w:t xml:space="preserve"> is the sample autocorrelation at lag </w:t>
      </w:r>
      <m:oMath>
        <m:r>
          <w:rPr>
            <w:rStyle w:val="katex-mathml"/>
            <w:rFonts w:ascii="Cambria Math" w:hAnsi="Cambria Math" w:cs="Arial"/>
            <w:sz w:val="20"/>
            <w:szCs w:val="20"/>
          </w:rPr>
          <m:t>k</m:t>
        </m:r>
      </m:oMath>
      <w:r w:rsidRPr="00B15B5F">
        <w:rPr>
          <w:rFonts w:ascii="Arial" w:hAnsi="Arial" w:cs="Arial"/>
          <w:sz w:val="20"/>
          <w:szCs w:val="20"/>
        </w:rPr>
        <w:t>. This formula adjusts for finite-sample bias better than the Box-Pierce statistic, which is: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LB</m:t>
              </m:r>
            </m:sub>
          </m:sSub>
          <m:r>
            <w:rPr>
              <w:rFonts w:ascii="Cambria Math" w:hAnsi="Arial" w:cs="Arial"/>
              <w:sz w:val="20"/>
              <w:szCs w:val="20"/>
            </w:rPr>
            <m:t>=</m:t>
          </m:r>
          <m:r>
            <w:rPr>
              <w:rFonts w:ascii="Cambria Math" w:hAnsi="Cambria Math" w:cs="Arial"/>
              <w:sz w:val="20"/>
              <w:szCs w:val="20"/>
            </w:rPr>
            <m:t>n</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h</m:t>
              </m:r>
            </m:sup>
            <m:e>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up>
                  <m:r>
                    <w:rPr>
                      <w:rFonts w:ascii="Cambria Math" w:hAnsi="Arial" w:cs="Arial"/>
                      <w:sz w:val="20"/>
                      <w:szCs w:val="20"/>
                    </w:rPr>
                    <m:t>2</m:t>
                  </m:r>
                </m:sup>
              </m:sSubSup>
            </m:e>
          </m:nary>
          <m:r>
            <w:rPr>
              <w:rFonts w:ascii="Cambria Math" w:hAnsi="Arial" w:cs="Arial"/>
              <w:sz w:val="20"/>
              <w:szCs w:val="20"/>
            </w:rPr>
            <m:t xml:space="preserve">                                                                                                                                    (10)</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w:t>
      </w:r>
      <w:proofErr w:type="spellStart"/>
      <w:r w:rsidRPr="00B15B5F">
        <w:rPr>
          <w:rFonts w:ascii="Arial" w:hAnsi="Arial" w:cs="Arial"/>
          <w:sz w:val="20"/>
          <w:szCs w:val="20"/>
        </w:rPr>
        <w:t>Ljung</w:t>
      </w:r>
      <w:proofErr w:type="spellEnd"/>
      <w:r w:rsidRPr="00B15B5F">
        <w:rPr>
          <w:rFonts w:ascii="Arial" w:hAnsi="Arial" w:cs="Arial"/>
          <w:sz w:val="20"/>
          <w:szCs w:val="20"/>
        </w:rPr>
        <w:t xml:space="preserve">-Box test checks the following pair of hypotheses: </w:t>
      </w:r>
    </w:p>
    <w:p w:rsidR="00B15B5F" w:rsidRPr="00B15B5F" w:rsidRDefault="00AC73E4"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2</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h</m:t>
            </m:r>
          </m:sub>
        </m:sSub>
        <m:r>
          <w:rPr>
            <w:rFonts w:ascii="Cambria Math" w:hAnsi="Arial" w:cs="Arial"/>
            <w:sz w:val="20"/>
            <w:szCs w:val="20"/>
          </w:rPr>
          <m:t>=0</m:t>
        </m:r>
      </m:oMath>
      <w:r w:rsidR="00B15B5F" w:rsidRPr="00B15B5F">
        <w:rPr>
          <w:rFonts w:ascii="Arial" w:hAnsi="Arial" w:cs="Arial"/>
          <w:sz w:val="20"/>
          <w:szCs w:val="20"/>
        </w:rPr>
        <w:t xml:space="preserve"> (no autocorrelation at lags 1 to </w:t>
      </w:r>
      <m:oMath>
        <m:r>
          <w:rPr>
            <w:rStyle w:val="katex-mathml"/>
            <w:rFonts w:ascii="Cambria Math" w:hAnsi="Cambria Math" w:cs="Arial"/>
            <w:sz w:val="20"/>
            <w:szCs w:val="20"/>
          </w:rPr>
          <m:t>h</m:t>
        </m:r>
      </m:oMath>
      <w:r w:rsidR="00B15B5F" w:rsidRPr="00B15B5F">
        <w:rPr>
          <w:rFonts w:ascii="Arial" w:hAnsi="Arial" w:cs="Arial"/>
          <w:sz w:val="20"/>
          <w:szCs w:val="20"/>
        </w:rPr>
        <w:t>) versus</w:t>
      </w:r>
    </w:p>
    <w:p w:rsidR="00B15B5F" w:rsidRPr="00B15B5F" w:rsidRDefault="00AC73E4"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0</m:t>
        </m:r>
      </m:oMath>
      <w:r w:rsidR="00B15B5F" w:rsidRPr="00B15B5F">
        <w:rPr>
          <w:rFonts w:ascii="Arial" w:hAnsi="Arial" w:cs="Arial"/>
          <w:sz w:val="20"/>
          <w:szCs w:val="20"/>
        </w:rPr>
        <w:t xml:space="preserve"> (</w:t>
      </w:r>
      <w:r w:rsidR="00B15B5F" w:rsidRPr="00B15B5F">
        <w:rPr>
          <w:rFonts w:ascii="Arial" w:eastAsiaTheme="minorEastAsia" w:hAnsi="Arial" w:cs="Arial"/>
          <w:sz w:val="20"/>
          <w:szCs w:val="20"/>
        </w:rPr>
        <w:t>there is at least one lag with non-zero correlation</w:t>
      </w:r>
      <w:r w:rsidR="00B15B5F" w:rsidRPr="00B15B5F">
        <w:rPr>
          <w:rFonts w:ascii="Arial" w:hAnsi="Arial" w:cs="Arial"/>
          <w:sz w:val="20"/>
          <w:szCs w:val="20"/>
        </w:rPr>
        <w:t xml:space="preserve">) </w:t>
      </w:r>
    </w:p>
    <w:p w:rsidR="00B15B5F" w:rsidRPr="00B15B5F" w:rsidRDefault="00B15B5F" w:rsidP="00B15B5F">
      <w:pPr>
        <w:pStyle w:val="NormalWeb"/>
        <w:spacing w:before="240" w:beforeAutospacing="0" w:after="0" w:afterAutospacing="0"/>
        <w:jc w:val="both"/>
        <w:rPr>
          <w:rFonts w:ascii="Arial" w:hAnsi="Arial" w:cs="Arial"/>
          <w:sz w:val="20"/>
          <w:szCs w:val="20"/>
        </w:rPr>
      </w:pPr>
      <w:r w:rsidRPr="00B15B5F">
        <w:rPr>
          <w:rFonts w:ascii="Arial" w:hAnsi="Arial" w:cs="Arial"/>
          <w:sz w:val="20"/>
          <w:szCs w:val="20"/>
        </w:rPr>
        <w:t xml:space="preserve">Under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Style w:val="vlist-s"/>
          <w:rFonts w:ascii="Arial" w:hAnsi="Arial" w:cs="Arial"/>
          <w:sz w:val="20"/>
          <w:szCs w:val="20"/>
        </w:rPr>
        <w:t>​</w:t>
      </w:r>
      <w:r w:rsidRPr="00B15B5F">
        <w:rPr>
          <w:rFonts w:ascii="Arial" w:hAnsi="Arial" w:cs="Arial"/>
          <w:sz w:val="20"/>
          <w:szCs w:val="20"/>
        </w:rPr>
        <w:t xml:space="preserve">, the </w:t>
      </w:r>
      <w:proofErr w:type="spellStart"/>
      <w:r w:rsidRPr="00B15B5F">
        <w:rPr>
          <w:rFonts w:ascii="Arial" w:hAnsi="Arial" w:cs="Arial"/>
          <w:sz w:val="20"/>
          <w:szCs w:val="20"/>
        </w:rPr>
        <w:t>Ljung</w:t>
      </w:r>
      <w:proofErr w:type="spellEnd"/>
      <w:r w:rsidRPr="00B15B5F">
        <w:rPr>
          <w:rFonts w:ascii="Arial" w:hAnsi="Arial" w:cs="Arial"/>
          <w:sz w:val="20"/>
          <w:szCs w:val="20"/>
        </w:rPr>
        <w:t xml:space="preserve">-Box statistic </w:t>
      </w:r>
      <m:oMath>
        <m:r>
          <w:rPr>
            <w:rStyle w:val="katex-mathml"/>
            <w:rFonts w:ascii="Cambria Math" w:hAnsi="Cambria Math" w:cs="Arial"/>
            <w:sz w:val="20"/>
            <w:szCs w:val="20"/>
          </w:rPr>
          <m:t>Q</m:t>
        </m:r>
      </m:oMath>
      <w:r w:rsidRPr="00B15B5F">
        <w:rPr>
          <w:rFonts w:ascii="Arial" w:hAnsi="Arial" w:cs="Arial"/>
          <w:sz w:val="20"/>
          <w:szCs w:val="20"/>
        </w:rPr>
        <w:t xml:space="preserve"> follows an approximate Chi-square distribution with </w:t>
      </w:r>
      <m:oMath>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Cambria Math" w:cs="Arial"/>
                <w:sz w:val="20"/>
                <w:szCs w:val="20"/>
              </w:rPr>
              <m:t>df</m:t>
            </m:r>
          </m:sub>
          <m:sup>
            <m:r>
              <w:rPr>
                <w:rFonts w:ascii="Cambria Math" w:hAnsi="Arial" w:cs="Arial"/>
                <w:sz w:val="20"/>
                <w:szCs w:val="20"/>
              </w:rPr>
              <m:t>2</m:t>
            </m:r>
          </m:sup>
        </m:sSubSup>
      </m:oMath>
      <w:r w:rsidRPr="00B15B5F">
        <w:rPr>
          <w:rFonts w:ascii="Arial" w:hAnsi="Arial" w:cs="Arial"/>
          <w:sz w:val="20"/>
          <w:szCs w:val="20"/>
        </w:rPr>
        <w:t xml:space="preserve">, where </w:t>
      </w:r>
      <m:oMath>
        <m:r>
          <w:rPr>
            <w:rFonts w:ascii="Cambria Math" w:hAnsi="Cambria Math" w:cs="Arial"/>
            <w:sz w:val="20"/>
            <w:szCs w:val="20"/>
          </w:rPr>
          <m:t>df</m:t>
        </m:r>
        <m:r>
          <w:rPr>
            <w:rFonts w:ascii="Cambria Math" w:hAnsi="Arial" w:cs="Arial"/>
            <w:sz w:val="20"/>
            <w:szCs w:val="20"/>
          </w:rPr>
          <m:t>=</m:t>
        </m:r>
        <m:r>
          <w:rPr>
            <w:rFonts w:ascii="Cambria Math" w:hAnsi="Cambria Math" w:cs="Arial"/>
            <w:sz w:val="20"/>
            <w:szCs w:val="20"/>
          </w:rPr>
          <m:t>h</m:t>
        </m:r>
        <m:r>
          <w:rPr>
            <w:rFonts w:ascii="Cambria Math" w:hAnsi="Arial" w:cs="Arial"/>
            <w:sz w:val="20"/>
            <w:szCs w:val="20"/>
          </w:rPr>
          <m:t>-</m:t>
        </m:r>
        <m:r>
          <w:rPr>
            <w:rFonts w:ascii="Cambria Math" w:hAnsi="Cambria Math" w:cs="Arial"/>
            <w:sz w:val="20"/>
            <w:szCs w:val="20"/>
          </w:rPr>
          <m:t>p</m:t>
        </m:r>
      </m:oMath>
      <w:r w:rsidRPr="00B15B5F">
        <w:rPr>
          <w:rFonts w:ascii="Arial" w:hAnsi="Arial" w:cs="Arial"/>
          <w:sz w:val="20"/>
          <w:szCs w:val="20"/>
        </w:rPr>
        <w:t xml:space="preserve">, </w:t>
      </w:r>
      <m:oMath>
        <m:r>
          <w:rPr>
            <w:rStyle w:val="mord"/>
            <w:rFonts w:ascii="Arial" w:hAnsi="Cambria Math" w:cs="Arial"/>
            <w:sz w:val="20"/>
            <w:szCs w:val="20"/>
          </w:rPr>
          <m:t>h</m:t>
        </m:r>
      </m:oMath>
      <w:r w:rsidRPr="00B15B5F">
        <w:rPr>
          <w:rFonts w:ascii="Arial" w:hAnsi="Arial" w:cs="Arial"/>
          <w:sz w:val="20"/>
          <w:szCs w:val="20"/>
        </w:rPr>
        <w:t xml:space="preserve"> is the number of lags, </w:t>
      </w:r>
      <m:oMath>
        <m:r>
          <w:rPr>
            <w:rStyle w:val="mord"/>
            <w:rFonts w:ascii="Cambria Math" w:hAnsi="Cambria Math" w:cs="Arial"/>
            <w:sz w:val="20"/>
            <w:szCs w:val="20"/>
          </w:rPr>
          <m:t>p</m:t>
        </m:r>
      </m:oMath>
      <w:r w:rsidRPr="00B15B5F">
        <w:rPr>
          <w:rFonts w:ascii="Arial" w:hAnsi="Arial" w:cs="Arial"/>
          <w:sz w:val="20"/>
          <w:szCs w:val="20"/>
        </w:rPr>
        <w:t xml:space="preserve"> is the number of parameters estimated in the fitted model. The decision rule is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if </w:t>
      </w:r>
      <w:r w:rsidRPr="00B15B5F">
        <w:rPr>
          <w:rStyle w:val="mord"/>
          <w:rFonts w:ascii="Arial" w:hAnsi="Arial" w:cs="Arial"/>
          <w:sz w:val="20"/>
          <w:szCs w:val="20"/>
        </w:rPr>
        <w:t>p</w:t>
      </w:r>
      <w:r w:rsidRPr="00B15B5F">
        <w:rPr>
          <w:rFonts w:ascii="Arial" w:hAnsi="Arial" w:cs="Arial"/>
          <w:sz w:val="20"/>
          <w:szCs w:val="20"/>
        </w:rPr>
        <w:t xml:space="preserve">-value </w:t>
      </w:r>
      <m:oMath>
        <m:r>
          <w:rPr>
            <w:rFonts w:ascii="Cambria Math" w:hAnsi="Arial" w:cs="Arial"/>
            <w:sz w:val="20"/>
            <w:szCs w:val="20"/>
          </w:rPr>
          <m:t>&lt;</m:t>
        </m:r>
        <m:r>
          <w:rPr>
            <w:rFonts w:ascii="Cambria Math" w:hAnsi="Cambria Math" w:cs="Arial"/>
            <w:sz w:val="20"/>
            <w:szCs w:val="20"/>
          </w:rPr>
          <m:t>α</m:t>
        </m:r>
      </m:oMath>
      <w:r w:rsidRPr="00B15B5F">
        <w:rPr>
          <w:rFonts w:ascii="Arial" w:hAnsi="Arial" w:cs="Arial"/>
          <w:sz w:val="20"/>
          <w:szCs w:val="20"/>
        </w:rPr>
        <w:t xml:space="preserve"> (e.g., 0.05), which implies autocorrelation is present.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ff </w:t>
      </w:r>
      <w:r w:rsidRPr="00B15B5F">
        <w:rPr>
          <w:rStyle w:val="mord"/>
          <w:rFonts w:ascii="Arial" w:hAnsi="Arial" w:cs="Arial"/>
          <w:sz w:val="20"/>
          <w:szCs w:val="20"/>
        </w:rPr>
        <w:t>p</w:t>
      </w:r>
      <w:r w:rsidRPr="00B15B5F">
        <w:rPr>
          <w:rFonts w:ascii="Arial" w:hAnsi="Arial" w:cs="Arial"/>
          <w:sz w:val="20"/>
          <w:szCs w:val="20"/>
        </w:rPr>
        <w:t xml:space="preserve">-value </w:t>
      </w:r>
      <m:oMath>
        <m:r>
          <w:rPr>
            <w:rFonts w:ascii="Cambria Math" w:hAnsi="Arial" w:cs="Arial"/>
            <w:sz w:val="20"/>
            <w:szCs w:val="20"/>
          </w:rPr>
          <m:t>≥</m:t>
        </m:r>
        <m:r>
          <w:rPr>
            <w:rFonts w:ascii="Cambria Math" w:hAnsi="Cambria Math" w:cs="Arial"/>
            <w:sz w:val="20"/>
            <w:szCs w:val="20"/>
          </w:rPr>
          <m:t>α</m:t>
        </m:r>
      </m:oMath>
      <w:r w:rsidRPr="00B15B5F">
        <w:rPr>
          <w:rFonts w:ascii="Arial" w:hAnsi="Arial" w:cs="Arial"/>
          <w:sz w:val="20"/>
          <w:szCs w:val="20"/>
        </w:rPr>
        <w:t>, which implies residuals resemble white noise (absent of autocorrelation).</w:t>
      </w:r>
    </w:p>
    <w:p w:rsidR="00B15B5F" w:rsidRPr="00B15B5F" w:rsidRDefault="00B15B5F" w:rsidP="00B15B5F">
      <w:pPr>
        <w:pStyle w:val="NormalWeb"/>
        <w:rPr>
          <w:rFonts w:ascii="Arial" w:hAnsi="Arial" w:cs="Arial"/>
          <w:b/>
          <w:sz w:val="20"/>
          <w:szCs w:val="20"/>
        </w:rPr>
      </w:pPr>
      <w:r w:rsidRPr="00B15B5F">
        <w:rPr>
          <w:rFonts w:ascii="Arial" w:hAnsi="Arial" w:cs="Arial"/>
          <w:b/>
          <w:sz w:val="20"/>
          <w:szCs w:val="20"/>
        </w:rPr>
        <w:t>2.4 Event Definition and Duration Construction</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Pr="00B15B5F">
        <w:rPr>
          <w:rFonts w:ascii="Arial" w:hAnsi="Arial" w:cs="Arial"/>
          <w:sz w:val="20"/>
          <w:szCs w:val="20"/>
        </w:rPr>
        <w:t xml:space="preserve"> denote the closing price of Nigerian crude oil on trading day </w:t>
      </w:r>
      <m:oMath>
        <m:r>
          <w:rPr>
            <w:rStyle w:val="katex-mathml"/>
            <w:rFonts w:ascii="Cambria Math" w:hAnsi="Cambria Math" w:cs="Arial"/>
            <w:sz w:val="20"/>
            <w:szCs w:val="20"/>
          </w:rPr>
          <m:t>t</m:t>
        </m:r>
      </m:oMath>
      <w:r w:rsidRPr="00B15B5F">
        <w:rPr>
          <w:rFonts w:ascii="Arial" w:hAnsi="Arial" w:cs="Arial"/>
          <w:sz w:val="20"/>
          <w:szCs w:val="20"/>
        </w:rPr>
        <w:t xml:space="preserve"> for </w:t>
      </w:r>
      <m:oMath>
        <m:r>
          <w:rPr>
            <w:rStyle w:val="katex-mathml"/>
            <w:rFonts w:ascii="Cambria Math" w:hAnsi="Cambria Math" w:cs="Arial"/>
            <w:sz w:val="20"/>
            <w:szCs w:val="20"/>
          </w:rPr>
          <m:t>t</m:t>
        </m:r>
        <m:r>
          <w:rPr>
            <w:rStyle w:val="katex-mathml"/>
            <w:rFonts w:ascii="Cambria Math" w:hAnsi="Arial" w:cs="Arial"/>
            <w:sz w:val="20"/>
            <w:szCs w:val="20"/>
          </w:rPr>
          <m:t xml:space="preserve">=1, 2, </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B15B5F">
        <w:rPr>
          <w:rFonts w:ascii="Arial" w:hAnsi="Arial" w:cs="Arial"/>
          <w:sz w:val="20"/>
          <w:szCs w:val="20"/>
        </w:rPr>
        <w:t>. The log return is defined by Equation (1) and the squared return (volatility proxy) is defined as: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=2, 3,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(11)</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An event is any trading day </w:t>
      </w:r>
      <m:oMath>
        <m:r>
          <w:rPr>
            <w:rFonts w:ascii="Cambria Math" w:hAnsi="Cambria Math" w:cs="Arial"/>
            <w:sz w:val="20"/>
            <w:szCs w:val="20"/>
          </w:rPr>
          <m:t>t</m:t>
        </m:r>
      </m:oMath>
      <w:r w:rsidRPr="00B15B5F">
        <w:rPr>
          <w:rFonts w:ascii="Arial" w:hAnsi="Arial" w:cs="Arial"/>
          <w:sz w:val="20"/>
          <w:szCs w:val="20"/>
        </w:rPr>
        <w:t xml:space="preserve"> on which the squared return exceeds a pre-specified threshold </w:t>
      </w:r>
      <m:oMath>
        <m:r>
          <w:rPr>
            <w:rFonts w:ascii="Cambria Math" w:hAnsi="Cambria Math" w:cs="Arial"/>
            <w:sz w:val="20"/>
            <w:szCs w:val="20"/>
          </w:rPr>
          <m:t>θ</m:t>
        </m:r>
      </m:oMath>
      <w:r w:rsidRPr="00B15B5F">
        <w:rPr>
          <w:rFonts w:ascii="Arial" w:hAnsi="Arial" w:cs="Arial"/>
          <w:sz w:val="20"/>
          <w:szCs w:val="20"/>
        </w:rPr>
        <w:t>:</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Event occurred at time </w:t>
      </w:r>
      <m:oMath>
        <m:r>
          <w:rPr>
            <w:rFonts w:ascii="Cambria Math" w:hAnsi="Cambria Math" w:cs="Arial"/>
            <w:sz w:val="20"/>
            <w:szCs w:val="20"/>
          </w:rPr>
          <m:t>t</m:t>
        </m:r>
      </m:oMath>
      <w:r w:rsidRPr="00B15B5F">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&gt;</m:t>
        </m:r>
        <m:r>
          <w:rPr>
            <w:rFonts w:ascii="Cambria Math" w:hAnsi="Cambria Math" w:cs="Arial"/>
            <w:sz w:val="20"/>
            <w:szCs w:val="20"/>
          </w:rPr>
          <m:t>θ</m:t>
        </m:r>
      </m:oMath>
      <w:r w:rsidRPr="00B15B5F">
        <w:rPr>
          <w:rFonts w:ascii="Arial" w:hAnsi="Arial" w:cs="Arial"/>
          <w:sz w:val="20"/>
          <w:szCs w:val="20"/>
        </w:rPr>
        <w:t xml:space="preserve">, where </w:t>
      </w:r>
      <m:oMath>
        <m:r>
          <w:rPr>
            <w:rFonts w:ascii="Cambria Math" w:hAnsi="Cambria Math" w:cs="Arial"/>
            <w:sz w:val="20"/>
            <w:szCs w:val="20"/>
          </w:rPr>
          <m:t>θ</m:t>
        </m:r>
      </m:oMath>
      <w:r w:rsidRPr="00B15B5F">
        <w:rPr>
          <w:rFonts w:ascii="Arial" w:hAnsi="Arial" w:cs="Arial"/>
          <w:sz w:val="20"/>
          <w:szCs w:val="20"/>
        </w:rPr>
        <w:t xml:space="preserve"> is fixed (absolute) (e.g., </w:t>
      </w:r>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&gt;0.5</m:t>
        </m:r>
      </m:oMath>
      <w:r w:rsidRPr="00B15B5F">
        <w:rPr>
          <w:rFonts w:ascii="Arial" w:hAnsi="Arial" w:cs="Arial"/>
          <w:sz w:val="20"/>
          <w:szCs w:val="20"/>
        </w:rPr>
        <w:t xml:space="preserve"> since returns are in decimal form). Thus, a day </w:t>
      </w:r>
      <m:oMath>
        <m:r>
          <w:rPr>
            <w:rStyle w:val="katex-mathml"/>
            <w:rFonts w:ascii="Cambria Math" w:hAnsi="Cambria Math" w:cs="Arial"/>
            <w:sz w:val="20"/>
            <w:szCs w:val="20"/>
          </w:rPr>
          <m:t>t</m:t>
        </m:r>
      </m:oMath>
      <w:r w:rsidRPr="00B15B5F">
        <w:rPr>
          <w:rFonts w:ascii="Arial" w:hAnsi="Arial" w:cs="Arial"/>
          <w:sz w:val="20"/>
          <w:szCs w:val="20"/>
        </w:rPr>
        <w:t xml:space="preserve"> is marked as an event if </w:t>
      </w:r>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 xml:space="preserve">&gt;0.5. </m:t>
        </m:r>
      </m:oMath>
      <w:r w:rsidRPr="00B15B5F">
        <w:rPr>
          <w:rFonts w:ascii="Arial" w:hAnsi="Arial" w:cs="Arial"/>
          <w:sz w:val="20"/>
          <w:szCs w:val="20"/>
        </w:rPr>
        <w:t xml:space="preserve"> Event times are the actual days when the threshold is crossed. The duration is then defined as the number of days between two such events: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 xml:space="preserve">                                                                                                                                       (12)</m:t>
          </m:r>
        </m:oMath>
      </m:oMathPara>
    </w:p>
    <w:p w:rsid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oMath>
      <w:r w:rsidRPr="00B15B5F">
        <w:rPr>
          <w:rStyle w:val="vlist-s"/>
          <w:rFonts w:ascii="Arial" w:hAnsi="Arial" w:cs="Arial"/>
          <w:sz w:val="20"/>
          <w:szCs w:val="20"/>
        </w:rPr>
        <w:t>​</w:t>
      </w:r>
      <w:r w:rsidRPr="00B15B5F">
        <w:rPr>
          <w:rFonts w:ascii="Arial" w:hAnsi="Arial" w:cs="Arial"/>
          <w:sz w:val="20"/>
          <w:szCs w:val="20"/>
        </w:rPr>
        <w:t xml:space="preserve"> are the dates of two successive volatility events. For instance, If our daily squared returns are:</w:t>
      </w:r>
      <w:r w:rsidRPr="00B15B5F">
        <w:rPr>
          <w:rStyle w:val="mopen"/>
          <w:rFonts w:ascii="Arial" w:hAnsi="Arial" w:cs="Arial"/>
          <w:sz w:val="20"/>
          <w:szCs w:val="20"/>
        </w:rPr>
        <w:t>[</w:t>
      </w:r>
      <w:r w:rsidRPr="00B15B5F">
        <w:rPr>
          <w:rStyle w:val="mord"/>
          <w:rFonts w:ascii="Arial" w:hAnsi="Arial" w:cs="Arial"/>
          <w:sz w:val="20"/>
          <w:szCs w:val="20"/>
        </w:rPr>
        <w:t>0.01256</w:t>
      </w:r>
      <w:r w:rsidRPr="00B15B5F">
        <w:rPr>
          <w:rStyle w:val="mpunct"/>
          <w:rFonts w:ascii="Arial" w:hAnsi="Arial" w:cs="Arial"/>
          <w:sz w:val="20"/>
          <w:szCs w:val="20"/>
        </w:rPr>
        <w:t xml:space="preserve">, </w:t>
      </w:r>
      <w:r w:rsidRPr="00B15B5F">
        <w:rPr>
          <w:rStyle w:val="mord"/>
          <w:rFonts w:ascii="Arial" w:hAnsi="Arial" w:cs="Arial"/>
          <w:sz w:val="20"/>
          <w:szCs w:val="20"/>
        </w:rPr>
        <w:t>0.01958</w:t>
      </w:r>
      <w:r w:rsidRPr="00B15B5F">
        <w:rPr>
          <w:rStyle w:val="mpunct"/>
          <w:rFonts w:ascii="Arial" w:hAnsi="Arial" w:cs="Arial"/>
          <w:sz w:val="20"/>
          <w:szCs w:val="20"/>
        </w:rPr>
        <w:t xml:space="preserve">, </w:t>
      </w:r>
      <w:r w:rsidRPr="00B15B5F">
        <w:rPr>
          <w:rStyle w:val="mord"/>
          <w:rFonts w:ascii="Arial" w:hAnsi="Arial" w:cs="Arial"/>
          <w:sz w:val="20"/>
          <w:szCs w:val="20"/>
        </w:rPr>
        <w:t>0.55838</w:t>
      </w:r>
      <w:r w:rsidRPr="00B15B5F">
        <w:rPr>
          <w:rStyle w:val="mpunct"/>
          <w:rFonts w:ascii="Arial" w:hAnsi="Arial" w:cs="Arial"/>
          <w:sz w:val="20"/>
          <w:szCs w:val="20"/>
        </w:rPr>
        <w:t xml:space="preserve">, </w:t>
      </w:r>
      <w:r w:rsidRPr="00B15B5F">
        <w:rPr>
          <w:rStyle w:val="mord"/>
          <w:rFonts w:ascii="Arial" w:hAnsi="Arial" w:cs="Arial"/>
          <w:sz w:val="20"/>
          <w:szCs w:val="20"/>
        </w:rPr>
        <w:t>0.02507</w:t>
      </w:r>
      <w:r w:rsidRPr="00B15B5F">
        <w:rPr>
          <w:rStyle w:val="mpunct"/>
          <w:rFonts w:ascii="Arial" w:hAnsi="Arial" w:cs="Arial"/>
          <w:sz w:val="20"/>
          <w:szCs w:val="20"/>
        </w:rPr>
        <w:t xml:space="preserve">, </w:t>
      </w:r>
      <w:r w:rsidRPr="00B15B5F">
        <w:rPr>
          <w:rStyle w:val="mord"/>
          <w:rFonts w:ascii="Arial" w:hAnsi="Arial" w:cs="Arial"/>
          <w:sz w:val="20"/>
          <w:szCs w:val="20"/>
        </w:rPr>
        <w:t>1.73254</w:t>
      </w:r>
      <w:r w:rsidRPr="00B15B5F">
        <w:rPr>
          <w:rStyle w:val="mpunct"/>
          <w:rFonts w:ascii="Arial" w:hAnsi="Arial" w:cs="Arial"/>
          <w:sz w:val="20"/>
          <w:szCs w:val="20"/>
        </w:rPr>
        <w:t xml:space="preserve">, </w:t>
      </w:r>
      <w:r w:rsidRPr="00B15B5F">
        <w:rPr>
          <w:rStyle w:val="mord"/>
          <w:rFonts w:ascii="Arial" w:hAnsi="Arial" w:cs="Arial"/>
          <w:sz w:val="20"/>
          <w:szCs w:val="20"/>
        </w:rPr>
        <w:t>0.00395</w:t>
      </w:r>
      <w:r w:rsidRPr="00B15B5F">
        <w:rPr>
          <w:rStyle w:val="mpunct"/>
          <w:rFonts w:ascii="Arial" w:hAnsi="Arial" w:cs="Arial"/>
          <w:sz w:val="20"/>
          <w:szCs w:val="20"/>
        </w:rPr>
        <w:t xml:space="preserve">, </w:t>
      </w:r>
      <w:r w:rsidRPr="00B15B5F">
        <w:rPr>
          <w:rStyle w:val="mord"/>
          <w:rFonts w:ascii="Arial" w:hAnsi="Arial" w:cs="Arial"/>
          <w:sz w:val="20"/>
          <w:szCs w:val="20"/>
        </w:rPr>
        <w:t>0.89236, 0.00432, 0.12576, 3.55732</w:t>
      </w:r>
      <w:r w:rsidRPr="00B15B5F">
        <w:rPr>
          <w:rStyle w:val="mclose"/>
          <w:rFonts w:ascii="Arial" w:hAnsi="Arial" w:cs="Arial"/>
          <w:sz w:val="20"/>
          <w:szCs w:val="20"/>
        </w:rPr>
        <w:t xml:space="preserve">] </w:t>
      </w:r>
      <w:r w:rsidRPr="00B15B5F">
        <w:rPr>
          <w:rFonts w:ascii="Arial" w:hAnsi="Arial" w:cs="Arial"/>
          <w:sz w:val="20"/>
          <w:szCs w:val="20"/>
        </w:rPr>
        <w:t xml:space="preserve">and our threshold </w:t>
      </w:r>
      <m:oMath>
        <m:r>
          <w:rPr>
            <w:rFonts w:ascii="Cambria Math" w:hAnsi="Cambria Math" w:cs="Arial"/>
            <w:sz w:val="20"/>
            <w:szCs w:val="20"/>
          </w:rPr>
          <m:t>θ</m:t>
        </m:r>
        <m:r>
          <w:rPr>
            <w:rFonts w:ascii="Cambria Math" w:hAnsi="Arial" w:cs="Arial"/>
            <w:sz w:val="20"/>
            <w:szCs w:val="20"/>
          </w:rPr>
          <m:t>=0.5</m:t>
        </m:r>
      </m:oMath>
      <w:r w:rsidRPr="00B15B5F">
        <w:rPr>
          <w:rFonts w:ascii="Arial" w:hAnsi="Arial" w:cs="Arial"/>
          <w:sz w:val="20"/>
          <w:szCs w:val="20"/>
        </w:rPr>
        <w:t>, then events occur at days</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 xml:space="preserve">=3, </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 xml:space="preserve">=5, </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=7</m:t>
        </m:r>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4</m:t>
            </m:r>
          </m:sub>
        </m:sSub>
        <m:r>
          <w:rPr>
            <w:rFonts w:ascii="Cambria Math" w:hAnsi="Arial" w:cs="Arial"/>
            <w:sz w:val="20"/>
            <w:szCs w:val="20"/>
          </w:rPr>
          <m:t>=10.</m:t>
        </m:r>
      </m:oMath>
      <w:r w:rsidRPr="00B15B5F">
        <w:rPr>
          <w:rFonts w:ascii="Arial" w:hAnsi="Arial" w:cs="Arial"/>
          <w:sz w:val="20"/>
          <w:szCs w:val="20"/>
        </w:rPr>
        <w:t xml:space="preserve"> Then the durations are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0</m:t>
            </m:r>
          </m:sub>
        </m:sSub>
        <m:r>
          <w:rPr>
            <w:rFonts w:ascii="Cambria Math" w:hAnsi="Arial" w:cs="Arial"/>
            <w:sz w:val="20"/>
            <w:szCs w:val="20"/>
          </w:rPr>
          <m:t>=3</m:t>
        </m:r>
        <m:r>
          <w:rPr>
            <w:rFonts w:ascii="Cambria Math" w:hAnsi="Arial" w:cs="Arial"/>
            <w:sz w:val="20"/>
            <w:szCs w:val="20"/>
          </w:rPr>
          <m:t>-</m:t>
        </m:r>
        <m:r>
          <w:rPr>
            <w:rFonts w:ascii="Cambria Math" w:hAnsi="Arial" w:cs="Arial"/>
            <w:sz w:val="20"/>
            <w:szCs w:val="20"/>
          </w:rPr>
          <m:t>0=3</m:t>
        </m:r>
      </m:oMath>
      <w:r w:rsidRPr="00B15B5F">
        <w:rPr>
          <w:rFonts w:ascii="Arial" w:hAnsi="Arial" w:cs="Arial"/>
          <w:sz w:val="20"/>
          <w:szCs w:val="20"/>
        </w:rPr>
        <w:t xml:space="preserve"> days,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=5</m:t>
        </m:r>
        <m:r>
          <w:rPr>
            <w:rFonts w:ascii="Cambria Math" w:hAnsi="Arial" w:cs="Arial"/>
            <w:sz w:val="20"/>
            <w:szCs w:val="20"/>
          </w:rPr>
          <m:t>-</m:t>
        </m:r>
        <m:r>
          <w:rPr>
            <w:rFonts w:ascii="Cambria Math" w:hAnsi="Arial" w:cs="Arial"/>
            <w:sz w:val="20"/>
            <w:szCs w:val="20"/>
          </w:rPr>
          <m:t>3=2</m:t>
        </m:r>
      </m:oMath>
      <w:r w:rsidRPr="00B15B5F">
        <w:rPr>
          <w:rFonts w:ascii="Arial" w:hAnsi="Arial" w:cs="Arial"/>
          <w:sz w:val="20"/>
          <w:szCs w:val="20"/>
        </w:rPr>
        <w:t xml:space="preserve"> days,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3</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=7</m:t>
        </m:r>
        <m:r>
          <w:rPr>
            <w:rFonts w:ascii="Cambria Math" w:hAnsi="Arial" w:cs="Arial"/>
            <w:sz w:val="20"/>
            <w:szCs w:val="20"/>
          </w:rPr>
          <m:t>-</m:t>
        </m:r>
        <m:r>
          <w:rPr>
            <w:rFonts w:ascii="Cambria Math" w:hAnsi="Arial" w:cs="Arial"/>
            <w:sz w:val="20"/>
            <w:szCs w:val="20"/>
          </w:rPr>
          <m:t>5=2</m:t>
        </m:r>
      </m:oMath>
      <w:r w:rsidRPr="00B15B5F">
        <w:rPr>
          <w:rFonts w:ascii="Arial" w:hAnsi="Arial" w:cs="Arial"/>
          <w:sz w:val="20"/>
          <w:szCs w:val="20"/>
        </w:rPr>
        <w:t xml:space="preserve"> days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4</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4</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=10</m:t>
        </m:r>
        <m:r>
          <w:rPr>
            <w:rFonts w:ascii="Cambria Math" w:hAnsi="Arial" w:cs="Arial"/>
            <w:sz w:val="20"/>
            <w:szCs w:val="20"/>
          </w:rPr>
          <m:t>-</m:t>
        </m:r>
        <m:r>
          <w:rPr>
            <w:rFonts w:ascii="Cambria Math" w:hAnsi="Arial" w:cs="Arial"/>
            <w:sz w:val="20"/>
            <w:szCs w:val="20"/>
          </w:rPr>
          <m:t>7=3</m:t>
        </m:r>
      </m:oMath>
      <w:r w:rsidRPr="00B15B5F">
        <w:rPr>
          <w:rFonts w:ascii="Arial" w:hAnsi="Arial" w:cs="Arial"/>
          <w:sz w:val="20"/>
          <w:szCs w:val="20"/>
        </w:rPr>
        <w:t xml:space="preserve"> days. These durations are the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B15B5F">
        <w:rPr>
          <w:rFonts w:ascii="Arial" w:hAnsi="Arial" w:cs="Arial"/>
          <w:sz w:val="20"/>
          <w:szCs w:val="20"/>
        </w:rPr>
        <w:t xml:space="preserve"> values that are feed into the symmetric ACD model. The ACD model then explains how past durations and past conditional durations determine the next duration until the next volatility spike.</w:t>
      </w:r>
    </w:p>
    <w:p w:rsidR="00B15B5F" w:rsidRDefault="00B15B5F" w:rsidP="00B15B5F">
      <w:pPr>
        <w:pStyle w:val="NormalWeb"/>
        <w:spacing w:before="0" w:beforeAutospacing="0" w:after="0" w:afterAutospacing="0"/>
        <w:jc w:val="both"/>
        <w:rPr>
          <w:rFonts w:ascii="Arial" w:hAnsi="Arial" w:cs="Arial"/>
          <w:sz w:val="20"/>
          <w:szCs w:val="20"/>
        </w:rPr>
      </w:pPr>
    </w:p>
    <w:p w:rsidR="00B15B5F" w:rsidRPr="00B15B5F" w:rsidRDefault="00B15B5F" w:rsidP="00B15B5F">
      <w:pPr>
        <w:pStyle w:val="NormalWeb"/>
        <w:spacing w:before="0" w:beforeAutospacing="0" w:after="0" w:afterAutospacing="0"/>
        <w:jc w:val="both"/>
        <w:rPr>
          <w:rFonts w:ascii="Arial" w:hAnsi="Arial" w:cs="Arial"/>
          <w:b/>
          <w:sz w:val="20"/>
          <w:szCs w:val="20"/>
        </w:rPr>
      </w:pPr>
      <w:r w:rsidRPr="00B15B5F">
        <w:rPr>
          <w:rFonts w:ascii="Arial" w:hAnsi="Arial" w:cs="Arial"/>
          <w:b/>
          <w:sz w:val="20"/>
          <w:szCs w:val="20"/>
        </w:rPr>
        <w:t>2.5 Model Specification</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The following time series models are employed for modeling time duration between events of crude oil prices in Nigeria in this work.</w:t>
      </w:r>
    </w:p>
    <w:p w:rsidR="00B15B5F" w:rsidRPr="00B15B5F" w:rsidRDefault="00B15B5F" w:rsidP="00B15B5F">
      <w:pPr>
        <w:rPr>
          <w:rFonts w:ascii="Arial" w:hAnsi="Arial" w:cs="Arial"/>
          <w:b/>
        </w:rPr>
      </w:pPr>
      <w:r w:rsidRPr="00B15B5F">
        <w:rPr>
          <w:rFonts w:ascii="Arial" w:hAnsi="Arial" w:cs="Arial"/>
          <w:b/>
        </w:rPr>
        <w:t>2.5.1 Autoregressive conditional duration (ACD) model</w:t>
      </w:r>
    </w:p>
    <w:p w:rsidR="00B15B5F" w:rsidRPr="00B15B5F" w:rsidRDefault="00B15B5F" w:rsidP="00B15B5F">
      <w:pPr>
        <w:jc w:val="both"/>
        <w:rPr>
          <w:rFonts w:ascii="Arial" w:hAnsi="Arial" w:cs="Arial"/>
        </w:rPr>
      </w:pPr>
      <w:r w:rsidRPr="00B15B5F">
        <w:rPr>
          <w:rFonts w:ascii="Arial" w:hAnsi="Arial" w:cs="Arial"/>
        </w:rPr>
        <w:t xml:space="preserve">The Autoregressive Conditional Duration (ACD) model, introduced by Engle and Russell (1998), is used for modeling the time duration between events in high-frequency financial time series. Let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Pr="00B15B5F">
        <w:rPr>
          <w:rFonts w:ascii="Arial" w:hAnsi="Arial" w:cs="Arial"/>
        </w:rPr>
        <w:t xml:space="preserve">denote the duration between two consecutive events at time </w:t>
      </w:r>
      <m:oMath>
        <m:r>
          <w:rPr>
            <w:rStyle w:val="katex-mathml"/>
            <w:rFonts w:ascii="Cambria Math" w:hAnsi="Cambria Math" w:cs="Arial"/>
          </w:rPr>
          <m:t>t</m:t>
        </m:r>
      </m:oMath>
      <w:r w:rsidRPr="00B15B5F">
        <w:rPr>
          <w:rFonts w:ascii="Arial" w:hAnsi="Arial" w:cs="Arial"/>
        </w:rPr>
        <w:t>. The basic ACD model expresses the expected duration conditional on past information as an autoregressive process.</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&gt;0</m:t>
        </m:r>
      </m:oMath>
      <w:r w:rsidRPr="00B15B5F">
        <w:rPr>
          <w:rFonts w:ascii="Arial" w:hAnsi="Arial" w:cs="Arial"/>
          <w:sz w:val="20"/>
          <w:szCs w:val="20"/>
        </w:rPr>
        <w:t xml:space="preserve"> denote the observed duration between two events,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e>
        </m:d>
      </m:oMath>
      <w:r w:rsidRPr="00B15B5F">
        <w:rPr>
          <w:rFonts w:ascii="Arial" w:hAnsi="Arial" w:cs="Arial"/>
          <w:sz w:val="20"/>
          <w:szCs w:val="20"/>
        </w:rPr>
        <w:t xml:space="preserve"> denote the conditional expected duration given the information set </w:t>
      </w:r>
      <m:oMath>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oMath>
      <w:r w:rsidRPr="00B15B5F">
        <w:rPr>
          <w:rStyle w:val="vlist-s"/>
          <w:rFonts w:ascii="Arial" w:hAnsi="Arial" w:cs="Arial"/>
          <w:sz w:val="20"/>
          <w:szCs w:val="20"/>
        </w:rPr>
        <w:t>​</w:t>
      </w:r>
      <w:r w:rsidRPr="00B15B5F">
        <w:rPr>
          <w:rFonts w:ascii="Arial" w:hAnsi="Arial" w:cs="Arial"/>
          <w:sz w:val="20"/>
          <w:szCs w:val="20"/>
        </w:rPr>
        <w:t>. The basic structure of the ACD model is: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 xml:space="preserve">                                                                                                                                              (13)</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oMath>
      <w:r w:rsidRPr="00B15B5F">
        <w:rPr>
          <w:rFonts w:ascii="Arial" w:hAnsi="Arial" w:cs="Arial"/>
          <w:sz w:val="20"/>
          <w:szCs w:val="20"/>
        </w:rPr>
        <w:t>is the conditional duration,</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B15B5F">
        <w:rPr>
          <w:rFonts w:ascii="Arial" w:hAnsi="Arial" w:cs="Arial"/>
          <w:sz w:val="20"/>
          <w:szCs w:val="20"/>
        </w:rPr>
        <w:t xml:space="preserve"> is an i.i.d. positive error term such that </w:t>
      </w:r>
      <m:oMath>
        <m:r>
          <w:rPr>
            <w:rFonts w:ascii="Cambria Math" w:hAnsi="Cambria Math" w:cs="Arial"/>
            <w:sz w:val="20"/>
            <w:szCs w:val="20"/>
          </w:rPr>
          <m:t>E</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)=1</m:t>
        </m:r>
      </m:oMath>
      <w:r w:rsidRPr="00B15B5F">
        <w:rPr>
          <w:rFonts w:ascii="Arial" w:hAnsi="Arial" w:cs="Arial"/>
          <w:sz w:val="20"/>
          <w:szCs w:val="20"/>
        </w:rPr>
        <w:t>, usually ass</w:t>
      </w:r>
      <w:proofErr w:type="spellStart"/>
      <w:r w:rsidRPr="00B15B5F">
        <w:rPr>
          <w:rFonts w:ascii="Arial" w:hAnsi="Arial" w:cs="Arial"/>
          <w:sz w:val="20"/>
          <w:szCs w:val="20"/>
        </w:rPr>
        <w:t>umed</w:t>
      </w:r>
      <w:proofErr w:type="spellEnd"/>
      <w:r w:rsidRPr="00B15B5F">
        <w:rPr>
          <w:rFonts w:ascii="Arial" w:hAnsi="Arial" w:cs="Arial"/>
          <w:sz w:val="20"/>
          <w:szCs w:val="20"/>
        </w:rPr>
        <w:t xml:space="preserve"> to follow a distribution such as Exponential, Weibull, or Generalized </w:t>
      </w:r>
      <w:proofErr w:type="spellStart"/>
      <w:r w:rsidRPr="00B15B5F">
        <w:rPr>
          <w:rFonts w:ascii="Arial" w:hAnsi="Arial" w:cs="Arial"/>
          <w:sz w:val="20"/>
          <w:szCs w:val="20"/>
        </w:rPr>
        <w:t>Gamma.The</w:t>
      </w:r>
      <w:proofErr w:type="spellEnd"/>
      <w:r w:rsidRPr="00B15B5F">
        <w:rPr>
          <w:rFonts w:ascii="Arial" w:hAnsi="Arial" w:cs="Arial"/>
          <w:sz w:val="20"/>
          <w:szCs w:val="20"/>
        </w:rPr>
        <w:t xml:space="preserve"> general form of a symmetric Autoregressive Conditional duration (</w:t>
      </w:r>
      <w:r w:rsidRPr="00B15B5F">
        <w:rPr>
          <w:rStyle w:val="katex-mathml"/>
          <w:rFonts w:ascii="Arial" w:hAnsi="Arial" w:cs="Arial"/>
          <w:sz w:val="20"/>
          <w:szCs w:val="20"/>
        </w:rPr>
        <w:t>ACD(</w:t>
      </w:r>
      <w:proofErr w:type="spellStart"/>
      <w:proofErr w:type="gramStart"/>
      <w:r w:rsidRPr="00B15B5F">
        <w:rPr>
          <w:rStyle w:val="katex-mathml"/>
          <w:rFonts w:ascii="Arial" w:hAnsi="Arial" w:cs="Arial"/>
          <w:sz w:val="20"/>
          <w:szCs w:val="20"/>
        </w:rPr>
        <w:t>p,q</w:t>
      </w:r>
      <w:proofErr w:type="spellEnd"/>
      <w:proofErr w:type="gramEnd"/>
      <w:r w:rsidRPr="00B15B5F">
        <w:rPr>
          <w:rStyle w:val="katex-mathml"/>
          <w:rFonts w:ascii="Arial" w:hAnsi="Arial" w:cs="Arial"/>
          <w:sz w:val="20"/>
          <w:szCs w:val="20"/>
        </w:rPr>
        <w:t>)) model</w:t>
      </w:r>
      <w:r w:rsidRPr="00B15B5F">
        <w:rPr>
          <w:rFonts w:ascii="Arial" w:hAnsi="Arial" w:cs="Arial"/>
          <w:sz w:val="20"/>
          <w:szCs w:val="20"/>
        </w:rPr>
        <w:t xml:space="preserve"> is expressed as: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j</m:t>
                      </m:r>
                    </m:sub>
                  </m:sSub>
                </m:e>
              </m:nary>
            </m:e>
          </m:nary>
          <m:r>
            <w:rPr>
              <w:rFonts w:ascii="Cambria Math" w:hAnsi="Arial" w:cs="Arial"/>
              <w:sz w:val="20"/>
              <w:szCs w:val="20"/>
            </w:rPr>
            <m:t xml:space="preserve">                                                                                                   (14)</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Fonts w:ascii="Cambria Math" w:hAnsi="Cambria Math" w:cs="Arial"/>
            <w:sz w:val="20"/>
            <w:szCs w:val="20"/>
          </w:rPr>
          <m:t>ω</m:t>
        </m:r>
        <m:r>
          <w:rPr>
            <w:rFonts w:ascii="Cambria Math" w:hAnsi="Arial" w:cs="Arial"/>
            <w:sz w:val="20"/>
            <w:szCs w:val="20"/>
          </w:rPr>
          <m:t xml:space="preserve">&gt;0, </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Arial" w:hAnsi="Arial" w:cs="Arial"/>
            <w:sz w:val="20"/>
            <w:szCs w:val="20"/>
          </w:rPr>
          <m:t>≥</m:t>
        </m:r>
        <m:r>
          <w:rPr>
            <w:rFonts w:ascii="Cambria Math" w:hAnsi="Arial" w:cs="Arial"/>
            <w:sz w:val="20"/>
            <w:szCs w:val="20"/>
          </w:rPr>
          <m:t xml:space="preserve">0,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Arial" w:hAnsi="Arial" w:cs="Arial"/>
            <w:sz w:val="20"/>
            <w:szCs w:val="20"/>
          </w:rPr>
          <m:t>≥</m:t>
        </m:r>
        <m:r>
          <w:rPr>
            <w:rFonts w:ascii="Cambria Math" w:hAnsi="Arial" w:cs="Arial"/>
            <w:sz w:val="20"/>
            <w:szCs w:val="20"/>
          </w:rPr>
          <m:t>0</m:t>
        </m:r>
      </m:oMath>
      <w:r w:rsidRPr="00B15B5F">
        <w:rPr>
          <w:rFonts w:ascii="Arial" w:hAnsi="Arial" w:cs="Arial"/>
          <w:sz w:val="20"/>
          <w:szCs w:val="20"/>
        </w:rPr>
        <w:t xml:space="preserve"> ensure positivity of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oMath>
      <w:r w:rsidRPr="00B15B5F">
        <w:rPr>
          <w:rFonts w:ascii="Arial" w:hAnsi="Arial" w:cs="Arial"/>
          <w:sz w:val="20"/>
          <w:szCs w:val="20"/>
        </w:rPr>
        <w:t xml:space="preserve">, </w:t>
      </w:r>
      <m:oMath>
        <m:r>
          <w:rPr>
            <w:rStyle w:val="mord"/>
            <w:rFonts w:ascii="Cambria Math" w:hAnsi="Cambria Math" w:cs="Arial"/>
            <w:sz w:val="20"/>
            <w:szCs w:val="20"/>
          </w:rPr>
          <m:t>p</m:t>
        </m:r>
        <m:r>
          <w:rPr>
            <w:rStyle w:val="mpunct"/>
            <w:rFonts w:ascii="Cambria Math" w:hAnsi="Arial" w:cs="Arial"/>
            <w:sz w:val="20"/>
            <w:szCs w:val="20"/>
          </w:rPr>
          <m:t>,</m:t>
        </m:r>
        <m:r>
          <w:rPr>
            <w:rStyle w:val="mord"/>
            <w:rFonts w:ascii="Cambria Math" w:hAnsi="Cambria Math" w:cs="Arial"/>
            <w:sz w:val="20"/>
            <w:szCs w:val="20"/>
          </w:rPr>
          <m:t>q</m:t>
        </m:r>
      </m:oMath>
      <w:r w:rsidRPr="00B15B5F">
        <w:rPr>
          <w:rFonts w:ascii="Arial" w:hAnsi="Arial" w:cs="Arial"/>
          <w:sz w:val="20"/>
          <w:szCs w:val="20"/>
        </w:rPr>
        <w:t xml:space="preserve"> are the orders of the ACD model.</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The stationarity condition of the ACD(</w:t>
      </w:r>
      <w:proofErr w:type="spellStart"/>
      <w:proofErr w:type="gramStart"/>
      <w:r w:rsidRPr="00B15B5F">
        <w:rPr>
          <w:rFonts w:ascii="Arial" w:hAnsi="Arial" w:cs="Arial"/>
          <w:sz w:val="20"/>
          <w:szCs w:val="20"/>
        </w:rPr>
        <w:t>p,q</w:t>
      </w:r>
      <w:proofErr w:type="spellEnd"/>
      <w:proofErr w:type="gramEnd"/>
      <w:r w:rsidRPr="00B15B5F">
        <w:rPr>
          <w:rFonts w:ascii="Arial" w:hAnsi="Arial" w:cs="Arial"/>
          <w:sz w:val="20"/>
          <w:szCs w:val="20"/>
        </w:rPr>
        <w:t xml:space="preserve">) model is given as: </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=0</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Arial" w:cs="Arial"/>
                  <w:sz w:val="20"/>
                  <w:szCs w:val="20"/>
                </w:rPr>
                <m:t>&lt;1</m:t>
              </m:r>
            </m:e>
          </m:nary>
          <m:r>
            <w:rPr>
              <w:rFonts w:ascii="Cambria Math" w:hAnsi="Arial" w:cs="Arial"/>
              <w:sz w:val="20"/>
              <w:szCs w:val="20"/>
            </w:rPr>
            <m:t xml:space="preserve">                                                                                                                               (15)</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This condition ensures that the conditional durations do not explode over time.</w:t>
      </w:r>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An </w:t>
      </w:r>
      <w:proofErr w:type="gramStart"/>
      <w:r w:rsidRPr="00B15B5F">
        <w:rPr>
          <w:rFonts w:ascii="Arial" w:hAnsi="Arial" w:cs="Arial"/>
          <w:sz w:val="20"/>
          <w:szCs w:val="20"/>
        </w:rPr>
        <w:t>ACD(</w:t>
      </w:r>
      <w:proofErr w:type="gramEnd"/>
      <w:r w:rsidRPr="00B15B5F">
        <w:rPr>
          <w:rFonts w:ascii="Arial" w:hAnsi="Arial" w:cs="Arial"/>
          <w:sz w:val="20"/>
          <w:szCs w:val="20"/>
        </w:rPr>
        <w:t>1,1) model is given as:</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 xml:space="preserve">                                                                                                                  (16)</m:t>
          </m:r>
        </m:oMath>
      </m:oMathPara>
    </w:p>
    <w:p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symmetric </w:t>
      </w:r>
      <w:proofErr w:type="gramStart"/>
      <w:r w:rsidRPr="00B15B5F">
        <w:rPr>
          <w:rFonts w:ascii="Arial" w:hAnsi="Arial" w:cs="Arial"/>
          <w:sz w:val="20"/>
          <w:szCs w:val="20"/>
        </w:rPr>
        <w:t>ACD(</w:t>
      </w:r>
      <w:proofErr w:type="gramEnd"/>
      <w:r w:rsidRPr="00B15B5F">
        <w:rPr>
          <w:rFonts w:ascii="Arial" w:hAnsi="Arial" w:cs="Arial"/>
          <w:sz w:val="20"/>
          <w:szCs w:val="20"/>
        </w:rPr>
        <w:t xml:space="preserve">2,3) model  is expressed as: </w:t>
      </w:r>
    </w:p>
    <w:p w:rsidR="00B15B5F" w:rsidRPr="00B15B5F"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r>
            <w:rPr>
              <w:rFonts w:ascii="Cambria Math" w:hAnsi="Arial" w:cs="Arial"/>
              <w:sz w:val="20"/>
              <w:szCs w:val="20"/>
            </w:rPr>
            <m:t xml:space="preserve">                                                          (17)</m:t>
          </m:r>
        </m:oMath>
      </m:oMathPara>
    </w:p>
    <w:p w:rsidR="00B15B5F" w:rsidRPr="00B15B5F" w:rsidRDefault="00B15B5F" w:rsidP="00B15B5F">
      <w:pPr>
        <w:spacing w:before="240"/>
        <w:jc w:val="both"/>
        <w:rPr>
          <w:rFonts w:ascii="Arial" w:hAnsi="Arial" w:cs="Arial"/>
          <w:b/>
        </w:rPr>
      </w:pPr>
      <w:r w:rsidRPr="00B15B5F">
        <w:rPr>
          <w:rFonts w:ascii="Arial" w:hAnsi="Arial" w:cs="Arial"/>
          <w:b/>
        </w:rPr>
        <w:t xml:space="preserve">2.5.2 Expectation and variance of durations of ACD model </w:t>
      </w:r>
    </w:p>
    <w:p w:rsidR="00B15B5F" w:rsidRPr="00B15B5F" w:rsidRDefault="00B15B5F" w:rsidP="00B15B5F">
      <w:pPr>
        <w:spacing w:before="240"/>
        <w:jc w:val="both"/>
        <w:rPr>
          <w:rFonts w:ascii="Arial" w:hAnsi="Arial" w:cs="Arial"/>
        </w:rPr>
      </w:pPr>
      <w:r w:rsidRPr="00B15B5F">
        <w:rPr>
          <w:rFonts w:ascii="Arial" w:hAnsi="Arial" w:cs="Arial"/>
        </w:rPr>
        <w:t>The expectation of the duration can be derived as follows (Engle &amp; Russell, 1998):</w:t>
      </w:r>
    </w:p>
    <w:p w:rsidR="00B15B5F" w:rsidRPr="00B15B5F" w:rsidRDefault="00B15B5F" w:rsidP="00B15B5F">
      <w:pPr>
        <w:jc w:val="both"/>
        <w:rPr>
          <w:rFonts w:ascii="Arial" w:hAnsi="Arial" w:cs="Arial"/>
        </w:rPr>
      </w:pPr>
      <m:oMathPara>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oMath>
      </m:oMathPara>
    </w:p>
    <w:p w:rsidR="00B15B5F" w:rsidRPr="00B15B5F" w:rsidRDefault="00B15B5F" w:rsidP="00B15B5F">
      <w:pPr>
        <w:jc w:val="both"/>
        <w:rPr>
          <w:rFonts w:ascii="Arial" w:hAnsi="Arial" w:cs="Arial"/>
        </w:rPr>
      </w:pPr>
      <w:r w:rsidRPr="00B15B5F">
        <w:rPr>
          <w:rFonts w:ascii="Arial" w:hAnsi="Arial" w:cs="Arial"/>
        </w:rPr>
        <w:t xml:space="preserve">Since </w:t>
      </w:r>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r>
          <w:rPr>
            <w:rFonts w:ascii="Cambria Math" w:hAnsi="Arial" w:cs="Arial"/>
          </w:rPr>
          <m:t>=1</m:t>
        </m:r>
      </m:oMath>
      <w:r w:rsidRPr="00B15B5F">
        <w:rPr>
          <w:rFonts w:ascii="Arial" w:eastAsiaTheme="minorEastAsia" w:hAnsi="Arial" w:cs="Arial"/>
        </w:rPr>
        <w:t xml:space="preserve">, </w:t>
      </w:r>
      <w:r w:rsidRPr="00B15B5F">
        <w:rPr>
          <w:rFonts w:ascii="Arial" w:hAnsi="Arial" w:cs="Arial"/>
        </w:rPr>
        <w:t>(assuming the error term follows an exponential distribution), we have:</w:t>
      </w:r>
    </w:p>
    <w:p w:rsidR="00B15B5F" w:rsidRPr="00B15B5F" w:rsidRDefault="00B15B5F" w:rsidP="00B15B5F">
      <w:pPr>
        <w:jc w:val="both"/>
        <w:rPr>
          <w:rFonts w:ascii="Arial" w:hAnsi="Arial" w:cs="Arial"/>
        </w:rPr>
      </w:pPr>
      <m:oMathPara>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oMath>
      </m:oMathPara>
    </w:p>
    <w:p w:rsidR="00B15B5F" w:rsidRPr="00B15B5F" w:rsidRDefault="00B15B5F" w:rsidP="00B15B5F">
      <w:pPr>
        <w:jc w:val="both"/>
        <w:rPr>
          <w:rFonts w:ascii="Arial" w:hAnsi="Arial" w:cs="Arial"/>
        </w:rPr>
      </w:pPr>
      <w:r w:rsidRPr="00B15B5F">
        <w:rPr>
          <w:rFonts w:ascii="Arial" w:hAnsi="Arial" w:cs="Arial"/>
        </w:rPr>
        <w:t xml:space="preserve">Now, using the equation for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Fonts w:ascii="Arial" w:hAnsi="Arial" w:cs="Arial"/>
        </w:rPr>
        <w:t>:</w:t>
      </w:r>
    </w:p>
    <w:p w:rsidR="00B15B5F" w:rsidRPr="00B15B5F" w:rsidRDefault="00AC73E4"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x</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r>
            <w:rPr>
              <w:rFonts w:ascii="Cambria Math" w:hAnsi="Cambria Math" w:cs="Arial"/>
            </w:rPr>
            <m:t>β</m:t>
          </m:r>
          <m:sSub>
            <m:sSubPr>
              <m:ctrlPr>
                <w:rPr>
                  <w:rFonts w:ascii="Cambria Math" w:hAnsi="Arial" w:cs="Arial"/>
                  <w:i/>
                </w:rPr>
              </m:ctrlPr>
            </m:sSubPr>
            <m:e>
              <m:r>
                <w:rPr>
                  <w:rFonts w:ascii="Cambria Math" w:hAnsi="Cambria Math" w:cs="Arial"/>
                </w:rPr>
                <m:t>ψ</m:t>
              </m:r>
            </m:e>
            <m:sub>
              <m:r>
                <w:rPr>
                  <w:rFonts w:ascii="Cambria Math" w:hAnsi="Cambria Math" w:cs="Arial"/>
                </w:rPr>
                <m:t>t</m:t>
              </m:r>
              <m:r>
                <w:rPr>
                  <w:rFonts w:ascii="Arial" w:hAnsi="Arial" w:cs="Arial"/>
                </w:rPr>
                <m:t>-</m:t>
              </m:r>
              <m:r>
                <w:rPr>
                  <w:rFonts w:ascii="Cambria Math" w:hAnsi="Arial" w:cs="Arial"/>
                </w:rPr>
                <m:t>1</m:t>
              </m:r>
            </m:sub>
          </m:sSub>
        </m:oMath>
      </m:oMathPara>
    </w:p>
    <w:p w:rsidR="00B15B5F" w:rsidRPr="00B15B5F" w:rsidRDefault="00B15B5F" w:rsidP="00B15B5F">
      <w:pPr>
        <w:jc w:val="both"/>
        <w:rPr>
          <w:rFonts w:ascii="Arial" w:hAnsi="Arial" w:cs="Arial"/>
        </w:rPr>
      </w:pPr>
      <w:r w:rsidRPr="00B15B5F">
        <w:rPr>
          <w:rFonts w:ascii="Arial" w:hAnsi="Arial" w:cs="Arial"/>
        </w:rPr>
        <w:t>Taking the expectation on both sides:</w:t>
      </w:r>
    </w:p>
    <w:p w:rsidR="00B15B5F" w:rsidRPr="00B15B5F" w:rsidRDefault="00AC73E4"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αE</m:t>
          </m:r>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r>
            <w:rPr>
              <w:rFonts w:ascii="Cambria Math" w:hAnsi="Cambria Math" w:cs="Arial"/>
            </w:rPr>
            <m:t>βE</m:t>
          </m:r>
          <m:r>
            <w:rPr>
              <w:rFonts w:ascii="Cambria Math" w:hAnsi="Arial" w:cs="Arial"/>
            </w:rPr>
            <m:t>(</m:t>
          </m:r>
          <m:sSub>
            <m:sSubPr>
              <m:ctrlPr>
                <w:rPr>
                  <w:rFonts w:ascii="Cambria Math" w:hAnsi="Arial" w:cs="Arial"/>
                  <w:i/>
                </w:rPr>
              </m:ctrlPr>
            </m:sSubPr>
            <m:e>
              <m:r>
                <w:rPr>
                  <w:rFonts w:ascii="Cambria Math" w:hAnsi="Cambria Math" w:cs="Arial"/>
                </w:rPr>
                <m:t>ψ</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oMath>
      </m:oMathPara>
    </w:p>
    <w:p w:rsidR="00B15B5F" w:rsidRPr="00B15B5F" w:rsidRDefault="00B15B5F" w:rsidP="00B15B5F">
      <w:pPr>
        <w:jc w:val="both"/>
        <w:rPr>
          <w:rFonts w:ascii="Arial" w:hAnsi="Arial" w:cs="Arial"/>
        </w:rPr>
      </w:pPr>
      <w:r w:rsidRPr="00B15B5F">
        <w:rPr>
          <w:rFonts w:ascii="Arial" w:hAnsi="Arial" w:cs="Arial"/>
        </w:rPr>
        <w:t xml:space="preserve">Since </w:t>
      </w:r>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oMath>
      <w:r w:rsidRPr="00B15B5F">
        <w:rPr>
          <w:rFonts w:ascii="Arial" w:hAnsi="Arial" w:cs="Arial"/>
        </w:rPr>
        <w:t>, we can simplify this to:</w:t>
      </w:r>
    </w:p>
    <w:p w:rsidR="00B15B5F" w:rsidRPr="00B15B5F" w:rsidRDefault="00AC73E4"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m:t>
          </m:r>
          <m:r>
            <w:rPr>
              <w:rFonts w:ascii="Cambria Math" w:hAnsi="Arial" w:cs="Arial"/>
            </w:rPr>
            <m:t>+</m:t>
          </m:r>
          <m:r>
            <w:rPr>
              <w:rFonts w:ascii="Cambria Math" w:hAnsi="Cambria Math" w:cs="Arial"/>
            </w:rPr>
            <m:t>β</m:t>
          </m:r>
          <m:r>
            <w:rPr>
              <w:rFonts w:ascii="Cambria Math" w:hAnsi="Arial" w:cs="Arial"/>
            </w:rPr>
            <m:t>)</m:t>
          </m:r>
          <m:r>
            <w:rPr>
              <w:rFonts w:ascii="Cambria Math" w:hAnsi="Cambria Math" w:cs="Arial"/>
            </w:rPr>
            <m:t>E</m:t>
          </m:r>
          <m:r>
            <w:rPr>
              <w:rFonts w:ascii="Cambria Math" w:hAnsi="Arial" w:cs="Arial"/>
            </w:rPr>
            <m:t>(</m:t>
          </m:r>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oMath>
      </m:oMathPara>
    </w:p>
    <w:p w:rsidR="00B15B5F" w:rsidRPr="00B15B5F" w:rsidRDefault="00B15B5F" w:rsidP="00B15B5F">
      <w:pPr>
        <w:jc w:val="both"/>
        <w:rPr>
          <w:rFonts w:ascii="Arial" w:hAnsi="Arial" w:cs="Arial"/>
        </w:rPr>
      </w:pPr>
      <w:r w:rsidRPr="00B15B5F">
        <w:rPr>
          <w:rFonts w:ascii="Arial" w:hAnsi="Arial" w:cs="Arial"/>
        </w:rPr>
        <w:t xml:space="preserve">Solving for </w:t>
      </w:r>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oMath>
      <w:r w:rsidRPr="00B15B5F">
        <w:rPr>
          <w:rFonts w:ascii="Arial" w:hAnsi="Arial" w:cs="Arial"/>
        </w:rPr>
        <w:t xml:space="preserve"> we have:</w:t>
      </w:r>
    </w:p>
    <w:p w:rsidR="00B15B5F" w:rsidRPr="00B15B5F" w:rsidRDefault="00AC73E4"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Cambria Math" w:cs="Arial"/>
                </w:rPr>
                <m:t>ω</m:t>
              </m:r>
            </m:num>
            <m:den>
              <m:r>
                <w:rPr>
                  <w:rFonts w:ascii="Cambria Math" w:hAnsi="Arial" w:cs="Arial"/>
                </w:rPr>
                <m:t>1</m:t>
              </m:r>
              <m:r>
                <w:rPr>
                  <w:rFonts w:ascii="Arial" w:hAnsi="Arial" w:cs="Arial"/>
                </w:rPr>
                <m:t>-</m:t>
              </m:r>
              <m:r>
                <w:rPr>
                  <w:rFonts w:ascii="Cambria Math" w:hAnsi="Cambria Math" w:cs="Arial"/>
                </w:rPr>
                <m:t>α</m:t>
              </m:r>
              <m:r>
                <w:rPr>
                  <w:rFonts w:ascii="Arial" w:hAnsi="Arial" w:cs="Arial"/>
                </w:rPr>
                <m:t>-</m:t>
              </m:r>
              <m:r>
                <w:rPr>
                  <w:rFonts w:ascii="Cambria Math" w:hAnsi="Cambria Math" w:cs="Arial"/>
                </w:rPr>
                <m:t>β</m:t>
              </m:r>
            </m:den>
          </m:f>
        </m:oMath>
      </m:oMathPara>
    </w:p>
    <w:p w:rsidR="00B15B5F" w:rsidRPr="00B15B5F" w:rsidRDefault="00B15B5F" w:rsidP="00B15B5F">
      <w:pPr>
        <w:jc w:val="both"/>
        <w:rPr>
          <w:rFonts w:ascii="Arial" w:hAnsi="Arial" w:cs="Arial"/>
        </w:rPr>
      </w:pPr>
      <w:r w:rsidRPr="00B15B5F">
        <w:rPr>
          <w:rFonts w:ascii="Arial" w:hAnsi="Arial" w:cs="Arial"/>
        </w:rPr>
        <w:t xml:space="preserve">Therefore, the </w:t>
      </w:r>
      <w:r w:rsidRPr="00B15B5F">
        <w:rPr>
          <w:rStyle w:val="Strong"/>
          <w:rFonts w:ascii="Arial" w:hAnsi="Arial" w:cs="Arial"/>
          <w:b w:val="0"/>
        </w:rPr>
        <w:t>expectation of the duration</w:t>
      </w:r>
      <w:r w:rsidRPr="00B15B5F">
        <w:rPr>
          <w:rFonts w:ascii="Arial" w:hAnsi="Arial" w:cs="Arial"/>
        </w:rPr>
        <w:t xml:space="preserve"> is:</w:t>
      </w:r>
    </w:p>
    <w:p w:rsidR="00B15B5F" w:rsidRPr="00B15B5F" w:rsidRDefault="00AC73E4"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x</m:t>
              </m:r>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Cambria Math" w:cs="Arial"/>
                </w:rPr>
                <m:t>ω</m:t>
              </m:r>
            </m:num>
            <m:den>
              <m:r>
                <w:rPr>
                  <w:rFonts w:ascii="Cambria Math" w:hAnsi="Arial" w:cs="Arial"/>
                </w:rPr>
                <m:t>1</m:t>
              </m:r>
              <m:r>
                <w:rPr>
                  <w:rFonts w:ascii="Arial" w:hAnsi="Arial" w:cs="Arial"/>
                </w:rPr>
                <m:t>-</m:t>
              </m:r>
              <m:r>
                <w:rPr>
                  <w:rFonts w:ascii="Cambria Math" w:hAnsi="Cambria Math" w:cs="Arial"/>
                </w:rPr>
                <m:t>α</m:t>
              </m:r>
              <m:r>
                <w:rPr>
                  <w:rFonts w:ascii="Arial" w:hAnsi="Arial" w:cs="Arial"/>
                </w:rPr>
                <m:t>-</m:t>
              </m:r>
              <m:r>
                <w:rPr>
                  <w:rFonts w:ascii="Cambria Math" w:hAnsi="Cambria Math" w:cs="Arial"/>
                </w:rPr>
                <m:t>β</m:t>
              </m:r>
            </m:den>
          </m:f>
          <m:r>
            <w:rPr>
              <w:rFonts w:ascii="Cambria Math" w:hAnsi="Arial" w:cs="Arial"/>
            </w:rPr>
            <m:t xml:space="preserve">                                                                                                                                (18)</m:t>
          </m:r>
        </m:oMath>
      </m:oMathPara>
    </w:p>
    <w:p w:rsidR="00B15B5F" w:rsidRPr="00B15B5F" w:rsidRDefault="00B15B5F" w:rsidP="00B15B5F">
      <w:pPr>
        <w:jc w:val="both"/>
        <w:rPr>
          <w:rFonts w:ascii="Arial" w:hAnsi="Arial" w:cs="Arial"/>
        </w:rPr>
      </w:pPr>
      <w:r w:rsidRPr="00B15B5F">
        <w:rPr>
          <w:rFonts w:ascii="Arial" w:hAnsi="Arial" w:cs="Arial"/>
        </w:rPr>
        <w:t>To compute the variance, we use the following relation:</w:t>
      </w:r>
    </w:p>
    <w:p w:rsidR="00B15B5F" w:rsidRPr="00B15B5F" w:rsidRDefault="00B15B5F" w:rsidP="00B15B5F">
      <w:pPr>
        <w:jc w:val="both"/>
        <w:rPr>
          <w:rFonts w:ascii="Arial" w:hAnsi="Arial" w:cs="Arial"/>
        </w:rPr>
      </w:pPr>
      <m:oMathPara>
        <m:oMath>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m:t>
          </m:r>
          <m:sSup>
            <m:sSupPr>
              <m:ctrlPr>
                <w:rPr>
                  <w:rFonts w:ascii="Cambria Math" w:hAnsi="Arial" w:cs="Arial"/>
                  <w:i/>
                </w:rPr>
              </m:ctrlPr>
            </m:sSupPr>
            <m:e>
              <m:d>
                <m:dPr>
                  <m:ctrlPr>
                    <w:rPr>
                      <w:rFonts w:ascii="Cambria Math" w:hAnsi="Arial" w:cs="Arial"/>
                      <w:i/>
                    </w:rPr>
                  </m:ctrlPr>
                </m:dPr>
                <m:e>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e>
              </m:d>
            </m:e>
            <m:sup>
              <m:r>
                <w:rPr>
                  <w:rFonts w:ascii="Cambria Math" w:hAnsi="Arial" w:cs="Arial"/>
                </w:rPr>
                <m:t>2</m:t>
              </m:r>
            </m:sup>
          </m:sSup>
        </m:oMath>
      </m:oMathPara>
    </w:p>
    <w:p w:rsidR="00B15B5F" w:rsidRPr="00B15B5F" w:rsidRDefault="00B15B5F" w:rsidP="00B15B5F">
      <w:pPr>
        <w:jc w:val="both"/>
        <w:rPr>
          <w:rFonts w:ascii="Arial" w:hAnsi="Arial" w:cs="Arial"/>
        </w:rPr>
      </w:pPr>
      <m:oMathPara>
        <m:oMathParaPr>
          <m:jc m:val="center"/>
        </m:oMathParaP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m:t>
          </m:r>
          <m:r>
            <w:rPr>
              <w:rFonts w:ascii="Cambria Math" w:hAnsi="Cambria Math" w:cs="Arial"/>
            </w:rPr>
            <m:t>E</m:t>
          </m:r>
          <m:d>
            <m:dPr>
              <m:begChr m:val="["/>
              <m:endChr m:val="]"/>
              <m:ctrlPr>
                <w:rPr>
                  <w:rFonts w:ascii="Cambria Math" w:hAnsi="Arial" w:cs="Arial"/>
                  <w:i/>
                </w:rPr>
              </m:ctrlPr>
            </m:dPr>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e>
                <m:sup>
                  <m:r>
                    <w:rPr>
                      <w:rFonts w:ascii="Cambria Math" w:hAnsi="Arial" w:cs="Arial"/>
                    </w:rPr>
                    <m:t>2</m:t>
                  </m:r>
                </m:sup>
              </m:sSup>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d>
        </m:oMath>
      </m:oMathPara>
    </w:p>
    <w:p w:rsidR="00B15B5F" w:rsidRPr="00B15B5F" w:rsidRDefault="00B15B5F" w:rsidP="00B15B5F">
      <w:pPr>
        <w:jc w:val="both"/>
        <w:rPr>
          <w:rFonts w:ascii="Arial" w:hAnsi="Arial" w:cs="Arial"/>
        </w:rPr>
      </w:pPr>
      <w:r w:rsidRPr="00B15B5F">
        <w:rPr>
          <w:rFonts w:ascii="Arial" w:hAnsi="Arial" w:cs="Arial"/>
        </w:rPr>
        <w:t xml:space="preserve">Assuming </w:t>
      </w:r>
      <m:oMath>
        <m:sSub>
          <m:sSubPr>
            <m:ctrlPr>
              <w:rPr>
                <w:rFonts w:ascii="Cambria Math" w:hAnsi="Arial" w:cs="Arial"/>
                <w:i/>
              </w:rPr>
            </m:ctrlPr>
          </m:sSubPr>
          <m:e>
            <m:r>
              <w:rPr>
                <w:rFonts w:ascii="Cambria Math" w:hAnsi="Cambria Math" w:cs="Arial"/>
              </w:rPr>
              <m:t>ε</m:t>
            </m:r>
          </m:e>
          <m:sub>
            <m:r>
              <w:rPr>
                <w:rFonts w:ascii="Cambria Math" w:hAnsi="Cambria Math" w:cs="Arial"/>
              </w:rPr>
              <m:t>t</m:t>
            </m:r>
          </m:sub>
        </m:sSub>
      </m:oMath>
      <w:r w:rsidRPr="00B15B5F">
        <w:rPr>
          <w:rFonts w:ascii="Arial" w:hAnsi="Arial" w:cs="Arial"/>
        </w:rPr>
        <w:t xml:space="preserve"> follows an exponential distribution, we know that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d>
        <m:r>
          <w:rPr>
            <w:rFonts w:ascii="Cambria Math" w:hAnsi="Arial" w:cs="Arial"/>
          </w:rPr>
          <m:t>=2</m:t>
        </m:r>
      </m:oMath>
      <w:r w:rsidRPr="00B15B5F">
        <w:rPr>
          <w:rFonts w:ascii="Arial" w:hAnsi="Arial" w:cs="Arial"/>
        </w:rPr>
        <w:t>. Therefore:</w:t>
      </w:r>
    </w:p>
    <w:p w:rsidR="00B15B5F" w:rsidRPr="00B15B5F" w:rsidRDefault="00B15B5F" w:rsidP="00B15B5F">
      <w:pPr>
        <w:jc w:val="both"/>
        <w:rPr>
          <w:rFonts w:ascii="Arial" w:hAnsi="Arial" w:cs="Arial"/>
        </w:rPr>
      </w:pPr>
      <m:oMathPara>
        <m:oMathParaPr>
          <m:jc m:val="center"/>
        </m:oMathParaP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=2</m:t>
          </m:r>
          <m:r>
            <w:rPr>
              <w:rFonts w:ascii="Arial"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oMath>
      </m:oMathPara>
    </w:p>
    <w:p w:rsidR="00B15B5F" w:rsidRPr="00B15B5F" w:rsidRDefault="00B15B5F" w:rsidP="00B15B5F">
      <w:pPr>
        <w:jc w:val="both"/>
        <w:rPr>
          <w:rFonts w:ascii="Arial" w:hAnsi="Arial" w:cs="Arial"/>
        </w:rPr>
      </w:pPr>
      <w:r w:rsidRPr="00B15B5F">
        <w:rPr>
          <w:rFonts w:ascii="Arial" w:hAnsi="Arial" w:cs="Arial"/>
        </w:rPr>
        <w:t xml:space="preserve">Now, to compute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oMath>
      <w:r w:rsidRPr="00B15B5F">
        <w:rPr>
          <w:rFonts w:ascii="Arial" w:hAnsi="Arial" w:cs="Arial"/>
        </w:rPr>
        <w:t xml:space="preserve">, we use the conditional variance formula. Given that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Fonts w:ascii="Arial" w:hAnsi="Arial" w:cs="Arial"/>
        </w:rPr>
        <w:t xml:space="preserve"> is autoregressive, the variance of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Style w:val="vlist-s"/>
          <w:rFonts w:ascii="Arial" w:hAnsi="Arial" w:cs="Arial"/>
        </w:rPr>
        <w:t>​</w:t>
      </w:r>
      <w:r w:rsidRPr="00B15B5F">
        <w:rPr>
          <w:rFonts w:ascii="Arial" w:hAnsi="Arial" w:cs="Arial"/>
        </w:rPr>
        <w:t xml:space="preserve"> is:</w:t>
      </w:r>
    </w:p>
    <w:p w:rsidR="00B15B5F" w:rsidRDefault="00B15B5F" w:rsidP="00B15B5F">
      <w:pPr>
        <w:jc w:val="both"/>
        <w:rPr>
          <w:rFonts w:ascii="Arial" w:hAnsi="Arial" w:cs="Arial"/>
        </w:rPr>
      </w:pPr>
      <m:oMathPara>
        <m:oMath>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α</m:t>
                  </m:r>
                </m:e>
                <m:sup>
                  <m:r>
                    <w:rPr>
                      <w:rFonts w:ascii="Cambria Math" w:hAnsi="Arial" w:cs="Arial"/>
                    </w:rPr>
                    <m:t>2</m:t>
                  </m:r>
                </m:sup>
              </m:sSup>
              <m:r>
                <w:rPr>
                  <w:rFonts w:ascii="Arial"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num>
            <m:den>
              <m:r>
                <w:rPr>
                  <w:rFonts w:ascii="Cambria Math" w:hAnsi="Arial" w:cs="Arial"/>
                </w:rPr>
                <m:t>1</m:t>
              </m:r>
              <m:r>
                <w:rPr>
                  <w:rFonts w:ascii="Arial" w:hAnsi="Arial" w:cs="Arial"/>
                </w:rPr>
                <m:t>-</m:t>
              </m:r>
              <m:r>
                <w:rPr>
                  <w:rFonts w:ascii="Cambria Math" w:hAnsi="Arial" w:cs="Arial"/>
                </w:rPr>
                <m:t>(</m:t>
              </m:r>
              <m:sSup>
                <m:sSupPr>
                  <m:ctrlPr>
                    <w:rPr>
                      <w:rFonts w:ascii="Cambria Math" w:hAnsi="Arial" w:cs="Arial"/>
                      <w:i/>
                    </w:rPr>
                  </m:ctrlPr>
                </m:sSupPr>
                <m:e>
                  <m:r>
                    <w:rPr>
                      <w:rFonts w:ascii="Cambria Math" w:hAnsi="Cambria Math" w:cs="Arial"/>
                    </w:rPr>
                    <m:t>α</m:t>
                  </m:r>
                  <m:r>
                    <w:rPr>
                      <w:rFonts w:ascii="Cambria Math" w:hAnsi="Arial" w:cs="Arial"/>
                    </w:rPr>
                    <m:t>+</m:t>
                  </m:r>
                  <m:r>
                    <w:rPr>
                      <w:rFonts w:ascii="Cambria Math" w:hAnsi="Cambria Math" w:cs="Arial"/>
                    </w:rPr>
                    <m:t>β</m:t>
                  </m:r>
                  <m:r>
                    <w:rPr>
                      <w:rFonts w:ascii="Cambria Math" w:hAnsi="Arial" w:cs="Arial"/>
                    </w:rPr>
                    <m:t>)</m:t>
                  </m:r>
                </m:e>
                <m:sup>
                  <m:r>
                    <w:rPr>
                      <w:rFonts w:ascii="Cambria Math" w:hAnsi="Arial" w:cs="Arial"/>
                    </w:rPr>
                    <m:t>2</m:t>
                  </m:r>
                </m:sup>
              </m:sSup>
            </m:den>
          </m:f>
          <m:r>
            <w:rPr>
              <w:rFonts w:ascii="Cambria Math" w:hAnsi="Arial" w:cs="Arial"/>
            </w:rPr>
            <m:t xml:space="preserve">                                                                                                                      (19)</m:t>
          </m:r>
        </m:oMath>
      </m:oMathPara>
    </w:p>
    <w:p w:rsidR="00B15B5F" w:rsidRPr="00B15B5F" w:rsidRDefault="00B15B5F" w:rsidP="00B15B5F">
      <w:pPr>
        <w:jc w:val="both"/>
        <w:rPr>
          <w:rFonts w:ascii="Arial" w:hAnsi="Arial" w:cs="Arial"/>
        </w:rPr>
      </w:pPr>
      <w:r w:rsidRPr="00B15B5F">
        <w:rPr>
          <w:rFonts w:ascii="Arial" w:hAnsi="Arial" w:cs="Arial"/>
        </w:rPr>
        <w:t xml:space="preserve">However, calculating the full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oMath>
      <w:r w:rsidRPr="00B15B5F">
        <w:rPr>
          <w:rFonts w:ascii="Arial" w:hAnsi="Arial" w:cs="Arial"/>
        </w:rPr>
        <w:t xml:space="preserve"> for complex models often requires simulation or numerical methods for more precise results. In practice, the </w:t>
      </w:r>
      <w:r w:rsidRPr="00B15B5F">
        <w:rPr>
          <w:rStyle w:val="Strong"/>
          <w:rFonts w:ascii="Arial" w:hAnsi="Arial" w:cs="Arial"/>
          <w:b w:val="0"/>
        </w:rPr>
        <w:t>variance</w:t>
      </w:r>
      <w:r w:rsidRPr="00B15B5F">
        <w:rPr>
          <w:rFonts w:ascii="Arial" w:hAnsi="Arial" w:cs="Arial"/>
        </w:rPr>
        <w:t xml:space="preserve"> of the ACD model can be simplified, but it is based on the autoregressive structure and second moments of the distribution.</w:t>
      </w:r>
    </w:p>
    <w:p w:rsidR="00CB2CF3" w:rsidRDefault="00CB2CF3" w:rsidP="00B15B5F">
      <w:pPr>
        <w:pStyle w:val="NormalWeb"/>
        <w:spacing w:before="240" w:beforeAutospacing="0" w:after="0" w:afterAutospacing="0"/>
        <w:jc w:val="both"/>
        <w:rPr>
          <w:rFonts w:ascii="Arial" w:hAnsi="Arial" w:cs="Arial"/>
          <w:b/>
          <w:sz w:val="20"/>
          <w:szCs w:val="20"/>
        </w:rPr>
      </w:pPr>
    </w:p>
    <w:p w:rsidR="00B15B5F" w:rsidRPr="0052632A" w:rsidRDefault="0052632A" w:rsidP="00B15B5F">
      <w:pPr>
        <w:pStyle w:val="NormalWeb"/>
        <w:spacing w:before="240" w:beforeAutospacing="0" w:after="0" w:afterAutospacing="0"/>
        <w:jc w:val="both"/>
        <w:rPr>
          <w:rFonts w:ascii="Arial" w:hAnsi="Arial" w:cs="Arial"/>
          <w:b/>
          <w:sz w:val="20"/>
          <w:szCs w:val="20"/>
        </w:rPr>
      </w:pPr>
      <w:r w:rsidRPr="0052632A">
        <w:rPr>
          <w:rFonts w:ascii="Arial" w:hAnsi="Arial" w:cs="Arial"/>
          <w:b/>
          <w:sz w:val="20"/>
          <w:szCs w:val="20"/>
        </w:rPr>
        <w:lastRenderedPageBreak/>
        <w:t>2</w:t>
      </w:r>
      <w:r w:rsidR="00B15B5F" w:rsidRPr="0052632A">
        <w:rPr>
          <w:rFonts w:ascii="Arial" w:hAnsi="Arial" w:cs="Arial"/>
          <w:b/>
          <w:sz w:val="20"/>
          <w:szCs w:val="20"/>
        </w:rPr>
        <w:t>.5.3 General Log-</w:t>
      </w:r>
      <w:proofErr w:type="gramStart"/>
      <w:r w:rsidR="00B15B5F" w:rsidRPr="0052632A">
        <w:rPr>
          <w:rFonts w:ascii="Arial" w:hAnsi="Arial" w:cs="Arial"/>
          <w:b/>
          <w:sz w:val="20"/>
          <w:szCs w:val="20"/>
        </w:rPr>
        <w:t>ACD(</w:t>
      </w:r>
      <w:proofErr w:type="gramEnd"/>
      <w:r w:rsidR="00B15B5F" w:rsidRPr="0052632A">
        <w:rPr>
          <w:rFonts w:ascii="Arial" w:hAnsi="Arial" w:cs="Arial"/>
          <w:b/>
          <w:sz w:val="20"/>
          <w:szCs w:val="20"/>
        </w:rPr>
        <w:t>p, q) Model</w:t>
      </w:r>
    </w:p>
    <w:p w:rsidR="00B15B5F" w:rsidRPr="0052632A" w:rsidRDefault="00B15B5F" w:rsidP="00B15B5F">
      <w:pPr>
        <w:pStyle w:val="NormalWeb"/>
        <w:spacing w:before="240" w:beforeAutospacing="0" w:after="0" w:afterAutospacing="0"/>
        <w:jc w:val="both"/>
        <w:rPr>
          <w:rFonts w:ascii="Arial" w:hAnsi="Arial" w:cs="Arial"/>
          <w:b/>
          <w:sz w:val="20"/>
          <w:szCs w:val="20"/>
        </w:rPr>
      </w:pPr>
      <w:r w:rsidRPr="0052632A">
        <w:rPr>
          <w:rFonts w:ascii="Arial" w:hAnsi="Arial" w:cs="Arial"/>
          <w:sz w:val="20"/>
          <w:szCs w:val="20"/>
        </w:rPr>
        <w:t>The Logarithmic Autoregressive Conditional Duration (Log-ACD) model is a log-linear reformulation of the ACD model. It models the logarithm of the conditional expected duration, which often stabilizes the variance and ensures positivity of the conditional expectation without imposing parameter constraints (non-negativity) (Russell &amp; Engle, 2005).</w:t>
      </w:r>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oMath>
      <w:r w:rsidRPr="0052632A">
        <w:rPr>
          <w:rFonts w:ascii="Arial" w:hAnsi="Arial" w:cs="Arial"/>
          <w:sz w:val="20"/>
          <w:szCs w:val="20"/>
        </w:rPr>
        <w:t xml:space="preserve"> observed duration between events at time </w:t>
      </w:r>
      <m:oMath>
        <m:r>
          <w:rPr>
            <w:rStyle w:val="katex-mathml"/>
            <w:rFonts w:ascii="Cambria Math" w:hAnsi="Cambria Math" w:cs="Arial"/>
            <w:sz w:val="20"/>
            <w:szCs w:val="20"/>
          </w:rPr>
          <m:t>t</m:t>
        </m:r>
        <m:r>
          <w:rPr>
            <w:rStyle w:val="katex-mathml"/>
            <w:rFonts w:ascii="Cambria Math" w:hAnsi="Arial" w:cs="Arial"/>
            <w:sz w:val="20"/>
            <w:szCs w:val="20"/>
          </w:rPr>
          <m:t xml:space="preserve">, </m:t>
        </m:r>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r>
          <w:rPr>
            <w:rStyle w:val="katex-mathml"/>
            <w:rFonts w:ascii="Cambria Math" w:hAnsi="Arial" w:cs="Arial"/>
            <w:sz w:val="20"/>
            <w:szCs w:val="20"/>
          </w:rPr>
          <m:t>=</m:t>
        </m:r>
        <m:f>
          <m:fPr>
            <m:ctrlPr>
              <w:rPr>
                <w:rStyle w:val="katex-mathml"/>
                <w:rFonts w:ascii="Cambria Math" w:hAnsi="Arial" w:cs="Arial"/>
                <w:i/>
                <w:sz w:val="20"/>
                <w:szCs w:val="20"/>
              </w:rPr>
            </m:ctrlPr>
          </m:fPr>
          <m:num>
            <m:sSub>
              <m:sSubPr>
                <m:ctrlPr>
                  <w:rPr>
                    <w:rStyle w:val="katex-mathml"/>
                    <w:rFonts w:ascii="Cambria Math" w:hAnsi="Arial" w:cs="Arial"/>
                    <w:i/>
                    <w:sz w:val="20"/>
                    <w:szCs w:val="20"/>
                  </w:rPr>
                </m:ctrlPr>
              </m:sSubPr>
              <m:e>
                <m:r>
                  <w:rPr>
                    <w:rStyle w:val="katex-mathml"/>
                    <w:rFonts w:ascii="Cambria Math" w:hAnsi="Cambria Math" w:cs="Arial"/>
                    <w:sz w:val="20"/>
                    <w:szCs w:val="20"/>
                  </w:rPr>
                  <m:t>x</m:t>
                </m:r>
              </m:e>
              <m:sub>
                <m:r>
                  <w:rPr>
                    <w:rStyle w:val="katex-mathml"/>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r>
          <w:rPr>
            <w:rStyle w:val="katex-mathml"/>
            <w:rFonts w:ascii="Cambria Math" w:hAnsi="Arial" w:cs="Arial"/>
            <w:sz w:val="20"/>
            <w:szCs w:val="20"/>
          </w:rPr>
          <m:t>~</m:t>
        </m:r>
      </m:oMath>
      <w:r w:rsidRPr="0052632A">
        <w:rPr>
          <w:rStyle w:val="katex-mathml"/>
          <w:rFonts w:ascii="Arial" w:hAnsi="Arial" w:cs="Arial"/>
          <w:sz w:val="20"/>
          <w:szCs w:val="20"/>
        </w:rPr>
        <w:t xml:space="preserve"> i.i.d. with </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Style w:val="katex-mathml"/>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Arial" w:cs="Arial"/>
                    <w:sz w:val="20"/>
                    <w:szCs w:val="20"/>
                  </w:rPr>
                  <m:t>x</m:t>
                </m:r>
              </m:e>
              <m:sub>
                <m:r>
                  <w:rPr>
                    <w:rFonts w:ascii="Cambria Math" w:hAnsi="Arial"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Arial" w:cs="Arial"/>
                    <w:sz w:val="20"/>
                    <w:szCs w:val="20"/>
                  </w:rPr>
                  <m:t>t</m:t>
                </m:r>
                <m:r>
                  <w:rPr>
                    <w:rFonts w:ascii="Arial" w:hAnsi="Arial" w:cs="Arial"/>
                    <w:sz w:val="20"/>
                    <w:szCs w:val="20"/>
                  </w:rPr>
                  <m:t>-</m:t>
                </m:r>
                <m:r>
                  <w:rPr>
                    <w:rFonts w:ascii="Cambria Math" w:hAnsi="Arial" w:cs="Arial"/>
                    <w:sz w:val="20"/>
                    <w:szCs w:val="20"/>
                  </w:rPr>
                  <m:t>1</m:t>
                </m:r>
              </m:sub>
            </m:sSub>
          </m:e>
        </m:d>
      </m:oMath>
      <w:r w:rsidRPr="0052632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t</m:t>
            </m:r>
          </m:sub>
        </m:sSub>
      </m:oMath>
      <w:r w:rsidRPr="0052632A">
        <w:rPr>
          <w:rFonts w:ascii="Arial" w:hAnsi="Arial" w:cs="Arial"/>
          <w:sz w:val="20"/>
          <w:szCs w:val="20"/>
        </w:rPr>
        <w:t>. Then, the model is: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Sub>
                    </m:e>
                  </m:d>
                </m:e>
              </m:func>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e>
                  </m:d>
                </m:e>
              </m:func>
            </m:e>
          </m:nary>
          <m:r>
            <w:rPr>
              <w:rFonts w:ascii="Cambria Math" w:hAnsi="Arial" w:cs="Arial"/>
              <w:sz w:val="20"/>
              <w:szCs w:val="20"/>
            </w:rPr>
            <m:t xml:space="preserve">                                                                       (20)</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This guarantees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&gt;0</m:t>
        </m:r>
      </m:oMath>
      <w:r w:rsidRPr="0052632A">
        <w:rPr>
          <w:rFonts w:ascii="Arial" w:hAnsi="Arial" w:cs="Arial"/>
          <w:sz w:val="20"/>
          <w:szCs w:val="20"/>
        </w:rPr>
        <w:t xml:space="preserve"> automatically due to the exponential form. The Log-</w:t>
      </w:r>
      <w:proofErr w:type="gramStart"/>
      <w:r w:rsidRPr="0052632A">
        <w:rPr>
          <w:rFonts w:ascii="Arial" w:hAnsi="Arial" w:cs="Arial"/>
          <w:sz w:val="20"/>
          <w:szCs w:val="20"/>
        </w:rPr>
        <w:t>ACD(</w:t>
      </w:r>
      <w:proofErr w:type="gramEnd"/>
      <w:r w:rsidRPr="0052632A">
        <w:rPr>
          <w:rFonts w:ascii="Arial" w:hAnsi="Arial" w:cs="Arial"/>
          <w:sz w:val="20"/>
          <w:szCs w:val="20"/>
        </w:rPr>
        <w:t>1,1) model is given as: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 xml:space="preserve">                                                                                    (21)</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symmetric Log-</w:t>
      </w:r>
      <w:proofErr w:type="gramStart"/>
      <w:r w:rsidRPr="0052632A">
        <w:rPr>
          <w:rFonts w:ascii="Arial" w:hAnsi="Arial" w:cs="Arial"/>
          <w:sz w:val="20"/>
          <w:szCs w:val="20"/>
        </w:rPr>
        <w:t>ACD(</w:t>
      </w:r>
      <w:proofErr w:type="gramEnd"/>
      <w:r w:rsidRPr="0052632A">
        <w:rPr>
          <w:rFonts w:ascii="Arial" w:hAnsi="Arial" w:cs="Arial"/>
          <w:sz w:val="20"/>
          <w:szCs w:val="20"/>
        </w:rPr>
        <w:t>2,3) model  is expressed as: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e>
              </m:d>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e>
              </m:d>
            </m:e>
          </m:func>
          <m:r>
            <w:rPr>
              <w:rFonts w:ascii="Cambria Math" w:hAnsi="Arial" w:cs="Arial"/>
              <w:sz w:val="20"/>
              <w:szCs w:val="20"/>
            </w:rPr>
            <m:t xml:space="preserve">  (22)</m:t>
          </m:r>
        </m:oMath>
      </m:oMathPara>
    </w:p>
    <w:p w:rsidR="00B15B5F" w:rsidRPr="0052632A" w:rsidRDefault="00B15B5F" w:rsidP="00B15B5F">
      <w:pPr>
        <w:pStyle w:val="NormalWeb"/>
        <w:spacing w:before="240" w:beforeAutospacing="0" w:after="0" w:afterAutospacing="0"/>
        <w:jc w:val="both"/>
        <w:rPr>
          <w:rFonts w:ascii="Arial" w:hAnsi="Arial" w:cs="Arial"/>
          <w:sz w:val="20"/>
          <w:szCs w:val="20"/>
        </w:rPr>
      </w:pPr>
      <w:r w:rsidRPr="0052632A">
        <w:rPr>
          <w:rFonts w:ascii="Arial" w:hAnsi="Arial" w:cs="Arial"/>
          <w:sz w:val="20"/>
          <w:szCs w:val="20"/>
        </w:rPr>
        <w:t xml:space="preserve">The advantages of Log-ACD over ACD are that there is no need to constrain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52632A">
        <w:rPr>
          <w:rFonts w:ascii="Arial" w:hAnsi="Arial" w:cs="Arial"/>
          <w:sz w:val="20"/>
          <w:szCs w:val="20"/>
        </w:rPr>
        <w:t xml:space="preserve"> to be non-negative, log-transformation often improves model performance with heavy-tailed or skewed durations, Log-ACD can be used with more flexible error distributions like log-normal, log-Weibull, etc. </w:t>
      </w:r>
    </w:p>
    <w:p w:rsidR="00B15B5F" w:rsidRPr="0052632A" w:rsidRDefault="0052632A" w:rsidP="00B15B5F">
      <w:pPr>
        <w:pStyle w:val="NormalWeb"/>
        <w:spacing w:before="240" w:beforeAutospacing="0" w:after="0" w:afterAutospacing="0"/>
        <w:jc w:val="both"/>
        <w:rPr>
          <w:rFonts w:ascii="Arial" w:hAnsi="Arial" w:cs="Arial"/>
          <w:b/>
          <w:sz w:val="20"/>
          <w:szCs w:val="20"/>
        </w:rPr>
      </w:pPr>
      <w:r>
        <w:rPr>
          <w:rFonts w:ascii="Arial" w:hAnsi="Arial" w:cs="Arial"/>
          <w:b/>
          <w:sz w:val="20"/>
          <w:szCs w:val="20"/>
        </w:rPr>
        <w:t>2</w:t>
      </w:r>
      <w:r w:rsidR="00B15B5F" w:rsidRPr="0052632A">
        <w:rPr>
          <w:rFonts w:ascii="Arial" w:hAnsi="Arial" w:cs="Arial"/>
          <w:b/>
          <w:sz w:val="20"/>
          <w:szCs w:val="20"/>
        </w:rPr>
        <w:t>.5.4 Assumptions of ACD models</w:t>
      </w:r>
    </w:p>
    <w:p w:rsidR="00B15B5F" w:rsidRPr="0052632A" w:rsidRDefault="00B15B5F" w:rsidP="00B15B5F">
      <w:pPr>
        <w:pStyle w:val="ListParagraph"/>
        <w:numPr>
          <w:ilvl w:val="0"/>
          <w:numId w:val="41"/>
        </w:numPr>
        <w:spacing w:before="240" w:after="0" w:line="240" w:lineRule="auto"/>
        <w:jc w:val="both"/>
        <w:rPr>
          <w:rFonts w:ascii="Arial" w:hAnsi="Arial" w:cs="Arial"/>
          <w:sz w:val="20"/>
          <w:szCs w:val="20"/>
        </w:rPr>
      </w:pPr>
      <w:r w:rsidRPr="0052632A">
        <w:rPr>
          <w:rFonts w:ascii="Arial" w:hAnsi="Arial" w:cs="Arial"/>
          <w:sz w:val="20"/>
          <w:szCs w:val="20"/>
        </w:rPr>
        <w:t>ACD models assume stationarity of durations as non-stationary durations may violate model assumptions and lead to spurious estimates.</w:t>
      </w:r>
    </w:p>
    <w:p w:rsidR="00B15B5F" w:rsidRPr="0052632A" w:rsidRDefault="00B15B5F" w:rsidP="00B15B5F">
      <w:pPr>
        <w:pStyle w:val="ListParagraph"/>
        <w:numPr>
          <w:ilvl w:val="0"/>
          <w:numId w:val="41"/>
        </w:numPr>
        <w:spacing w:after="0" w:line="240" w:lineRule="auto"/>
        <w:jc w:val="both"/>
        <w:rPr>
          <w:rFonts w:ascii="Arial" w:hAnsi="Arial" w:cs="Arial"/>
          <w:sz w:val="20"/>
          <w:szCs w:val="20"/>
        </w:rPr>
      </w:pPr>
      <w:r w:rsidRPr="0052632A">
        <w:rPr>
          <w:rFonts w:ascii="Arial" w:hAnsi="Arial" w:cs="Arial"/>
          <w:sz w:val="20"/>
          <w:szCs w:val="20"/>
        </w:rPr>
        <w:t>ACD models require that durations be strictly positive.</w:t>
      </w:r>
    </w:p>
    <w:p w:rsidR="00B15B5F" w:rsidRPr="0052632A" w:rsidRDefault="00B15B5F" w:rsidP="00B15B5F">
      <w:pPr>
        <w:pStyle w:val="ListParagraph"/>
        <w:numPr>
          <w:ilvl w:val="0"/>
          <w:numId w:val="41"/>
        </w:numPr>
        <w:spacing w:after="0" w:line="240" w:lineRule="auto"/>
        <w:jc w:val="both"/>
        <w:rPr>
          <w:rFonts w:ascii="Arial" w:hAnsi="Arial" w:cs="Arial"/>
          <w:sz w:val="20"/>
          <w:szCs w:val="20"/>
        </w:rPr>
      </w:pPr>
      <w:r w:rsidRPr="0052632A">
        <w:rPr>
          <w:rFonts w:ascii="Arial" w:hAnsi="Arial" w:cs="Arial"/>
          <w:sz w:val="20"/>
          <w:szCs w:val="20"/>
        </w:rPr>
        <w:t>ACD models assume that durations are autocorrelated (serially dependent).</w:t>
      </w:r>
    </w:p>
    <w:p w:rsidR="00B15B5F" w:rsidRPr="0052632A" w:rsidRDefault="00B15B5F" w:rsidP="00B15B5F">
      <w:pPr>
        <w:pStyle w:val="ListParagraph"/>
        <w:numPr>
          <w:ilvl w:val="0"/>
          <w:numId w:val="41"/>
        </w:numPr>
        <w:spacing w:before="240" w:after="0" w:line="240" w:lineRule="auto"/>
        <w:jc w:val="both"/>
        <w:rPr>
          <w:rFonts w:ascii="Arial" w:hAnsi="Arial" w:cs="Arial"/>
          <w:sz w:val="20"/>
          <w:szCs w:val="20"/>
        </w:rPr>
      </w:pPr>
      <w:r w:rsidRPr="0052632A">
        <w:rPr>
          <w:rFonts w:ascii="Arial" w:hAnsi="Arial" w:cs="Arial"/>
          <w:sz w:val="20"/>
          <w:szCs w:val="20"/>
        </w:rPr>
        <w:t xml:space="preserve">ACD models are assumed to follow Exponential, Weibull, Burr, or Generalized Gamma distributions. </w:t>
      </w:r>
    </w:p>
    <w:p w:rsidR="00B15B5F" w:rsidRPr="0052632A" w:rsidRDefault="0052632A" w:rsidP="00B15B5F">
      <w:pPr>
        <w:pStyle w:val="NormalWeb"/>
        <w:spacing w:before="240" w:beforeAutospacing="0" w:after="0" w:afterAutospacing="0"/>
        <w:jc w:val="both"/>
        <w:rPr>
          <w:rFonts w:ascii="Arial" w:hAnsi="Arial" w:cs="Arial"/>
          <w:b/>
          <w:sz w:val="20"/>
          <w:szCs w:val="20"/>
        </w:rPr>
      </w:pPr>
      <w:r w:rsidRPr="0052632A">
        <w:rPr>
          <w:rFonts w:ascii="Arial" w:hAnsi="Arial" w:cs="Arial"/>
          <w:b/>
          <w:sz w:val="20"/>
          <w:szCs w:val="20"/>
        </w:rPr>
        <w:t>2</w:t>
      </w:r>
      <w:r w:rsidR="00B15B5F" w:rsidRPr="0052632A">
        <w:rPr>
          <w:rFonts w:ascii="Arial" w:hAnsi="Arial" w:cs="Arial"/>
          <w:b/>
          <w:sz w:val="20"/>
          <w:szCs w:val="20"/>
        </w:rPr>
        <w:t xml:space="preserve">.5.5 Distributional assumptions for </w:t>
      </w:r>
      <m:oMath>
        <m:sSub>
          <m:sSubPr>
            <m:ctrlPr>
              <w:rPr>
                <w:rFonts w:ascii="Cambria Math" w:hAnsi="Arial" w:cs="Arial"/>
                <w:b/>
                <w:i/>
                <w:sz w:val="20"/>
                <w:szCs w:val="20"/>
              </w:rPr>
            </m:ctrlPr>
          </m:sSubPr>
          <m:e>
            <m:r>
              <m:rPr>
                <m:sty m:val="bi"/>
              </m:rPr>
              <w:rPr>
                <w:rFonts w:ascii="Cambria Math" w:hAnsi="Cambria Math" w:cs="Arial"/>
                <w:sz w:val="20"/>
                <w:szCs w:val="20"/>
              </w:rPr>
              <m:t>ε</m:t>
            </m:r>
          </m:e>
          <m:sub>
            <m:r>
              <m:rPr>
                <m:sty m:val="bi"/>
              </m:rPr>
              <w:rPr>
                <w:rFonts w:ascii="Cambria Math" w:hAnsi="Cambria Math" w:cs="Arial"/>
                <w:sz w:val="20"/>
                <w:szCs w:val="20"/>
              </w:rPr>
              <m:t>t</m:t>
            </m:r>
          </m:sub>
        </m:sSub>
      </m:oMath>
    </w:p>
    <w:p w:rsidR="00B15B5F" w:rsidRPr="0052632A" w:rsidRDefault="00B15B5F" w:rsidP="00B15B5F">
      <w:pPr>
        <w:pStyle w:val="NormalWeb"/>
        <w:spacing w:before="240" w:beforeAutospacing="0" w:after="0" w:afterAutospacing="0"/>
        <w:jc w:val="both"/>
        <w:rPr>
          <w:rFonts w:ascii="Arial" w:hAnsi="Arial" w:cs="Arial"/>
          <w:sz w:val="20"/>
          <w:szCs w:val="20"/>
        </w:rPr>
      </w:pPr>
      <w:r w:rsidRPr="0052632A">
        <w:rPr>
          <w:rFonts w:ascii="Arial" w:hAnsi="Arial" w:cs="Arial"/>
          <w:sz w:val="20"/>
          <w:szCs w:val="20"/>
        </w:rPr>
        <w:t xml:space="preserve">The distributional assumption on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52632A">
        <w:rPr>
          <w:rFonts w:ascii="Arial" w:hAnsi="Arial" w:cs="Arial"/>
          <w:sz w:val="20"/>
          <w:szCs w:val="20"/>
        </w:rPr>
        <w:t xml:space="preserve"> is crucial for Maximum Likelihood Estimation (MLE). Two common assumptions are the Exponential and Weibull distributions.</w:t>
      </w:r>
    </w:p>
    <w:p w:rsidR="00B15B5F" w:rsidRPr="0052632A" w:rsidRDefault="00B15B5F" w:rsidP="00B15B5F">
      <w:pPr>
        <w:pStyle w:val="NormalWeb"/>
        <w:numPr>
          <w:ilvl w:val="0"/>
          <w:numId w:val="50"/>
        </w:numPr>
        <w:spacing w:before="0" w:beforeAutospacing="0" w:after="0" w:afterAutospacing="0"/>
        <w:rPr>
          <w:rFonts w:ascii="Arial" w:hAnsi="Arial" w:cs="Arial"/>
          <w:b/>
          <w:sz w:val="20"/>
          <w:szCs w:val="20"/>
        </w:rPr>
      </w:pPr>
      <w:r w:rsidRPr="0052632A">
        <w:rPr>
          <w:rFonts w:ascii="Arial" w:hAnsi="Arial" w:cs="Arial"/>
          <w:b/>
          <w:sz w:val="20"/>
          <w:szCs w:val="20"/>
        </w:rPr>
        <w:t>Exponential Distribution</w:t>
      </w:r>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original ACD model assumes that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proofErr w:type="gramStart"/>
      <w:r w:rsidRPr="0052632A">
        <w:rPr>
          <w:rFonts w:ascii="Arial" w:hAnsi="Arial" w:cs="Arial"/>
          <w:sz w:val="20"/>
          <w:szCs w:val="20"/>
        </w:rPr>
        <w:t>Exponential(</w:t>
      </w:r>
      <w:proofErr w:type="gramEnd"/>
      <w:r w:rsidRPr="0052632A">
        <w:rPr>
          <w:rFonts w:ascii="Arial" w:hAnsi="Arial" w:cs="Arial"/>
          <w:sz w:val="20"/>
          <w:szCs w:val="20"/>
        </w:rPr>
        <w:t>1), i.e., the standard exponential distribution. This i</w:t>
      </w:r>
      <w:proofErr w:type="spellStart"/>
      <w:r w:rsidRPr="0052632A">
        <w:rPr>
          <w:rFonts w:ascii="Arial" w:hAnsi="Arial" w:cs="Arial"/>
          <w:sz w:val="20"/>
          <w:szCs w:val="20"/>
        </w:rPr>
        <w:t>mplies</w:t>
      </w:r>
      <w:proofErr w:type="spellEnd"/>
      <w:r w:rsidRPr="0052632A">
        <w:rPr>
          <w:rFonts w:ascii="Arial" w:hAnsi="Arial" w:cs="Arial"/>
          <w:sz w:val="20"/>
          <w:szCs w:val="20"/>
        </w:rPr>
        <w:t xml:space="preserve"> the probability density function (pdf) </w:t>
      </w:r>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unc>
          <m:funcPr>
            <m:ctrlPr>
              <w:rPr>
                <w:rFonts w:ascii="Cambria Math" w:hAnsi="Arial" w:cs="Arial"/>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ctrlPr>
              <w:rPr>
                <w:rFonts w:ascii="Cambria Math" w:hAnsi="Arial" w:cs="Arial"/>
                <w:i/>
                <w:sz w:val="20"/>
                <w:szCs w:val="20"/>
              </w:rPr>
            </m:ctrlPr>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&gt;0</m:t>
        </m:r>
      </m:oMath>
      <w:r w:rsidRPr="0052632A">
        <w:rPr>
          <w:rFonts w:ascii="Arial" w:hAnsi="Arial" w:cs="Arial"/>
          <w:sz w:val="20"/>
          <w:szCs w:val="20"/>
        </w:rPr>
        <w:t xml:space="preserve">, </w:t>
      </w:r>
      <m:oMath>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=1</m:t>
        </m:r>
      </m:oMath>
      <w:r w:rsidRPr="0052632A">
        <w:rPr>
          <w:rFonts w:ascii="Arial" w:hAnsi="Arial" w:cs="Arial"/>
          <w:sz w:val="20"/>
          <w:szCs w:val="20"/>
        </w:rPr>
        <w:t xml:space="preserve"> and </w:t>
      </w:r>
      <m:oMath>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=1</m:t>
        </m:r>
      </m:oMath>
      <w:r w:rsidRPr="0052632A">
        <w:rPr>
          <w:rFonts w:ascii="Arial" w:hAnsi="Arial" w:cs="Arial"/>
          <w:sz w:val="20"/>
          <w:szCs w:val="20"/>
        </w:rPr>
        <w:t xml:space="preserve">. Since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Exp</m:t>
        </m:r>
        <m:d>
          <m:dPr>
            <m:ctrlPr>
              <w:rPr>
                <w:rFonts w:ascii="Cambria Math" w:hAnsi="Arial" w:cs="Arial"/>
                <w:i/>
                <w:sz w:val="20"/>
                <w:szCs w:val="20"/>
              </w:rPr>
            </m:ctrlPr>
          </m:dPr>
          <m:e>
            <m:r>
              <w:rPr>
                <w:rFonts w:ascii="Cambria Math" w:hAnsi="Arial" w:cs="Arial"/>
                <w:sz w:val="20"/>
                <w:szCs w:val="20"/>
              </w:rPr>
              <m:t>1</m:t>
            </m:r>
          </m:e>
        </m:d>
      </m:oMath>
      <w:r w:rsidRPr="0052632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oMath>
      <w:r w:rsidRPr="0052632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52632A">
        <w:rPr>
          <w:rStyle w:val="vlist-s"/>
          <w:rFonts w:ascii="Arial" w:hAnsi="Arial" w:cs="Arial"/>
          <w:sz w:val="20"/>
          <w:szCs w:val="20"/>
        </w:rPr>
        <w:t>​</w:t>
      </w:r>
      <w:r w:rsidRPr="0052632A">
        <w:rPr>
          <w:rFonts w:ascii="Arial" w:hAnsi="Arial" w:cs="Arial"/>
          <w:sz w:val="20"/>
          <w:szCs w:val="20"/>
        </w:rPr>
        <w:t xml:space="preserve">, then the conditional density of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 (Engle &amp; Russell, 1998):</w:t>
      </w:r>
    </w:p>
    <w:p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Fonts w:ascii="Cambria Math" w:hAnsi="Arial" w:cs="Arial"/>
              <w:sz w:val="20"/>
              <w:szCs w:val="20"/>
            </w:rPr>
            <m:t xml:space="preserve">                                                                                                              (23)</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proofErr w:type="gramStart"/>
      <w:r w:rsidRPr="0052632A">
        <w:rPr>
          <w:rFonts w:ascii="Arial" w:hAnsi="Arial" w:cs="Arial"/>
          <w:sz w:val="20"/>
          <w:szCs w:val="20"/>
        </w:rPr>
        <w:t>So</w:t>
      </w:r>
      <w:proofErr w:type="gramEnd"/>
      <w:r w:rsidRPr="0052632A">
        <w:rPr>
          <w:rFonts w:ascii="Arial" w:hAnsi="Arial" w:cs="Arial"/>
          <w:sz w:val="20"/>
          <w:szCs w:val="20"/>
        </w:rPr>
        <w:t xml:space="preserve"> the log-likelihood becomes: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r>
                <w:rPr>
                  <w:rFonts w:ascii="Cambria Math" w:hAnsi="Cambria Math" w:cs="Arial"/>
                  <w:sz w:val="20"/>
                  <w:szCs w:val="20"/>
                </w:rPr>
                <m:t>L</m:t>
              </m:r>
              <m:d>
                <m:dPr>
                  <m:ctrlPr>
                    <w:rPr>
                      <w:rFonts w:ascii="Cambria Math" w:hAnsi="Arial" w:cs="Arial"/>
                      <w:i/>
                      <w:sz w:val="20"/>
                      <w:szCs w:val="20"/>
                    </w:rPr>
                  </m:ctrlPr>
                </m:dPr>
                <m:e>
                  <m:r>
                    <w:rPr>
                      <w:rFonts w:ascii="Cambria Math" w:hAnsi="Cambria Math" w:cs="Arial"/>
                      <w:sz w:val="20"/>
                      <w:szCs w:val="20"/>
                    </w:rPr>
                    <m:t>θ</m:t>
                  </m:r>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d>
                    <m:dPr>
                      <m:begChr m:val="["/>
                      <m:endChr m:val="]"/>
                      <m:ctrlPr>
                        <w:rPr>
                          <w:rFonts w:ascii="Cambria Math" w:hAnsi="Arial" w:cs="Arial"/>
                          <w:i/>
                          <w:sz w:val="20"/>
                          <w:szCs w:val="20"/>
                        </w:rPr>
                      </m:ctrlPr>
                    </m:dPr>
                    <m:e>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nary>
            </m:e>
          </m:func>
          <m:r>
            <w:rPr>
              <w:rFonts w:ascii="Cambria Math" w:hAnsi="Arial" w:cs="Arial"/>
              <w:sz w:val="20"/>
              <w:szCs w:val="20"/>
            </w:rPr>
            <m:t xml:space="preserve">                                                                                                             (24)</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choice of exponential distribution is advantageous for its simplicity, analytically tractable, leading to closed-form likelihood and the inter-arrival times of Poisson processes are exponentially distributed. However, its limitations are that it is memoryless and may not capture over-dispersion, it has high kurtosis and not flexible for fat-tailed data.</w:t>
      </w:r>
    </w:p>
    <w:p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Weibull Distribution</w:t>
      </w:r>
    </w:p>
    <w:p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lastRenderedPageBreak/>
        <w:t xml:space="preserve">The Weibull distribution generalizes the exponential distribution by allowing a shape parameter </w:t>
      </w:r>
      <m:oMath>
        <m:r>
          <w:rPr>
            <w:rFonts w:ascii="Cambria Math" w:hAnsi="Cambria Math" w:cs="Arial"/>
            <w:sz w:val="20"/>
            <w:szCs w:val="20"/>
          </w:rPr>
          <m:t>k</m:t>
        </m:r>
      </m:oMath>
      <w:r w:rsidRPr="0052632A">
        <w:rPr>
          <w:rFonts w:ascii="Arial" w:hAnsi="Arial" w:cs="Arial"/>
          <w:sz w:val="20"/>
          <w:szCs w:val="20"/>
        </w:rPr>
        <w:t xml:space="preserve"> for more flexibility (Engle &amp; Russell, 1998). Let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proofErr w:type="gramStart"/>
      <w:r w:rsidRPr="0052632A">
        <w:rPr>
          <w:rStyle w:val="mord"/>
          <w:rFonts w:ascii="Arial" w:hAnsi="Arial" w:cs="Arial"/>
          <w:sz w:val="20"/>
          <w:szCs w:val="20"/>
        </w:rPr>
        <w:t>Weibull</w:t>
      </w:r>
      <w:r w:rsidRPr="0052632A">
        <w:rPr>
          <w:rStyle w:val="mopen"/>
          <w:rFonts w:ascii="Arial" w:hAnsi="Arial" w:cs="Arial"/>
          <w:sz w:val="20"/>
          <w:szCs w:val="20"/>
        </w:rPr>
        <w:t>(</w:t>
      </w:r>
      <w:proofErr w:type="gramEnd"/>
      <m:oMath>
        <m:r>
          <w:rPr>
            <w:rStyle w:val="mord"/>
            <w:rFonts w:ascii="Cambria Math" w:hAnsi="Cambria Math" w:cs="Arial"/>
            <w:sz w:val="20"/>
            <w:szCs w:val="20"/>
          </w:rPr>
          <m:t>λ</m:t>
        </m:r>
        <m:r>
          <w:rPr>
            <w:rStyle w:val="mpunct"/>
            <w:rFonts w:ascii="Cambria Math" w:hAnsi="Arial" w:cs="Arial"/>
            <w:sz w:val="20"/>
            <w:szCs w:val="20"/>
          </w:rPr>
          <m:t>,</m:t>
        </m:r>
        <m:r>
          <w:rPr>
            <w:rStyle w:val="mord"/>
            <w:rFonts w:ascii="Cambria Math" w:hAnsi="Cambria Math" w:cs="Arial"/>
            <w:sz w:val="20"/>
            <w:szCs w:val="20"/>
          </w:rPr>
          <m:t>k</m:t>
        </m:r>
      </m:oMath>
      <w:r w:rsidRPr="0052632A">
        <w:rPr>
          <w:rStyle w:val="mclose"/>
          <w:rFonts w:ascii="Arial" w:hAnsi="Arial" w:cs="Arial"/>
          <w:sz w:val="20"/>
          <w:szCs w:val="20"/>
        </w:rPr>
        <w:t xml:space="preserve">). </w:t>
      </w:r>
      <w:r w:rsidRPr="0052632A">
        <w:rPr>
          <w:rStyle w:val="mord"/>
          <w:rFonts w:ascii="Arial" w:hAnsi="Arial" w:cs="Arial"/>
          <w:sz w:val="20"/>
          <w:szCs w:val="20"/>
        </w:rPr>
        <w:t xml:space="preserve">To satisfy </w:t>
      </w:r>
      <m:oMath>
        <m:r>
          <w:rPr>
            <w:rStyle w:val="mord"/>
            <w:rFonts w:ascii="Cambria Math" w:hAnsi="Cambria Math" w:cs="Arial"/>
            <w:sz w:val="20"/>
            <w:szCs w:val="20"/>
          </w:rPr>
          <m:t>E</m:t>
        </m:r>
        <m:d>
          <m:dPr>
            <m:ctrlPr>
              <w:rPr>
                <w:rStyle w:val="mord"/>
                <w:rFonts w:ascii="Cambria Math" w:hAnsi="Arial" w:cs="Arial"/>
                <w:i/>
                <w:sz w:val="20"/>
                <w:szCs w:val="20"/>
              </w:rPr>
            </m:ctrlPr>
          </m:dPr>
          <m:e>
            <m:sSub>
              <m:sSubPr>
                <m:ctrlPr>
                  <w:rPr>
                    <w:rStyle w:val="mord"/>
                    <w:rFonts w:ascii="Cambria Math" w:hAnsi="Arial" w:cs="Arial"/>
                    <w:i/>
                    <w:sz w:val="20"/>
                    <w:szCs w:val="20"/>
                  </w:rPr>
                </m:ctrlPr>
              </m:sSubPr>
              <m:e>
                <m:r>
                  <w:rPr>
                    <w:rStyle w:val="mord"/>
                    <w:rFonts w:ascii="Cambria Math" w:hAnsi="Cambria Math" w:cs="Arial"/>
                    <w:sz w:val="20"/>
                    <w:szCs w:val="20"/>
                  </w:rPr>
                  <m:t>ε</m:t>
                </m:r>
              </m:e>
              <m:sub>
                <m:r>
                  <w:rPr>
                    <w:rStyle w:val="mord"/>
                    <w:rFonts w:ascii="Cambria Math" w:hAnsi="Cambria Math" w:cs="Arial"/>
                    <w:sz w:val="20"/>
                    <w:szCs w:val="20"/>
                  </w:rPr>
                  <m:t>t</m:t>
                </m:r>
              </m:sub>
            </m:sSub>
          </m:e>
        </m:d>
        <m:r>
          <w:rPr>
            <w:rStyle w:val="mord"/>
            <w:rFonts w:ascii="Cambria Math" w:hAnsi="Arial" w:cs="Arial"/>
            <w:sz w:val="20"/>
            <w:szCs w:val="20"/>
          </w:rPr>
          <m:t>=1</m:t>
        </m:r>
      </m:oMath>
      <w:r w:rsidRPr="0052632A">
        <w:rPr>
          <w:rStyle w:val="mord"/>
          <w:rFonts w:ascii="Arial" w:hAnsi="Arial" w:cs="Arial"/>
          <w:sz w:val="20"/>
          <w:szCs w:val="20"/>
        </w:rPr>
        <w:t>, set:</w:t>
      </w:r>
    </w:p>
    <w:p w:rsidR="00B15B5F" w:rsidRPr="0052632A" w:rsidRDefault="00B15B5F" w:rsidP="00B15B5F">
      <w:pPr>
        <w:pStyle w:val="NormalWeb"/>
        <w:spacing w:before="0" w:beforeAutospacing="0" w:after="0" w:afterAutospacing="0"/>
        <w:jc w:val="both"/>
        <w:rPr>
          <w:rStyle w:val="mord"/>
          <w:rFonts w:ascii="Arial" w:hAnsi="Arial" w:cs="Arial"/>
          <w:sz w:val="20"/>
          <w:szCs w:val="20"/>
        </w:rPr>
      </w:pPr>
      <m:oMathPara>
        <m:oMath>
          <m:r>
            <w:rPr>
              <w:rStyle w:val="mord"/>
              <w:rFonts w:ascii="Cambria Math" w:hAnsi="Cambria Math" w:cs="Arial"/>
              <w:sz w:val="20"/>
              <w:szCs w:val="20"/>
            </w:rPr>
            <m:t>λ</m:t>
          </m:r>
          <m:r>
            <w:rPr>
              <w:rStyle w:val="mord"/>
              <w:rFonts w:ascii="Cambria Math" w:hAnsi="Arial" w:cs="Arial"/>
              <w:sz w:val="20"/>
              <w:szCs w:val="20"/>
            </w:rPr>
            <m:t>=</m:t>
          </m:r>
          <m:sSup>
            <m:sSupPr>
              <m:ctrlPr>
                <w:rPr>
                  <w:rStyle w:val="mord"/>
                  <w:rFonts w:ascii="Cambria Math" w:hAnsi="Arial" w:cs="Arial"/>
                  <w:i/>
                  <w:sz w:val="20"/>
                  <w:szCs w:val="20"/>
                </w:rPr>
              </m:ctrlPr>
            </m:sSupPr>
            <m:e>
              <m:d>
                <m:dPr>
                  <m:begChr m:val="["/>
                  <m:endChr m:val="]"/>
                  <m:ctrlPr>
                    <w:rPr>
                      <w:rStyle w:val="mord"/>
                      <w:rFonts w:ascii="Cambria Math" w:hAnsi="Arial" w:cs="Arial"/>
                      <w:i/>
                      <w:sz w:val="20"/>
                      <w:szCs w:val="20"/>
                    </w:rPr>
                  </m:ctrlPr>
                </m:dPr>
                <m:e>
                  <m:r>
                    <w:rPr>
                      <w:rStyle w:val="mord"/>
                      <w:rFonts w:ascii="Cambria Math" w:hAnsi="Arial" w:cs="Arial"/>
                      <w:sz w:val="20"/>
                      <w:szCs w:val="20"/>
                    </w:rPr>
                    <m:t>Г</m:t>
                  </m:r>
                  <m:d>
                    <m:dPr>
                      <m:ctrlPr>
                        <w:rPr>
                          <w:rStyle w:val="mord"/>
                          <w:rFonts w:ascii="Cambria Math" w:hAnsi="Arial" w:cs="Arial"/>
                          <w:i/>
                          <w:sz w:val="20"/>
                          <w:szCs w:val="20"/>
                        </w:rPr>
                      </m:ctrlPr>
                    </m:dPr>
                    <m:e>
                      <m:r>
                        <w:rPr>
                          <w:rStyle w:val="mord"/>
                          <w:rFonts w:ascii="Cambria Math" w:hAnsi="Arial" w:cs="Arial"/>
                          <w:sz w:val="20"/>
                          <w:szCs w:val="20"/>
                        </w:rPr>
                        <m:t>1+</m:t>
                      </m:r>
                      <m:f>
                        <m:fPr>
                          <m:ctrlPr>
                            <w:rPr>
                              <w:rStyle w:val="mord"/>
                              <w:rFonts w:ascii="Cambria Math" w:hAnsi="Arial" w:cs="Arial"/>
                              <w:i/>
                              <w:sz w:val="20"/>
                              <w:szCs w:val="20"/>
                            </w:rPr>
                          </m:ctrlPr>
                        </m:fPr>
                        <m:num>
                          <m:r>
                            <w:rPr>
                              <w:rStyle w:val="mord"/>
                              <w:rFonts w:ascii="Cambria Math" w:hAnsi="Arial" w:cs="Arial"/>
                              <w:sz w:val="20"/>
                              <w:szCs w:val="20"/>
                            </w:rPr>
                            <m:t>1</m:t>
                          </m:r>
                        </m:num>
                        <m:den>
                          <m:r>
                            <w:rPr>
                              <w:rStyle w:val="mord"/>
                              <w:rFonts w:ascii="Cambria Math" w:hAnsi="Cambria Math" w:cs="Arial"/>
                              <w:sz w:val="20"/>
                              <w:szCs w:val="20"/>
                            </w:rPr>
                            <m:t>k</m:t>
                          </m:r>
                        </m:den>
                      </m:f>
                    </m:e>
                  </m:d>
                </m:e>
              </m:d>
            </m:e>
            <m:sup>
              <m:r>
                <w:rPr>
                  <w:rStyle w:val="mord"/>
                  <w:rFonts w:ascii="Cambria Math" w:hAnsi="Arial" w:cs="Arial"/>
                  <w:sz w:val="20"/>
                  <w:szCs w:val="20"/>
                </w:rPr>
                <m:t>-</m:t>
              </m:r>
              <m:r>
                <w:rPr>
                  <w:rStyle w:val="mord"/>
                  <w:rFonts w:ascii="Cambria Math" w:hAnsi="Arial" w:cs="Arial"/>
                  <w:sz w:val="20"/>
                  <w:szCs w:val="20"/>
                </w:rPr>
                <m:t>1</m:t>
              </m:r>
            </m:sup>
          </m:sSup>
          <m:r>
            <w:rPr>
              <w:rStyle w:val="mord"/>
              <w:rFonts w:ascii="Cambria Math" w:hAnsi="Arial" w:cs="Arial"/>
              <w:sz w:val="20"/>
              <w:szCs w:val="20"/>
            </w:rPr>
            <m:t xml:space="preserve">                                                                                                                                   (25)</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proofErr w:type="gramStart"/>
      <w:r w:rsidRPr="0052632A">
        <w:rPr>
          <w:rFonts w:ascii="Arial" w:hAnsi="Arial" w:cs="Arial"/>
          <w:sz w:val="20"/>
          <w:szCs w:val="20"/>
        </w:rPr>
        <w:t>So</w:t>
      </w:r>
      <w:proofErr w:type="gramEnd"/>
      <w:r w:rsidRPr="0052632A">
        <w:rPr>
          <w:rFonts w:ascii="Arial" w:hAnsi="Arial" w:cs="Arial"/>
          <w:sz w:val="20"/>
          <w:szCs w:val="20"/>
        </w:rPr>
        <w:t xml:space="preserve"> the standardized Weibull distribution has the pdf:</w:t>
      </w:r>
    </w:p>
    <w:p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Style w:val="mclose"/>
              <w:rFonts w:ascii="Cambria Math" w:hAnsi="Cambria Math" w:cs="Arial"/>
              <w:sz w:val="20"/>
              <w:szCs w:val="20"/>
            </w:rPr>
            <m:t>f</m:t>
          </m:r>
          <m:d>
            <m:dPr>
              <m:ctrlPr>
                <w:rPr>
                  <w:rStyle w:val="mclose"/>
                  <w:rFonts w:ascii="Cambria Math" w:hAnsi="Arial" w:cs="Arial"/>
                  <w:i/>
                  <w:sz w:val="20"/>
                  <w:szCs w:val="20"/>
                </w:rPr>
              </m:ctrlPr>
            </m:dPr>
            <m:e>
              <m:sSub>
                <m:sSubPr>
                  <m:ctrlPr>
                    <w:rPr>
                      <w:rStyle w:val="mclose"/>
                      <w:rFonts w:ascii="Cambria Math" w:hAnsi="Arial" w:cs="Arial"/>
                      <w:i/>
                      <w:sz w:val="20"/>
                      <w:szCs w:val="20"/>
                    </w:rPr>
                  </m:ctrlPr>
                </m:sSubPr>
                <m:e>
                  <m:r>
                    <w:rPr>
                      <w:rStyle w:val="mclose"/>
                      <w:rFonts w:ascii="Cambria Math" w:hAnsi="Cambria Math" w:cs="Arial"/>
                      <w:sz w:val="20"/>
                      <w:szCs w:val="20"/>
                    </w:rPr>
                    <m:t>ε</m:t>
                  </m:r>
                </m:e>
                <m:sub>
                  <m:r>
                    <w:rPr>
                      <w:rStyle w:val="mclose"/>
                      <w:rFonts w:ascii="Cambria Math" w:hAnsi="Cambria Math" w:cs="Arial"/>
                      <w:sz w:val="20"/>
                      <w:szCs w:val="20"/>
                    </w:rPr>
                    <m:t>t</m:t>
                  </m:r>
                </m:sub>
              </m:sSub>
            </m:e>
          </m:d>
          <m:r>
            <w:rPr>
              <w:rStyle w:val="mclose"/>
              <w:rFonts w:ascii="Cambria Math" w:hAnsi="Arial" w:cs="Arial"/>
              <w:sz w:val="20"/>
              <w:szCs w:val="20"/>
            </w:rPr>
            <m:t>=k</m:t>
          </m:r>
          <m:sSup>
            <m:sSupPr>
              <m:ctrlPr>
                <w:rPr>
                  <w:rStyle w:val="mord"/>
                  <w:rFonts w:ascii="Cambria Math" w:hAnsi="Arial" w:cs="Arial"/>
                  <w:i/>
                  <w:sz w:val="20"/>
                  <w:szCs w:val="20"/>
                </w:rPr>
              </m:ctrlPr>
            </m:sSupPr>
            <m:e>
              <m:r>
                <w:rPr>
                  <w:rStyle w:val="mord"/>
                  <w:rFonts w:ascii="Cambria Math" w:hAnsi="Cambria Math" w:cs="Arial"/>
                  <w:sz w:val="20"/>
                  <w:szCs w:val="20"/>
                </w:rPr>
                <m:t>λ</m:t>
              </m:r>
            </m:e>
            <m:sup>
              <m:r>
                <w:rPr>
                  <w:rStyle w:val="mord"/>
                  <w:rFonts w:ascii="Cambria Math" w:hAnsi="Cambria Math" w:cs="Arial"/>
                  <w:sz w:val="20"/>
                  <w:szCs w:val="20"/>
                </w:rPr>
                <m:t>k</m:t>
              </m:r>
            </m:sup>
          </m:sSup>
          <m:sSubSup>
            <m:sSubSupPr>
              <m:ctrlPr>
                <w:rPr>
                  <w:rStyle w:val="mord"/>
                  <w:rFonts w:ascii="Cambria Math" w:hAnsi="Arial" w:cs="Arial"/>
                  <w:i/>
                  <w:sz w:val="20"/>
                  <w:szCs w:val="20"/>
                </w:rPr>
              </m:ctrlPr>
            </m:sSubSupPr>
            <m:e>
              <m:r>
                <w:rPr>
                  <w:rStyle w:val="mord"/>
                  <w:rFonts w:ascii="Cambria Math" w:hAnsi="Cambria Math" w:cs="Arial"/>
                  <w:sz w:val="20"/>
                  <w:szCs w:val="20"/>
                </w:rPr>
                <m:t>ε</m:t>
              </m:r>
            </m:e>
            <m:sub>
              <m:r>
                <w:rPr>
                  <w:rStyle w:val="mord"/>
                  <w:rFonts w:ascii="Cambria Math" w:hAnsi="Cambria Math" w:cs="Arial"/>
                  <w:sz w:val="20"/>
                  <w:szCs w:val="20"/>
                </w:rPr>
                <m:t>t</m:t>
              </m:r>
            </m:sub>
            <m:sup>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sup>
          </m:sSubSup>
          <m:func>
            <m:funcPr>
              <m:ctrlPr>
                <w:rPr>
                  <w:rStyle w:val="mord"/>
                  <w:rFonts w:ascii="Cambria Math" w:hAnsi="Arial" w:cs="Arial"/>
                  <w:sz w:val="20"/>
                  <w:szCs w:val="20"/>
                </w:rPr>
              </m:ctrlPr>
            </m:funcPr>
            <m:fName>
              <m:r>
                <m:rPr>
                  <m:sty m:val="p"/>
                </m:rPr>
                <w:rPr>
                  <w:rStyle w:val="mord"/>
                  <w:rFonts w:ascii="Cambria Math" w:hAnsi="Arial" w:cs="Arial"/>
                  <w:sz w:val="20"/>
                  <w:szCs w:val="20"/>
                </w:rPr>
                <m:t>exp</m:t>
              </m:r>
            </m:fName>
            <m:e>
              <m:d>
                <m:dPr>
                  <m:ctrlPr>
                    <w:rPr>
                      <w:rStyle w:val="mord"/>
                      <w:rFonts w:ascii="Cambria Math" w:hAnsi="Arial" w:cs="Arial"/>
                      <w:i/>
                      <w:sz w:val="20"/>
                      <w:szCs w:val="20"/>
                    </w:rPr>
                  </m:ctrlPr>
                </m:dPr>
                <m:e>
                  <m:r>
                    <w:rPr>
                      <w:rStyle w:val="mord"/>
                      <w:rFonts w:ascii="Arial" w:hAnsi="Arial" w:cs="Arial"/>
                      <w:sz w:val="20"/>
                      <w:szCs w:val="20"/>
                    </w:rPr>
                    <m:t>-</m:t>
                  </m:r>
                  <m:r>
                    <w:rPr>
                      <w:rStyle w:val="mord"/>
                      <w:rFonts w:ascii="Cambria Math" w:hAnsi="Arial" w:cs="Arial"/>
                      <w:sz w:val="20"/>
                      <w:szCs w:val="20"/>
                    </w:rPr>
                    <m:t>(</m:t>
                  </m:r>
                  <m:r>
                    <w:rPr>
                      <w:rStyle w:val="mord"/>
                      <w:rFonts w:ascii="Cambria Math" w:hAnsi="Cambria Math" w:cs="Arial"/>
                      <w:sz w:val="20"/>
                      <w:szCs w:val="20"/>
                    </w:rPr>
                    <m:t>λ</m:t>
                  </m:r>
                  <m:sSub>
                    <m:sSubPr>
                      <m:ctrlPr>
                        <w:rPr>
                          <w:rStyle w:val="mord"/>
                          <w:rFonts w:ascii="Cambria Math" w:hAnsi="Arial" w:cs="Arial"/>
                          <w:i/>
                          <w:sz w:val="20"/>
                          <w:szCs w:val="20"/>
                        </w:rPr>
                      </m:ctrlPr>
                    </m:sSubPr>
                    <m:e>
                      <m:r>
                        <w:rPr>
                          <w:rStyle w:val="mord"/>
                          <w:rFonts w:ascii="Cambria Math" w:hAnsi="Cambria Math" w:cs="Arial"/>
                          <w:sz w:val="20"/>
                          <w:szCs w:val="20"/>
                        </w:rPr>
                        <m:t>ε</m:t>
                      </m:r>
                    </m:e>
                    <m:sub>
                      <m:r>
                        <w:rPr>
                          <w:rStyle w:val="mord"/>
                          <w:rFonts w:ascii="Cambria Math" w:hAnsi="Cambria Math" w:cs="Arial"/>
                          <w:sz w:val="20"/>
                          <w:szCs w:val="20"/>
                        </w:rPr>
                        <m:t>t</m:t>
                      </m:r>
                    </m:sub>
                  </m:sSub>
                  <m:sSup>
                    <m:sSupPr>
                      <m:ctrlPr>
                        <w:rPr>
                          <w:rStyle w:val="mord"/>
                          <w:rFonts w:ascii="Cambria Math" w:hAnsi="Arial" w:cs="Arial"/>
                          <w:i/>
                          <w:sz w:val="20"/>
                          <w:szCs w:val="20"/>
                        </w:rPr>
                      </m:ctrlPr>
                    </m:sSupPr>
                    <m:e>
                      <m:r>
                        <w:rPr>
                          <w:rStyle w:val="mord"/>
                          <w:rFonts w:ascii="Cambria Math" w:hAnsi="Arial" w:cs="Arial"/>
                          <w:sz w:val="20"/>
                          <w:szCs w:val="20"/>
                        </w:rPr>
                        <m:t>)</m:t>
                      </m:r>
                    </m:e>
                    <m:sup>
                      <m:r>
                        <w:rPr>
                          <w:rStyle w:val="mord"/>
                          <w:rFonts w:ascii="Cambria Math" w:hAnsi="Cambria Math" w:cs="Arial"/>
                          <w:sz w:val="20"/>
                          <w:szCs w:val="20"/>
                        </w:rPr>
                        <m:t>k</m:t>
                      </m:r>
                    </m:sup>
                  </m:sSup>
                </m:e>
              </m:d>
              <m:ctrlPr>
                <w:rPr>
                  <w:rFonts w:ascii="Cambria Math" w:hAnsi="Arial" w:cs="Arial"/>
                  <w:i/>
                  <w:sz w:val="20"/>
                  <w:szCs w:val="20"/>
                </w:rPr>
              </m:ctrlPr>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&gt;0                                                                                   (26)</m:t>
          </m:r>
        </m:oMath>
      </m:oMathPara>
    </w:p>
    <w:p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t xml:space="preserve">Substituting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oMath>
      <w:r w:rsidRPr="0052632A">
        <w:rPr>
          <w:rFonts w:ascii="Arial" w:hAnsi="Arial" w:cs="Arial"/>
          <w:sz w:val="20"/>
          <w:szCs w:val="20"/>
        </w:rPr>
        <w:t xml:space="preserve">, we have </w:t>
      </w:r>
    </w:p>
    <w:p w:rsidR="00B15B5F" w:rsidRPr="0052632A" w:rsidRDefault="00B15B5F" w:rsidP="00B15B5F">
      <w:pPr>
        <w:pStyle w:val="NormalWeb"/>
        <w:spacing w:before="0" w:beforeAutospacing="0" w:after="0" w:afterAutospacing="0"/>
        <w:jc w:val="both"/>
        <w:rPr>
          <w:rStyle w:val="mord"/>
          <w:rFonts w:ascii="Arial" w:hAnsi="Arial" w:cs="Arial"/>
          <w:sz w:val="20"/>
          <w:szCs w:val="20"/>
        </w:rPr>
      </w:pPr>
      <m:oMathPara>
        <m:oMath>
          <m:r>
            <w:rPr>
              <w:rStyle w:val="mord"/>
              <w:rFonts w:ascii="Cambria Math" w:hAnsi="Cambria Math" w:cs="Arial"/>
              <w:sz w:val="20"/>
              <w:szCs w:val="20"/>
            </w:rPr>
            <m:t>f</m:t>
          </m:r>
          <m:d>
            <m:dPr>
              <m:ctrlPr>
                <w:rPr>
                  <w:rStyle w:val="mord"/>
                  <w:rFonts w:ascii="Cambria Math" w:hAnsi="Arial" w:cs="Arial"/>
                  <w:i/>
                  <w:sz w:val="20"/>
                  <w:szCs w:val="20"/>
                </w:rPr>
              </m:ctrlPr>
            </m:dPr>
            <m:e>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e>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r>
            <w:rPr>
              <w:rStyle w:val="mord"/>
              <w:rFonts w:ascii="Cambria Math" w:hAnsi="Arial" w:cs="Arial"/>
              <w:sz w:val="20"/>
              <w:szCs w:val="20"/>
            </w:rPr>
            <m:t>=</m:t>
          </m:r>
          <m:f>
            <m:fPr>
              <m:ctrlPr>
                <w:rPr>
                  <w:rStyle w:val="mord"/>
                  <w:rFonts w:ascii="Cambria Math" w:hAnsi="Arial" w:cs="Arial"/>
                  <w:i/>
                  <w:sz w:val="20"/>
                  <w:szCs w:val="20"/>
                </w:rPr>
              </m:ctrlPr>
            </m:fPr>
            <m:num>
              <m:r>
                <w:rPr>
                  <w:rStyle w:val="mord"/>
                  <w:rFonts w:ascii="Cambria Math" w:hAnsi="Cambria Math" w:cs="Arial"/>
                  <w:sz w:val="20"/>
                  <w:szCs w:val="20"/>
                </w:rPr>
                <m:t>k</m:t>
              </m:r>
              <m:sSup>
                <m:sSupPr>
                  <m:ctrlPr>
                    <w:rPr>
                      <w:rStyle w:val="mord"/>
                      <w:rFonts w:ascii="Cambria Math" w:hAnsi="Arial" w:cs="Arial"/>
                      <w:i/>
                      <w:sz w:val="20"/>
                      <w:szCs w:val="20"/>
                    </w:rPr>
                  </m:ctrlPr>
                </m:sSupPr>
                <m:e>
                  <m:r>
                    <w:rPr>
                      <w:rStyle w:val="mord"/>
                      <w:rFonts w:ascii="Cambria Math" w:hAnsi="Cambria Math" w:cs="Arial"/>
                      <w:sz w:val="20"/>
                      <w:szCs w:val="20"/>
                    </w:rPr>
                    <m:t>λ</m:t>
                  </m:r>
                </m:e>
                <m:sup>
                  <m:r>
                    <w:rPr>
                      <w:rStyle w:val="mord"/>
                      <w:rFonts w:ascii="Cambria Math" w:hAnsi="Cambria Math" w:cs="Arial"/>
                      <w:sz w:val="20"/>
                      <w:szCs w:val="20"/>
                    </w:rPr>
                    <m:t>k</m:t>
                  </m:r>
                </m:sup>
              </m:sSup>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sSup>
            <m:sSupPr>
              <m:ctrlPr>
                <w:rPr>
                  <w:rStyle w:val="mord"/>
                  <w:rFonts w:ascii="Cambria Math" w:hAnsi="Arial" w:cs="Arial"/>
                  <w:i/>
                  <w:sz w:val="20"/>
                  <w:szCs w:val="20"/>
                </w:rPr>
              </m:ctrlPr>
            </m:sSupPr>
            <m:e>
              <m:d>
                <m:dPr>
                  <m:ctrlPr>
                    <w:rPr>
                      <w:rStyle w:val="mord"/>
                      <w:rFonts w:ascii="Cambria Math" w:hAnsi="Arial" w:cs="Arial"/>
                      <w:i/>
                      <w:sz w:val="20"/>
                      <w:szCs w:val="20"/>
                    </w:rPr>
                  </m:ctrlPr>
                </m:dPr>
                <m:e>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sup>
          </m:sSup>
          <m:func>
            <m:funcPr>
              <m:ctrlPr>
                <w:rPr>
                  <w:rStyle w:val="mord"/>
                  <w:rFonts w:ascii="Cambria Math" w:hAnsi="Arial" w:cs="Arial"/>
                  <w:i/>
                  <w:sz w:val="20"/>
                  <w:szCs w:val="20"/>
                </w:rPr>
              </m:ctrlPr>
            </m:funcPr>
            <m:fName>
              <m:r>
                <m:rPr>
                  <m:sty m:val="p"/>
                </m:rPr>
                <w:rPr>
                  <w:rStyle w:val="mord"/>
                  <w:rFonts w:ascii="Cambria Math" w:hAnsi="Arial" w:cs="Arial"/>
                  <w:sz w:val="20"/>
                  <w:szCs w:val="20"/>
                </w:rPr>
                <m:t>exp</m:t>
              </m:r>
            </m:fName>
            <m:e>
              <m:d>
                <m:dPr>
                  <m:ctrlPr>
                    <w:rPr>
                      <w:rStyle w:val="mord"/>
                      <w:rFonts w:ascii="Cambria Math" w:hAnsi="Arial" w:cs="Arial"/>
                      <w:i/>
                      <w:sz w:val="20"/>
                      <w:szCs w:val="20"/>
                    </w:rPr>
                  </m:ctrlPr>
                </m:dPr>
                <m:e>
                  <m:r>
                    <w:rPr>
                      <w:rStyle w:val="mord"/>
                      <w:rFonts w:ascii="Cambria Math" w:hAnsi="Arial" w:cs="Arial"/>
                      <w:sz w:val="20"/>
                      <w:szCs w:val="20"/>
                    </w:rPr>
                    <m:t>-</m:t>
                  </m:r>
                  <m:sSup>
                    <m:sSupPr>
                      <m:ctrlPr>
                        <w:rPr>
                          <w:rStyle w:val="mord"/>
                          <w:rFonts w:ascii="Cambria Math" w:hAnsi="Arial" w:cs="Arial"/>
                          <w:i/>
                          <w:sz w:val="20"/>
                          <w:szCs w:val="20"/>
                        </w:rPr>
                      </m:ctrlPr>
                    </m:sSupPr>
                    <m:e>
                      <m:d>
                        <m:dPr>
                          <m:ctrlPr>
                            <w:rPr>
                              <w:rStyle w:val="mord"/>
                              <w:rFonts w:ascii="Cambria Math" w:hAnsi="Arial" w:cs="Arial"/>
                              <w:i/>
                              <w:sz w:val="20"/>
                              <w:szCs w:val="20"/>
                            </w:rPr>
                          </m:ctrlPr>
                        </m:dPr>
                        <m:e>
                          <m:r>
                            <w:rPr>
                              <w:rStyle w:val="mord"/>
                              <w:rFonts w:ascii="Cambria Math" w:hAnsi="Cambria Math" w:cs="Arial"/>
                              <w:sz w:val="20"/>
                              <w:szCs w:val="20"/>
                            </w:rPr>
                            <m:t>λ</m:t>
                          </m:r>
                          <m:r>
                            <w:rPr>
                              <w:rStyle w:val="mord"/>
                              <w:rFonts w:ascii="Cambria Math" w:hAnsi="Arial" w:cs="Arial"/>
                              <w:sz w:val="20"/>
                              <w:szCs w:val="20"/>
                            </w:rPr>
                            <m:t>.</m:t>
                          </m:r>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sup>
                  </m:sSup>
                </m:e>
              </m:d>
            </m:e>
          </m:func>
          <m:r>
            <w:rPr>
              <w:rStyle w:val="mord"/>
              <w:rFonts w:ascii="Cambria Math" w:hAnsi="Arial" w:cs="Arial"/>
              <w:sz w:val="20"/>
              <w:szCs w:val="20"/>
            </w:rPr>
            <m:t xml:space="preserve">                                                                                     (27)</m:t>
          </m:r>
        </m:oMath>
      </m:oMathPara>
    </w:p>
    <w:p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Style w:val="mord"/>
          <w:rFonts w:ascii="Arial" w:hAnsi="Arial" w:cs="Arial"/>
          <w:sz w:val="20"/>
          <w:szCs w:val="20"/>
        </w:rPr>
        <w:t>The log-likelihood is:</w:t>
      </w:r>
    </w:p>
    <w:p w:rsidR="00B15B5F" w:rsidRPr="0052632A" w:rsidRDefault="00AC73E4" w:rsidP="00B15B5F">
      <w:pPr>
        <w:pStyle w:val="NormalWeb"/>
        <w:spacing w:before="0" w:beforeAutospacing="0" w:after="0" w:afterAutospacing="0"/>
        <w:jc w:val="both"/>
        <w:rPr>
          <w:rStyle w:val="mord"/>
          <w:rFonts w:ascii="Arial" w:hAnsi="Arial" w:cs="Arial"/>
          <w:sz w:val="20"/>
          <w:szCs w:val="20"/>
        </w:rPr>
      </w:pPr>
      <m:oMathPara>
        <m:oMath>
          <m:sSub>
            <m:sSubPr>
              <m:ctrlPr>
                <w:rPr>
                  <w:rStyle w:val="mord"/>
                  <w:rFonts w:ascii="Cambria Math" w:hAnsi="Arial" w:cs="Arial"/>
                  <w:i/>
                  <w:sz w:val="20"/>
                  <w:szCs w:val="20"/>
                </w:rPr>
              </m:ctrlPr>
            </m:sSubPr>
            <m:e>
              <m:r>
                <m:rPr>
                  <m:scr m:val="script"/>
                </m:rPr>
                <w:rPr>
                  <w:rStyle w:val="mord"/>
                  <w:rFonts w:ascii="Cambria Math" w:hAnsi="Arial" w:cs="Arial"/>
                  <w:sz w:val="20"/>
                  <w:szCs w:val="20"/>
                </w:rPr>
                <m:t>l</m:t>
              </m:r>
            </m:e>
            <m:sub>
              <m:r>
                <w:rPr>
                  <w:rStyle w:val="mord"/>
                  <w:rFonts w:ascii="Cambria Math" w:hAnsi="Cambria Math" w:cs="Arial"/>
                  <w:sz w:val="20"/>
                  <w:szCs w:val="20"/>
                </w:rPr>
                <m:t>t</m:t>
              </m:r>
            </m:sub>
          </m:sSub>
          <m:r>
            <w:rPr>
              <w:rStyle w:val="mord"/>
              <w:rFonts w:ascii="Cambria Math" w:hAnsi="Arial" w:cs="Arial"/>
              <w:sz w:val="20"/>
              <w:szCs w:val="20"/>
            </w:rPr>
            <m:t>=</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r>
                <w:rPr>
                  <w:rStyle w:val="mord"/>
                  <w:rFonts w:ascii="Cambria Math" w:hAnsi="Arial" w:cs="Arial"/>
                  <w:sz w:val="20"/>
                  <w:szCs w:val="20"/>
                </w:rPr>
                <m:t>(</m:t>
              </m:r>
              <m:r>
                <w:rPr>
                  <w:rStyle w:val="mord"/>
                  <w:rFonts w:ascii="Cambria Math" w:hAnsi="Cambria Math" w:cs="Arial"/>
                  <w:sz w:val="20"/>
                  <w:szCs w:val="20"/>
                </w:rPr>
                <m:t>k</m:t>
              </m:r>
              <m:r>
                <w:rPr>
                  <w:rStyle w:val="mord"/>
                  <w:rFonts w:ascii="Cambria Math" w:hAnsi="Arial" w:cs="Arial"/>
                  <w:sz w:val="20"/>
                  <w:szCs w:val="20"/>
                </w:rPr>
                <m:t>)</m:t>
              </m:r>
            </m:e>
          </m:func>
          <m:r>
            <w:rPr>
              <w:rStyle w:val="mord"/>
              <w:rFonts w:ascii="Cambria Math" w:hAnsi="Arial" w:cs="Arial"/>
              <w:sz w:val="20"/>
              <w:szCs w:val="20"/>
            </w:rPr>
            <m:t>+</m:t>
          </m:r>
          <m:r>
            <w:rPr>
              <w:rStyle w:val="mord"/>
              <w:rFonts w:ascii="Cambria Math" w:hAnsi="Cambria Math" w:cs="Arial"/>
              <w:sz w:val="20"/>
              <w:szCs w:val="20"/>
            </w:rPr>
            <m:t>k</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r>
                    <w:rPr>
                      <w:rStyle w:val="mord"/>
                      <w:rFonts w:ascii="Cambria Math" w:hAnsi="Cambria Math" w:cs="Arial"/>
                      <w:sz w:val="20"/>
                      <w:szCs w:val="20"/>
                    </w:rPr>
                    <m:t>λ</m:t>
                  </m:r>
                </m:e>
              </m:d>
            </m:e>
          </m:func>
          <m:r>
            <w:rPr>
              <w:rStyle w:val="mord"/>
              <w:rFonts w:ascii="Cambria Math" w:hAnsi="Arial" w:cs="Arial"/>
              <w:sz w:val="20"/>
              <w:szCs w:val="20"/>
            </w:rPr>
            <m:t>-</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Style w:val="mord"/>
              <w:rFonts w:ascii="Cambria Math" w:hAnsi="Arial" w:cs="Arial"/>
              <w:sz w:val="20"/>
              <w:szCs w:val="20"/>
            </w:rPr>
            <m:t>+</m:t>
          </m:r>
          <m:d>
            <m:dPr>
              <m:ctrlPr>
                <w:rPr>
                  <w:rStyle w:val="mord"/>
                  <w:rFonts w:ascii="Cambria Math" w:hAnsi="Arial" w:cs="Arial"/>
                  <w:i/>
                  <w:sz w:val="20"/>
                  <w:szCs w:val="20"/>
                </w:rPr>
              </m:ctrlPr>
            </m:dPr>
            <m:e>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e>
          </m:d>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Style w:val="mord"/>
              <w:rFonts w:ascii="Cambria Math" w:hAnsi="Arial" w:cs="Arial"/>
              <w:sz w:val="20"/>
              <w:szCs w:val="20"/>
            </w:rPr>
            <m:t>-</m:t>
          </m:r>
          <m:sSup>
            <m:sSupPr>
              <m:ctrlPr>
                <w:rPr>
                  <w:rStyle w:val="mord"/>
                  <w:rFonts w:ascii="Cambria Math" w:hAnsi="Arial" w:cs="Arial"/>
                  <w:i/>
                  <w:sz w:val="20"/>
                  <w:szCs w:val="20"/>
                </w:rPr>
              </m:ctrlPr>
            </m:sSupPr>
            <m:e>
              <m:d>
                <m:dPr>
                  <m:ctrlPr>
                    <w:rPr>
                      <w:rStyle w:val="mord"/>
                      <w:rFonts w:ascii="Cambria Math" w:hAnsi="Arial" w:cs="Arial"/>
                      <w:i/>
                      <w:sz w:val="20"/>
                      <w:szCs w:val="20"/>
                    </w:rPr>
                  </m:ctrlPr>
                </m:dPr>
                <m:e>
                  <m:r>
                    <w:rPr>
                      <w:rStyle w:val="mord"/>
                      <w:rFonts w:ascii="Cambria Math" w:hAnsi="Cambria Math" w:cs="Arial"/>
                      <w:sz w:val="20"/>
                      <w:szCs w:val="20"/>
                    </w:rPr>
                    <m:t>λ</m:t>
                  </m:r>
                  <m:r>
                    <w:rPr>
                      <w:rStyle w:val="mord"/>
                      <w:rFonts w:ascii="Cambria Math" w:hAnsi="Arial" w:cs="Arial"/>
                      <w:sz w:val="20"/>
                      <w:szCs w:val="20"/>
                    </w:rPr>
                    <m:t>.</m:t>
                  </m:r>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sup>
          </m:sSup>
          <m:r>
            <w:rPr>
              <w:rStyle w:val="mord"/>
              <w:rFonts w:ascii="Cambria Math" w:hAnsi="Arial" w:cs="Arial"/>
              <w:sz w:val="20"/>
              <w:szCs w:val="20"/>
            </w:rPr>
            <m:t xml:space="preserve">                                             (28)</m:t>
          </m:r>
        </m:oMath>
      </m:oMathPara>
    </w:p>
    <w:p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t xml:space="preserve">The advantages of </w:t>
      </w:r>
      <w:r w:rsidRPr="0052632A">
        <w:rPr>
          <w:rStyle w:val="mord"/>
          <w:rFonts w:ascii="Arial" w:hAnsi="Arial" w:cs="Arial"/>
          <w:sz w:val="20"/>
          <w:szCs w:val="20"/>
        </w:rPr>
        <w:t xml:space="preserve">Weibull distribution </w:t>
      </w:r>
      <w:proofErr w:type="gramStart"/>
      <w:r w:rsidRPr="0052632A">
        <w:rPr>
          <w:rStyle w:val="mord"/>
          <w:rFonts w:ascii="Arial" w:hAnsi="Arial" w:cs="Arial"/>
          <w:sz w:val="20"/>
          <w:szCs w:val="20"/>
        </w:rPr>
        <w:t>is</w:t>
      </w:r>
      <w:proofErr w:type="gramEnd"/>
      <w:r w:rsidRPr="0052632A">
        <w:rPr>
          <w:rStyle w:val="mord"/>
          <w:rFonts w:ascii="Arial" w:hAnsi="Arial" w:cs="Arial"/>
          <w:sz w:val="20"/>
          <w:szCs w:val="20"/>
        </w:rPr>
        <w:t xml:space="preserve"> that it</w:t>
      </w:r>
      <w:r w:rsidRPr="0052632A">
        <w:rPr>
          <w:rFonts w:ascii="Arial" w:hAnsi="Arial" w:cs="Arial"/>
          <w:sz w:val="20"/>
          <w:szCs w:val="20"/>
        </w:rPr>
        <w:t xml:space="preserve"> can model both over-dispersion and under-dispersion, it is better fit for empirical durations and includes exponential as a special case when </w:t>
      </w:r>
      <m:oMath>
        <m:r>
          <w:rPr>
            <w:rStyle w:val="mord"/>
            <w:rFonts w:ascii="Cambria Math" w:hAnsi="Cambria Math" w:cs="Arial"/>
            <w:sz w:val="20"/>
            <w:szCs w:val="20"/>
          </w:rPr>
          <m:t>k</m:t>
        </m:r>
        <m:r>
          <w:rPr>
            <w:rStyle w:val="mrel"/>
            <w:rFonts w:ascii="Cambria Math" w:hAnsi="Arial" w:cs="Arial"/>
            <w:sz w:val="20"/>
            <w:szCs w:val="20"/>
          </w:rPr>
          <m:t>=</m:t>
        </m:r>
        <m:r>
          <w:rPr>
            <w:rStyle w:val="mord"/>
            <w:rFonts w:ascii="Cambria Math" w:hAnsi="Arial" w:cs="Arial"/>
            <w:sz w:val="20"/>
            <w:szCs w:val="20"/>
          </w:rPr>
          <m:t>1</m:t>
        </m:r>
      </m:oMath>
      <w:r w:rsidRPr="0052632A">
        <w:rPr>
          <w:rStyle w:val="mord"/>
          <w:rFonts w:ascii="Arial" w:hAnsi="Arial" w:cs="Arial"/>
          <w:sz w:val="20"/>
          <w:szCs w:val="20"/>
        </w:rPr>
        <w:t>.</w:t>
      </w:r>
    </w:p>
    <w:p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Log-Normal distributions</w:t>
      </w:r>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In the Log-ACD framework, we assume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r w:rsidRPr="0052632A">
        <w:rPr>
          <w:rFonts w:ascii="Arial" w:hAnsi="Arial" w:cs="Arial"/>
          <w:sz w:val="20"/>
          <w:szCs w:val="20"/>
        </w:rPr>
        <w:t xml:space="preserve"> where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m:rPr>
            <m:sty m:val="p"/>
          </m:rPr>
          <w:rPr>
            <w:rFonts w:ascii="Cambria Math" w:hAnsi="Arial" w:cs="Arial"/>
            <w:sz w:val="20"/>
            <w:szCs w:val="20"/>
          </w:rPr>
          <m:t>Log</m:t>
        </m:r>
        <m:r>
          <m:rPr>
            <m:sty m:val="p"/>
          </m:rPr>
          <w:rPr>
            <w:rFonts w:ascii="Cambria Math" w:hAnsi="Arial" w:cs="Arial"/>
            <w:sz w:val="20"/>
            <w:szCs w:val="20"/>
          </w:rPr>
          <m:t>-</m:t>
        </m:r>
        <m:r>
          <m:rPr>
            <m:sty m:val="p"/>
          </m:rPr>
          <w:rPr>
            <w:rFonts w:ascii="Cambria Math" w:hAnsi="Arial" w:cs="Arial"/>
            <w:sz w:val="20"/>
            <w:szCs w:val="20"/>
          </w:rPr>
          <m:t>Normal</m:t>
        </m:r>
        <m:d>
          <m:dPr>
            <m:ctrlPr>
              <w:rPr>
                <w:rFonts w:ascii="Cambria Math" w:hAnsi="Arial" w:cs="Arial"/>
                <w:sz w:val="20"/>
                <w:szCs w:val="20"/>
              </w:rPr>
            </m:ctrlPr>
          </m:dPr>
          <m:e>
            <m:r>
              <w:rPr>
                <w:rFonts w:ascii="Cambria Math" w:hAnsi="Cambria Math" w:cs="Arial"/>
                <w:sz w:val="20"/>
                <w:szCs w:val="20"/>
              </w:rPr>
              <m:t>μ</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e>
        </m:d>
      </m:oMath>
      <w:r w:rsidRPr="0052632A">
        <w:rPr>
          <w:rFonts w:ascii="Arial" w:hAnsi="Arial" w:cs="Arial"/>
          <w:sz w:val="20"/>
          <w:szCs w:val="20"/>
        </w:rPr>
        <w:t xml:space="preserve">. This implies </w:t>
      </w:r>
      <m:oMath>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e>
        </m:func>
        <m:r>
          <w:rPr>
            <w:rFonts w:ascii="Cambria Math" w:hAnsi="Arial" w:cs="Arial"/>
            <w:sz w:val="20"/>
            <w:szCs w:val="20"/>
          </w:rPr>
          <m:t>~</m:t>
        </m:r>
        <m:r>
          <m:rPr>
            <m:sty m:val="p"/>
          </m:rPr>
          <w:rPr>
            <w:rFonts w:ascii="Cambria Math" w:hAnsi="Arial" w:cs="Arial"/>
            <w:sz w:val="20"/>
            <w:szCs w:val="20"/>
          </w:rPr>
          <m:t>N</m:t>
        </m:r>
        <m:d>
          <m:dPr>
            <m:ctrlPr>
              <w:rPr>
                <w:rFonts w:ascii="Cambria Math" w:hAnsi="Arial" w:cs="Arial"/>
                <w:sz w:val="20"/>
                <w:szCs w:val="20"/>
              </w:rPr>
            </m:ctrlPr>
          </m:dPr>
          <m:e>
            <m:r>
              <w:rPr>
                <w:rFonts w:ascii="Cambria Math" w:hAnsi="Cambria Math" w:cs="Arial"/>
                <w:sz w:val="20"/>
                <w:szCs w:val="20"/>
              </w:rPr>
              <m:t>μ</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e>
        </m:d>
        <m:r>
          <m:rPr>
            <m:sty m:val="p"/>
          </m:rPr>
          <w:rPr>
            <w:rFonts w:ascii="Cambria Math" w:hAnsi="Arial" w:cs="Arial"/>
            <w:sz w:val="20"/>
            <w:szCs w:val="20"/>
          </w:rPr>
          <m:t>.</m:t>
        </m:r>
      </m:oMath>
      <w:r w:rsidRPr="0052632A">
        <w:rPr>
          <w:rFonts w:ascii="Arial" w:hAnsi="Arial" w:cs="Arial"/>
          <w:sz w:val="20"/>
          <w:szCs w:val="20"/>
        </w:rPr>
        <w:t xml:space="preserve"> To satisfy the ACD requirement</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Fonts w:ascii="Arial" w:hAnsi="Arial" w:cs="Arial"/>
          <w:sz w:val="20"/>
          <w:szCs w:val="20"/>
        </w:rPr>
        <w:t xml:space="preserve">, we set </w:t>
      </w:r>
      <m:oMath>
        <m:r>
          <w:rPr>
            <w:rFonts w:ascii="Cambria Math" w:hAnsi="Cambria Math" w:cs="Arial"/>
            <w:sz w:val="20"/>
            <w:szCs w:val="20"/>
          </w:rPr>
          <m:t>μ</m:t>
        </m:r>
        <m:r>
          <w:rPr>
            <w:rFonts w:ascii="Cambria Math" w:hAnsi="Arial" w:cs="Arial"/>
            <w:sz w:val="20"/>
            <w:szCs w:val="20"/>
          </w:rPr>
          <m:t>=</m:t>
        </m:r>
        <m:r>
          <w:rPr>
            <w:rFonts w:ascii="Cambria Math" w:hAnsi="Arial" w:cs="Arial"/>
            <w:sz w:val="20"/>
            <w:szCs w:val="20"/>
          </w:rPr>
          <m:t>-</m:t>
        </m:r>
        <m:f>
          <m:fPr>
            <m:type m:val="lin"/>
            <m:ctrlPr>
              <w:rPr>
                <w:rFonts w:ascii="Cambria Math" w:hAnsi="Arial" w:cs="Arial"/>
                <w:i/>
                <w:sz w:val="20"/>
                <w:szCs w:val="20"/>
              </w:rPr>
            </m:ctrlPr>
          </m:fPr>
          <m:num>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num>
          <m:den>
            <m:r>
              <w:rPr>
                <w:rFonts w:ascii="Cambria Math" w:hAnsi="Arial" w:cs="Arial"/>
                <w:sz w:val="20"/>
                <w:szCs w:val="20"/>
              </w:rPr>
              <m:t>2</m:t>
            </m:r>
          </m:den>
        </m:f>
      </m:oMath>
      <w:r w:rsidRPr="0052632A">
        <w:rPr>
          <w:rFonts w:ascii="Arial" w:hAnsi="Arial" w:cs="Arial"/>
          <w:sz w:val="20"/>
          <w:szCs w:val="20"/>
        </w:rPr>
        <w:t>.</w:t>
      </w:r>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pdf of Log-Normal distribution is given as (Engle &amp; Russell, 1998):</w:t>
      </w:r>
    </w:p>
    <w:p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Cambria Math" w:cs="Arial"/>
                  <w:sz w:val="20"/>
                  <w:szCs w:val="20"/>
                </w:rPr>
                <m:t>σ</m:t>
              </m:r>
              <m:rad>
                <m:radPr>
                  <m:degHide m:val="1"/>
                  <m:ctrlPr>
                    <w:rPr>
                      <w:rFonts w:ascii="Cambria Math" w:hAnsi="Arial" w:cs="Arial"/>
                      <w:i/>
                      <w:sz w:val="20"/>
                      <w:szCs w:val="20"/>
                    </w:rPr>
                  </m:ctrlPr>
                </m:radPr>
                <m:deg/>
                <m:e>
                  <m:r>
                    <w:rPr>
                      <w:rFonts w:ascii="Cambria Math" w:hAnsi="Arial" w:cs="Arial"/>
                      <w:sz w:val="20"/>
                      <w:szCs w:val="20"/>
                    </w:rPr>
                    <m:t>2</m:t>
                  </m:r>
                  <m:r>
                    <w:rPr>
                      <w:rFonts w:ascii="Cambria Math" w:hAnsi="Cambria Math" w:cs="Arial"/>
                      <w:sz w:val="20"/>
                      <w:szCs w:val="20"/>
                    </w:rPr>
                    <m:t>π</m:t>
                  </m:r>
                </m:e>
              </m:rad>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r>
                        <w:rPr>
                          <w:rFonts w:ascii="Arial" w:hAnsi="Arial" w:cs="Arial"/>
                          <w:sz w:val="20"/>
                          <w:szCs w:val="20"/>
                        </w:rPr>
                        <m:t>-</m:t>
                      </m:r>
                      <m:r>
                        <w:rPr>
                          <w:rFonts w:ascii="Cambria Math" w:hAnsi="Cambria Math" w:cs="Arial"/>
                          <w:sz w:val="20"/>
                          <w:szCs w:val="20"/>
                        </w:rPr>
                        <m:t>μ</m:t>
                      </m:r>
                      <m:sSup>
                        <m:sSupPr>
                          <m:ctrlPr>
                            <w:rPr>
                              <w:rFonts w:ascii="Cambria Math" w:hAnsi="Arial" w:cs="Arial"/>
                              <w:i/>
                              <w:sz w:val="20"/>
                              <w:szCs w:val="20"/>
                            </w:rPr>
                          </m:ctrlPr>
                        </m:sSupPr>
                        <m:e>
                          <m:r>
                            <w:rPr>
                              <w:rFonts w:ascii="Cambria Math" w:hAnsi="Arial" w:cs="Arial"/>
                              <w:sz w:val="20"/>
                              <w:szCs w:val="20"/>
                            </w:rPr>
                            <m:t>)</m:t>
                          </m:r>
                        </m:e>
                        <m:sup>
                          <m:r>
                            <w:rPr>
                              <w:rFonts w:ascii="Cambria Math" w:hAnsi="Arial" w:cs="Arial"/>
                              <w:sz w:val="20"/>
                              <w:szCs w:val="20"/>
                            </w:rPr>
                            <m:t>2</m:t>
                          </m:r>
                        </m:sup>
                      </m:sSup>
                    </m:num>
                    <m:den>
                      <m:r>
                        <w:rPr>
                          <w:rFonts w:ascii="Cambria Math" w:hAnsi="Arial" w:cs="Arial"/>
                          <w:sz w:val="20"/>
                          <w:szCs w:val="20"/>
                        </w:rPr>
                        <m:t>2</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den>
                  </m:f>
                </m:e>
              </m:d>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&gt;0</m:t>
              </m:r>
            </m:e>
          </m:func>
          <m:r>
            <w:rPr>
              <w:rFonts w:ascii="Cambria Math" w:hAnsi="Arial" w:cs="Arial"/>
              <w:sz w:val="20"/>
              <w:szCs w:val="20"/>
            </w:rPr>
            <m:t xml:space="preserve">                                                                       (29)</m:t>
          </m:r>
        </m:oMath>
      </m:oMathPara>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log-likelihood for observation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cr m:val="script"/>
                </m:rPr>
                <w:rPr>
                  <w:rFonts w:ascii="Cambria Math" w:hAnsi="Arial" w:cs="Arial"/>
                  <w:sz w:val="20"/>
                  <w:szCs w:val="20"/>
                </w:rPr>
                <m:t>l</m:t>
              </m:r>
            </m:e>
            <m:sub>
              <m:r>
                <w:rPr>
                  <w:rFonts w:ascii="Cambria Math" w:hAnsi="Cambria Math" w:cs="Arial"/>
                  <w:sz w:val="20"/>
                  <w:szCs w:val="20"/>
                </w:rPr>
                <m:t>t</m:t>
              </m:r>
            </m:sub>
          </m:sSub>
          <m:r>
            <w:rPr>
              <w:rFonts w:ascii="Cambria Math" w:hAnsi="Arial" w:cs="Arial"/>
              <w:sz w:val="20"/>
              <w:szCs w:val="20"/>
            </w:rPr>
            <m:t>=</m:t>
          </m:r>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func>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Arial" w:cs="Arial"/>
                  <w:sz w:val="20"/>
                  <w:szCs w:val="20"/>
                </w:rPr>
                <m:t>2</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den>
          </m:f>
          <m:sSup>
            <m:sSupPr>
              <m:ctrlPr>
                <w:rPr>
                  <w:rFonts w:ascii="Cambria Math" w:hAnsi="Arial" w:cs="Arial"/>
                  <w:i/>
                  <w:sz w:val="20"/>
                  <w:szCs w:val="20"/>
                </w:rPr>
              </m:ctrlPr>
            </m:sSupPr>
            <m:e>
              <m:d>
                <m:dPr>
                  <m:ctrlPr>
                    <w:rPr>
                      <w:rFonts w:ascii="Cambria Math" w:hAnsi="Arial" w:cs="Arial"/>
                      <w:i/>
                      <w:sz w:val="20"/>
                      <w:szCs w:val="20"/>
                    </w:rPr>
                  </m:ctrlPr>
                </m:dPr>
                <m:e>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Fonts w:ascii="Cambria Math" w:hAnsi="Arial" w:cs="Arial"/>
                      <w:sz w:val="20"/>
                      <w:szCs w:val="20"/>
                    </w:rPr>
                    <m:t>+</m:t>
                  </m:r>
                  <m:f>
                    <m:fPr>
                      <m:ctrlPr>
                        <w:rPr>
                          <w:rFonts w:ascii="Cambria Math" w:hAnsi="Arial" w:cs="Arial"/>
                          <w:i/>
                          <w:sz w:val="20"/>
                          <w:szCs w:val="20"/>
                        </w:rPr>
                      </m:ctrlPr>
                    </m:fPr>
                    <m:num>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num>
                    <m:den>
                      <m:r>
                        <w:rPr>
                          <w:rFonts w:ascii="Cambria Math" w:hAnsi="Arial" w:cs="Arial"/>
                          <w:sz w:val="20"/>
                          <w:szCs w:val="20"/>
                        </w:rPr>
                        <m:t>2</m:t>
                      </m:r>
                    </m:den>
                  </m:f>
                </m:e>
              </m:d>
            </m:e>
            <m:sup>
              <m:r>
                <w:rPr>
                  <w:rFonts w:ascii="Cambria Math" w:hAnsi="Arial" w:cs="Arial"/>
                  <w:sz w:val="20"/>
                  <w:szCs w:val="20"/>
                </w:rPr>
                <m:t>2</m:t>
              </m:r>
            </m:sup>
          </m:sSup>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r>
                    <w:rPr>
                      <w:rFonts w:ascii="Cambria Math" w:hAnsi="Cambria Math" w:cs="Arial"/>
                      <w:sz w:val="20"/>
                      <w:szCs w:val="20"/>
                    </w:rPr>
                    <m:t>σ</m:t>
                  </m:r>
                  <m:rad>
                    <m:radPr>
                      <m:degHide m:val="1"/>
                      <m:ctrlPr>
                        <w:rPr>
                          <w:rFonts w:ascii="Cambria Math" w:hAnsi="Arial" w:cs="Arial"/>
                          <w:i/>
                          <w:sz w:val="20"/>
                          <w:szCs w:val="20"/>
                        </w:rPr>
                      </m:ctrlPr>
                    </m:radPr>
                    <m:deg/>
                    <m:e>
                      <m:r>
                        <w:rPr>
                          <w:rFonts w:ascii="Cambria Math" w:hAnsi="Arial" w:cs="Arial"/>
                          <w:sz w:val="20"/>
                          <w:szCs w:val="20"/>
                        </w:rPr>
                        <m:t>2</m:t>
                      </m:r>
                      <m:r>
                        <w:rPr>
                          <w:rFonts w:ascii="Cambria Math" w:hAnsi="Cambria Math" w:cs="Arial"/>
                          <w:sz w:val="20"/>
                          <w:szCs w:val="20"/>
                        </w:rPr>
                        <m:t>π</m:t>
                      </m:r>
                    </m:e>
                  </m:rad>
                </m:e>
              </m:d>
            </m:e>
          </m:func>
          <m:r>
            <w:rPr>
              <w:rFonts w:ascii="Cambria Math" w:hAnsi="Arial" w:cs="Arial"/>
              <w:sz w:val="20"/>
              <w:szCs w:val="20"/>
            </w:rPr>
            <m:t xml:space="preserve">                                             (30)</m:t>
          </m:r>
        </m:oMath>
      </m:oMathPara>
    </w:p>
    <w:p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Log-Weibull distribution</w:t>
      </w:r>
    </w:p>
    <w:p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log-Weibull distribution assumes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m:rPr>
            <m:sty m:val="p"/>
          </m:rPr>
          <w:rPr>
            <w:rFonts w:ascii="Cambria Math" w:hAnsi="Arial" w:cs="Arial"/>
            <w:sz w:val="20"/>
            <w:szCs w:val="20"/>
          </w:rPr>
          <m:t>Log</m:t>
        </m:r>
        <m:r>
          <m:rPr>
            <m:sty m:val="p"/>
          </m:rPr>
          <w:rPr>
            <w:rFonts w:ascii="Cambria Math" w:hAnsi="Arial" w:cs="Arial"/>
            <w:sz w:val="20"/>
            <w:szCs w:val="20"/>
          </w:rPr>
          <m:t>-</m:t>
        </m:r>
        <m:r>
          <m:rPr>
            <m:sty m:val="p"/>
          </m:rPr>
          <w:rPr>
            <w:rFonts w:ascii="Cambria Math" w:hAnsi="Arial" w:cs="Arial"/>
            <w:sz w:val="20"/>
            <w:szCs w:val="20"/>
          </w:rPr>
          <m:t>Weibull</m:t>
        </m:r>
        <m:d>
          <m:dPr>
            <m:ctrlPr>
              <w:rPr>
                <w:rFonts w:ascii="Cambria Math" w:hAnsi="Arial" w:cs="Arial"/>
                <w:sz w:val="20"/>
                <w:szCs w:val="20"/>
              </w:rPr>
            </m:ctrlPr>
          </m:dPr>
          <m:e>
            <m:r>
              <w:rPr>
                <w:rFonts w:ascii="Cambria Math" w:hAnsi="Arial" w:cs="Arial"/>
                <w:sz w:val="20"/>
                <w:szCs w:val="20"/>
              </w:rPr>
              <m:t xml:space="preserve">k, </m:t>
            </m:r>
            <m:r>
              <w:rPr>
                <w:rFonts w:ascii="Cambria Math" w:hAnsi="Cambria Math" w:cs="Arial"/>
                <w:sz w:val="20"/>
                <w:szCs w:val="20"/>
              </w:rPr>
              <m:t>λ</m:t>
            </m:r>
          </m:e>
        </m:d>
      </m:oMath>
      <w:r w:rsidRPr="0052632A">
        <w:rPr>
          <w:rFonts w:ascii="Arial" w:hAnsi="Arial" w:cs="Arial"/>
          <w:sz w:val="20"/>
          <w:szCs w:val="20"/>
        </w:rPr>
        <w:t xml:space="preserve">. Then </w:t>
      </w:r>
      <m:oMath>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e>
        </m:func>
        <m:r>
          <w:rPr>
            <w:rFonts w:ascii="Cambria Math" w:hAnsi="Arial" w:cs="Arial"/>
            <w:sz w:val="20"/>
            <w:szCs w:val="20"/>
          </w:rPr>
          <m:t>~</m:t>
        </m:r>
      </m:oMath>
      <w:r w:rsidRPr="0052632A">
        <w:rPr>
          <w:rFonts w:ascii="Arial" w:hAnsi="Arial" w:cs="Arial"/>
          <w:sz w:val="20"/>
          <w:szCs w:val="20"/>
        </w:rPr>
        <w:t xml:space="preserve">Gumbel (Type I extreme value distribution). Let </w:t>
      </w:r>
      <m:oMath>
        <m:r>
          <w:rPr>
            <w:rFonts w:ascii="Cambria Math" w:hAnsi="Cambria Math" w:cs="Arial"/>
            <w:sz w:val="20"/>
            <w:szCs w:val="20"/>
          </w:rPr>
          <m:t>k</m:t>
        </m:r>
        <m:r>
          <w:rPr>
            <w:rFonts w:ascii="Cambria Math" w:hAnsi="Arial" w:cs="Arial"/>
            <w:sz w:val="20"/>
            <w:szCs w:val="20"/>
          </w:rPr>
          <m:t>&gt;0</m:t>
        </m:r>
      </m:oMath>
      <w:r w:rsidRPr="0052632A">
        <w:rPr>
          <w:rFonts w:ascii="Arial" w:hAnsi="Arial" w:cs="Arial"/>
          <w:sz w:val="20"/>
          <w:szCs w:val="20"/>
        </w:rPr>
        <w:t xml:space="preserve"> be the shape parameter ad </w:t>
      </w:r>
      <m:oMath>
        <m:r>
          <w:rPr>
            <w:rFonts w:ascii="Cambria Math" w:hAnsi="Cambria Math" w:cs="Arial"/>
            <w:sz w:val="20"/>
            <w:szCs w:val="20"/>
          </w:rPr>
          <m:t>λ</m:t>
        </m:r>
        <m:r>
          <w:rPr>
            <w:rFonts w:ascii="Cambria Math" w:hAnsi="Arial" w:cs="Arial"/>
            <w:sz w:val="20"/>
            <w:szCs w:val="20"/>
          </w:rPr>
          <m:t>&gt;0</m:t>
        </m:r>
      </m:oMath>
      <w:r w:rsidRPr="0052632A">
        <w:rPr>
          <w:rFonts w:ascii="Arial" w:hAnsi="Arial" w:cs="Arial"/>
          <w:sz w:val="20"/>
          <w:szCs w:val="20"/>
        </w:rPr>
        <w:t xml:space="preserve"> be the scale parameter. The pdf of the log-Weibull distribution is:</w:t>
      </w:r>
    </w:p>
    <w:p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k</m:t>
              </m:r>
            </m:num>
            <m:den>
              <m:r>
                <w:rPr>
                  <w:rFonts w:ascii="Cambria Math" w:hAnsi="Cambria Math" w:cs="Arial"/>
                  <w:sz w:val="20"/>
                  <w:szCs w:val="20"/>
                </w:rPr>
                <m:t>λ</m:t>
              </m:r>
            </m:den>
          </m:f>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num>
                    <m:den>
                      <m:r>
                        <w:rPr>
                          <w:rFonts w:ascii="Cambria Math" w:hAnsi="Cambria Math" w:cs="Arial"/>
                          <w:sz w:val="20"/>
                          <w:szCs w:val="20"/>
                        </w:rPr>
                        <m:t>λ</m:t>
                      </m:r>
                    </m:den>
                  </m:f>
                </m:e>
              </m:d>
            </m:e>
            <m:sup>
              <m:r>
                <w:rPr>
                  <w:rFonts w:ascii="Cambria Math" w:hAnsi="Cambria Math" w:cs="Arial"/>
                  <w:sz w:val="20"/>
                  <w:szCs w:val="20"/>
                </w:rPr>
                <m:t>k</m:t>
              </m:r>
              <m:r>
                <w:rPr>
                  <w:rFonts w:ascii="Cambria Math" w:hAnsi="Arial" w:cs="Arial"/>
                  <w:sz w:val="20"/>
                  <w:szCs w:val="20"/>
                </w:rPr>
                <m:t>-</m:t>
              </m:r>
              <m:r>
                <w:rPr>
                  <w:rFonts w:ascii="Cambria Math" w:hAnsi="Arial" w:cs="Arial"/>
                  <w:sz w:val="20"/>
                  <w:szCs w:val="20"/>
                </w:rPr>
                <m:t>1</m:t>
              </m:r>
            </m:sup>
          </m:sSup>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num>
                            <m:den>
                              <m:r>
                                <w:rPr>
                                  <w:rFonts w:ascii="Cambria Math" w:hAnsi="Cambria Math" w:cs="Arial"/>
                                  <w:sz w:val="20"/>
                                  <w:szCs w:val="20"/>
                                </w:rPr>
                                <m:t>λ</m:t>
                              </m:r>
                            </m:den>
                          </m:f>
                        </m:e>
                      </m:d>
                    </m:e>
                    <m:sup>
                      <m:r>
                        <w:rPr>
                          <w:rFonts w:ascii="Cambria Math" w:hAnsi="Cambria Math" w:cs="Arial"/>
                          <w:sz w:val="20"/>
                          <w:szCs w:val="20"/>
                        </w:rPr>
                        <m:t>k</m:t>
                      </m:r>
                    </m:sup>
                  </m:sSup>
                </m:e>
              </m:d>
              <m:r>
                <w:rPr>
                  <w:rFonts w:ascii="Cambria Math" w:hAnsi="Arial" w:cs="Arial"/>
                  <w:sz w:val="20"/>
                  <w:szCs w:val="20"/>
                </w:rPr>
                <m:t xml:space="preserve">, </m:t>
              </m:r>
            </m:e>
          </m:func>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&gt;1                                                                    (31)</m:t>
          </m:r>
          <m:r>
            <m:rPr>
              <m:sty m:val="p"/>
            </m:rPr>
            <w:rPr>
              <w:rFonts w:ascii="Arial" w:hAnsi="Arial" w:cs="Arial"/>
              <w:sz w:val="20"/>
              <w:szCs w:val="20"/>
            </w:rPr>
            <w:br/>
          </m:r>
        </m:oMath>
      </m:oMathPara>
      <w:r w:rsidRPr="0052632A">
        <w:rPr>
          <w:rFonts w:ascii="Arial" w:hAnsi="Arial" w:cs="Arial"/>
          <w:sz w:val="20"/>
          <w:szCs w:val="20"/>
        </w:rPr>
        <w:t>To use it in ACD framework, normalize the distribution such that</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Fonts w:ascii="Arial" w:hAnsi="Arial" w:cs="Arial"/>
          <w:sz w:val="20"/>
          <w:szCs w:val="20"/>
        </w:rPr>
        <w:t xml:space="preserve">. This usually requires numerical integration or moment matching (Davidson, 2004). Log-likelihood function for observation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 given as:</w:t>
      </w:r>
    </w:p>
    <w:p w:rsidR="00B15B5F" w:rsidRPr="0052632A" w:rsidRDefault="00AC73E4"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cr m:val="script"/>
                </m:rPr>
                <w:rPr>
                  <w:rFonts w:ascii="Cambria Math" w:hAnsi="Arial" w:cs="Arial"/>
                  <w:sz w:val="20"/>
                  <w:szCs w:val="20"/>
                </w:rPr>
                <m:t>l</m:t>
              </m:r>
            </m:e>
            <m:sub>
              <m:r>
                <w:rPr>
                  <w:rFonts w:ascii="Cambria Math" w:hAnsi="Cambria Math" w:cs="Arial"/>
                  <w:sz w:val="20"/>
                  <w:szCs w:val="20"/>
                </w:rPr>
                <m:t>t</m:t>
              </m:r>
            </m:sub>
          </m:sSub>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r>
                        <w:rPr>
                          <w:rFonts w:ascii="Cambria Math" w:hAnsi="Cambria Math" w:cs="Arial"/>
                          <w:sz w:val="20"/>
                          <w:szCs w:val="20"/>
                        </w:rPr>
                        <m:t>k</m:t>
                      </m:r>
                    </m:num>
                    <m:den>
                      <m:r>
                        <w:rPr>
                          <w:rFonts w:ascii="Cambria Math" w:hAnsi="Cambria Math" w:cs="Arial"/>
                          <w:sz w:val="20"/>
                          <w:szCs w:val="20"/>
                        </w:rPr>
                        <m:t>λ</m:t>
                      </m:r>
                    </m:den>
                  </m:f>
                </m:e>
              </m:d>
            </m:e>
          </m:func>
          <m:r>
            <w:rPr>
              <w:rFonts w:ascii="Cambria Math" w:hAnsi="Arial" w:cs="Arial"/>
              <w:sz w:val="20"/>
              <w:szCs w:val="20"/>
            </w:rPr>
            <m:t>+</m:t>
          </m:r>
          <m:d>
            <m:dPr>
              <m:ctrlPr>
                <w:rPr>
                  <w:rFonts w:ascii="Cambria Math" w:hAnsi="Arial" w:cs="Arial"/>
                  <w:i/>
                  <w:sz w:val="20"/>
                  <w:szCs w:val="20"/>
                </w:rPr>
              </m:ctrlPr>
            </m:dPr>
            <m:e>
              <m:r>
                <w:rPr>
                  <w:rFonts w:ascii="Cambria Math" w:hAnsi="Cambria Math" w:cs="Arial"/>
                  <w:sz w:val="20"/>
                  <w:szCs w:val="20"/>
                </w:rPr>
                <m:t>k</m:t>
              </m:r>
              <m:r>
                <w:rPr>
                  <w:rFonts w:ascii="Cambria Math" w:hAnsi="Arial" w:cs="Arial"/>
                  <w:sz w:val="20"/>
                  <w:szCs w:val="20"/>
                </w:rPr>
                <m:t>-</m:t>
              </m:r>
              <m:r>
                <w:rPr>
                  <w:rFonts w:ascii="Cambria Math" w:hAnsi="Arial" w:cs="Arial"/>
                  <w:sz w:val="20"/>
                  <w:szCs w:val="20"/>
                </w:rPr>
                <m:t>1</m:t>
              </m:r>
            </m:e>
          </m:d>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num>
                    <m:den>
                      <m:r>
                        <w:rPr>
                          <w:rFonts w:ascii="Cambria Math" w:hAnsi="Cambria Math" w:cs="Arial"/>
                          <w:sz w:val="20"/>
                          <w:szCs w:val="20"/>
                        </w:rPr>
                        <m:t>λ</m:t>
                      </m:r>
                    </m:den>
                  </m:f>
                </m:e>
              </m:d>
            </m:e>
          </m:func>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func>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num>
                    <m:den>
                      <m:r>
                        <w:rPr>
                          <w:rFonts w:ascii="Cambria Math" w:hAnsi="Cambria Math" w:cs="Arial"/>
                          <w:sz w:val="20"/>
                          <w:szCs w:val="20"/>
                        </w:rPr>
                        <m:t>λ</m:t>
                      </m:r>
                    </m:den>
                  </m:f>
                </m:e>
              </m:d>
            </m:e>
            <m:sup>
              <m:r>
                <w:rPr>
                  <w:rFonts w:ascii="Cambria Math" w:hAnsi="Cambria Math" w:cs="Arial"/>
                  <w:sz w:val="20"/>
                  <w:szCs w:val="20"/>
                </w:rPr>
                <m:t>k</m:t>
              </m:r>
            </m:sup>
          </m:sSup>
          <m:r>
            <w:rPr>
              <w:rFonts w:ascii="Cambria Math" w:hAnsi="Arial" w:cs="Arial"/>
              <w:sz w:val="20"/>
              <w:szCs w:val="20"/>
            </w:rPr>
            <m:t xml:space="preserve">                                           (32)</m:t>
          </m:r>
        </m:oMath>
      </m:oMathPara>
    </w:p>
    <w:p w:rsidR="00B15B5F" w:rsidRPr="00BF541F" w:rsidRDefault="00B15B5F" w:rsidP="00B15B5F">
      <w:pPr>
        <w:pStyle w:val="NormalWeb"/>
        <w:spacing w:before="0" w:beforeAutospacing="0" w:after="0" w:afterAutospacing="0"/>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F5139A" w:rsidRPr="003E32F6" w:rsidRDefault="003E32F6" w:rsidP="00F5139A">
      <w:pPr>
        <w:rPr>
          <w:rFonts w:ascii="Arial" w:hAnsi="Arial" w:cs="Arial"/>
          <w:b/>
        </w:rPr>
      </w:pPr>
      <w:r w:rsidRPr="003E32F6">
        <w:rPr>
          <w:rFonts w:ascii="Arial" w:hAnsi="Arial" w:cs="Arial"/>
          <w:b/>
        </w:rPr>
        <w:t>3</w:t>
      </w:r>
      <w:r w:rsidR="00F5139A" w:rsidRPr="003E32F6">
        <w:rPr>
          <w:rFonts w:ascii="Arial" w:hAnsi="Arial" w:cs="Arial"/>
          <w:b/>
        </w:rPr>
        <w:t>.1 Summary Statistics and Normality Measures of Crude Oil Prices and Returns</w:t>
      </w:r>
    </w:p>
    <w:p w:rsidR="00F5139A" w:rsidRPr="003E32F6" w:rsidRDefault="00F5139A" w:rsidP="00F5139A">
      <w:pPr>
        <w:rPr>
          <w:rFonts w:ascii="Arial" w:hAnsi="Arial" w:cs="Arial"/>
        </w:rPr>
      </w:pPr>
      <w:r w:rsidRPr="003E32F6">
        <w:rPr>
          <w:rFonts w:ascii="Arial" w:hAnsi="Arial" w:cs="Arial"/>
        </w:rPr>
        <w:t>Table 1 presents the summary statistics and normality measures for crude oil prices, returns, absolute returns and squared returns.</w:t>
      </w:r>
    </w:p>
    <w:p w:rsidR="00F5139A" w:rsidRDefault="00F5139A" w:rsidP="00F5139A">
      <w:pPr>
        <w:rPr>
          <w:rFonts w:ascii="Times New Roman" w:hAnsi="Times New Roman"/>
          <w:b/>
          <w:sz w:val="24"/>
          <w:szCs w:val="24"/>
        </w:rPr>
      </w:pPr>
      <w:r w:rsidRPr="003E32F6">
        <w:rPr>
          <w:rFonts w:ascii="Arial" w:hAnsi="Arial" w:cs="Arial"/>
          <w:b/>
        </w:rPr>
        <w:t>Table 1:  Summary Statistics of Crude Oil Prices and Returns</w:t>
      </w:r>
    </w:p>
    <w:tbl>
      <w:tblPr>
        <w:tblW w:w="0" w:type="auto"/>
        <w:tblBorders>
          <w:top w:val="single" w:sz="4" w:space="0" w:color="auto"/>
          <w:bottom w:val="single" w:sz="4" w:space="0" w:color="auto"/>
        </w:tblBorders>
        <w:tblLook w:val="04A0" w:firstRow="1" w:lastRow="0" w:firstColumn="1" w:lastColumn="0" w:noHBand="0" w:noVBand="1"/>
      </w:tblPr>
      <w:tblGrid>
        <w:gridCol w:w="1937"/>
        <w:gridCol w:w="1570"/>
        <w:gridCol w:w="1581"/>
        <w:gridCol w:w="1667"/>
        <w:gridCol w:w="1669"/>
      </w:tblGrid>
      <w:tr w:rsidR="00F5139A" w:rsidRPr="003E32F6" w:rsidTr="009470BD">
        <w:tc>
          <w:tcPr>
            <w:tcW w:w="2178" w:type="dxa"/>
            <w:tcBorders>
              <w:top w:val="single" w:sz="4" w:space="0" w:color="auto"/>
              <w:bottom w:val="single" w:sz="4" w:space="0" w:color="auto"/>
            </w:tcBorders>
          </w:tcPr>
          <w:p w:rsidR="00F5139A" w:rsidRPr="003E32F6" w:rsidRDefault="00F5139A" w:rsidP="009470BD">
            <w:pPr>
              <w:rPr>
                <w:rFonts w:ascii="Arial" w:hAnsi="Arial" w:cs="Arial"/>
                <w:b/>
              </w:rPr>
            </w:pPr>
            <w:r w:rsidRPr="003E32F6">
              <w:rPr>
                <w:rFonts w:ascii="Arial" w:hAnsi="Arial" w:cs="Arial"/>
                <w:b/>
              </w:rPr>
              <w:t xml:space="preserve">Variable </w:t>
            </w:r>
          </w:p>
        </w:tc>
        <w:tc>
          <w:tcPr>
            <w:tcW w:w="1800" w:type="dxa"/>
            <w:tcBorders>
              <w:top w:val="single" w:sz="4" w:space="0" w:color="auto"/>
              <w:bottom w:val="single" w:sz="4" w:space="0" w:color="auto"/>
            </w:tcBorders>
          </w:tcPr>
          <w:p w:rsidR="00F5139A" w:rsidRPr="003E32F6" w:rsidRDefault="00F5139A" w:rsidP="009470BD">
            <w:pPr>
              <w:jc w:val="center"/>
              <w:rPr>
                <w:rFonts w:ascii="Arial" w:hAnsi="Arial" w:cs="Arial"/>
                <w:b/>
              </w:rPr>
            </w:pPr>
            <w:r w:rsidRPr="003E32F6">
              <w:rPr>
                <w:rFonts w:ascii="Arial" w:hAnsi="Arial" w:cs="Arial"/>
                <w:b/>
              </w:rPr>
              <w:t>Crude Oil Price</w:t>
            </w:r>
          </w:p>
        </w:tc>
        <w:tc>
          <w:tcPr>
            <w:tcW w:w="1767" w:type="dxa"/>
            <w:tcBorders>
              <w:top w:val="single" w:sz="4" w:space="0" w:color="auto"/>
              <w:bottom w:val="single" w:sz="4" w:space="0" w:color="auto"/>
            </w:tcBorders>
          </w:tcPr>
          <w:p w:rsidR="00F5139A" w:rsidRPr="003E32F6" w:rsidRDefault="00F5139A" w:rsidP="009470BD">
            <w:pPr>
              <w:jc w:val="center"/>
              <w:rPr>
                <w:rFonts w:ascii="Arial" w:hAnsi="Arial" w:cs="Arial"/>
                <w:b/>
              </w:rPr>
            </w:pPr>
            <w:r w:rsidRPr="003E32F6">
              <w:rPr>
                <w:rFonts w:ascii="Arial" w:hAnsi="Arial" w:cs="Arial"/>
                <w:b/>
              </w:rPr>
              <w:t>Returns</w:t>
            </w:r>
          </w:p>
        </w:tc>
        <w:tc>
          <w:tcPr>
            <w:tcW w:w="1915" w:type="dxa"/>
            <w:tcBorders>
              <w:top w:val="single" w:sz="4" w:space="0" w:color="auto"/>
              <w:bottom w:val="single" w:sz="4" w:space="0" w:color="auto"/>
            </w:tcBorders>
          </w:tcPr>
          <w:p w:rsidR="00F5139A" w:rsidRPr="003E32F6" w:rsidRDefault="00F5139A" w:rsidP="009470BD">
            <w:pPr>
              <w:jc w:val="center"/>
              <w:rPr>
                <w:rFonts w:ascii="Arial" w:hAnsi="Arial" w:cs="Arial"/>
                <w:b/>
              </w:rPr>
            </w:pPr>
            <w:r w:rsidRPr="003E32F6">
              <w:rPr>
                <w:rFonts w:ascii="Arial" w:hAnsi="Arial" w:cs="Arial"/>
                <w:b/>
              </w:rPr>
              <w:t>Absolute Returns</w:t>
            </w:r>
          </w:p>
        </w:tc>
        <w:tc>
          <w:tcPr>
            <w:tcW w:w="1916" w:type="dxa"/>
            <w:tcBorders>
              <w:top w:val="single" w:sz="4" w:space="0" w:color="auto"/>
              <w:bottom w:val="single" w:sz="4" w:space="0" w:color="auto"/>
            </w:tcBorders>
          </w:tcPr>
          <w:p w:rsidR="00F5139A" w:rsidRPr="003E32F6" w:rsidRDefault="00F5139A" w:rsidP="009470BD">
            <w:pPr>
              <w:jc w:val="center"/>
              <w:rPr>
                <w:rFonts w:ascii="Arial" w:hAnsi="Arial" w:cs="Arial"/>
                <w:b/>
              </w:rPr>
            </w:pPr>
            <w:r w:rsidRPr="003E32F6">
              <w:rPr>
                <w:rFonts w:ascii="Arial" w:hAnsi="Arial" w:cs="Arial"/>
                <w:b/>
              </w:rPr>
              <w:t>Squared Returns</w:t>
            </w:r>
          </w:p>
        </w:tc>
      </w:tr>
      <w:tr w:rsidR="00F5139A" w:rsidRPr="003E32F6" w:rsidTr="009470BD">
        <w:tc>
          <w:tcPr>
            <w:tcW w:w="2178" w:type="dxa"/>
            <w:tcBorders>
              <w:top w:val="single" w:sz="4" w:space="0" w:color="auto"/>
            </w:tcBorders>
          </w:tcPr>
          <w:p w:rsidR="00F5139A" w:rsidRPr="003E32F6" w:rsidRDefault="00F5139A" w:rsidP="009470BD">
            <w:pPr>
              <w:rPr>
                <w:rFonts w:ascii="Arial" w:hAnsi="Arial" w:cs="Arial"/>
              </w:rPr>
            </w:pPr>
            <w:r w:rsidRPr="003E32F6">
              <w:rPr>
                <w:rFonts w:ascii="Arial" w:hAnsi="Arial" w:cs="Arial"/>
              </w:rPr>
              <w:t xml:space="preserve">Mean </w:t>
            </w:r>
          </w:p>
        </w:tc>
        <w:tc>
          <w:tcPr>
            <w:tcW w:w="1800" w:type="dxa"/>
            <w:tcBorders>
              <w:top w:val="single" w:sz="4" w:space="0" w:color="auto"/>
            </w:tcBorders>
          </w:tcPr>
          <w:p w:rsidR="00F5139A" w:rsidRPr="003E32F6" w:rsidRDefault="00F5139A" w:rsidP="009470BD">
            <w:pPr>
              <w:jc w:val="center"/>
              <w:rPr>
                <w:rFonts w:ascii="Arial" w:hAnsi="Arial" w:cs="Arial"/>
              </w:rPr>
            </w:pPr>
            <w:r w:rsidRPr="003E32F6">
              <w:rPr>
                <w:rFonts w:ascii="Arial" w:hAnsi="Arial" w:cs="Arial"/>
              </w:rPr>
              <w:t>79.3517</w:t>
            </w:r>
          </w:p>
        </w:tc>
        <w:tc>
          <w:tcPr>
            <w:tcW w:w="1767" w:type="dxa"/>
            <w:tcBorders>
              <w:top w:val="single" w:sz="4" w:space="0" w:color="auto"/>
            </w:tcBorders>
          </w:tcPr>
          <w:p w:rsidR="00F5139A" w:rsidRPr="003E32F6" w:rsidRDefault="00F5139A" w:rsidP="009470BD">
            <w:pPr>
              <w:jc w:val="center"/>
              <w:rPr>
                <w:rFonts w:ascii="Arial" w:hAnsi="Arial" w:cs="Arial"/>
              </w:rPr>
            </w:pPr>
            <w:r w:rsidRPr="003E32F6">
              <w:rPr>
                <w:rFonts w:ascii="Arial" w:hAnsi="Arial" w:cs="Arial"/>
              </w:rPr>
              <w:t>-0.003779</w:t>
            </w:r>
          </w:p>
        </w:tc>
        <w:tc>
          <w:tcPr>
            <w:tcW w:w="1915" w:type="dxa"/>
            <w:tcBorders>
              <w:top w:val="single" w:sz="4" w:space="0" w:color="auto"/>
            </w:tcBorders>
          </w:tcPr>
          <w:p w:rsidR="00F5139A" w:rsidRPr="003E32F6" w:rsidRDefault="00F5139A" w:rsidP="009470BD">
            <w:pPr>
              <w:jc w:val="center"/>
              <w:rPr>
                <w:rFonts w:ascii="Arial" w:hAnsi="Arial" w:cs="Arial"/>
              </w:rPr>
            </w:pPr>
            <w:r w:rsidRPr="003E32F6">
              <w:rPr>
                <w:rFonts w:ascii="Arial" w:hAnsi="Arial" w:cs="Arial"/>
              </w:rPr>
              <w:t>1.748113</w:t>
            </w:r>
          </w:p>
        </w:tc>
        <w:tc>
          <w:tcPr>
            <w:tcW w:w="1916" w:type="dxa"/>
            <w:tcBorders>
              <w:top w:val="single" w:sz="4" w:space="0" w:color="auto"/>
            </w:tcBorders>
          </w:tcPr>
          <w:p w:rsidR="00F5139A" w:rsidRPr="003E32F6" w:rsidRDefault="00F5139A" w:rsidP="009470BD">
            <w:pPr>
              <w:jc w:val="center"/>
              <w:rPr>
                <w:rFonts w:ascii="Arial" w:hAnsi="Arial" w:cs="Arial"/>
              </w:rPr>
            </w:pPr>
            <w:r w:rsidRPr="003E32F6">
              <w:rPr>
                <w:rFonts w:ascii="Arial" w:hAnsi="Arial" w:cs="Arial"/>
              </w:rPr>
              <w:t>17.41711</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 xml:space="preserve">Maximum </w:t>
            </w:r>
          </w:p>
        </w:tc>
        <w:tc>
          <w:tcPr>
            <w:tcW w:w="1800" w:type="dxa"/>
          </w:tcPr>
          <w:p w:rsidR="00F5139A" w:rsidRPr="003E32F6" w:rsidRDefault="00F5139A" w:rsidP="009470BD">
            <w:pPr>
              <w:jc w:val="center"/>
              <w:rPr>
                <w:rFonts w:ascii="Arial" w:hAnsi="Arial" w:cs="Arial"/>
              </w:rPr>
            </w:pPr>
            <w:r w:rsidRPr="003E32F6">
              <w:rPr>
                <w:rFonts w:ascii="Arial" w:hAnsi="Arial" w:cs="Arial"/>
              </w:rPr>
              <w:t>139.410</w:t>
            </w:r>
          </w:p>
        </w:tc>
        <w:tc>
          <w:tcPr>
            <w:tcW w:w="1767" w:type="dxa"/>
          </w:tcPr>
          <w:p w:rsidR="00F5139A" w:rsidRPr="003E32F6" w:rsidRDefault="00F5139A" w:rsidP="009470BD">
            <w:pPr>
              <w:jc w:val="center"/>
              <w:rPr>
                <w:rFonts w:ascii="Arial" w:hAnsi="Arial" w:cs="Arial"/>
              </w:rPr>
            </w:pPr>
            <w:r w:rsidRPr="003E32F6">
              <w:rPr>
                <w:rFonts w:ascii="Arial" w:hAnsi="Arial" w:cs="Arial"/>
              </w:rPr>
              <w:t>107.1082</w:t>
            </w:r>
          </w:p>
        </w:tc>
        <w:tc>
          <w:tcPr>
            <w:tcW w:w="1915" w:type="dxa"/>
          </w:tcPr>
          <w:p w:rsidR="00F5139A" w:rsidRPr="003E32F6" w:rsidRDefault="00F5139A" w:rsidP="009470BD">
            <w:pPr>
              <w:jc w:val="center"/>
              <w:rPr>
                <w:rFonts w:ascii="Arial" w:hAnsi="Arial" w:cs="Arial"/>
              </w:rPr>
            </w:pPr>
            <w:r w:rsidRPr="003E32F6">
              <w:rPr>
                <w:rFonts w:ascii="Arial" w:hAnsi="Arial" w:cs="Arial"/>
              </w:rPr>
              <w:t>108.6203</w:t>
            </w:r>
          </w:p>
        </w:tc>
        <w:tc>
          <w:tcPr>
            <w:tcW w:w="1916" w:type="dxa"/>
          </w:tcPr>
          <w:p w:rsidR="00F5139A" w:rsidRPr="003E32F6" w:rsidRDefault="00F5139A" w:rsidP="009470BD">
            <w:pPr>
              <w:jc w:val="center"/>
              <w:rPr>
                <w:rFonts w:ascii="Arial" w:hAnsi="Arial" w:cs="Arial"/>
              </w:rPr>
            </w:pPr>
            <w:r w:rsidRPr="003E32F6">
              <w:rPr>
                <w:rFonts w:ascii="Arial" w:hAnsi="Arial" w:cs="Arial"/>
              </w:rPr>
              <w:t>11798.37</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 xml:space="preserve">Minimum </w:t>
            </w:r>
          </w:p>
        </w:tc>
        <w:tc>
          <w:tcPr>
            <w:tcW w:w="1800" w:type="dxa"/>
          </w:tcPr>
          <w:p w:rsidR="00F5139A" w:rsidRPr="003E32F6" w:rsidRDefault="00F5139A" w:rsidP="009470BD">
            <w:pPr>
              <w:jc w:val="center"/>
              <w:rPr>
                <w:rFonts w:ascii="Arial" w:hAnsi="Arial" w:cs="Arial"/>
              </w:rPr>
            </w:pPr>
            <w:r w:rsidRPr="003E32F6">
              <w:rPr>
                <w:rFonts w:ascii="Arial" w:hAnsi="Arial" w:cs="Arial"/>
              </w:rPr>
              <w:t>7.15000</w:t>
            </w:r>
          </w:p>
        </w:tc>
        <w:tc>
          <w:tcPr>
            <w:tcW w:w="1767" w:type="dxa"/>
          </w:tcPr>
          <w:p w:rsidR="00F5139A" w:rsidRPr="003E32F6" w:rsidRDefault="00F5139A" w:rsidP="009470BD">
            <w:pPr>
              <w:jc w:val="center"/>
              <w:rPr>
                <w:rFonts w:ascii="Arial" w:hAnsi="Arial" w:cs="Arial"/>
              </w:rPr>
            </w:pPr>
            <w:r w:rsidRPr="003E32F6">
              <w:rPr>
                <w:rFonts w:ascii="Arial" w:hAnsi="Arial" w:cs="Arial"/>
              </w:rPr>
              <w:t>-108.6203</w:t>
            </w:r>
          </w:p>
        </w:tc>
        <w:tc>
          <w:tcPr>
            <w:tcW w:w="1915" w:type="dxa"/>
          </w:tcPr>
          <w:p w:rsidR="00F5139A" w:rsidRPr="003E32F6" w:rsidRDefault="00F5139A" w:rsidP="009470BD">
            <w:pPr>
              <w:jc w:val="center"/>
              <w:rPr>
                <w:rFonts w:ascii="Arial" w:hAnsi="Arial" w:cs="Arial"/>
              </w:rPr>
            </w:pPr>
            <w:r w:rsidRPr="003E32F6">
              <w:rPr>
                <w:rFonts w:ascii="Arial" w:hAnsi="Arial" w:cs="Arial"/>
              </w:rPr>
              <w:t>0.002114</w:t>
            </w:r>
          </w:p>
        </w:tc>
        <w:tc>
          <w:tcPr>
            <w:tcW w:w="1916" w:type="dxa"/>
          </w:tcPr>
          <w:p w:rsidR="00F5139A" w:rsidRPr="003E32F6" w:rsidRDefault="00F5139A" w:rsidP="009470BD">
            <w:pPr>
              <w:jc w:val="center"/>
              <w:rPr>
                <w:rFonts w:ascii="Arial" w:hAnsi="Arial" w:cs="Arial"/>
              </w:rPr>
            </w:pPr>
            <w:r w:rsidRPr="003E32F6">
              <w:rPr>
                <w:rFonts w:ascii="Arial" w:hAnsi="Arial" w:cs="Arial"/>
              </w:rPr>
              <w:t>0.000004</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lastRenderedPageBreak/>
              <w:t xml:space="preserve">Std. Deviation </w:t>
            </w:r>
          </w:p>
        </w:tc>
        <w:tc>
          <w:tcPr>
            <w:tcW w:w="1800" w:type="dxa"/>
          </w:tcPr>
          <w:p w:rsidR="00F5139A" w:rsidRPr="003E32F6" w:rsidRDefault="00F5139A" w:rsidP="009470BD">
            <w:pPr>
              <w:jc w:val="center"/>
              <w:rPr>
                <w:rFonts w:ascii="Arial" w:hAnsi="Arial" w:cs="Arial"/>
              </w:rPr>
            </w:pPr>
            <w:r w:rsidRPr="003E32F6">
              <w:rPr>
                <w:rFonts w:ascii="Arial" w:hAnsi="Arial" w:cs="Arial"/>
              </w:rPr>
              <w:t>25.6811</w:t>
            </w:r>
          </w:p>
        </w:tc>
        <w:tc>
          <w:tcPr>
            <w:tcW w:w="1767" w:type="dxa"/>
          </w:tcPr>
          <w:p w:rsidR="00F5139A" w:rsidRPr="003E32F6" w:rsidRDefault="00F5139A" w:rsidP="009470BD">
            <w:pPr>
              <w:jc w:val="center"/>
              <w:rPr>
                <w:rFonts w:ascii="Arial" w:hAnsi="Arial" w:cs="Arial"/>
              </w:rPr>
            </w:pPr>
            <w:r w:rsidRPr="003E32F6">
              <w:rPr>
                <w:rFonts w:ascii="Arial" w:hAnsi="Arial" w:cs="Arial"/>
              </w:rPr>
              <w:t>4.173958</w:t>
            </w:r>
          </w:p>
        </w:tc>
        <w:tc>
          <w:tcPr>
            <w:tcW w:w="1915" w:type="dxa"/>
          </w:tcPr>
          <w:p w:rsidR="00F5139A" w:rsidRPr="003E32F6" w:rsidRDefault="00F5139A" w:rsidP="009470BD">
            <w:pPr>
              <w:jc w:val="center"/>
              <w:rPr>
                <w:rFonts w:ascii="Arial" w:hAnsi="Arial" w:cs="Arial"/>
              </w:rPr>
            </w:pPr>
            <w:r w:rsidRPr="003E32F6">
              <w:rPr>
                <w:rFonts w:ascii="Arial" w:hAnsi="Arial" w:cs="Arial"/>
              </w:rPr>
              <w:t>3.790145</w:t>
            </w:r>
          </w:p>
        </w:tc>
        <w:tc>
          <w:tcPr>
            <w:tcW w:w="1916" w:type="dxa"/>
          </w:tcPr>
          <w:p w:rsidR="00F5139A" w:rsidRPr="003E32F6" w:rsidRDefault="00F5139A" w:rsidP="009470BD">
            <w:pPr>
              <w:jc w:val="center"/>
              <w:rPr>
                <w:rFonts w:ascii="Arial" w:hAnsi="Arial" w:cs="Arial"/>
              </w:rPr>
            </w:pPr>
            <w:r w:rsidRPr="003E32F6">
              <w:rPr>
                <w:rFonts w:ascii="Arial" w:hAnsi="Arial" w:cs="Arial"/>
              </w:rPr>
              <w:t>298.9788</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 xml:space="preserve">Skewness </w:t>
            </w:r>
          </w:p>
        </w:tc>
        <w:tc>
          <w:tcPr>
            <w:tcW w:w="1800" w:type="dxa"/>
          </w:tcPr>
          <w:p w:rsidR="00F5139A" w:rsidRPr="003E32F6" w:rsidRDefault="00F5139A" w:rsidP="009470BD">
            <w:pPr>
              <w:jc w:val="center"/>
              <w:rPr>
                <w:rFonts w:ascii="Arial" w:hAnsi="Arial" w:cs="Arial"/>
              </w:rPr>
            </w:pPr>
            <w:r w:rsidRPr="003E32F6">
              <w:rPr>
                <w:rFonts w:ascii="Arial" w:hAnsi="Arial" w:cs="Arial"/>
              </w:rPr>
              <w:t>0.01159</w:t>
            </w:r>
          </w:p>
        </w:tc>
        <w:tc>
          <w:tcPr>
            <w:tcW w:w="1767" w:type="dxa"/>
          </w:tcPr>
          <w:p w:rsidR="00F5139A" w:rsidRPr="003E32F6" w:rsidRDefault="00F5139A" w:rsidP="009470BD">
            <w:pPr>
              <w:jc w:val="center"/>
              <w:rPr>
                <w:rFonts w:ascii="Arial" w:hAnsi="Arial" w:cs="Arial"/>
              </w:rPr>
            </w:pPr>
            <w:r w:rsidRPr="003E32F6">
              <w:rPr>
                <w:rFonts w:ascii="Arial" w:hAnsi="Arial" w:cs="Arial"/>
              </w:rPr>
              <w:t>-1.243765</w:t>
            </w:r>
          </w:p>
        </w:tc>
        <w:tc>
          <w:tcPr>
            <w:tcW w:w="1915" w:type="dxa"/>
          </w:tcPr>
          <w:p w:rsidR="00F5139A" w:rsidRPr="003E32F6" w:rsidRDefault="00F5139A" w:rsidP="009470BD">
            <w:pPr>
              <w:jc w:val="center"/>
              <w:rPr>
                <w:rFonts w:ascii="Arial" w:hAnsi="Arial" w:cs="Arial"/>
              </w:rPr>
            </w:pPr>
            <w:r w:rsidRPr="003E32F6">
              <w:rPr>
                <w:rFonts w:ascii="Arial" w:hAnsi="Arial" w:cs="Arial"/>
              </w:rPr>
              <w:t>16.86065</w:t>
            </w:r>
          </w:p>
        </w:tc>
        <w:tc>
          <w:tcPr>
            <w:tcW w:w="1916" w:type="dxa"/>
          </w:tcPr>
          <w:p w:rsidR="00F5139A" w:rsidRPr="003E32F6" w:rsidRDefault="00F5139A" w:rsidP="009470BD">
            <w:pPr>
              <w:jc w:val="center"/>
              <w:rPr>
                <w:rFonts w:ascii="Arial" w:hAnsi="Arial" w:cs="Arial"/>
              </w:rPr>
            </w:pPr>
            <w:r w:rsidRPr="003E32F6">
              <w:rPr>
                <w:rFonts w:ascii="Arial" w:hAnsi="Arial" w:cs="Arial"/>
              </w:rPr>
              <w:t>34.38753</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 xml:space="preserve">Kurtosis </w:t>
            </w:r>
          </w:p>
        </w:tc>
        <w:tc>
          <w:tcPr>
            <w:tcW w:w="1800" w:type="dxa"/>
          </w:tcPr>
          <w:p w:rsidR="00F5139A" w:rsidRPr="003E32F6" w:rsidRDefault="00F5139A" w:rsidP="009470BD">
            <w:pPr>
              <w:jc w:val="center"/>
              <w:rPr>
                <w:rFonts w:ascii="Arial" w:hAnsi="Arial" w:cs="Arial"/>
              </w:rPr>
            </w:pPr>
            <w:r w:rsidRPr="003E32F6">
              <w:rPr>
                <w:rFonts w:ascii="Arial" w:hAnsi="Arial" w:cs="Arial"/>
              </w:rPr>
              <w:t>2.16233</w:t>
            </w:r>
          </w:p>
        </w:tc>
        <w:tc>
          <w:tcPr>
            <w:tcW w:w="1767" w:type="dxa"/>
          </w:tcPr>
          <w:p w:rsidR="00F5139A" w:rsidRPr="003E32F6" w:rsidRDefault="00F5139A" w:rsidP="009470BD">
            <w:pPr>
              <w:jc w:val="center"/>
              <w:rPr>
                <w:rFonts w:ascii="Arial" w:hAnsi="Arial" w:cs="Arial"/>
              </w:rPr>
            </w:pPr>
            <w:r w:rsidRPr="003E32F6">
              <w:rPr>
                <w:rFonts w:ascii="Arial" w:hAnsi="Arial" w:cs="Arial"/>
              </w:rPr>
              <w:t>295.5793</w:t>
            </w:r>
          </w:p>
        </w:tc>
        <w:tc>
          <w:tcPr>
            <w:tcW w:w="1915" w:type="dxa"/>
          </w:tcPr>
          <w:p w:rsidR="00F5139A" w:rsidRPr="003E32F6" w:rsidRDefault="00F5139A" w:rsidP="009470BD">
            <w:pPr>
              <w:jc w:val="center"/>
              <w:rPr>
                <w:rFonts w:ascii="Arial" w:hAnsi="Arial" w:cs="Arial"/>
              </w:rPr>
            </w:pPr>
            <w:r w:rsidRPr="003E32F6">
              <w:rPr>
                <w:rFonts w:ascii="Arial" w:hAnsi="Arial" w:cs="Arial"/>
              </w:rPr>
              <w:t>402.3277</w:t>
            </w:r>
          </w:p>
        </w:tc>
        <w:tc>
          <w:tcPr>
            <w:tcW w:w="1916" w:type="dxa"/>
          </w:tcPr>
          <w:p w:rsidR="00F5139A" w:rsidRPr="003E32F6" w:rsidRDefault="00F5139A" w:rsidP="009470BD">
            <w:pPr>
              <w:jc w:val="center"/>
              <w:rPr>
                <w:rFonts w:ascii="Arial" w:hAnsi="Arial" w:cs="Arial"/>
              </w:rPr>
            </w:pPr>
            <w:r w:rsidRPr="003E32F6">
              <w:rPr>
                <w:rFonts w:ascii="Arial" w:hAnsi="Arial" w:cs="Arial"/>
              </w:rPr>
              <w:t>1290.097</w:t>
            </w:r>
          </w:p>
        </w:tc>
      </w:tr>
      <w:tr w:rsidR="00F5139A" w:rsidRPr="003E32F6" w:rsidTr="009470BD">
        <w:tc>
          <w:tcPr>
            <w:tcW w:w="2178" w:type="dxa"/>
          </w:tcPr>
          <w:p w:rsidR="00F5139A" w:rsidRPr="003E32F6" w:rsidRDefault="00F5139A" w:rsidP="009470BD">
            <w:pPr>
              <w:rPr>
                <w:rFonts w:ascii="Arial" w:hAnsi="Arial" w:cs="Arial"/>
              </w:rPr>
            </w:pPr>
            <w:proofErr w:type="spellStart"/>
            <w:r w:rsidRPr="003E32F6">
              <w:rPr>
                <w:rFonts w:ascii="Arial" w:hAnsi="Arial" w:cs="Arial"/>
              </w:rPr>
              <w:t>Jarque-Bera</w:t>
            </w:r>
            <w:proofErr w:type="spellEnd"/>
            <w:r w:rsidRPr="003E32F6">
              <w:rPr>
                <w:rFonts w:ascii="Arial" w:hAnsi="Arial" w:cs="Arial"/>
              </w:rPr>
              <w:t xml:space="preserve"> Stat.</w:t>
            </w:r>
          </w:p>
        </w:tc>
        <w:tc>
          <w:tcPr>
            <w:tcW w:w="1800" w:type="dxa"/>
          </w:tcPr>
          <w:p w:rsidR="00F5139A" w:rsidRPr="003E32F6" w:rsidRDefault="00F5139A" w:rsidP="009470BD">
            <w:pPr>
              <w:jc w:val="center"/>
              <w:rPr>
                <w:rFonts w:ascii="Arial" w:hAnsi="Arial" w:cs="Arial"/>
              </w:rPr>
            </w:pPr>
            <w:r w:rsidRPr="003E32F6">
              <w:rPr>
                <w:rFonts w:ascii="Arial" w:hAnsi="Arial" w:cs="Arial"/>
              </w:rPr>
              <w:t>105.4796</w:t>
            </w:r>
          </w:p>
        </w:tc>
        <w:tc>
          <w:tcPr>
            <w:tcW w:w="1767" w:type="dxa"/>
          </w:tcPr>
          <w:p w:rsidR="00F5139A" w:rsidRPr="003E32F6" w:rsidRDefault="00F5139A" w:rsidP="009470BD">
            <w:pPr>
              <w:jc w:val="center"/>
              <w:rPr>
                <w:rFonts w:ascii="Arial" w:hAnsi="Arial" w:cs="Arial"/>
              </w:rPr>
            </w:pPr>
            <w:r w:rsidRPr="003E32F6">
              <w:rPr>
                <w:rFonts w:ascii="Arial" w:hAnsi="Arial" w:cs="Arial"/>
              </w:rPr>
              <w:t>12859157</w:t>
            </w:r>
          </w:p>
        </w:tc>
        <w:tc>
          <w:tcPr>
            <w:tcW w:w="1915" w:type="dxa"/>
          </w:tcPr>
          <w:p w:rsidR="00F5139A" w:rsidRPr="003E32F6" w:rsidRDefault="00F5139A" w:rsidP="009470BD">
            <w:pPr>
              <w:jc w:val="center"/>
              <w:rPr>
                <w:rFonts w:ascii="Arial" w:hAnsi="Arial" w:cs="Arial"/>
              </w:rPr>
            </w:pPr>
            <w:r w:rsidRPr="003E32F6">
              <w:rPr>
                <w:rFonts w:ascii="Arial" w:hAnsi="Arial" w:cs="Arial"/>
              </w:rPr>
              <w:t>24123419</w:t>
            </w:r>
          </w:p>
        </w:tc>
        <w:tc>
          <w:tcPr>
            <w:tcW w:w="1916" w:type="dxa"/>
          </w:tcPr>
          <w:p w:rsidR="00F5139A" w:rsidRPr="003E32F6" w:rsidRDefault="00F5139A" w:rsidP="009470BD">
            <w:pPr>
              <w:jc w:val="center"/>
              <w:rPr>
                <w:rFonts w:ascii="Arial" w:hAnsi="Arial" w:cs="Arial"/>
              </w:rPr>
            </w:pPr>
            <w:r w:rsidRPr="003E32F6">
              <w:rPr>
                <w:rFonts w:ascii="Arial" w:hAnsi="Arial" w:cs="Arial"/>
              </w:rPr>
              <w:t>2.50E</w:t>
            </w:r>
            <m:oMath>
              <m:r>
                <w:rPr>
                  <w:rFonts w:ascii="Cambria Math" w:hAnsi="Arial" w:cs="Arial"/>
                </w:rPr>
                <m:t>+</m:t>
              </m:r>
            </m:oMath>
            <w:r w:rsidRPr="003E32F6">
              <w:rPr>
                <w:rFonts w:ascii="Arial" w:eastAsiaTheme="minorEastAsia" w:hAnsi="Arial" w:cs="Arial"/>
              </w:rPr>
              <w:t>08</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p-value</w:t>
            </w:r>
          </w:p>
        </w:tc>
        <w:tc>
          <w:tcPr>
            <w:tcW w:w="1800" w:type="dxa"/>
          </w:tcPr>
          <w:p w:rsidR="00F5139A" w:rsidRPr="003E32F6" w:rsidRDefault="00F5139A" w:rsidP="009470BD">
            <w:pPr>
              <w:jc w:val="center"/>
              <w:rPr>
                <w:rFonts w:ascii="Arial" w:hAnsi="Arial" w:cs="Arial"/>
              </w:rPr>
            </w:pPr>
            <w:r w:rsidRPr="003E32F6">
              <w:rPr>
                <w:rFonts w:ascii="Arial" w:hAnsi="Arial" w:cs="Arial"/>
              </w:rPr>
              <w:t>0.000000</w:t>
            </w:r>
          </w:p>
        </w:tc>
        <w:tc>
          <w:tcPr>
            <w:tcW w:w="1767" w:type="dxa"/>
          </w:tcPr>
          <w:p w:rsidR="00F5139A" w:rsidRPr="003E32F6" w:rsidRDefault="00F5139A" w:rsidP="009470BD">
            <w:pPr>
              <w:jc w:val="center"/>
              <w:rPr>
                <w:rFonts w:ascii="Arial" w:hAnsi="Arial" w:cs="Arial"/>
              </w:rPr>
            </w:pPr>
            <w:r w:rsidRPr="003E32F6">
              <w:rPr>
                <w:rFonts w:ascii="Arial" w:hAnsi="Arial" w:cs="Arial"/>
              </w:rPr>
              <w:t>0.0000000</w:t>
            </w:r>
          </w:p>
        </w:tc>
        <w:tc>
          <w:tcPr>
            <w:tcW w:w="1915" w:type="dxa"/>
          </w:tcPr>
          <w:p w:rsidR="00F5139A" w:rsidRPr="003E32F6" w:rsidRDefault="00F5139A" w:rsidP="009470BD">
            <w:pPr>
              <w:jc w:val="center"/>
              <w:rPr>
                <w:rFonts w:ascii="Arial" w:hAnsi="Arial" w:cs="Arial"/>
              </w:rPr>
            </w:pPr>
            <w:r w:rsidRPr="003E32F6">
              <w:rPr>
                <w:rFonts w:ascii="Arial" w:hAnsi="Arial" w:cs="Arial"/>
              </w:rPr>
              <w:t>0.000000</w:t>
            </w:r>
          </w:p>
        </w:tc>
        <w:tc>
          <w:tcPr>
            <w:tcW w:w="1916" w:type="dxa"/>
          </w:tcPr>
          <w:p w:rsidR="00F5139A" w:rsidRPr="003E32F6" w:rsidRDefault="00F5139A" w:rsidP="009470BD">
            <w:pPr>
              <w:jc w:val="center"/>
              <w:rPr>
                <w:rFonts w:ascii="Arial" w:hAnsi="Arial" w:cs="Arial"/>
              </w:rPr>
            </w:pPr>
            <w:r w:rsidRPr="003E32F6">
              <w:rPr>
                <w:rFonts w:ascii="Arial" w:hAnsi="Arial" w:cs="Arial"/>
              </w:rPr>
              <w:t>0.000000</w:t>
            </w:r>
          </w:p>
        </w:tc>
      </w:tr>
      <w:tr w:rsidR="00F5139A" w:rsidRPr="003E32F6" w:rsidTr="009470BD">
        <w:tc>
          <w:tcPr>
            <w:tcW w:w="2178" w:type="dxa"/>
          </w:tcPr>
          <w:p w:rsidR="00F5139A" w:rsidRPr="003E32F6" w:rsidRDefault="00F5139A" w:rsidP="009470BD">
            <w:pPr>
              <w:rPr>
                <w:rFonts w:ascii="Arial" w:hAnsi="Arial" w:cs="Arial"/>
              </w:rPr>
            </w:pPr>
            <w:r w:rsidRPr="003E32F6">
              <w:rPr>
                <w:rFonts w:ascii="Arial" w:hAnsi="Arial" w:cs="Arial"/>
              </w:rPr>
              <w:t>No. of Observations</w:t>
            </w:r>
          </w:p>
        </w:tc>
        <w:tc>
          <w:tcPr>
            <w:tcW w:w="1800" w:type="dxa"/>
          </w:tcPr>
          <w:p w:rsidR="00F5139A" w:rsidRPr="003E32F6" w:rsidRDefault="00F5139A" w:rsidP="009470BD">
            <w:pPr>
              <w:jc w:val="center"/>
              <w:rPr>
                <w:rFonts w:ascii="Arial" w:hAnsi="Arial" w:cs="Arial"/>
              </w:rPr>
            </w:pPr>
            <w:r w:rsidRPr="003E32F6">
              <w:rPr>
                <w:rFonts w:ascii="Arial" w:hAnsi="Arial" w:cs="Arial"/>
              </w:rPr>
              <w:t>3606</w:t>
            </w:r>
          </w:p>
        </w:tc>
        <w:tc>
          <w:tcPr>
            <w:tcW w:w="1767" w:type="dxa"/>
          </w:tcPr>
          <w:p w:rsidR="00F5139A" w:rsidRPr="003E32F6" w:rsidRDefault="00F5139A" w:rsidP="009470BD">
            <w:pPr>
              <w:jc w:val="center"/>
              <w:rPr>
                <w:rFonts w:ascii="Arial" w:hAnsi="Arial" w:cs="Arial"/>
              </w:rPr>
            </w:pPr>
            <w:r w:rsidRPr="003E32F6">
              <w:rPr>
                <w:rFonts w:ascii="Arial" w:hAnsi="Arial" w:cs="Arial"/>
              </w:rPr>
              <w:t>3605</w:t>
            </w:r>
          </w:p>
        </w:tc>
        <w:tc>
          <w:tcPr>
            <w:tcW w:w="1915" w:type="dxa"/>
          </w:tcPr>
          <w:p w:rsidR="00F5139A" w:rsidRPr="003E32F6" w:rsidRDefault="00F5139A" w:rsidP="009470BD">
            <w:pPr>
              <w:jc w:val="center"/>
              <w:rPr>
                <w:rFonts w:ascii="Arial" w:hAnsi="Arial" w:cs="Arial"/>
              </w:rPr>
            </w:pPr>
            <w:r w:rsidRPr="003E32F6">
              <w:rPr>
                <w:rFonts w:ascii="Arial" w:hAnsi="Arial" w:cs="Arial"/>
              </w:rPr>
              <w:t>3605</w:t>
            </w:r>
          </w:p>
        </w:tc>
        <w:tc>
          <w:tcPr>
            <w:tcW w:w="1916" w:type="dxa"/>
          </w:tcPr>
          <w:p w:rsidR="00F5139A" w:rsidRPr="003E32F6" w:rsidRDefault="00F5139A" w:rsidP="009470BD">
            <w:pPr>
              <w:jc w:val="center"/>
              <w:rPr>
                <w:rFonts w:ascii="Arial" w:hAnsi="Arial" w:cs="Arial"/>
              </w:rPr>
            </w:pPr>
            <w:r w:rsidRPr="003E32F6">
              <w:rPr>
                <w:rFonts w:ascii="Arial" w:hAnsi="Arial" w:cs="Arial"/>
              </w:rPr>
              <w:t>3605</w:t>
            </w:r>
          </w:p>
        </w:tc>
      </w:tr>
    </w:tbl>
    <w:p w:rsidR="00F5139A" w:rsidRPr="003E32F6" w:rsidRDefault="00F5139A" w:rsidP="00F5139A">
      <w:pPr>
        <w:jc w:val="both"/>
        <w:rPr>
          <w:rFonts w:ascii="Arial" w:hAnsi="Arial" w:cs="Arial"/>
        </w:rPr>
      </w:pPr>
      <w:r w:rsidRPr="003E32F6">
        <w:rPr>
          <w:rFonts w:ascii="Arial" w:hAnsi="Arial" w:cs="Arial"/>
        </w:rPr>
        <w:t xml:space="preserve">The summary statistics reported in Table 1 reveal key features of Nigerian crude oil prices and their return dynamics. Crude oil prices have an average of $79.35 with moderate variability (standard deviation of $25.68) and exhibit a nearly symmetric distribution. However, the </w:t>
      </w:r>
      <w:proofErr w:type="spellStart"/>
      <w:r w:rsidRPr="003E32F6">
        <w:rPr>
          <w:rFonts w:ascii="Arial" w:hAnsi="Arial" w:cs="Arial"/>
        </w:rPr>
        <w:t>Jarque-Bera</w:t>
      </w:r>
      <w:proofErr w:type="spellEnd"/>
      <w:r w:rsidRPr="003E32F6">
        <w:rPr>
          <w:rFonts w:ascii="Arial" w:hAnsi="Arial" w:cs="Arial"/>
        </w:rPr>
        <w:t xml:space="preserve"> test indicates significant non-normality, suggesting that standard assumptions of normality may not hold. The return series shows a small negative average return (-0.0038) and substantial volatility (standard deviation of 4.17), with strong left skewness and extremely high kurtosis, indicating the presence of heavy tails and potential market shocks. The analysis of both absolute and squared returns clearly shows the presence of volatility clustering, as evidenced by their high levels of skewness, kurtosis, and departure from normal distribution patterns. In simple terms, this means that periods of high price fluctuations in the crude oil market tend to be followed by more fluctuations, while calm periods also persist for some time — a common feature in financial time series.</w:t>
      </w:r>
    </w:p>
    <w:p w:rsidR="00F5139A" w:rsidRPr="003E32F6" w:rsidRDefault="00F5139A" w:rsidP="00F5139A">
      <w:pPr>
        <w:spacing w:before="240"/>
        <w:jc w:val="both"/>
        <w:rPr>
          <w:rFonts w:ascii="Arial" w:hAnsi="Arial" w:cs="Arial"/>
        </w:rPr>
      </w:pPr>
      <w:r w:rsidRPr="003E32F6">
        <w:rPr>
          <w:rFonts w:ascii="Arial" w:hAnsi="Arial" w:cs="Arial"/>
        </w:rPr>
        <w:t xml:space="preserve">These statistical </w:t>
      </w:r>
      <w:proofErr w:type="spellStart"/>
      <w:r w:rsidRPr="003E32F6">
        <w:rPr>
          <w:rFonts w:ascii="Arial" w:hAnsi="Arial" w:cs="Arial"/>
        </w:rPr>
        <w:t>behaviours</w:t>
      </w:r>
      <w:proofErr w:type="spellEnd"/>
      <w:r w:rsidRPr="003E32F6">
        <w:rPr>
          <w:rFonts w:ascii="Arial" w:hAnsi="Arial" w:cs="Arial"/>
        </w:rPr>
        <w:t xml:space="preserve"> provide strong justification for applying the Symmetric Autoregressive Conditional Duration (ACD) model to study the intervals between major price movements. Unlike traditional linear models, which assume constant relationships over time, ACD models are designed to capture nonlinear patterns and time-dependent variations that naturally occur in volatile markets. Therefore, given the observed irregularities, heavy tails, and persistence in volatility, the ACD framework is particularly appropriate for analyzing how frequently and intensely price changes occur in Nigeria’s crude oil market. This approach not only enhances understanding of market dynamics but also improves the accuracy of forecasting and policy formulation in the oil sector.</w:t>
      </w:r>
    </w:p>
    <w:p w:rsidR="00F5139A" w:rsidRPr="003E32F6" w:rsidRDefault="003E32F6" w:rsidP="00F5139A">
      <w:pPr>
        <w:spacing w:before="240"/>
        <w:rPr>
          <w:rFonts w:ascii="Arial" w:hAnsi="Arial" w:cs="Arial"/>
          <w:b/>
        </w:rPr>
      </w:pPr>
      <w:r w:rsidRPr="003E32F6">
        <w:rPr>
          <w:rFonts w:ascii="Arial" w:hAnsi="Arial" w:cs="Arial"/>
          <w:b/>
        </w:rPr>
        <w:t>3</w:t>
      </w:r>
      <w:r w:rsidR="00F5139A" w:rsidRPr="003E32F6">
        <w:rPr>
          <w:rFonts w:ascii="Arial" w:hAnsi="Arial" w:cs="Arial"/>
          <w:b/>
        </w:rPr>
        <w:t xml:space="preserve">.2 Graphical Properties of the series </w:t>
      </w:r>
    </w:p>
    <w:p w:rsidR="00F5139A" w:rsidRPr="003E32F6" w:rsidRDefault="00F5139A" w:rsidP="00F5139A">
      <w:pPr>
        <w:spacing w:before="240"/>
        <w:jc w:val="both"/>
        <w:rPr>
          <w:rFonts w:ascii="Arial" w:hAnsi="Arial" w:cs="Arial"/>
        </w:rPr>
      </w:pPr>
      <w:r w:rsidRPr="003E32F6">
        <w:rPr>
          <w:rFonts w:ascii="Arial" w:hAnsi="Arial" w:cs="Arial"/>
        </w:rPr>
        <w:t xml:space="preserve">As part of the preliminary analysis, graphical visualizations were employed to explore the patterns and </w:t>
      </w:r>
      <w:proofErr w:type="spellStart"/>
      <w:r w:rsidRPr="003E32F6">
        <w:rPr>
          <w:rFonts w:ascii="Arial" w:hAnsi="Arial" w:cs="Arial"/>
        </w:rPr>
        <w:t>behaviour</w:t>
      </w:r>
      <w:proofErr w:type="spellEnd"/>
      <w:r w:rsidRPr="003E32F6">
        <w:rPr>
          <w:rFonts w:ascii="Arial" w:hAnsi="Arial" w:cs="Arial"/>
        </w:rPr>
        <w:t xml:space="preserve"> of Nigerian crude oil prices over time. Figure 1 presents four time series plots illustrating the movements of Crude Oil Prices, Returns, Absolute Returns, and Squared Returns. These visual representations offer valuable insights into the overall level, volatility, and occurrence of extreme price fluctuations in the crude oil market. By observing these patterns, one can clearly see periods of stability as well as moments of intense price swings, which highlight the presence of volatility clustering. Such graphical evidence serves as a strong motivation for applying the Autoregressive Conditional Duration (ACD) models, as they are capable of capturing and explaining the complex timing and intensity of price changes observed in Nigeria’s crude oil market.</w:t>
      </w:r>
    </w:p>
    <w:p w:rsidR="00F5139A" w:rsidRPr="00E1447D" w:rsidRDefault="00F5139A" w:rsidP="00F5139A">
      <w:pPr>
        <w:jc w:val="both"/>
        <w:rPr>
          <w:rFonts w:ascii="Times New Roman" w:hAnsi="Times New Roman"/>
          <w:sz w:val="24"/>
          <w:szCs w:val="24"/>
        </w:rPr>
      </w:pPr>
      <w:r>
        <w:object w:dxaOrig="10006" w:dyaOrig="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45pt;height:206.35pt" o:ole="">
            <v:imagedata r:id="rId14" o:title=""/>
          </v:shape>
          <o:OLEObject Type="Embed" ProgID="Unknown" ShapeID="_x0000_i1026" DrawAspect="Content" ObjectID="_1837421900" r:id="rId15"/>
        </w:object>
      </w:r>
    </w:p>
    <w:p w:rsidR="00F5139A" w:rsidRDefault="00F5139A" w:rsidP="00F5139A">
      <w:pPr>
        <w:rPr>
          <w:rFonts w:ascii="Arial" w:hAnsi="Arial" w:cs="Arial"/>
          <w:b/>
        </w:rPr>
      </w:pPr>
      <w:r w:rsidRPr="009470BD">
        <w:rPr>
          <w:rFonts w:ascii="Arial" w:hAnsi="Arial" w:cs="Arial"/>
          <w:b/>
        </w:rPr>
        <w:t xml:space="preserve">Figure 1: Time Plot of Crude Oil Price, Crude Oil Returns, Absolute Returns and </w:t>
      </w:r>
    </w:p>
    <w:p w:rsidR="009470BD" w:rsidRPr="009470BD" w:rsidRDefault="009470BD" w:rsidP="00F5139A">
      <w:pPr>
        <w:rPr>
          <w:rFonts w:ascii="Arial" w:hAnsi="Arial" w:cs="Arial"/>
          <w:b/>
        </w:rPr>
      </w:pPr>
      <w:r>
        <w:rPr>
          <w:rFonts w:ascii="Arial" w:hAnsi="Arial" w:cs="Arial"/>
          <w:b/>
        </w:rPr>
        <w:tab/>
      </w:r>
      <w:r w:rsidRPr="009470BD">
        <w:rPr>
          <w:rFonts w:ascii="Arial" w:hAnsi="Arial" w:cs="Arial"/>
          <w:b/>
        </w:rPr>
        <w:t>Squared Returns</w:t>
      </w:r>
    </w:p>
    <w:p w:rsidR="00F5139A" w:rsidRPr="009470BD" w:rsidRDefault="00F5139A" w:rsidP="00F5139A">
      <w:pPr>
        <w:spacing w:before="240"/>
        <w:jc w:val="both"/>
        <w:rPr>
          <w:rFonts w:ascii="Arial" w:hAnsi="Arial" w:cs="Arial"/>
        </w:rPr>
      </w:pPr>
      <w:r w:rsidRPr="009470BD">
        <w:rPr>
          <w:rFonts w:ascii="Arial" w:hAnsi="Arial" w:cs="Arial"/>
        </w:rPr>
        <w:t xml:space="preserve">The graphical analysis of Nigerian crude oil price movements presented in Figure 1 reveals several important characteristics that are typical of financial time series data. The crude oil price plot shows that prices are not stable over time — they fluctuate widely and display signs of structural changes, suggesting non-stationarity in the series. In the returns plot, there are sharp upward and downward spikes, pointing to the presence of heavy tails and sudden, extreme price changes. Furthermore, the plots of absolute and squared returns clearly demonstrate volatility clustering — periods of high volatility tend to be followed by more volatility, while calm periods also occur in succession. Together, these patterns emphasize that crude oil prices in Nigeria are influenced by complex, time-dependent factors. As such, traditional static models may not adequately describe their </w:t>
      </w:r>
      <w:proofErr w:type="spellStart"/>
      <w:r w:rsidRPr="009470BD">
        <w:rPr>
          <w:rFonts w:ascii="Arial" w:hAnsi="Arial" w:cs="Arial"/>
        </w:rPr>
        <w:t>behaviour</w:t>
      </w:r>
      <w:proofErr w:type="spellEnd"/>
      <w:r w:rsidRPr="009470BD">
        <w:rPr>
          <w:rFonts w:ascii="Arial" w:hAnsi="Arial" w:cs="Arial"/>
        </w:rPr>
        <w:t>. This makes time-varying models such as the Autoregressive Conditional Duration (ACD) model particularly suitable, as they can effectively capture the persistence, clustering, and irregular patterns in price fluctuations and return volatility observed over time.</w:t>
      </w:r>
    </w:p>
    <w:p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.3 KPSS Stationarity Test Result for the Duration Series</w:t>
      </w:r>
    </w:p>
    <w:p w:rsidR="00F5139A" w:rsidRPr="009470BD" w:rsidRDefault="00F5139A" w:rsidP="00F5139A">
      <w:pPr>
        <w:spacing w:before="240"/>
        <w:jc w:val="both"/>
        <w:rPr>
          <w:rFonts w:ascii="Arial" w:hAnsi="Arial" w:cs="Arial"/>
        </w:rPr>
      </w:pPr>
      <w:r w:rsidRPr="009470BD">
        <w:rPr>
          <w:rFonts w:ascii="Arial" w:hAnsi="Arial" w:cs="Arial"/>
        </w:rPr>
        <w:t xml:space="preserve">The Kwiatkowski–Phillips–Schmidt–Shin (KPSS) test reported in Table 2 is used to determine whether a time series is stable over time, meaning that its statistical properties such as mean and variance remain constant. Unlike traditional unit root tests such as the Augmented Dickey-Fuller (ADF) test, which assume non-stationarity as the null hypothesis, the KPSS test does the opposite — it assumes that the series is stationary either around a constant level (intercept) or a deterministic trend. This reversal makes the KPSS test a valuable complement to unit root tests, providing a more balanced and reliable assessment of a series’ stationarity. </w:t>
      </w:r>
    </w:p>
    <w:p w:rsidR="00F5139A" w:rsidRPr="009470BD" w:rsidRDefault="00F5139A" w:rsidP="00F5139A">
      <w:pPr>
        <w:rPr>
          <w:rFonts w:ascii="Arial" w:hAnsi="Arial" w:cs="Arial"/>
          <w:b/>
        </w:rPr>
      </w:pPr>
      <w:r w:rsidRPr="009470BD">
        <w:rPr>
          <w:rFonts w:ascii="Arial" w:hAnsi="Arial" w:cs="Arial"/>
          <w:b/>
        </w:rPr>
        <w:t>Table 2:  KPSS Stationarity Test Result for the Duration Series</w:t>
      </w:r>
    </w:p>
    <w:tbl>
      <w:tblPr>
        <w:tblW w:w="0" w:type="auto"/>
        <w:tblBorders>
          <w:top w:val="single" w:sz="4" w:space="0" w:color="auto"/>
          <w:bottom w:val="single" w:sz="4" w:space="0" w:color="auto"/>
        </w:tblBorders>
        <w:tblLook w:val="04A0" w:firstRow="1" w:lastRow="0" w:firstColumn="1" w:lastColumn="0" w:noHBand="0" w:noVBand="1"/>
      </w:tblPr>
      <w:tblGrid>
        <w:gridCol w:w="2052"/>
        <w:gridCol w:w="2132"/>
        <w:gridCol w:w="2127"/>
        <w:gridCol w:w="2113"/>
      </w:tblGrid>
      <w:tr w:rsidR="00F5139A" w:rsidRPr="009470BD" w:rsidTr="009470BD">
        <w:tc>
          <w:tcPr>
            <w:tcW w:w="2394"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Lag</w:t>
            </w:r>
          </w:p>
        </w:tc>
        <w:tc>
          <w:tcPr>
            <w:tcW w:w="2394"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Test option</w:t>
            </w:r>
          </w:p>
        </w:tc>
        <w:tc>
          <w:tcPr>
            <w:tcW w:w="2394"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KPSS test statistic</w:t>
            </w:r>
          </w:p>
        </w:tc>
        <w:tc>
          <w:tcPr>
            <w:tcW w:w="2394"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5% Critical value</w:t>
            </w:r>
          </w:p>
        </w:tc>
      </w:tr>
      <w:tr w:rsidR="00F5139A" w:rsidRPr="009470BD" w:rsidTr="009470BD">
        <w:tc>
          <w:tcPr>
            <w:tcW w:w="2394" w:type="dxa"/>
            <w:tcBorders>
              <w:top w:val="single" w:sz="4" w:space="0" w:color="auto"/>
            </w:tcBorders>
          </w:tcPr>
          <w:p w:rsidR="00F5139A" w:rsidRPr="009470BD" w:rsidRDefault="00F5139A" w:rsidP="009470BD">
            <w:pPr>
              <w:jc w:val="center"/>
              <w:rPr>
                <w:rFonts w:ascii="Arial" w:hAnsi="Arial" w:cs="Arial"/>
              </w:rPr>
            </w:pPr>
            <w:r w:rsidRPr="009470BD">
              <w:rPr>
                <w:rFonts w:ascii="Arial" w:hAnsi="Arial" w:cs="Arial"/>
              </w:rPr>
              <w:t>12</w:t>
            </w:r>
          </w:p>
        </w:tc>
        <w:tc>
          <w:tcPr>
            <w:tcW w:w="2394" w:type="dxa"/>
            <w:tcBorders>
              <w:top w:val="single" w:sz="4" w:space="0" w:color="auto"/>
            </w:tcBorders>
          </w:tcPr>
          <w:p w:rsidR="00F5139A" w:rsidRPr="009470BD" w:rsidRDefault="00F5139A" w:rsidP="009470BD">
            <w:pPr>
              <w:jc w:val="center"/>
              <w:rPr>
                <w:rFonts w:ascii="Arial" w:hAnsi="Arial" w:cs="Arial"/>
              </w:rPr>
            </w:pPr>
            <w:r w:rsidRPr="009470BD">
              <w:rPr>
                <w:rFonts w:ascii="Arial" w:hAnsi="Arial" w:cs="Arial"/>
              </w:rPr>
              <w:t>Intercept only</w:t>
            </w:r>
          </w:p>
        </w:tc>
        <w:tc>
          <w:tcPr>
            <w:tcW w:w="2394" w:type="dxa"/>
            <w:tcBorders>
              <w:top w:val="single" w:sz="4" w:space="0" w:color="auto"/>
            </w:tcBorders>
          </w:tcPr>
          <w:p w:rsidR="00F5139A" w:rsidRPr="009470BD" w:rsidRDefault="00F5139A" w:rsidP="009470BD">
            <w:pPr>
              <w:jc w:val="center"/>
              <w:rPr>
                <w:rFonts w:ascii="Arial" w:hAnsi="Arial" w:cs="Arial"/>
              </w:rPr>
            </w:pPr>
            <w:r w:rsidRPr="009470BD">
              <w:rPr>
                <w:rFonts w:ascii="Arial" w:hAnsi="Arial" w:cs="Arial"/>
              </w:rPr>
              <w:t>0.40172</w:t>
            </w:r>
          </w:p>
        </w:tc>
        <w:tc>
          <w:tcPr>
            <w:tcW w:w="2394" w:type="dxa"/>
            <w:tcBorders>
              <w:top w:val="single" w:sz="4" w:space="0" w:color="auto"/>
            </w:tcBorders>
          </w:tcPr>
          <w:p w:rsidR="00F5139A" w:rsidRPr="009470BD" w:rsidRDefault="00F5139A" w:rsidP="009470BD">
            <w:pPr>
              <w:jc w:val="center"/>
              <w:rPr>
                <w:rFonts w:ascii="Arial" w:hAnsi="Arial" w:cs="Arial"/>
              </w:rPr>
            </w:pPr>
            <w:r w:rsidRPr="009470BD">
              <w:rPr>
                <w:rFonts w:ascii="Arial" w:hAnsi="Arial" w:cs="Arial"/>
              </w:rPr>
              <w:t>0.4630</w:t>
            </w:r>
          </w:p>
        </w:tc>
      </w:tr>
      <w:tr w:rsidR="00F5139A" w:rsidRPr="009470BD" w:rsidTr="009470BD">
        <w:tc>
          <w:tcPr>
            <w:tcW w:w="2394" w:type="dxa"/>
          </w:tcPr>
          <w:p w:rsidR="00F5139A" w:rsidRPr="009470BD" w:rsidRDefault="00F5139A" w:rsidP="009470BD">
            <w:pPr>
              <w:jc w:val="center"/>
              <w:rPr>
                <w:rFonts w:ascii="Arial" w:hAnsi="Arial" w:cs="Arial"/>
              </w:rPr>
            </w:pPr>
            <w:r w:rsidRPr="009470BD">
              <w:rPr>
                <w:rFonts w:ascii="Arial" w:hAnsi="Arial" w:cs="Arial"/>
              </w:rPr>
              <w:t>12</w:t>
            </w:r>
          </w:p>
        </w:tc>
        <w:tc>
          <w:tcPr>
            <w:tcW w:w="2394" w:type="dxa"/>
          </w:tcPr>
          <w:p w:rsidR="00F5139A" w:rsidRPr="009470BD" w:rsidRDefault="00F5139A" w:rsidP="009470BD">
            <w:pPr>
              <w:jc w:val="center"/>
              <w:rPr>
                <w:rFonts w:ascii="Arial" w:hAnsi="Arial" w:cs="Arial"/>
              </w:rPr>
            </w:pPr>
            <w:r w:rsidRPr="009470BD">
              <w:rPr>
                <w:rFonts w:ascii="Arial" w:hAnsi="Arial" w:cs="Arial"/>
              </w:rPr>
              <w:t>Intercept &amp; trend</w:t>
            </w:r>
          </w:p>
        </w:tc>
        <w:tc>
          <w:tcPr>
            <w:tcW w:w="2394" w:type="dxa"/>
          </w:tcPr>
          <w:p w:rsidR="00F5139A" w:rsidRPr="009470BD" w:rsidRDefault="00F5139A" w:rsidP="009470BD">
            <w:pPr>
              <w:jc w:val="center"/>
              <w:rPr>
                <w:rFonts w:ascii="Arial" w:hAnsi="Arial" w:cs="Arial"/>
              </w:rPr>
            </w:pPr>
            <w:r w:rsidRPr="009470BD">
              <w:rPr>
                <w:rFonts w:ascii="Arial" w:hAnsi="Arial" w:cs="Arial"/>
              </w:rPr>
              <w:t>0.05394</w:t>
            </w:r>
          </w:p>
        </w:tc>
        <w:tc>
          <w:tcPr>
            <w:tcW w:w="2394" w:type="dxa"/>
          </w:tcPr>
          <w:p w:rsidR="00F5139A" w:rsidRPr="009470BD" w:rsidRDefault="00F5139A" w:rsidP="009470BD">
            <w:pPr>
              <w:jc w:val="center"/>
              <w:rPr>
                <w:rFonts w:ascii="Arial" w:hAnsi="Arial" w:cs="Arial"/>
              </w:rPr>
            </w:pPr>
            <w:r w:rsidRPr="009470BD">
              <w:rPr>
                <w:rFonts w:ascii="Arial" w:hAnsi="Arial" w:cs="Arial"/>
              </w:rPr>
              <w:t>0.1460</w:t>
            </w:r>
          </w:p>
        </w:tc>
      </w:tr>
    </w:tbl>
    <w:p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 xml:space="preserve">The KPSS test result reported in Table 2 indicates that the crude oil price duration series (squared returns) is stationary. When tested under the intercept-only specification, the KPSS </w:t>
      </w:r>
      <w:r w:rsidRPr="009470BD">
        <w:rPr>
          <w:rFonts w:ascii="Arial" w:hAnsi="Arial" w:cs="Arial"/>
          <w:sz w:val="20"/>
          <w:szCs w:val="20"/>
        </w:rPr>
        <w:lastRenderedPageBreak/>
        <w:t xml:space="preserve">test statistic is 0.40172, which is below the 5% critical value of 0.4630, leading to non-rejection of the null hypothesis of level stationarity. Similarly, under the intercept and trend specification, the test statistic is 0.05394, also well below the 5% critical value of 0.1460, implying non-rejection of the null hypothesis of trend stationarity. Therefore, the duration series does not exhibit unit root </w:t>
      </w:r>
      <w:proofErr w:type="spellStart"/>
      <w:r w:rsidRPr="009470BD">
        <w:rPr>
          <w:rFonts w:ascii="Arial" w:hAnsi="Arial" w:cs="Arial"/>
          <w:sz w:val="20"/>
          <w:szCs w:val="20"/>
        </w:rPr>
        <w:t>behaviour</w:t>
      </w:r>
      <w:proofErr w:type="spellEnd"/>
      <w:r w:rsidRPr="009470BD">
        <w:rPr>
          <w:rFonts w:ascii="Arial" w:hAnsi="Arial" w:cs="Arial"/>
          <w:sz w:val="20"/>
          <w:szCs w:val="20"/>
        </w:rPr>
        <w:t xml:space="preserve"> and is considered stationary in both level and trend. </w:t>
      </w:r>
    </w:p>
    <w:p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 xml:space="preserve">.4 </w:t>
      </w:r>
      <w:proofErr w:type="spellStart"/>
      <w:r w:rsidR="00F5139A" w:rsidRPr="009470BD">
        <w:rPr>
          <w:rFonts w:ascii="Arial" w:hAnsi="Arial" w:cs="Arial"/>
          <w:b/>
        </w:rPr>
        <w:t>Ljung</w:t>
      </w:r>
      <w:proofErr w:type="spellEnd"/>
      <w:r w:rsidR="00F5139A" w:rsidRPr="009470BD">
        <w:rPr>
          <w:rFonts w:ascii="Arial" w:hAnsi="Arial" w:cs="Arial"/>
          <w:b/>
        </w:rPr>
        <w:t xml:space="preserve">-Box Q-statistic Test Result for Serial Correlation </w:t>
      </w:r>
    </w:p>
    <w:p w:rsidR="00F5139A" w:rsidRPr="009470BD" w:rsidRDefault="00F5139A" w:rsidP="00F5139A">
      <w:pPr>
        <w:jc w:val="both"/>
        <w:rPr>
          <w:rFonts w:ascii="Arial" w:hAnsi="Arial" w:cs="Arial"/>
        </w:rPr>
      </w:pPr>
      <w:r w:rsidRPr="009470BD">
        <w:rPr>
          <w:rFonts w:ascii="Arial" w:hAnsi="Arial" w:cs="Arial"/>
        </w:rPr>
        <w:t xml:space="preserve">The </w:t>
      </w:r>
      <w:proofErr w:type="spellStart"/>
      <w:r w:rsidRPr="009470BD">
        <w:rPr>
          <w:rFonts w:ascii="Arial" w:hAnsi="Arial" w:cs="Arial"/>
        </w:rPr>
        <w:t>Ljung</w:t>
      </w:r>
      <w:proofErr w:type="spellEnd"/>
      <w:r w:rsidRPr="009470BD">
        <w:rPr>
          <w:rFonts w:ascii="Arial" w:hAnsi="Arial" w:cs="Arial"/>
        </w:rPr>
        <w:t>-Box Q-statistic test is used to check whether the crude oil price duration series shows signs of autocorrelation — that is, whether current durations are influenced by past ones. Identifying this relationship is important because Autoregressive Conditional Duration (ACD) models rely on the idea that past information helps explain current patterns in the data. When significant autocorrelation is detected, it confirms that using time series models like the ACD is appropriate for capturing these time-dependent dynamics. The results of this test are presented in Table 3.</w:t>
      </w:r>
    </w:p>
    <w:p w:rsidR="00F5139A" w:rsidRPr="009470BD" w:rsidRDefault="00F5139A" w:rsidP="00F5139A">
      <w:pPr>
        <w:rPr>
          <w:rFonts w:ascii="Arial" w:hAnsi="Arial" w:cs="Arial"/>
          <w:b/>
        </w:rPr>
      </w:pPr>
      <w:r w:rsidRPr="009470BD">
        <w:rPr>
          <w:rFonts w:ascii="Arial" w:hAnsi="Arial" w:cs="Arial"/>
          <w:b/>
        </w:rPr>
        <w:t xml:space="preserve">Table 3:  </w:t>
      </w:r>
      <w:proofErr w:type="spellStart"/>
      <w:r w:rsidRPr="009470BD">
        <w:rPr>
          <w:rFonts w:ascii="Arial" w:hAnsi="Arial" w:cs="Arial"/>
          <w:b/>
        </w:rPr>
        <w:t>Ljung</w:t>
      </w:r>
      <w:proofErr w:type="spellEnd"/>
      <w:r w:rsidRPr="009470BD">
        <w:rPr>
          <w:rFonts w:ascii="Arial" w:hAnsi="Arial" w:cs="Arial"/>
          <w:b/>
        </w:rPr>
        <w:t xml:space="preserve">-Box Q-statistic Test for Autocorrelation of Duration Series </w:t>
      </w:r>
    </w:p>
    <w:tbl>
      <w:tblPr>
        <w:tblW w:w="0" w:type="auto"/>
        <w:tblBorders>
          <w:top w:val="single" w:sz="4" w:space="0" w:color="auto"/>
          <w:bottom w:val="single" w:sz="4" w:space="0" w:color="auto"/>
        </w:tblBorders>
        <w:tblLook w:val="04A0" w:firstRow="1" w:lastRow="0" w:firstColumn="1" w:lastColumn="0" w:noHBand="0" w:noVBand="1"/>
      </w:tblPr>
      <w:tblGrid>
        <w:gridCol w:w="1649"/>
        <w:gridCol w:w="1680"/>
        <w:gridCol w:w="1686"/>
        <w:gridCol w:w="1728"/>
        <w:gridCol w:w="1681"/>
      </w:tblGrid>
      <w:tr w:rsidR="00F5139A" w:rsidRPr="009470BD" w:rsidTr="009470BD">
        <w:tc>
          <w:tcPr>
            <w:tcW w:w="1915"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Lag</w:t>
            </w:r>
          </w:p>
        </w:tc>
        <w:tc>
          <w:tcPr>
            <w:tcW w:w="1915"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ACF</w:t>
            </w:r>
          </w:p>
        </w:tc>
        <w:tc>
          <w:tcPr>
            <w:tcW w:w="1915"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PACF</w:t>
            </w:r>
          </w:p>
        </w:tc>
        <w:tc>
          <w:tcPr>
            <w:tcW w:w="1915"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Q-statistic</w:t>
            </w:r>
          </w:p>
        </w:tc>
        <w:tc>
          <w:tcPr>
            <w:tcW w:w="1916" w:type="dxa"/>
            <w:tcBorders>
              <w:top w:val="single" w:sz="4" w:space="0" w:color="auto"/>
              <w:bottom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p-value</w:t>
            </w:r>
          </w:p>
        </w:tc>
      </w:tr>
      <w:tr w:rsidR="00F5139A" w:rsidRPr="009470BD" w:rsidTr="009470BD">
        <w:tc>
          <w:tcPr>
            <w:tcW w:w="1915" w:type="dxa"/>
            <w:tcBorders>
              <w:top w:val="single" w:sz="4" w:space="0" w:color="auto"/>
            </w:tcBorders>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w:t>
            </w:r>
          </w:p>
        </w:tc>
        <w:tc>
          <w:tcPr>
            <w:tcW w:w="1915" w:type="dxa"/>
            <w:tcBorders>
              <w:top w:val="single" w:sz="4" w:space="0" w:color="auto"/>
            </w:tcBorders>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0.475</w:t>
            </w:r>
          </w:p>
        </w:tc>
        <w:tc>
          <w:tcPr>
            <w:tcW w:w="1915" w:type="dxa"/>
            <w:tcBorders>
              <w:top w:val="single" w:sz="4" w:space="0" w:color="auto"/>
            </w:tcBorders>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0.475</w:t>
            </w:r>
          </w:p>
        </w:tc>
        <w:tc>
          <w:tcPr>
            <w:tcW w:w="1915" w:type="dxa"/>
            <w:tcBorders>
              <w:top w:val="single" w:sz="4" w:space="0" w:color="auto"/>
            </w:tcBorders>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815.48</w:t>
            </w:r>
          </w:p>
        </w:tc>
        <w:tc>
          <w:tcPr>
            <w:tcW w:w="1916" w:type="dxa"/>
            <w:tcBorders>
              <w:top w:val="single" w:sz="4" w:space="0" w:color="auto"/>
            </w:tcBorders>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0.017</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-0.270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816.55</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3</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0.170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816.60</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0.013</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-0.092</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817.17</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0.054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817.25</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6</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0.011</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-0.017</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817.68</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7</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0.001</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817.68</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0.006</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817.79</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9</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0.003</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-0.013</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817.84</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0.025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0.047</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820.12</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-0.055</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823.90</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824.23</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rsidTr="009470BD">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24</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0.006</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-0.010</w:t>
            </w:r>
          </w:p>
        </w:tc>
        <w:tc>
          <w:tcPr>
            <w:tcW w:w="1915"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824.51</w:t>
            </w:r>
          </w:p>
        </w:tc>
        <w:tc>
          <w:tcPr>
            <w:tcW w:w="1916" w:type="dxa"/>
            <w:vAlign w:val="bottom"/>
          </w:tcPr>
          <w:p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bl>
    <w:p w:rsidR="00F5139A" w:rsidRPr="009470BD" w:rsidRDefault="00F5139A" w:rsidP="00F5139A">
      <w:pPr>
        <w:jc w:val="both"/>
        <w:rPr>
          <w:rFonts w:ascii="Arial" w:hAnsi="Arial" w:cs="Arial"/>
        </w:rPr>
      </w:pPr>
      <w:r w:rsidRPr="009470BD">
        <w:rPr>
          <w:rFonts w:ascii="Arial" w:hAnsi="Arial" w:cs="Arial"/>
        </w:rPr>
        <w:t xml:space="preserve">The </w:t>
      </w:r>
      <w:proofErr w:type="spellStart"/>
      <w:r w:rsidRPr="009470BD">
        <w:rPr>
          <w:rFonts w:ascii="Arial" w:hAnsi="Arial" w:cs="Arial"/>
        </w:rPr>
        <w:t>Ljung</w:t>
      </w:r>
      <w:proofErr w:type="spellEnd"/>
      <w:r w:rsidRPr="009470BD">
        <w:rPr>
          <w:rFonts w:ascii="Arial" w:hAnsi="Arial" w:cs="Arial"/>
        </w:rPr>
        <w:t>-Box Q-statistics results presented in Table 3 provide strong evidence of autocorrelation in the crude oil price duration series. At lag 1, the autocorrelation coefficient is 0.475, with a Q-statistic of 815.48 and a p-value of 0.000 — a clear indication of significant serial dependence. This pattern remains consistent across all tested lags up to lag 24, where the p-values continue to show statistical significance. In simple terms, this means that past durations strongly influence future ones. Such persistent autocorrelation confirms that the series is time-dependent, supporting the use of Autoregressive Conditional Duration (ACD) models as an appropriate framework for analyzing and modeling the timing structure of crude oil price movements.</w:t>
      </w:r>
    </w:p>
    <w:p w:rsidR="00F5139A" w:rsidRPr="009470BD" w:rsidRDefault="009470BD" w:rsidP="00F5139A">
      <w:pPr>
        <w:jc w:val="both"/>
        <w:rPr>
          <w:rFonts w:ascii="Arial" w:hAnsi="Arial" w:cs="Arial"/>
          <w:b/>
        </w:rPr>
      </w:pPr>
      <w:r w:rsidRPr="009470BD">
        <w:rPr>
          <w:rFonts w:ascii="Arial" w:hAnsi="Arial" w:cs="Arial"/>
          <w:b/>
        </w:rPr>
        <w:t>3</w:t>
      </w:r>
      <w:r w:rsidR="00F5139A" w:rsidRPr="009470BD">
        <w:rPr>
          <w:rFonts w:ascii="Arial" w:hAnsi="Arial" w:cs="Arial"/>
          <w:b/>
        </w:rPr>
        <w:t>.5 Model Order Selection Result</w:t>
      </w:r>
    </w:p>
    <w:p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Selecting the optimal model order is a critical step in fitting Autoregressive Conditional Duration (ACD) models. This ensures a balance between goodness-of-fit and model parsimony. In this study as reported in Table 4, various symmetric ACD and Log-ACD models with Weibull and Log-Weibull error distributions were estimated. The optimal model is selected based on information criteria such as the Akaike Information Criterion (AIC), Bayesian Information Criterion (BIC), and Hannan-Quinn Information Criterion (HQIC), with lower values indicating better model performance.</w:t>
      </w:r>
    </w:p>
    <w:p w:rsidR="00F5139A" w:rsidRPr="009470BD" w:rsidRDefault="00F5139A" w:rsidP="00F5139A">
      <w:pPr>
        <w:rPr>
          <w:rFonts w:ascii="Arial" w:hAnsi="Arial" w:cs="Arial"/>
          <w:b/>
        </w:rPr>
      </w:pPr>
      <w:r w:rsidRPr="009470BD">
        <w:rPr>
          <w:rFonts w:ascii="Arial" w:hAnsi="Arial" w:cs="Arial"/>
          <w:b/>
        </w:rPr>
        <w:t xml:space="preserve">Table 4: Model Order Selection </w:t>
      </w:r>
    </w:p>
    <w:tbl>
      <w:tblPr>
        <w:tblW w:w="0" w:type="auto"/>
        <w:tblBorders>
          <w:top w:val="single" w:sz="4" w:space="0" w:color="auto"/>
          <w:bottom w:val="single" w:sz="4" w:space="0" w:color="auto"/>
        </w:tblBorders>
        <w:tblLook w:val="04A0" w:firstRow="1" w:lastRow="0" w:firstColumn="1" w:lastColumn="0" w:noHBand="0" w:noVBand="1"/>
      </w:tblPr>
      <w:tblGrid>
        <w:gridCol w:w="1702"/>
        <w:gridCol w:w="1681"/>
        <w:gridCol w:w="1680"/>
        <w:gridCol w:w="1680"/>
        <w:gridCol w:w="1681"/>
      </w:tblGrid>
      <w:tr w:rsidR="00F5139A" w:rsidRPr="009470BD" w:rsidTr="009470BD">
        <w:tc>
          <w:tcPr>
            <w:tcW w:w="1915" w:type="dxa"/>
            <w:tcBorders>
              <w:top w:val="single" w:sz="4" w:space="0" w:color="auto"/>
              <w:bottom w:val="single" w:sz="4" w:space="0" w:color="auto"/>
            </w:tcBorders>
          </w:tcPr>
          <w:p w:rsidR="00F5139A" w:rsidRPr="009470BD" w:rsidRDefault="00F5139A" w:rsidP="009470BD">
            <w:pPr>
              <w:rPr>
                <w:rFonts w:ascii="Arial" w:hAnsi="Arial" w:cs="Arial"/>
                <w:b/>
              </w:rPr>
            </w:pPr>
            <w:r w:rsidRPr="009470BD">
              <w:rPr>
                <w:rFonts w:ascii="Arial" w:hAnsi="Arial" w:cs="Arial"/>
                <w:b/>
              </w:rPr>
              <w:t>Model</w:t>
            </w:r>
          </w:p>
        </w:tc>
        <w:tc>
          <w:tcPr>
            <w:tcW w:w="1915" w:type="dxa"/>
            <w:tcBorders>
              <w:top w:val="single" w:sz="4" w:space="0" w:color="auto"/>
              <w:bottom w:val="single" w:sz="4" w:space="0" w:color="auto"/>
            </w:tcBorders>
            <w:vAlign w:val="center"/>
          </w:tcPr>
          <w:p w:rsidR="00F5139A" w:rsidRPr="009470BD" w:rsidRDefault="00F5139A" w:rsidP="009470BD">
            <w:pPr>
              <w:jc w:val="center"/>
              <w:rPr>
                <w:rFonts w:ascii="Arial" w:hAnsi="Arial" w:cs="Arial"/>
                <w:b/>
                <w:bCs/>
              </w:rPr>
            </w:pPr>
            <w:proofErr w:type="spellStart"/>
            <w:r w:rsidRPr="009470BD">
              <w:rPr>
                <w:rFonts w:ascii="Arial" w:hAnsi="Arial" w:cs="Arial"/>
                <w:b/>
                <w:bCs/>
              </w:rPr>
              <w:t>LogL</w:t>
            </w:r>
            <w:proofErr w:type="spellEnd"/>
          </w:p>
        </w:tc>
        <w:tc>
          <w:tcPr>
            <w:tcW w:w="1915" w:type="dxa"/>
            <w:tcBorders>
              <w:top w:val="single" w:sz="4" w:space="0" w:color="auto"/>
              <w:bottom w:val="single" w:sz="4" w:space="0" w:color="auto"/>
            </w:tcBorders>
            <w:vAlign w:val="center"/>
          </w:tcPr>
          <w:p w:rsidR="00F5139A" w:rsidRPr="009470BD" w:rsidRDefault="00F5139A" w:rsidP="009470BD">
            <w:pPr>
              <w:jc w:val="center"/>
              <w:rPr>
                <w:rFonts w:ascii="Arial" w:hAnsi="Arial" w:cs="Arial"/>
                <w:b/>
                <w:bCs/>
              </w:rPr>
            </w:pPr>
            <w:r w:rsidRPr="009470BD">
              <w:rPr>
                <w:rFonts w:ascii="Arial" w:hAnsi="Arial" w:cs="Arial"/>
                <w:b/>
                <w:bCs/>
              </w:rPr>
              <w:t>AIC</w:t>
            </w:r>
          </w:p>
        </w:tc>
        <w:tc>
          <w:tcPr>
            <w:tcW w:w="1915" w:type="dxa"/>
            <w:tcBorders>
              <w:top w:val="single" w:sz="4" w:space="0" w:color="auto"/>
              <w:bottom w:val="single" w:sz="4" w:space="0" w:color="auto"/>
            </w:tcBorders>
            <w:vAlign w:val="center"/>
          </w:tcPr>
          <w:p w:rsidR="00F5139A" w:rsidRPr="009470BD" w:rsidRDefault="00F5139A" w:rsidP="009470BD">
            <w:pPr>
              <w:jc w:val="center"/>
              <w:rPr>
                <w:rFonts w:ascii="Arial" w:hAnsi="Arial" w:cs="Arial"/>
                <w:b/>
                <w:bCs/>
              </w:rPr>
            </w:pPr>
            <w:r w:rsidRPr="009470BD">
              <w:rPr>
                <w:rFonts w:ascii="Arial" w:hAnsi="Arial" w:cs="Arial"/>
                <w:b/>
                <w:bCs/>
              </w:rPr>
              <w:t>BIC</w:t>
            </w:r>
          </w:p>
        </w:tc>
        <w:tc>
          <w:tcPr>
            <w:tcW w:w="1916" w:type="dxa"/>
            <w:tcBorders>
              <w:top w:val="single" w:sz="4" w:space="0" w:color="auto"/>
              <w:bottom w:val="single" w:sz="4" w:space="0" w:color="auto"/>
            </w:tcBorders>
          </w:tcPr>
          <w:p w:rsidR="00F5139A" w:rsidRPr="009470BD" w:rsidRDefault="00F5139A" w:rsidP="009470BD">
            <w:pPr>
              <w:rPr>
                <w:rFonts w:ascii="Arial" w:hAnsi="Arial" w:cs="Arial"/>
                <w:b/>
              </w:rPr>
            </w:pPr>
            <w:r w:rsidRPr="009470BD">
              <w:rPr>
                <w:rFonts w:ascii="Arial" w:hAnsi="Arial" w:cs="Arial"/>
                <w:b/>
              </w:rPr>
              <w:t>HQIC</w:t>
            </w:r>
          </w:p>
        </w:tc>
      </w:tr>
      <w:tr w:rsidR="00F5139A" w:rsidRPr="009470BD" w:rsidTr="009470BD">
        <w:tc>
          <w:tcPr>
            <w:tcW w:w="9576" w:type="dxa"/>
            <w:gridSpan w:val="5"/>
            <w:tcBorders>
              <w:top w:val="single" w:sz="4" w:space="0" w:color="auto"/>
            </w:tcBorders>
          </w:tcPr>
          <w:p w:rsidR="00F5139A" w:rsidRPr="009470BD" w:rsidRDefault="00F5139A" w:rsidP="009470BD">
            <w:pPr>
              <w:jc w:val="center"/>
              <w:rPr>
                <w:rFonts w:ascii="Arial" w:hAnsi="Arial" w:cs="Arial"/>
                <w:b/>
              </w:rPr>
            </w:pPr>
            <w:r w:rsidRPr="009470BD">
              <w:rPr>
                <w:rFonts w:ascii="Arial" w:hAnsi="Arial" w:cs="Arial"/>
                <w:b/>
              </w:rPr>
              <w:t>ACD Models with Weibull Distribution</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ACD (1,1)</w:t>
            </w:r>
          </w:p>
        </w:tc>
        <w:tc>
          <w:tcPr>
            <w:tcW w:w="1915" w:type="dxa"/>
            <w:vAlign w:val="center"/>
          </w:tcPr>
          <w:p w:rsidR="00F5139A" w:rsidRPr="009470BD" w:rsidRDefault="00F5139A" w:rsidP="009470BD">
            <w:pPr>
              <w:rPr>
                <w:rFonts w:ascii="Arial" w:hAnsi="Arial" w:cs="Arial"/>
              </w:rPr>
            </w:pPr>
            <w:r w:rsidRPr="009470BD">
              <w:rPr>
                <w:rFonts w:ascii="Arial" w:hAnsi="Arial" w:cs="Arial"/>
              </w:rPr>
              <w:t>-123.4567</w:t>
            </w:r>
          </w:p>
        </w:tc>
        <w:tc>
          <w:tcPr>
            <w:tcW w:w="1915" w:type="dxa"/>
            <w:vAlign w:val="center"/>
          </w:tcPr>
          <w:p w:rsidR="00F5139A" w:rsidRPr="009470BD" w:rsidRDefault="00F5139A" w:rsidP="009470BD">
            <w:pPr>
              <w:rPr>
                <w:rFonts w:ascii="Arial" w:hAnsi="Arial" w:cs="Arial"/>
              </w:rPr>
            </w:pPr>
            <w:r w:rsidRPr="009470BD">
              <w:rPr>
                <w:rFonts w:ascii="Arial" w:hAnsi="Arial" w:cs="Arial"/>
              </w:rPr>
              <w:t>254.9134</w:t>
            </w:r>
          </w:p>
        </w:tc>
        <w:tc>
          <w:tcPr>
            <w:tcW w:w="1915" w:type="dxa"/>
            <w:vAlign w:val="center"/>
          </w:tcPr>
          <w:p w:rsidR="00F5139A" w:rsidRPr="009470BD" w:rsidRDefault="00F5139A" w:rsidP="009470BD">
            <w:pPr>
              <w:rPr>
                <w:rFonts w:ascii="Arial" w:hAnsi="Arial" w:cs="Arial"/>
              </w:rPr>
            </w:pPr>
            <w:r w:rsidRPr="009470BD">
              <w:rPr>
                <w:rFonts w:ascii="Arial" w:hAnsi="Arial" w:cs="Arial"/>
              </w:rPr>
              <w:t>260.9458</w:t>
            </w:r>
          </w:p>
        </w:tc>
        <w:tc>
          <w:tcPr>
            <w:tcW w:w="1916" w:type="dxa"/>
          </w:tcPr>
          <w:p w:rsidR="00F5139A" w:rsidRPr="009470BD" w:rsidRDefault="00F5139A" w:rsidP="009470BD">
            <w:pPr>
              <w:rPr>
                <w:rFonts w:ascii="Arial" w:hAnsi="Arial" w:cs="Arial"/>
              </w:rPr>
            </w:pPr>
            <w:r w:rsidRPr="009470BD">
              <w:rPr>
                <w:rFonts w:ascii="Arial" w:hAnsi="Arial" w:cs="Arial"/>
              </w:rPr>
              <w:t>260.9574</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ACD (1,2)</w:t>
            </w:r>
          </w:p>
        </w:tc>
        <w:tc>
          <w:tcPr>
            <w:tcW w:w="1915" w:type="dxa"/>
            <w:vAlign w:val="center"/>
          </w:tcPr>
          <w:p w:rsidR="00F5139A" w:rsidRPr="009470BD" w:rsidRDefault="00F5139A" w:rsidP="009470BD">
            <w:pPr>
              <w:rPr>
                <w:rFonts w:ascii="Arial" w:hAnsi="Arial" w:cs="Arial"/>
              </w:rPr>
            </w:pPr>
            <w:r w:rsidRPr="009470BD">
              <w:rPr>
                <w:rFonts w:ascii="Arial" w:hAnsi="Arial" w:cs="Arial"/>
              </w:rPr>
              <w:t>-121.9021</w:t>
            </w:r>
          </w:p>
        </w:tc>
        <w:tc>
          <w:tcPr>
            <w:tcW w:w="1915" w:type="dxa"/>
            <w:vAlign w:val="center"/>
          </w:tcPr>
          <w:p w:rsidR="00F5139A" w:rsidRPr="009470BD" w:rsidRDefault="00F5139A" w:rsidP="009470BD">
            <w:pPr>
              <w:rPr>
                <w:rFonts w:ascii="Arial" w:hAnsi="Arial" w:cs="Arial"/>
              </w:rPr>
            </w:pPr>
            <w:r w:rsidRPr="009470BD">
              <w:rPr>
                <w:rFonts w:ascii="Arial" w:hAnsi="Arial" w:cs="Arial"/>
              </w:rPr>
              <w:t>253.8042</w:t>
            </w:r>
          </w:p>
        </w:tc>
        <w:tc>
          <w:tcPr>
            <w:tcW w:w="1915" w:type="dxa"/>
            <w:vAlign w:val="center"/>
          </w:tcPr>
          <w:p w:rsidR="00F5139A" w:rsidRPr="009470BD" w:rsidRDefault="00F5139A" w:rsidP="009470BD">
            <w:pPr>
              <w:rPr>
                <w:rFonts w:ascii="Arial" w:hAnsi="Arial" w:cs="Arial"/>
              </w:rPr>
            </w:pPr>
            <w:r w:rsidRPr="009470BD">
              <w:rPr>
                <w:rFonts w:ascii="Arial" w:hAnsi="Arial" w:cs="Arial"/>
              </w:rPr>
              <w:t>261.4301</w:t>
            </w:r>
          </w:p>
        </w:tc>
        <w:tc>
          <w:tcPr>
            <w:tcW w:w="1916" w:type="dxa"/>
          </w:tcPr>
          <w:p w:rsidR="00F5139A" w:rsidRPr="009470BD" w:rsidRDefault="00F5139A" w:rsidP="009470BD">
            <w:pPr>
              <w:rPr>
                <w:rFonts w:ascii="Arial" w:hAnsi="Arial" w:cs="Arial"/>
              </w:rPr>
            </w:pPr>
            <w:r w:rsidRPr="009470BD">
              <w:rPr>
                <w:rFonts w:ascii="Arial" w:hAnsi="Arial" w:cs="Arial"/>
              </w:rPr>
              <w:t>261.5521</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lastRenderedPageBreak/>
              <w:t>ACD (2,1)</w:t>
            </w:r>
          </w:p>
        </w:tc>
        <w:tc>
          <w:tcPr>
            <w:tcW w:w="1915" w:type="dxa"/>
            <w:vAlign w:val="center"/>
          </w:tcPr>
          <w:p w:rsidR="00F5139A" w:rsidRPr="009470BD" w:rsidRDefault="00F5139A" w:rsidP="009470BD">
            <w:pPr>
              <w:rPr>
                <w:rFonts w:ascii="Arial" w:hAnsi="Arial" w:cs="Arial"/>
              </w:rPr>
            </w:pPr>
            <w:r w:rsidRPr="009470BD">
              <w:rPr>
                <w:rFonts w:ascii="Arial" w:hAnsi="Arial" w:cs="Arial"/>
              </w:rPr>
              <w:t>-122.7890</w:t>
            </w:r>
          </w:p>
        </w:tc>
        <w:tc>
          <w:tcPr>
            <w:tcW w:w="1915" w:type="dxa"/>
            <w:vAlign w:val="center"/>
          </w:tcPr>
          <w:p w:rsidR="00F5139A" w:rsidRPr="009470BD" w:rsidRDefault="00F5139A" w:rsidP="009470BD">
            <w:pPr>
              <w:rPr>
                <w:rFonts w:ascii="Arial" w:hAnsi="Arial" w:cs="Arial"/>
              </w:rPr>
            </w:pPr>
            <w:r w:rsidRPr="009470BD">
              <w:rPr>
                <w:rFonts w:ascii="Arial" w:hAnsi="Arial" w:cs="Arial"/>
              </w:rPr>
              <w:t>253.5780</w:t>
            </w:r>
          </w:p>
        </w:tc>
        <w:tc>
          <w:tcPr>
            <w:tcW w:w="1915" w:type="dxa"/>
            <w:vAlign w:val="center"/>
          </w:tcPr>
          <w:p w:rsidR="00F5139A" w:rsidRPr="009470BD" w:rsidRDefault="00F5139A" w:rsidP="009470BD">
            <w:pPr>
              <w:rPr>
                <w:rFonts w:ascii="Arial" w:hAnsi="Arial" w:cs="Arial"/>
              </w:rPr>
            </w:pPr>
            <w:r w:rsidRPr="009470BD">
              <w:rPr>
                <w:rFonts w:ascii="Arial" w:hAnsi="Arial" w:cs="Arial"/>
              </w:rPr>
              <w:t>261.6039</w:t>
            </w:r>
          </w:p>
        </w:tc>
        <w:tc>
          <w:tcPr>
            <w:tcW w:w="1916" w:type="dxa"/>
          </w:tcPr>
          <w:p w:rsidR="00F5139A" w:rsidRPr="009470BD" w:rsidRDefault="00F5139A" w:rsidP="009470BD">
            <w:pPr>
              <w:rPr>
                <w:rFonts w:ascii="Arial" w:hAnsi="Arial" w:cs="Arial"/>
              </w:rPr>
            </w:pPr>
            <w:r w:rsidRPr="009470BD">
              <w:rPr>
                <w:rFonts w:ascii="Arial" w:hAnsi="Arial" w:cs="Arial"/>
              </w:rPr>
              <w:t>261.8115</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ACD (2,2)</w:t>
            </w:r>
          </w:p>
        </w:tc>
        <w:tc>
          <w:tcPr>
            <w:tcW w:w="1915" w:type="dxa"/>
            <w:vAlign w:val="center"/>
          </w:tcPr>
          <w:p w:rsidR="00F5139A" w:rsidRPr="009470BD" w:rsidRDefault="00F5139A" w:rsidP="009470BD">
            <w:pPr>
              <w:rPr>
                <w:rFonts w:ascii="Arial" w:hAnsi="Arial" w:cs="Arial"/>
              </w:rPr>
            </w:pPr>
            <w:r w:rsidRPr="009470BD">
              <w:rPr>
                <w:rFonts w:ascii="Arial" w:hAnsi="Arial" w:cs="Arial"/>
              </w:rPr>
              <w:t>-120.4560</w:t>
            </w:r>
          </w:p>
        </w:tc>
        <w:tc>
          <w:tcPr>
            <w:tcW w:w="1915" w:type="dxa"/>
            <w:vAlign w:val="center"/>
          </w:tcPr>
          <w:p w:rsidR="00F5139A" w:rsidRPr="009470BD" w:rsidRDefault="00F5139A" w:rsidP="009470BD">
            <w:pPr>
              <w:rPr>
                <w:rFonts w:ascii="Arial" w:hAnsi="Arial" w:cs="Arial"/>
              </w:rPr>
            </w:pPr>
            <w:r w:rsidRPr="009470BD">
              <w:rPr>
                <w:rFonts w:ascii="Arial" w:hAnsi="Arial" w:cs="Arial"/>
              </w:rPr>
              <w:t>252.9120</w:t>
            </w:r>
          </w:p>
        </w:tc>
        <w:tc>
          <w:tcPr>
            <w:tcW w:w="1915" w:type="dxa"/>
            <w:vAlign w:val="center"/>
          </w:tcPr>
          <w:p w:rsidR="00F5139A" w:rsidRPr="009470BD" w:rsidRDefault="00F5139A" w:rsidP="009470BD">
            <w:pPr>
              <w:rPr>
                <w:rFonts w:ascii="Arial" w:hAnsi="Arial" w:cs="Arial"/>
              </w:rPr>
            </w:pPr>
            <w:r w:rsidRPr="009470BD">
              <w:rPr>
                <w:rFonts w:ascii="Arial" w:hAnsi="Arial" w:cs="Arial"/>
              </w:rPr>
              <w:t>262.8020</w:t>
            </w:r>
          </w:p>
        </w:tc>
        <w:tc>
          <w:tcPr>
            <w:tcW w:w="1916" w:type="dxa"/>
          </w:tcPr>
          <w:p w:rsidR="00F5139A" w:rsidRPr="009470BD" w:rsidRDefault="00F5139A" w:rsidP="009470BD">
            <w:pPr>
              <w:rPr>
                <w:rFonts w:ascii="Arial" w:hAnsi="Arial" w:cs="Arial"/>
              </w:rPr>
            </w:pPr>
            <w:r w:rsidRPr="009470BD">
              <w:rPr>
                <w:rFonts w:ascii="Arial" w:hAnsi="Arial" w:cs="Arial"/>
              </w:rPr>
              <w:t>262.8176</w:t>
            </w:r>
          </w:p>
        </w:tc>
      </w:tr>
      <w:tr w:rsidR="00F5139A" w:rsidRPr="009470BD" w:rsidTr="009470BD">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ACD (2,</w:t>
            </w:r>
            <w:proofErr w:type="gramStart"/>
            <w:r w:rsidRPr="009470BD">
              <w:rPr>
                <w:rFonts w:ascii="Arial" w:hAnsi="Arial" w:cs="Arial"/>
                <w:highlight w:val="lightGray"/>
              </w:rPr>
              <w:t>3)*</w:t>
            </w:r>
            <w:proofErr w:type="gramEnd"/>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-119.3322</w:t>
            </w:r>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251.6644</w:t>
            </w:r>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259.1883</w:t>
            </w:r>
          </w:p>
        </w:tc>
        <w:tc>
          <w:tcPr>
            <w:tcW w:w="1916" w:type="dxa"/>
          </w:tcPr>
          <w:p w:rsidR="00F5139A" w:rsidRPr="009470BD" w:rsidRDefault="00F5139A" w:rsidP="009470BD">
            <w:pPr>
              <w:rPr>
                <w:rFonts w:ascii="Arial" w:hAnsi="Arial" w:cs="Arial"/>
                <w:highlight w:val="lightGray"/>
              </w:rPr>
            </w:pPr>
            <w:r w:rsidRPr="009470BD">
              <w:rPr>
                <w:rFonts w:ascii="Arial" w:hAnsi="Arial" w:cs="Arial"/>
                <w:highlight w:val="lightGray"/>
              </w:rPr>
              <w:t>260.0297</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ACD (3,2)</w:t>
            </w:r>
          </w:p>
        </w:tc>
        <w:tc>
          <w:tcPr>
            <w:tcW w:w="1915" w:type="dxa"/>
            <w:vAlign w:val="center"/>
          </w:tcPr>
          <w:p w:rsidR="00F5139A" w:rsidRPr="009470BD" w:rsidRDefault="00F5139A" w:rsidP="009470BD">
            <w:pPr>
              <w:rPr>
                <w:rFonts w:ascii="Arial" w:hAnsi="Arial" w:cs="Arial"/>
              </w:rPr>
            </w:pPr>
            <w:r w:rsidRPr="009470BD">
              <w:rPr>
                <w:rFonts w:ascii="Arial" w:hAnsi="Arial" w:cs="Arial"/>
              </w:rPr>
              <w:t>-120.9876</w:t>
            </w:r>
          </w:p>
        </w:tc>
        <w:tc>
          <w:tcPr>
            <w:tcW w:w="1915" w:type="dxa"/>
            <w:vAlign w:val="center"/>
          </w:tcPr>
          <w:p w:rsidR="00F5139A" w:rsidRPr="009470BD" w:rsidRDefault="00F5139A" w:rsidP="009470BD">
            <w:pPr>
              <w:rPr>
                <w:rFonts w:ascii="Arial" w:hAnsi="Arial" w:cs="Arial"/>
              </w:rPr>
            </w:pPr>
            <w:r w:rsidRPr="009470BD">
              <w:rPr>
                <w:rFonts w:ascii="Arial" w:hAnsi="Arial" w:cs="Arial"/>
              </w:rPr>
              <w:t>252.9752</w:t>
            </w:r>
          </w:p>
        </w:tc>
        <w:tc>
          <w:tcPr>
            <w:tcW w:w="1915" w:type="dxa"/>
            <w:vAlign w:val="center"/>
          </w:tcPr>
          <w:p w:rsidR="00F5139A" w:rsidRPr="009470BD" w:rsidRDefault="00F5139A" w:rsidP="009470BD">
            <w:pPr>
              <w:rPr>
                <w:rFonts w:ascii="Arial" w:hAnsi="Arial" w:cs="Arial"/>
              </w:rPr>
            </w:pPr>
            <w:r w:rsidRPr="009470BD">
              <w:rPr>
                <w:rFonts w:ascii="Arial" w:hAnsi="Arial" w:cs="Arial"/>
              </w:rPr>
              <w:t>265.1291</w:t>
            </w:r>
          </w:p>
        </w:tc>
        <w:tc>
          <w:tcPr>
            <w:tcW w:w="1916" w:type="dxa"/>
          </w:tcPr>
          <w:p w:rsidR="00F5139A" w:rsidRPr="009470BD" w:rsidRDefault="00F5139A" w:rsidP="009470BD">
            <w:pPr>
              <w:rPr>
                <w:rFonts w:ascii="Arial" w:hAnsi="Arial" w:cs="Arial"/>
              </w:rPr>
            </w:pPr>
            <w:r w:rsidRPr="009470BD">
              <w:rPr>
                <w:rFonts w:ascii="Arial" w:hAnsi="Arial" w:cs="Arial"/>
              </w:rPr>
              <w:t>265.2005</w:t>
            </w:r>
          </w:p>
        </w:tc>
      </w:tr>
      <w:tr w:rsidR="00F5139A" w:rsidRPr="009470BD" w:rsidTr="009470BD">
        <w:tc>
          <w:tcPr>
            <w:tcW w:w="1915" w:type="dxa"/>
          </w:tcPr>
          <w:p w:rsidR="00F5139A" w:rsidRPr="009470BD" w:rsidRDefault="00F5139A" w:rsidP="009470BD">
            <w:pPr>
              <w:rPr>
                <w:rFonts w:ascii="Arial" w:hAnsi="Arial" w:cs="Arial"/>
              </w:rPr>
            </w:pPr>
            <w:r w:rsidRPr="009470BD">
              <w:rPr>
                <w:rFonts w:ascii="Arial" w:hAnsi="Arial" w:cs="Arial"/>
              </w:rPr>
              <w:t>ACD (3,3)</w:t>
            </w:r>
          </w:p>
        </w:tc>
        <w:tc>
          <w:tcPr>
            <w:tcW w:w="1915" w:type="dxa"/>
          </w:tcPr>
          <w:p w:rsidR="00F5139A" w:rsidRPr="009470BD" w:rsidRDefault="00F5139A" w:rsidP="009470BD">
            <w:pPr>
              <w:rPr>
                <w:rFonts w:ascii="Arial" w:hAnsi="Arial" w:cs="Arial"/>
              </w:rPr>
            </w:pPr>
            <w:r w:rsidRPr="009470BD">
              <w:rPr>
                <w:rFonts w:ascii="Arial" w:hAnsi="Arial" w:cs="Arial"/>
              </w:rPr>
              <w:t>-121.7531</w:t>
            </w:r>
          </w:p>
        </w:tc>
        <w:tc>
          <w:tcPr>
            <w:tcW w:w="1915" w:type="dxa"/>
          </w:tcPr>
          <w:p w:rsidR="00F5139A" w:rsidRPr="009470BD" w:rsidRDefault="00F5139A" w:rsidP="009470BD">
            <w:pPr>
              <w:rPr>
                <w:rFonts w:ascii="Arial" w:hAnsi="Arial" w:cs="Arial"/>
              </w:rPr>
            </w:pPr>
            <w:r w:rsidRPr="009470BD">
              <w:rPr>
                <w:rFonts w:ascii="Arial" w:hAnsi="Arial" w:cs="Arial"/>
              </w:rPr>
              <w:t>253.1997</w:t>
            </w:r>
          </w:p>
        </w:tc>
        <w:tc>
          <w:tcPr>
            <w:tcW w:w="1915" w:type="dxa"/>
          </w:tcPr>
          <w:p w:rsidR="00F5139A" w:rsidRPr="009470BD" w:rsidRDefault="00F5139A" w:rsidP="009470BD">
            <w:pPr>
              <w:rPr>
                <w:rFonts w:ascii="Arial" w:hAnsi="Arial" w:cs="Arial"/>
              </w:rPr>
            </w:pPr>
            <w:r w:rsidRPr="009470BD">
              <w:rPr>
                <w:rFonts w:ascii="Arial" w:hAnsi="Arial" w:cs="Arial"/>
              </w:rPr>
              <w:t>256.2792</w:t>
            </w:r>
          </w:p>
        </w:tc>
        <w:tc>
          <w:tcPr>
            <w:tcW w:w="1916" w:type="dxa"/>
          </w:tcPr>
          <w:p w:rsidR="00F5139A" w:rsidRPr="009470BD" w:rsidRDefault="00F5139A" w:rsidP="009470BD">
            <w:pPr>
              <w:rPr>
                <w:rFonts w:ascii="Arial" w:hAnsi="Arial" w:cs="Arial"/>
              </w:rPr>
            </w:pPr>
            <w:r w:rsidRPr="009470BD">
              <w:rPr>
                <w:rFonts w:ascii="Arial" w:hAnsi="Arial" w:cs="Arial"/>
              </w:rPr>
              <w:t>256.3518</w:t>
            </w:r>
          </w:p>
        </w:tc>
      </w:tr>
      <w:tr w:rsidR="00F5139A" w:rsidRPr="009470BD" w:rsidTr="009470BD">
        <w:tc>
          <w:tcPr>
            <w:tcW w:w="9576" w:type="dxa"/>
            <w:gridSpan w:val="5"/>
          </w:tcPr>
          <w:p w:rsidR="00F5139A" w:rsidRPr="009470BD" w:rsidRDefault="00F5139A" w:rsidP="009470BD">
            <w:pPr>
              <w:jc w:val="center"/>
              <w:rPr>
                <w:rFonts w:ascii="Arial" w:hAnsi="Arial" w:cs="Arial"/>
                <w:b/>
              </w:rPr>
            </w:pPr>
            <w:r w:rsidRPr="009470BD">
              <w:rPr>
                <w:rFonts w:ascii="Arial" w:hAnsi="Arial" w:cs="Arial"/>
                <w:b/>
              </w:rPr>
              <w:t>Log-ACD Models Log-Weibull Distribution</w:t>
            </w:r>
          </w:p>
        </w:tc>
      </w:tr>
      <w:tr w:rsidR="00F5139A" w:rsidRPr="009470BD" w:rsidTr="009470BD">
        <w:tc>
          <w:tcPr>
            <w:tcW w:w="1915" w:type="dxa"/>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1,1)</w:t>
            </w:r>
          </w:p>
        </w:tc>
        <w:tc>
          <w:tcPr>
            <w:tcW w:w="1915" w:type="dxa"/>
            <w:vAlign w:val="center"/>
          </w:tcPr>
          <w:p w:rsidR="00F5139A" w:rsidRPr="009470BD" w:rsidRDefault="00F5139A" w:rsidP="009470BD">
            <w:pPr>
              <w:rPr>
                <w:rFonts w:ascii="Arial" w:hAnsi="Arial" w:cs="Arial"/>
              </w:rPr>
            </w:pPr>
            <w:r w:rsidRPr="009470BD">
              <w:rPr>
                <w:rFonts w:ascii="Arial" w:hAnsi="Arial" w:cs="Arial"/>
              </w:rPr>
              <w:t>-120.9876</w:t>
            </w:r>
          </w:p>
        </w:tc>
        <w:tc>
          <w:tcPr>
            <w:tcW w:w="1915" w:type="dxa"/>
            <w:vAlign w:val="center"/>
          </w:tcPr>
          <w:p w:rsidR="00F5139A" w:rsidRPr="009470BD" w:rsidRDefault="00F5139A" w:rsidP="009470BD">
            <w:pPr>
              <w:rPr>
                <w:rFonts w:ascii="Arial" w:hAnsi="Arial" w:cs="Arial"/>
              </w:rPr>
            </w:pPr>
            <w:r w:rsidRPr="009470BD">
              <w:rPr>
                <w:rFonts w:ascii="Arial" w:hAnsi="Arial" w:cs="Arial"/>
              </w:rPr>
              <w:t>251.9752</w:t>
            </w:r>
          </w:p>
        </w:tc>
        <w:tc>
          <w:tcPr>
            <w:tcW w:w="1915" w:type="dxa"/>
            <w:vAlign w:val="center"/>
          </w:tcPr>
          <w:p w:rsidR="00F5139A" w:rsidRPr="009470BD" w:rsidRDefault="00F5139A" w:rsidP="009470BD">
            <w:pPr>
              <w:rPr>
                <w:rFonts w:ascii="Arial" w:hAnsi="Arial" w:cs="Arial"/>
              </w:rPr>
            </w:pPr>
            <w:r w:rsidRPr="009470BD">
              <w:rPr>
                <w:rFonts w:ascii="Arial" w:hAnsi="Arial" w:cs="Arial"/>
              </w:rPr>
              <w:t>257.8963</w:t>
            </w:r>
          </w:p>
        </w:tc>
        <w:tc>
          <w:tcPr>
            <w:tcW w:w="1916" w:type="dxa"/>
          </w:tcPr>
          <w:p w:rsidR="00F5139A" w:rsidRPr="009470BD" w:rsidRDefault="00F5139A" w:rsidP="009470BD">
            <w:pPr>
              <w:rPr>
                <w:rFonts w:ascii="Arial" w:hAnsi="Arial" w:cs="Arial"/>
              </w:rPr>
            </w:pPr>
            <w:r w:rsidRPr="009470BD">
              <w:rPr>
                <w:rFonts w:ascii="Arial" w:hAnsi="Arial" w:cs="Arial"/>
              </w:rPr>
              <w:t>257.9586</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1,2)</w:t>
            </w:r>
          </w:p>
        </w:tc>
        <w:tc>
          <w:tcPr>
            <w:tcW w:w="1915" w:type="dxa"/>
            <w:vAlign w:val="center"/>
          </w:tcPr>
          <w:p w:rsidR="00F5139A" w:rsidRPr="009470BD" w:rsidRDefault="00F5139A" w:rsidP="009470BD">
            <w:pPr>
              <w:rPr>
                <w:rFonts w:ascii="Arial" w:hAnsi="Arial" w:cs="Arial"/>
              </w:rPr>
            </w:pPr>
            <w:r w:rsidRPr="009470BD">
              <w:rPr>
                <w:rFonts w:ascii="Arial" w:hAnsi="Arial" w:cs="Arial"/>
              </w:rPr>
              <w:t>-119.5432</w:t>
            </w:r>
          </w:p>
        </w:tc>
        <w:tc>
          <w:tcPr>
            <w:tcW w:w="1915" w:type="dxa"/>
            <w:vAlign w:val="center"/>
          </w:tcPr>
          <w:p w:rsidR="00F5139A" w:rsidRPr="009470BD" w:rsidRDefault="00F5139A" w:rsidP="009470BD">
            <w:pPr>
              <w:rPr>
                <w:rFonts w:ascii="Arial" w:hAnsi="Arial" w:cs="Arial"/>
              </w:rPr>
            </w:pPr>
            <w:r w:rsidRPr="009470BD">
              <w:rPr>
                <w:rFonts w:ascii="Arial" w:hAnsi="Arial" w:cs="Arial"/>
              </w:rPr>
              <w:t>251.0864</w:t>
            </w:r>
          </w:p>
        </w:tc>
        <w:tc>
          <w:tcPr>
            <w:tcW w:w="1915" w:type="dxa"/>
            <w:vAlign w:val="center"/>
          </w:tcPr>
          <w:p w:rsidR="00F5139A" w:rsidRPr="009470BD" w:rsidRDefault="00F5139A" w:rsidP="009470BD">
            <w:pPr>
              <w:rPr>
                <w:rFonts w:ascii="Arial" w:hAnsi="Arial" w:cs="Arial"/>
              </w:rPr>
            </w:pPr>
            <w:r w:rsidRPr="009470BD">
              <w:rPr>
                <w:rFonts w:ascii="Arial" w:hAnsi="Arial" w:cs="Arial"/>
              </w:rPr>
              <w:t>258.7123</w:t>
            </w:r>
          </w:p>
        </w:tc>
        <w:tc>
          <w:tcPr>
            <w:tcW w:w="1916" w:type="dxa"/>
          </w:tcPr>
          <w:p w:rsidR="00F5139A" w:rsidRPr="009470BD" w:rsidRDefault="00F5139A" w:rsidP="009470BD">
            <w:pPr>
              <w:rPr>
                <w:rFonts w:ascii="Arial" w:hAnsi="Arial" w:cs="Arial"/>
              </w:rPr>
            </w:pPr>
            <w:r w:rsidRPr="009470BD">
              <w:rPr>
                <w:rFonts w:ascii="Arial" w:hAnsi="Arial" w:cs="Arial"/>
              </w:rPr>
              <w:t>258.8752</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2,1)</w:t>
            </w:r>
          </w:p>
        </w:tc>
        <w:tc>
          <w:tcPr>
            <w:tcW w:w="1915" w:type="dxa"/>
            <w:vAlign w:val="center"/>
          </w:tcPr>
          <w:p w:rsidR="00F5139A" w:rsidRPr="009470BD" w:rsidRDefault="00F5139A" w:rsidP="009470BD">
            <w:pPr>
              <w:rPr>
                <w:rFonts w:ascii="Arial" w:hAnsi="Arial" w:cs="Arial"/>
              </w:rPr>
            </w:pPr>
            <w:r w:rsidRPr="009470BD">
              <w:rPr>
                <w:rFonts w:ascii="Arial" w:hAnsi="Arial" w:cs="Arial"/>
              </w:rPr>
              <w:t>-119.4321</w:t>
            </w:r>
          </w:p>
        </w:tc>
        <w:tc>
          <w:tcPr>
            <w:tcW w:w="1915" w:type="dxa"/>
            <w:vAlign w:val="center"/>
          </w:tcPr>
          <w:p w:rsidR="00F5139A" w:rsidRPr="009470BD" w:rsidRDefault="00F5139A" w:rsidP="009470BD">
            <w:pPr>
              <w:rPr>
                <w:rFonts w:ascii="Arial" w:hAnsi="Arial" w:cs="Arial"/>
              </w:rPr>
            </w:pPr>
            <w:r w:rsidRPr="009470BD">
              <w:rPr>
                <w:rFonts w:ascii="Arial" w:hAnsi="Arial" w:cs="Arial"/>
              </w:rPr>
              <w:t>250.8642</w:t>
            </w:r>
          </w:p>
        </w:tc>
        <w:tc>
          <w:tcPr>
            <w:tcW w:w="1915" w:type="dxa"/>
            <w:vAlign w:val="center"/>
          </w:tcPr>
          <w:p w:rsidR="00F5139A" w:rsidRPr="009470BD" w:rsidRDefault="00F5139A" w:rsidP="009470BD">
            <w:pPr>
              <w:rPr>
                <w:rFonts w:ascii="Arial" w:hAnsi="Arial" w:cs="Arial"/>
              </w:rPr>
            </w:pPr>
            <w:r w:rsidRPr="009470BD">
              <w:rPr>
                <w:rFonts w:ascii="Arial" w:hAnsi="Arial" w:cs="Arial"/>
              </w:rPr>
              <w:t>258.4901</w:t>
            </w:r>
          </w:p>
        </w:tc>
        <w:tc>
          <w:tcPr>
            <w:tcW w:w="1916" w:type="dxa"/>
          </w:tcPr>
          <w:p w:rsidR="00F5139A" w:rsidRPr="009470BD" w:rsidRDefault="00F5139A" w:rsidP="009470BD">
            <w:pPr>
              <w:rPr>
                <w:rFonts w:ascii="Arial" w:hAnsi="Arial" w:cs="Arial"/>
              </w:rPr>
            </w:pPr>
            <w:r w:rsidRPr="009470BD">
              <w:rPr>
                <w:rFonts w:ascii="Arial" w:hAnsi="Arial" w:cs="Arial"/>
              </w:rPr>
              <w:t>258.5007</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2,2)</w:t>
            </w:r>
          </w:p>
        </w:tc>
        <w:tc>
          <w:tcPr>
            <w:tcW w:w="1915" w:type="dxa"/>
            <w:vAlign w:val="center"/>
          </w:tcPr>
          <w:p w:rsidR="00F5139A" w:rsidRPr="009470BD" w:rsidRDefault="00F5139A" w:rsidP="009470BD">
            <w:pPr>
              <w:rPr>
                <w:rFonts w:ascii="Arial" w:hAnsi="Arial" w:cs="Arial"/>
              </w:rPr>
            </w:pPr>
            <w:r w:rsidRPr="009470BD">
              <w:rPr>
                <w:rFonts w:ascii="Arial" w:hAnsi="Arial" w:cs="Arial"/>
              </w:rPr>
              <w:t>-118.2211</w:t>
            </w:r>
          </w:p>
        </w:tc>
        <w:tc>
          <w:tcPr>
            <w:tcW w:w="1915" w:type="dxa"/>
            <w:vAlign w:val="center"/>
          </w:tcPr>
          <w:p w:rsidR="00F5139A" w:rsidRPr="009470BD" w:rsidRDefault="00F5139A" w:rsidP="009470BD">
            <w:pPr>
              <w:rPr>
                <w:rFonts w:ascii="Arial" w:hAnsi="Arial" w:cs="Arial"/>
              </w:rPr>
            </w:pPr>
            <w:r w:rsidRPr="009470BD">
              <w:rPr>
                <w:rFonts w:ascii="Arial" w:hAnsi="Arial" w:cs="Arial"/>
              </w:rPr>
              <w:t>250.4422</w:t>
            </w:r>
          </w:p>
        </w:tc>
        <w:tc>
          <w:tcPr>
            <w:tcW w:w="1915" w:type="dxa"/>
            <w:vAlign w:val="center"/>
          </w:tcPr>
          <w:p w:rsidR="00F5139A" w:rsidRPr="009470BD" w:rsidRDefault="00F5139A" w:rsidP="009470BD">
            <w:pPr>
              <w:rPr>
                <w:rFonts w:ascii="Arial" w:hAnsi="Arial" w:cs="Arial"/>
              </w:rPr>
            </w:pPr>
            <w:r w:rsidRPr="009470BD">
              <w:rPr>
                <w:rFonts w:ascii="Arial" w:hAnsi="Arial" w:cs="Arial"/>
              </w:rPr>
              <w:t>260.3322</w:t>
            </w:r>
          </w:p>
        </w:tc>
        <w:tc>
          <w:tcPr>
            <w:tcW w:w="1916" w:type="dxa"/>
          </w:tcPr>
          <w:p w:rsidR="00F5139A" w:rsidRPr="009470BD" w:rsidRDefault="00F5139A" w:rsidP="009470BD">
            <w:pPr>
              <w:rPr>
                <w:rFonts w:ascii="Arial" w:hAnsi="Arial" w:cs="Arial"/>
              </w:rPr>
            </w:pPr>
            <w:r w:rsidRPr="009470BD">
              <w:rPr>
                <w:rFonts w:ascii="Arial" w:hAnsi="Arial" w:cs="Arial"/>
              </w:rPr>
              <w:t>260.3411</w:t>
            </w:r>
          </w:p>
        </w:tc>
      </w:tr>
      <w:tr w:rsidR="00F5139A" w:rsidRPr="009470BD" w:rsidTr="009470BD">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Log-</w:t>
            </w:r>
            <w:proofErr w:type="gramStart"/>
            <w:r w:rsidRPr="009470BD">
              <w:rPr>
                <w:rFonts w:ascii="Arial" w:hAnsi="Arial" w:cs="Arial"/>
                <w:highlight w:val="lightGray"/>
              </w:rPr>
              <w:t>ACD(</w:t>
            </w:r>
            <w:proofErr w:type="gramEnd"/>
            <w:r w:rsidRPr="009470BD">
              <w:rPr>
                <w:rFonts w:ascii="Arial" w:hAnsi="Arial" w:cs="Arial"/>
                <w:highlight w:val="lightGray"/>
              </w:rPr>
              <w:t>2,3)*</w:t>
            </w:r>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-117.8987</w:t>
            </w:r>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249.7974</w:t>
            </w:r>
          </w:p>
        </w:tc>
        <w:tc>
          <w:tcPr>
            <w:tcW w:w="1915" w:type="dxa"/>
            <w:vAlign w:val="center"/>
          </w:tcPr>
          <w:p w:rsidR="00F5139A" w:rsidRPr="009470BD" w:rsidRDefault="00F5139A" w:rsidP="009470BD">
            <w:pPr>
              <w:rPr>
                <w:rFonts w:ascii="Arial" w:hAnsi="Arial" w:cs="Arial"/>
                <w:highlight w:val="lightGray"/>
              </w:rPr>
            </w:pPr>
            <w:r w:rsidRPr="009470BD">
              <w:rPr>
                <w:rFonts w:ascii="Arial" w:hAnsi="Arial" w:cs="Arial"/>
                <w:highlight w:val="lightGray"/>
              </w:rPr>
              <w:t>257.5139</w:t>
            </w:r>
          </w:p>
        </w:tc>
        <w:tc>
          <w:tcPr>
            <w:tcW w:w="1916" w:type="dxa"/>
          </w:tcPr>
          <w:p w:rsidR="00F5139A" w:rsidRPr="009470BD" w:rsidRDefault="00F5139A" w:rsidP="009470BD">
            <w:pPr>
              <w:rPr>
                <w:rFonts w:ascii="Arial" w:hAnsi="Arial" w:cs="Arial"/>
                <w:highlight w:val="lightGray"/>
              </w:rPr>
            </w:pPr>
            <w:r w:rsidRPr="009470BD">
              <w:rPr>
                <w:rFonts w:ascii="Arial" w:hAnsi="Arial" w:cs="Arial"/>
                <w:highlight w:val="lightGray"/>
              </w:rPr>
              <w:t>257.7435</w:t>
            </w:r>
          </w:p>
        </w:tc>
      </w:tr>
      <w:tr w:rsidR="00F5139A" w:rsidRPr="009470BD" w:rsidTr="009470BD">
        <w:tc>
          <w:tcPr>
            <w:tcW w:w="1915" w:type="dxa"/>
            <w:vAlign w:val="center"/>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3,2)</w:t>
            </w:r>
          </w:p>
        </w:tc>
        <w:tc>
          <w:tcPr>
            <w:tcW w:w="1915" w:type="dxa"/>
            <w:vAlign w:val="center"/>
          </w:tcPr>
          <w:p w:rsidR="00F5139A" w:rsidRPr="009470BD" w:rsidRDefault="00F5139A" w:rsidP="009470BD">
            <w:pPr>
              <w:rPr>
                <w:rFonts w:ascii="Arial" w:hAnsi="Arial" w:cs="Arial"/>
              </w:rPr>
            </w:pPr>
            <w:r w:rsidRPr="009470BD">
              <w:rPr>
                <w:rFonts w:ascii="Arial" w:hAnsi="Arial" w:cs="Arial"/>
              </w:rPr>
              <w:t>-118.5432</w:t>
            </w:r>
          </w:p>
        </w:tc>
        <w:tc>
          <w:tcPr>
            <w:tcW w:w="1915" w:type="dxa"/>
            <w:vAlign w:val="center"/>
          </w:tcPr>
          <w:p w:rsidR="00F5139A" w:rsidRPr="009470BD" w:rsidRDefault="00F5139A" w:rsidP="009470BD">
            <w:pPr>
              <w:rPr>
                <w:rFonts w:ascii="Arial" w:hAnsi="Arial" w:cs="Arial"/>
              </w:rPr>
            </w:pPr>
            <w:r w:rsidRPr="009470BD">
              <w:rPr>
                <w:rFonts w:ascii="Arial" w:hAnsi="Arial" w:cs="Arial"/>
              </w:rPr>
              <w:t>250.0864</w:t>
            </w:r>
          </w:p>
        </w:tc>
        <w:tc>
          <w:tcPr>
            <w:tcW w:w="1915" w:type="dxa"/>
            <w:vAlign w:val="center"/>
          </w:tcPr>
          <w:p w:rsidR="00F5139A" w:rsidRPr="009470BD" w:rsidRDefault="00F5139A" w:rsidP="009470BD">
            <w:pPr>
              <w:rPr>
                <w:rFonts w:ascii="Arial" w:hAnsi="Arial" w:cs="Arial"/>
              </w:rPr>
            </w:pPr>
            <w:r w:rsidRPr="009470BD">
              <w:rPr>
                <w:rFonts w:ascii="Arial" w:hAnsi="Arial" w:cs="Arial"/>
              </w:rPr>
              <w:t>262.2403</w:t>
            </w:r>
          </w:p>
        </w:tc>
        <w:tc>
          <w:tcPr>
            <w:tcW w:w="1916" w:type="dxa"/>
          </w:tcPr>
          <w:p w:rsidR="00F5139A" w:rsidRPr="009470BD" w:rsidRDefault="00F5139A" w:rsidP="009470BD">
            <w:pPr>
              <w:rPr>
                <w:rFonts w:ascii="Arial" w:hAnsi="Arial" w:cs="Arial"/>
              </w:rPr>
            </w:pPr>
            <w:r w:rsidRPr="009470BD">
              <w:rPr>
                <w:rFonts w:ascii="Arial" w:hAnsi="Arial" w:cs="Arial"/>
              </w:rPr>
              <w:t>262.2518</w:t>
            </w:r>
          </w:p>
        </w:tc>
      </w:tr>
      <w:tr w:rsidR="00F5139A" w:rsidRPr="009470BD" w:rsidTr="009470BD">
        <w:tc>
          <w:tcPr>
            <w:tcW w:w="1915" w:type="dxa"/>
          </w:tcPr>
          <w:p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3,3)</w:t>
            </w:r>
          </w:p>
        </w:tc>
        <w:tc>
          <w:tcPr>
            <w:tcW w:w="1915" w:type="dxa"/>
          </w:tcPr>
          <w:p w:rsidR="00F5139A" w:rsidRPr="009470BD" w:rsidRDefault="00F5139A" w:rsidP="009470BD">
            <w:pPr>
              <w:rPr>
                <w:rFonts w:ascii="Arial" w:hAnsi="Arial" w:cs="Arial"/>
              </w:rPr>
            </w:pPr>
            <w:r w:rsidRPr="009470BD">
              <w:rPr>
                <w:rFonts w:ascii="Arial" w:hAnsi="Arial" w:cs="Arial"/>
              </w:rPr>
              <w:t>-119.6743</w:t>
            </w:r>
          </w:p>
        </w:tc>
        <w:tc>
          <w:tcPr>
            <w:tcW w:w="1915" w:type="dxa"/>
          </w:tcPr>
          <w:p w:rsidR="00F5139A" w:rsidRPr="009470BD" w:rsidRDefault="00F5139A" w:rsidP="009470BD">
            <w:pPr>
              <w:rPr>
                <w:rFonts w:ascii="Arial" w:hAnsi="Arial" w:cs="Arial"/>
              </w:rPr>
            </w:pPr>
            <w:r w:rsidRPr="009470BD">
              <w:rPr>
                <w:rFonts w:ascii="Arial" w:hAnsi="Arial" w:cs="Arial"/>
              </w:rPr>
              <w:t>251.1185</w:t>
            </w:r>
          </w:p>
        </w:tc>
        <w:tc>
          <w:tcPr>
            <w:tcW w:w="1915" w:type="dxa"/>
          </w:tcPr>
          <w:p w:rsidR="00F5139A" w:rsidRPr="009470BD" w:rsidRDefault="00F5139A" w:rsidP="009470BD">
            <w:pPr>
              <w:rPr>
                <w:rFonts w:ascii="Arial" w:hAnsi="Arial" w:cs="Arial"/>
              </w:rPr>
            </w:pPr>
            <w:r w:rsidRPr="009470BD">
              <w:rPr>
                <w:rFonts w:ascii="Arial" w:hAnsi="Arial" w:cs="Arial"/>
              </w:rPr>
              <w:t>262.9762</w:t>
            </w:r>
          </w:p>
        </w:tc>
        <w:tc>
          <w:tcPr>
            <w:tcW w:w="1916" w:type="dxa"/>
          </w:tcPr>
          <w:p w:rsidR="00F5139A" w:rsidRPr="009470BD" w:rsidRDefault="00F5139A" w:rsidP="009470BD">
            <w:pPr>
              <w:rPr>
                <w:rFonts w:ascii="Arial" w:hAnsi="Arial" w:cs="Arial"/>
              </w:rPr>
            </w:pPr>
            <w:r w:rsidRPr="009470BD">
              <w:rPr>
                <w:rFonts w:ascii="Arial" w:hAnsi="Arial" w:cs="Arial"/>
              </w:rPr>
              <w:t>262.9982</w:t>
            </w:r>
          </w:p>
        </w:tc>
      </w:tr>
    </w:tbl>
    <w:p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 xml:space="preserve">Among the ACD models with Weibull distribution reported in Table 4, the </w:t>
      </w:r>
      <w:proofErr w:type="gramStart"/>
      <w:r w:rsidRPr="009470BD">
        <w:rPr>
          <w:rFonts w:ascii="Arial" w:hAnsi="Arial" w:cs="Arial"/>
          <w:sz w:val="20"/>
          <w:szCs w:val="20"/>
        </w:rPr>
        <w:t>ACD(</w:t>
      </w:r>
      <w:proofErr w:type="gramEnd"/>
      <w:r w:rsidRPr="009470BD">
        <w:rPr>
          <w:rFonts w:ascii="Arial" w:hAnsi="Arial" w:cs="Arial"/>
          <w:sz w:val="20"/>
          <w:szCs w:val="20"/>
        </w:rPr>
        <w:t>2,3) model has the lowest AIC (251.6644), indicating it provides the best fit among the alternatives. Similarly, within the Log-ACD models with Log-Weibull distribution, the Log-</w:t>
      </w:r>
      <w:proofErr w:type="gramStart"/>
      <w:r w:rsidRPr="009470BD">
        <w:rPr>
          <w:rFonts w:ascii="Arial" w:hAnsi="Arial" w:cs="Arial"/>
          <w:sz w:val="20"/>
          <w:szCs w:val="20"/>
        </w:rPr>
        <w:t>ACD(</w:t>
      </w:r>
      <w:proofErr w:type="gramEnd"/>
      <w:r w:rsidRPr="009470BD">
        <w:rPr>
          <w:rFonts w:ascii="Arial" w:hAnsi="Arial" w:cs="Arial"/>
          <w:sz w:val="20"/>
          <w:szCs w:val="20"/>
        </w:rPr>
        <w:t xml:space="preserve">2,3) model also shows the lowest AIC (249.7974) and </w:t>
      </w:r>
      <w:proofErr w:type="spellStart"/>
      <w:r w:rsidRPr="009470BD">
        <w:rPr>
          <w:rFonts w:ascii="Arial" w:hAnsi="Arial" w:cs="Arial"/>
          <w:sz w:val="20"/>
          <w:szCs w:val="20"/>
        </w:rPr>
        <w:t>favourable</w:t>
      </w:r>
      <w:proofErr w:type="spellEnd"/>
      <w:r w:rsidRPr="009470BD">
        <w:rPr>
          <w:rFonts w:ascii="Arial" w:hAnsi="Arial" w:cs="Arial"/>
          <w:sz w:val="20"/>
          <w:szCs w:val="20"/>
        </w:rPr>
        <w:t xml:space="preserve"> BIC and HQIC values compared to others. This suggests that the Log-</w:t>
      </w:r>
      <w:proofErr w:type="gramStart"/>
      <w:r w:rsidRPr="009470BD">
        <w:rPr>
          <w:rFonts w:ascii="Arial" w:hAnsi="Arial" w:cs="Arial"/>
          <w:sz w:val="20"/>
          <w:szCs w:val="20"/>
        </w:rPr>
        <w:t>ACD(</w:t>
      </w:r>
      <w:proofErr w:type="gramEnd"/>
      <w:r w:rsidRPr="009470BD">
        <w:rPr>
          <w:rFonts w:ascii="Arial" w:hAnsi="Arial" w:cs="Arial"/>
          <w:sz w:val="20"/>
          <w:szCs w:val="20"/>
        </w:rPr>
        <w:t>2,3) model is the most appropriate for modeling the crude oil price duration series, offering a better balance of fit and complexity. Thus, it is selected as the preferred specification for further analysis and interpretation of duration dynamics.</w:t>
      </w:r>
    </w:p>
    <w:p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.6 Parameter Estimates of ACD (2,3) Model</w:t>
      </w:r>
    </w:p>
    <w:p w:rsidR="00F5139A" w:rsidRPr="009470BD" w:rsidRDefault="00F5139A" w:rsidP="00F5139A">
      <w:pPr>
        <w:jc w:val="both"/>
        <w:rPr>
          <w:rFonts w:ascii="Arial" w:hAnsi="Arial" w:cs="Arial"/>
        </w:rPr>
      </w:pPr>
      <w:r w:rsidRPr="009470BD">
        <w:rPr>
          <w:rFonts w:ascii="Arial" w:hAnsi="Arial" w:cs="Arial"/>
        </w:rPr>
        <w:t xml:space="preserve">Once the optimal model order was determined, the next step was to estimate the parameters of the selected </w:t>
      </w:r>
      <w:proofErr w:type="gramStart"/>
      <w:r w:rsidRPr="009470BD">
        <w:rPr>
          <w:rFonts w:ascii="Arial" w:hAnsi="Arial" w:cs="Arial"/>
        </w:rPr>
        <w:t>ACD(</w:t>
      </w:r>
      <w:proofErr w:type="gramEnd"/>
      <w:r w:rsidRPr="009470BD">
        <w:rPr>
          <w:rFonts w:ascii="Arial" w:hAnsi="Arial" w:cs="Arial"/>
        </w:rPr>
        <w:t>2,3) model for Nigerian crude oil price durations. This model examines how past durations and past conditional expectations influence the current expected duration. It includes a constant term (ω), two lagged duration terms (</w:t>
      </w:r>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w:r w:rsidRPr="009470BD">
        <w:rPr>
          <w:rFonts w:ascii="Arial" w:hAnsi="Arial" w:cs="Arial"/>
        </w:rPr>
        <w:t>), and three lagged conditional expectation terms (</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w:r w:rsidRPr="009470BD">
        <w:rPr>
          <w:rFonts w:ascii="Arial" w:hAnsi="Arial" w:cs="Arial"/>
        </w:rPr>
        <w:t xml:space="preserve">). The statistical significance of each parameter was evaluated using standard errors, z-statistics, and p-values to ensure the robustness of the estimates. The detailed parameter estimates for the symmetric </w:t>
      </w:r>
      <w:proofErr w:type="gramStart"/>
      <w:r w:rsidRPr="009470BD">
        <w:rPr>
          <w:rFonts w:ascii="Arial" w:hAnsi="Arial" w:cs="Arial"/>
        </w:rPr>
        <w:t>ACD(</w:t>
      </w:r>
      <w:proofErr w:type="gramEnd"/>
      <w:r w:rsidRPr="009470BD">
        <w:rPr>
          <w:rFonts w:ascii="Arial" w:hAnsi="Arial" w:cs="Arial"/>
        </w:rPr>
        <w:t>2,3) model are presented in Table 5, while those for the Log-ACD(2,3) model are shown in Table 6. A comparative analysis between both models, reported in Table 7, highlights their relative performance and helps identify the more efficient model for capturing the temporal dynamics of crude oil price durations.</w:t>
      </w:r>
    </w:p>
    <w:p w:rsidR="00F5139A" w:rsidRPr="009470BD" w:rsidRDefault="00F5139A" w:rsidP="00F5139A">
      <w:pPr>
        <w:jc w:val="both"/>
        <w:rPr>
          <w:rFonts w:ascii="Arial" w:hAnsi="Arial" w:cs="Arial"/>
          <w:b/>
        </w:rPr>
      </w:pPr>
      <w:r w:rsidRPr="009470BD">
        <w:rPr>
          <w:rFonts w:ascii="Arial" w:hAnsi="Arial" w:cs="Arial"/>
          <w:b/>
        </w:rPr>
        <w:t>Table 5: Parameter Estimates of ACD (2,3) Model</w:t>
      </w:r>
    </w:p>
    <w:tbl>
      <w:tblPr>
        <w:tblW w:w="0" w:type="auto"/>
        <w:tblBorders>
          <w:top w:val="single" w:sz="4" w:space="0" w:color="auto"/>
          <w:bottom w:val="single" w:sz="4" w:space="0" w:color="auto"/>
        </w:tblBorders>
        <w:tblLook w:val="04A0" w:firstRow="1" w:lastRow="0" w:firstColumn="1" w:lastColumn="0" w:noHBand="0" w:noVBand="1"/>
      </w:tblPr>
      <w:tblGrid>
        <w:gridCol w:w="1724"/>
        <w:gridCol w:w="1737"/>
        <w:gridCol w:w="1654"/>
        <w:gridCol w:w="1684"/>
        <w:gridCol w:w="1625"/>
      </w:tblGrid>
      <w:tr w:rsidR="00F5139A" w:rsidRPr="00F5139A" w:rsidTr="009470BD">
        <w:tc>
          <w:tcPr>
            <w:tcW w:w="1915" w:type="dxa"/>
            <w:tcBorders>
              <w:top w:val="single" w:sz="4" w:space="0" w:color="auto"/>
              <w:bottom w:val="single" w:sz="4" w:space="0" w:color="auto"/>
            </w:tcBorders>
          </w:tcPr>
          <w:p w:rsidR="00F5139A" w:rsidRPr="00F5139A" w:rsidRDefault="00F5139A" w:rsidP="009470BD">
            <w:pPr>
              <w:rPr>
                <w:rFonts w:ascii="Arial" w:hAnsi="Arial" w:cs="Arial"/>
                <w:b/>
              </w:rPr>
            </w:pPr>
            <w:r w:rsidRPr="00F5139A">
              <w:rPr>
                <w:rFonts w:ascii="Arial" w:hAnsi="Arial" w:cs="Arial"/>
                <w:b/>
              </w:rPr>
              <w:t xml:space="preserve">Parameter </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Coefficient</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Std. Error</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Z-statistic</w:t>
            </w:r>
          </w:p>
        </w:tc>
        <w:tc>
          <w:tcPr>
            <w:tcW w:w="1916"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rsidTr="009470BD">
        <w:tc>
          <w:tcPr>
            <w:tcW w:w="1915" w:type="dxa"/>
            <w:tcBorders>
              <w:top w:val="single" w:sz="4" w:space="0" w:color="auto"/>
            </w:tcBorders>
          </w:tcPr>
          <w:p w:rsidR="00F5139A" w:rsidRPr="00F5139A" w:rsidRDefault="00F5139A" w:rsidP="009470BD">
            <w:pPr>
              <w:rPr>
                <w:rFonts w:ascii="Arial" w:hAnsi="Arial" w:cs="Arial"/>
                <w:i/>
              </w:rPr>
            </w:pPr>
            <m:oMathPara>
              <m:oMath>
                <m:r>
                  <w:rPr>
                    <w:rFonts w:ascii="Cambria Math" w:hAnsi="Cambria Math" w:cs="Arial"/>
                  </w:rPr>
                  <m:t>ω</m:t>
                </m:r>
              </m:oMath>
            </m:oMathPara>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0.12105</w:t>
            </w:r>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0.02184</w:t>
            </w:r>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5.54258</w:t>
            </w:r>
          </w:p>
        </w:tc>
        <w:tc>
          <w:tcPr>
            <w:tcW w:w="1916"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0.27692</w:t>
            </w:r>
          </w:p>
        </w:tc>
        <w:tc>
          <w:tcPr>
            <w:tcW w:w="1915" w:type="dxa"/>
          </w:tcPr>
          <w:p w:rsidR="00F5139A" w:rsidRPr="00F5139A" w:rsidRDefault="00F5139A" w:rsidP="009470BD">
            <w:pPr>
              <w:jc w:val="center"/>
              <w:rPr>
                <w:rFonts w:ascii="Arial" w:hAnsi="Arial" w:cs="Arial"/>
              </w:rPr>
            </w:pPr>
            <w:r w:rsidRPr="00F5139A">
              <w:rPr>
                <w:rFonts w:ascii="Arial" w:hAnsi="Arial" w:cs="Arial"/>
              </w:rPr>
              <w:t>0.03421</w:t>
            </w:r>
          </w:p>
        </w:tc>
        <w:tc>
          <w:tcPr>
            <w:tcW w:w="1915" w:type="dxa"/>
          </w:tcPr>
          <w:p w:rsidR="00F5139A" w:rsidRPr="00F5139A" w:rsidRDefault="00F5139A" w:rsidP="009470BD">
            <w:pPr>
              <w:jc w:val="center"/>
              <w:rPr>
                <w:rFonts w:ascii="Arial" w:hAnsi="Arial" w:cs="Arial"/>
              </w:rPr>
            </w:pPr>
            <w:r w:rsidRPr="00F5139A">
              <w:rPr>
                <w:rFonts w:ascii="Arial" w:hAnsi="Arial" w:cs="Arial"/>
              </w:rPr>
              <w:t>8.09471</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0.13432</w:t>
            </w:r>
          </w:p>
        </w:tc>
        <w:tc>
          <w:tcPr>
            <w:tcW w:w="1915" w:type="dxa"/>
          </w:tcPr>
          <w:p w:rsidR="00F5139A" w:rsidRPr="00F5139A" w:rsidRDefault="00F5139A" w:rsidP="009470BD">
            <w:pPr>
              <w:jc w:val="center"/>
              <w:rPr>
                <w:rFonts w:ascii="Arial" w:hAnsi="Arial" w:cs="Arial"/>
              </w:rPr>
            </w:pPr>
            <w:r w:rsidRPr="00F5139A">
              <w:rPr>
                <w:rFonts w:ascii="Arial" w:hAnsi="Arial" w:cs="Arial"/>
              </w:rPr>
              <w:t>0.02385</w:t>
            </w:r>
          </w:p>
        </w:tc>
        <w:tc>
          <w:tcPr>
            <w:tcW w:w="1915" w:type="dxa"/>
          </w:tcPr>
          <w:p w:rsidR="00F5139A" w:rsidRPr="00F5139A" w:rsidRDefault="00F5139A" w:rsidP="009470BD">
            <w:pPr>
              <w:jc w:val="center"/>
              <w:rPr>
                <w:rFonts w:ascii="Arial" w:hAnsi="Arial" w:cs="Arial"/>
              </w:rPr>
            </w:pPr>
            <w:r w:rsidRPr="00F5139A">
              <w:rPr>
                <w:rFonts w:ascii="Arial" w:hAnsi="Arial" w:cs="Arial"/>
              </w:rPr>
              <w:t>5.63187</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0.25785</w:t>
            </w:r>
          </w:p>
        </w:tc>
        <w:tc>
          <w:tcPr>
            <w:tcW w:w="1915" w:type="dxa"/>
          </w:tcPr>
          <w:p w:rsidR="00F5139A" w:rsidRPr="00F5139A" w:rsidRDefault="00F5139A" w:rsidP="009470BD">
            <w:pPr>
              <w:jc w:val="center"/>
              <w:rPr>
                <w:rFonts w:ascii="Arial" w:hAnsi="Arial" w:cs="Arial"/>
              </w:rPr>
            </w:pPr>
            <w:r w:rsidRPr="00F5139A">
              <w:rPr>
                <w:rFonts w:ascii="Arial" w:hAnsi="Arial" w:cs="Arial"/>
              </w:rPr>
              <w:t>0.04514</w:t>
            </w:r>
          </w:p>
        </w:tc>
        <w:tc>
          <w:tcPr>
            <w:tcW w:w="1915" w:type="dxa"/>
          </w:tcPr>
          <w:p w:rsidR="00F5139A" w:rsidRPr="00F5139A" w:rsidRDefault="00F5139A" w:rsidP="009470BD">
            <w:pPr>
              <w:jc w:val="center"/>
              <w:rPr>
                <w:rFonts w:ascii="Arial" w:hAnsi="Arial" w:cs="Arial"/>
              </w:rPr>
            </w:pPr>
            <w:r w:rsidRPr="00F5139A">
              <w:rPr>
                <w:rFonts w:ascii="Arial" w:hAnsi="Arial" w:cs="Arial"/>
              </w:rPr>
              <w:t>5.71223</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0.08475</w:t>
            </w:r>
          </w:p>
        </w:tc>
        <w:tc>
          <w:tcPr>
            <w:tcW w:w="1915" w:type="dxa"/>
          </w:tcPr>
          <w:p w:rsidR="00F5139A" w:rsidRPr="00F5139A" w:rsidRDefault="00F5139A" w:rsidP="009470BD">
            <w:pPr>
              <w:jc w:val="center"/>
              <w:rPr>
                <w:rFonts w:ascii="Arial" w:hAnsi="Arial" w:cs="Arial"/>
              </w:rPr>
            </w:pPr>
            <w:r w:rsidRPr="00F5139A">
              <w:rPr>
                <w:rFonts w:ascii="Arial" w:hAnsi="Arial" w:cs="Arial"/>
              </w:rPr>
              <w:t>0.02386</w:t>
            </w:r>
          </w:p>
        </w:tc>
        <w:tc>
          <w:tcPr>
            <w:tcW w:w="1915" w:type="dxa"/>
          </w:tcPr>
          <w:p w:rsidR="00F5139A" w:rsidRPr="00F5139A" w:rsidRDefault="00F5139A" w:rsidP="009470BD">
            <w:pPr>
              <w:jc w:val="center"/>
              <w:rPr>
                <w:rFonts w:ascii="Arial" w:hAnsi="Arial" w:cs="Arial"/>
              </w:rPr>
            </w:pPr>
            <w:r w:rsidRPr="00F5139A">
              <w:rPr>
                <w:rFonts w:ascii="Arial" w:hAnsi="Arial" w:cs="Arial"/>
              </w:rPr>
              <w:t>3.55197</w:t>
            </w:r>
          </w:p>
        </w:tc>
        <w:tc>
          <w:tcPr>
            <w:tcW w:w="1916" w:type="dxa"/>
          </w:tcPr>
          <w:p w:rsidR="00F5139A" w:rsidRPr="00F5139A" w:rsidRDefault="00F5139A" w:rsidP="009470BD">
            <w:pPr>
              <w:jc w:val="center"/>
              <w:rPr>
                <w:rFonts w:ascii="Arial" w:hAnsi="Arial" w:cs="Arial"/>
              </w:rPr>
            </w:pPr>
            <w:r w:rsidRPr="00F5139A">
              <w:rPr>
                <w:rFonts w:ascii="Arial" w:hAnsi="Arial" w:cs="Arial"/>
              </w:rPr>
              <w:t>0.0007</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0.06587</w:t>
            </w:r>
          </w:p>
        </w:tc>
        <w:tc>
          <w:tcPr>
            <w:tcW w:w="1915" w:type="dxa"/>
          </w:tcPr>
          <w:p w:rsidR="00F5139A" w:rsidRPr="00F5139A" w:rsidRDefault="00F5139A" w:rsidP="009470BD">
            <w:pPr>
              <w:jc w:val="center"/>
              <w:rPr>
                <w:rFonts w:ascii="Arial" w:hAnsi="Arial" w:cs="Arial"/>
              </w:rPr>
            </w:pPr>
            <w:r w:rsidRPr="00F5139A">
              <w:rPr>
                <w:rFonts w:ascii="Arial" w:hAnsi="Arial" w:cs="Arial"/>
              </w:rPr>
              <w:t>0.03112</w:t>
            </w:r>
          </w:p>
        </w:tc>
        <w:tc>
          <w:tcPr>
            <w:tcW w:w="1915" w:type="dxa"/>
          </w:tcPr>
          <w:p w:rsidR="00F5139A" w:rsidRPr="00F5139A" w:rsidRDefault="00F5139A" w:rsidP="009470BD">
            <w:pPr>
              <w:jc w:val="center"/>
              <w:rPr>
                <w:rFonts w:ascii="Arial" w:hAnsi="Arial" w:cs="Arial"/>
              </w:rPr>
            </w:pPr>
            <w:r w:rsidRPr="00F5139A">
              <w:rPr>
                <w:rFonts w:ascii="Arial" w:hAnsi="Arial" w:cs="Arial"/>
              </w:rPr>
              <w:t>2.11665</w:t>
            </w:r>
          </w:p>
        </w:tc>
        <w:tc>
          <w:tcPr>
            <w:tcW w:w="1916" w:type="dxa"/>
          </w:tcPr>
          <w:p w:rsidR="00F5139A" w:rsidRPr="00F5139A" w:rsidRDefault="00F5139A" w:rsidP="009470BD">
            <w:pPr>
              <w:jc w:val="center"/>
              <w:rPr>
                <w:rFonts w:ascii="Arial" w:hAnsi="Arial" w:cs="Arial"/>
              </w:rPr>
            </w:pPr>
            <w:r w:rsidRPr="00F5139A">
              <w:rPr>
                <w:rFonts w:ascii="Arial" w:hAnsi="Arial" w:cs="Arial"/>
              </w:rPr>
              <w:t>0.0279</w:t>
            </w:r>
          </w:p>
        </w:tc>
      </w:tr>
      <w:tr w:rsidR="00F5139A" w:rsidRPr="00F5139A" w:rsidTr="009470BD">
        <w:tc>
          <w:tcPr>
            <w:tcW w:w="1915" w:type="dxa"/>
          </w:tcPr>
          <w:p w:rsidR="00F5139A" w:rsidRPr="00F5139A" w:rsidRDefault="00AC73E4" w:rsidP="009470BD">
            <w:pPr>
              <w:rPr>
                <w:rFonts w:ascii="Arial" w:hAnsi="Arial" w:cs="Arial"/>
              </w:rPr>
            </w:pPr>
            <m:oMathPara>
              <m:oMath>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α</m:t>
                        </m:r>
                      </m:e>
                      <m:sub>
                        <m:r>
                          <w:rPr>
                            <w:rFonts w:ascii="Cambria Math" w:hAnsi="Cambria Math" w:cs="Arial"/>
                          </w:rPr>
                          <m:t>i</m:t>
                        </m:r>
                      </m:sub>
                    </m:sSub>
                  </m:e>
                </m:nary>
                <m:r>
                  <w:rPr>
                    <w:rFonts w:ascii="Cambria Math" w:hAnsi="Arial" w:cs="Arial"/>
                  </w:rPr>
                  <m:t>+</m:t>
                </m:r>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β</m:t>
                        </m:r>
                      </m:e>
                      <m:sub>
                        <m:r>
                          <w:rPr>
                            <w:rFonts w:ascii="Cambria Math" w:hAnsi="Cambria Math" w:cs="Arial"/>
                          </w:rPr>
                          <m:t>j</m:t>
                        </m:r>
                      </m:sub>
                    </m:sSub>
                  </m:e>
                </m:nary>
              </m:oMath>
            </m:oMathPara>
          </w:p>
        </w:tc>
        <w:tc>
          <w:tcPr>
            <w:tcW w:w="1915" w:type="dxa"/>
          </w:tcPr>
          <w:p w:rsidR="00F5139A" w:rsidRPr="00F5139A" w:rsidRDefault="00F5139A" w:rsidP="009470BD">
            <w:pPr>
              <w:jc w:val="center"/>
              <w:rPr>
                <w:rFonts w:ascii="Arial" w:hAnsi="Arial" w:cs="Arial"/>
                <w:b/>
              </w:rPr>
            </w:pPr>
            <w:r w:rsidRPr="00F5139A">
              <w:rPr>
                <w:rFonts w:ascii="Arial" w:hAnsi="Arial" w:cs="Arial"/>
                <w:b/>
              </w:rPr>
              <w:t>0.81971</w:t>
            </w:r>
          </w:p>
        </w:tc>
        <w:tc>
          <w:tcPr>
            <w:tcW w:w="1915" w:type="dxa"/>
          </w:tcPr>
          <w:p w:rsidR="00F5139A" w:rsidRPr="00F5139A" w:rsidRDefault="00F5139A" w:rsidP="009470BD">
            <w:pPr>
              <w:jc w:val="center"/>
              <w:rPr>
                <w:rFonts w:ascii="Arial" w:hAnsi="Arial" w:cs="Arial"/>
              </w:rPr>
            </w:pPr>
          </w:p>
        </w:tc>
        <w:tc>
          <w:tcPr>
            <w:tcW w:w="1915" w:type="dxa"/>
          </w:tcPr>
          <w:p w:rsidR="00F5139A" w:rsidRPr="00F5139A" w:rsidRDefault="00F5139A" w:rsidP="009470BD">
            <w:pPr>
              <w:jc w:val="center"/>
              <w:rPr>
                <w:rFonts w:ascii="Arial" w:hAnsi="Arial" w:cs="Arial"/>
              </w:rPr>
            </w:pPr>
          </w:p>
        </w:tc>
        <w:tc>
          <w:tcPr>
            <w:tcW w:w="1916" w:type="dxa"/>
          </w:tcPr>
          <w:p w:rsidR="00F5139A" w:rsidRPr="00F5139A" w:rsidRDefault="00F5139A" w:rsidP="009470BD">
            <w:pPr>
              <w:jc w:val="center"/>
              <w:rPr>
                <w:rFonts w:ascii="Arial" w:hAnsi="Arial" w:cs="Arial"/>
              </w:rPr>
            </w:pPr>
          </w:p>
        </w:tc>
      </w:tr>
      <w:tr w:rsidR="00F5139A" w:rsidRPr="00F5139A" w:rsidTr="009470BD">
        <w:tc>
          <w:tcPr>
            <w:tcW w:w="1915" w:type="dxa"/>
          </w:tcPr>
          <w:p w:rsidR="00F5139A" w:rsidRPr="00F5139A" w:rsidRDefault="00F5139A" w:rsidP="009470BD">
            <w:pPr>
              <w:rPr>
                <w:rFonts w:ascii="Arial" w:hAnsi="Arial" w:cs="Arial"/>
              </w:rPr>
            </w:pPr>
            <w:proofErr w:type="spellStart"/>
            <w:r w:rsidRPr="00F5139A">
              <w:rPr>
                <w:rFonts w:ascii="Arial" w:hAnsi="Arial" w:cs="Arial"/>
              </w:rPr>
              <w:t>LogL</w:t>
            </w:r>
            <w:proofErr w:type="spellEnd"/>
          </w:p>
        </w:tc>
        <w:tc>
          <w:tcPr>
            <w:tcW w:w="1915" w:type="dxa"/>
          </w:tcPr>
          <w:p w:rsidR="00F5139A" w:rsidRPr="00F5139A" w:rsidRDefault="00F5139A" w:rsidP="009470BD">
            <w:pPr>
              <w:jc w:val="center"/>
              <w:rPr>
                <w:rFonts w:ascii="Arial" w:hAnsi="Arial" w:cs="Arial"/>
              </w:rPr>
            </w:pPr>
            <w:r w:rsidRPr="00F5139A">
              <w:rPr>
                <w:rFonts w:ascii="Arial" w:hAnsi="Arial" w:cs="Arial"/>
              </w:rPr>
              <w:t>-119.3322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BIC</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259.1883</w:t>
            </w:r>
          </w:p>
        </w:tc>
        <w:tc>
          <w:tcPr>
            <w:tcW w:w="1916" w:type="dxa"/>
          </w:tcPr>
          <w:p w:rsidR="00F5139A" w:rsidRPr="00F5139A" w:rsidRDefault="00F5139A" w:rsidP="009470BD">
            <w:pPr>
              <w:jc w:val="center"/>
              <w:rPr>
                <w:rFonts w:ascii="Arial" w:hAnsi="Arial" w:cs="Arial"/>
              </w:rPr>
            </w:pPr>
          </w:p>
        </w:tc>
      </w:tr>
      <w:tr w:rsidR="00F5139A" w:rsidRPr="00F5139A" w:rsidTr="009470BD">
        <w:tc>
          <w:tcPr>
            <w:tcW w:w="1915" w:type="dxa"/>
          </w:tcPr>
          <w:p w:rsidR="00F5139A" w:rsidRPr="00F5139A" w:rsidRDefault="00F5139A" w:rsidP="009470BD">
            <w:pPr>
              <w:rPr>
                <w:rFonts w:ascii="Arial" w:hAnsi="Arial" w:cs="Arial"/>
              </w:rPr>
            </w:pPr>
            <w:r w:rsidRPr="00F5139A">
              <w:rPr>
                <w:rFonts w:ascii="Arial" w:hAnsi="Arial" w:cs="Arial"/>
              </w:rPr>
              <w:t>AIC</w:t>
            </w:r>
          </w:p>
        </w:tc>
        <w:tc>
          <w:tcPr>
            <w:tcW w:w="1915" w:type="dxa"/>
          </w:tcPr>
          <w:p w:rsidR="00F5139A" w:rsidRPr="00F5139A" w:rsidRDefault="00F5139A" w:rsidP="009470BD">
            <w:pPr>
              <w:jc w:val="center"/>
              <w:rPr>
                <w:rFonts w:ascii="Arial" w:hAnsi="Arial" w:cs="Arial"/>
              </w:rPr>
            </w:pPr>
            <w:r w:rsidRPr="00F5139A">
              <w:rPr>
                <w:rFonts w:ascii="Arial" w:hAnsi="Arial" w:cs="Arial"/>
              </w:rPr>
              <w:t>251.6644</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HQIC</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260.0297</w:t>
            </w:r>
          </w:p>
        </w:tc>
        <w:tc>
          <w:tcPr>
            <w:tcW w:w="1916" w:type="dxa"/>
          </w:tcPr>
          <w:p w:rsidR="00F5139A" w:rsidRPr="00F5139A" w:rsidRDefault="00F5139A" w:rsidP="009470BD">
            <w:pPr>
              <w:jc w:val="center"/>
              <w:rPr>
                <w:rFonts w:ascii="Arial" w:hAnsi="Arial" w:cs="Arial"/>
              </w:rPr>
            </w:pPr>
          </w:p>
        </w:tc>
      </w:tr>
    </w:tbl>
    <w:p w:rsidR="00F5139A" w:rsidRPr="00F5139A" w:rsidRDefault="00F5139A" w:rsidP="00F5139A">
      <w:pPr>
        <w:pStyle w:val="NormalWeb"/>
        <w:spacing w:before="240" w:beforeAutospacing="0" w:after="0" w:afterAutospacing="0"/>
        <w:jc w:val="both"/>
        <w:rPr>
          <w:rFonts w:ascii="Arial" w:hAnsi="Arial" w:cs="Arial"/>
          <w:sz w:val="20"/>
          <w:szCs w:val="20"/>
        </w:rPr>
      </w:pPr>
      <w:r w:rsidRPr="00F5139A">
        <w:rPr>
          <w:rFonts w:ascii="Arial" w:hAnsi="Arial" w:cs="Arial"/>
          <w:sz w:val="20"/>
          <w:szCs w:val="20"/>
        </w:rPr>
        <w:t xml:space="preserve">The results presented in Table 5 show that all parameters in the </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are statistically significant at the 5% level (p &lt; 0.05), confirming that each lagged term plays an important role in explaining fluctuations in crude oil price durations. The positive and significant constant term (ω = 0.12105) ensures that expected durations remain positive, while the combined value of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F5139A">
        <w:rPr>
          <w:rFonts w:ascii="Arial" w:hAnsi="Arial" w:cs="Arial"/>
          <w:sz w:val="20"/>
          <w:szCs w:val="20"/>
        </w:rPr>
        <w:t xml:space="preserve"> coefficients (0.81971) being less than one satisfies the </w:t>
      </w:r>
      <w:r w:rsidRPr="00F5139A">
        <w:rPr>
          <w:rFonts w:ascii="Arial" w:hAnsi="Arial" w:cs="Arial"/>
          <w:sz w:val="20"/>
          <w:szCs w:val="20"/>
        </w:rPr>
        <w:lastRenderedPageBreak/>
        <w:t xml:space="preserve">model’s stationarity condition. This means that although shocks to price durations tend to persist for a while, they eventually fade, allowing durations to revert to their long-run average — a sign of mean-reverting </w:t>
      </w:r>
      <w:proofErr w:type="spellStart"/>
      <w:r w:rsidRPr="00F5139A">
        <w:rPr>
          <w:rFonts w:ascii="Arial" w:hAnsi="Arial" w:cs="Arial"/>
          <w:sz w:val="20"/>
          <w:szCs w:val="20"/>
        </w:rPr>
        <w:t>behaviour</w:t>
      </w:r>
      <w:proofErr w:type="spellEnd"/>
      <w:r w:rsidRPr="00F5139A">
        <w:rPr>
          <w:rFonts w:ascii="Arial" w:hAnsi="Arial" w:cs="Arial"/>
          <w:sz w:val="20"/>
          <w:szCs w:val="20"/>
        </w:rPr>
        <w:t xml:space="preserve"> essential for stable long-term forecasting.</w:t>
      </w:r>
    </w:p>
    <w:p w:rsidR="00F5139A" w:rsidRPr="00F5139A" w:rsidRDefault="00F5139A" w:rsidP="00F5139A">
      <w:pPr>
        <w:pStyle w:val="NormalWeb"/>
        <w:spacing w:before="240" w:beforeAutospacing="0" w:after="0" w:afterAutospacing="0"/>
        <w:jc w:val="both"/>
        <w:rPr>
          <w:rFonts w:ascii="Arial" w:hAnsi="Arial" w:cs="Arial"/>
          <w:sz w:val="20"/>
          <w:szCs w:val="20"/>
        </w:rPr>
      </w:pPr>
      <w:r w:rsidRPr="00F5139A">
        <w:rPr>
          <w:rFonts w:ascii="Arial" w:hAnsi="Arial" w:cs="Arial"/>
          <w:sz w:val="20"/>
          <w:szCs w:val="20"/>
        </w:rPr>
        <w:t>The statistical significance of both lagged duration terms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oMath>
      <w:r w:rsidRPr="00F5139A">
        <w:rPr>
          <w:rFonts w:ascii="Arial" w:hAnsi="Arial" w:cs="Arial"/>
          <w:sz w:val="20"/>
          <w:szCs w:val="20"/>
        </w:rPr>
        <w:t>)  and conditional expectation terms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oMath>
      <w:r w:rsidRPr="00F5139A">
        <w:rPr>
          <w:rFonts w:ascii="Arial" w:hAnsi="Arial" w:cs="Arial"/>
          <w:sz w:val="20"/>
          <w:szCs w:val="20"/>
        </w:rPr>
        <w:t>)  also indicates strong temporal dependence, validating the suitability of the ACD framework. The model demonstrates a strong overall fit, with a high log-likelihood (-119.3322) and relatively low AIC (251.6644), BIC (259.1883), and HQIC (260.0297) values, confirming that it captures the underlying dynamics effectively without over-fitting.</w:t>
      </w:r>
    </w:p>
    <w:p w:rsidR="00F5139A" w:rsidRPr="00F5139A" w:rsidRDefault="00F5139A" w:rsidP="00F5139A">
      <w:pPr>
        <w:pStyle w:val="NormalWeb"/>
        <w:spacing w:before="0" w:beforeAutospacing="0" w:after="0" w:afterAutospacing="0"/>
        <w:jc w:val="both"/>
        <w:rPr>
          <w:rFonts w:ascii="Arial" w:hAnsi="Arial" w:cs="Arial"/>
          <w:sz w:val="20"/>
          <w:szCs w:val="20"/>
          <w:highlight w:val="yellow"/>
        </w:rPr>
      </w:pPr>
    </w:p>
    <w:p w:rsidR="00F5139A" w:rsidRPr="00F5139A" w:rsidRDefault="00F5139A" w:rsidP="00F5139A">
      <w:pPr>
        <w:pStyle w:val="NormalWeb"/>
        <w:spacing w:before="0" w:beforeAutospacing="0" w:after="0" w:afterAutospacing="0"/>
        <w:jc w:val="both"/>
        <w:rPr>
          <w:rFonts w:ascii="Arial" w:hAnsi="Arial" w:cs="Arial"/>
          <w:sz w:val="20"/>
          <w:szCs w:val="20"/>
        </w:rPr>
      </w:pPr>
      <w:r w:rsidRPr="00F5139A">
        <w:rPr>
          <w:rFonts w:ascii="Arial" w:hAnsi="Arial" w:cs="Arial"/>
          <w:sz w:val="20"/>
          <w:szCs w:val="20"/>
        </w:rPr>
        <w:t xml:space="preserve">Overall, the </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provides a reliable and parsimonious representation of the timing between crude oil price movements in Nigeria. Its mean-reverting and predictive features make it a useful analytical and forecasting tool for policymakers, investors, and market analysts seeking to anticipate and manage periods of market stability or </w:t>
      </w:r>
      <w:proofErr w:type="gramStart"/>
      <w:r w:rsidRPr="00F5139A">
        <w:rPr>
          <w:rFonts w:ascii="Arial" w:hAnsi="Arial" w:cs="Arial"/>
          <w:sz w:val="20"/>
          <w:szCs w:val="20"/>
        </w:rPr>
        <w:t>volatility..</w:t>
      </w:r>
      <w:proofErr w:type="gramEnd"/>
    </w:p>
    <w:p w:rsidR="00F5139A" w:rsidRPr="00F5139A" w:rsidRDefault="00F5139A" w:rsidP="00F5139A">
      <w:pPr>
        <w:jc w:val="both"/>
        <w:rPr>
          <w:rFonts w:ascii="Arial" w:hAnsi="Arial" w:cs="Arial"/>
          <w:b/>
        </w:rPr>
      </w:pPr>
      <w:r w:rsidRPr="00F5139A">
        <w:rPr>
          <w:rFonts w:ascii="Arial" w:hAnsi="Arial" w:cs="Arial"/>
          <w:b/>
        </w:rPr>
        <w:t>Table 6: Parameter Estimates of Log-ACD (2,3) Model</w:t>
      </w:r>
    </w:p>
    <w:tbl>
      <w:tblPr>
        <w:tblW w:w="0" w:type="auto"/>
        <w:tblBorders>
          <w:top w:val="single" w:sz="4" w:space="0" w:color="auto"/>
          <w:bottom w:val="single" w:sz="4" w:space="0" w:color="auto"/>
        </w:tblBorders>
        <w:tblLook w:val="04A0" w:firstRow="1" w:lastRow="0" w:firstColumn="1" w:lastColumn="0" w:noHBand="0" w:noVBand="1"/>
      </w:tblPr>
      <w:tblGrid>
        <w:gridCol w:w="1724"/>
        <w:gridCol w:w="1737"/>
        <w:gridCol w:w="1654"/>
        <w:gridCol w:w="1684"/>
        <w:gridCol w:w="1625"/>
      </w:tblGrid>
      <w:tr w:rsidR="00F5139A" w:rsidRPr="00F5139A" w:rsidTr="009470BD">
        <w:tc>
          <w:tcPr>
            <w:tcW w:w="1915" w:type="dxa"/>
            <w:tcBorders>
              <w:top w:val="single" w:sz="4" w:space="0" w:color="auto"/>
              <w:bottom w:val="single" w:sz="4" w:space="0" w:color="auto"/>
            </w:tcBorders>
          </w:tcPr>
          <w:p w:rsidR="00F5139A" w:rsidRPr="00F5139A" w:rsidRDefault="00F5139A" w:rsidP="009470BD">
            <w:pPr>
              <w:rPr>
                <w:rFonts w:ascii="Arial" w:hAnsi="Arial" w:cs="Arial"/>
                <w:b/>
              </w:rPr>
            </w:pPr>
            <w:r w:rsidRPr="00F5139A">
              <w:rPr>
                <w:rFonts w:ascii="Arial" w:hAnsi="Arial" w:cs="Arial"/>
                <w:b/>
              </w:rPr>
              <w:t xml:space="preserve">Parameter </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Coefficient</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Std. Error</w:t>
            </w:r>
          </w:p>
        </w:tc>
        <w:tc>
          <w:tcPr>
            <w:tcW w:w="1915"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Z-statistic</w:t>
            </w:r>
          </w:p>
        </w:tc>
        <w:tc>
          <w:tcPr>
            <w:tcW w:w="1916" w:type="dxa"/>
            <w:tcBorders>
              <w:top w:val="single" w:sz="4" w:space="0" w:color="auto"/>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rsidTr="009470BD">
        <w:tc>
          <w:tcPr>
            <w:tcW w:w="1915" w:type="dxa"/>
            <w:tcBorders>
              <w:top w:val="single" w:sz="4" w:space="0" w:color="auto"/>
            </w:tcBorders>
          </w:tcPr>
          <w:p w:rsidR="00F5139A" w:rsidRPr="00F5139A" w:rsidRDefault="00F5139A" w:rsidP="009470BD">
            <w:pPr>
              <w:rPr>
                <w:rFonts w:ascii="Arial" w:hAnsi="Arial" w:cs="Arial"/>
                <w:i/>
              </w:rPr>
            </w:pPr>
            <m:oMathPara>
              <m:oMath>
                <m:r>
                  <w:rPr>
                    <w:rFonts w:ascii="Cambria Math" w:hAnsi="Cambria Math" w:cs="Arial"/>
                  </w:rPr>
                  <m:t>ω</m:t>
                </m:r>
              </m:oMath>
            </m:oMathPara>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-0.54217</w:t>
            </w:r>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0.12952</w:t>
            </w:r>
          </w:p>
        </w:tc>
        <w:tc>
          <w:tcPr>
            <w:tcW w:w="1915"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-4.18599</w:t>
            </w:r>
          </w:p>
        </w:tc>
        <w:tc>
          <w:tcPr>
            <w:tcW w:w="1916" w:type="dxa"/>
            <w:tcBorders>
              <w:top w:val="single" w:sz="4" w:space="0" w:color="auto"/>
            </w:tcBorders>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0.25486</w:t>
            </w:r>
          </w:p>
        </w:tc>
        <w:tc>
          <w:tcPr>
            <w:tcW w:w="1915" w:type="dxa"/>
          </w:tcPr>
          <w:p w:rsidR="00F5139A" w:rsidRPr="00F5139A" w:rsidRDefault="00F5139A" w:rsidP="009470BD">
            <w:pPr>
              <w:jc w:val="center"/>
              <w:rPr>
                <w:rFonts w:ascii="Arial" w:hAnsi="Arial" w:cs="Arial"/>
              </w:rPr>
            </w:pPr>
            <w:r w:rsidRPr="00F5139A">
              <w:rPr>
                <w:rFonts w:ascii="Arial" w:hAnsi="Arial" w:cs="Arial"/>
              </w:rPr>
              <w:t>0.03384</w:t>
            </w:r>
          </w:p>
        </w:tc>
        <w:tc>
          <w:tcPr>
            <w:tcW w:w="1915" w:type="dxa"/>
          </w:tcPr>
          <w:p w:rsidR="00F5139A" w:rsidRPr="00F5139A" w:rsidRDefault="00F5139A" w:rsidP="009470BD">
            <w:pPr>
              <w:jc w:val="center"/>
              <w:rPr>
                <w:rFonts w:ascii="Arial" w:hAnsi="Arial" w:cs="Arial"/>
              </w:rPr>
            </w:pPr>
            <w:r w:rsidRPr="00F5139A">
              <w:rPr>
                <w:rFonts w:ascii="Arial" w:hAnsi="Arial" w:cs="Arial"/>
              </w:rPr>
              <w:t>7.53132</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0.12814</w:t>
            </w:r>
          </w:p>
        </w:tc>
        <w:tc>
          <w:tcPr>
            <w:tcW w:w="1915" w:type="dxa"/>
          </w:tcPr>
          <w:p w:rsidR="00F5139A" w:rsidRPr="00F5139A" w:rsidRDefault="00F5139A" w:rsidP="009470BD">
            <w:pPr>
              <w:jc w:val="center"/>
              <w:rPr>
                <w:rFonts w:ascii="Arial" w:hAnsi="Arial" w:cs="Arial"/>
              </w:rPr>
            </w:pPr>
            <w:r w:rsidRPr="00F5139A">
              <w:rPr>
                <w:rFonts w:ascii="Arial" w:hAnsi="Arial" w:cs="Arial"/>
              </w:rPr>
              <w:t>0.02307</w:t>
            </w:r>
          </w:p>
        </w:tc>
        <w:tc>
          <w:tcPr>
            <w:tcW w:w="1915" w:type="dxa"/>
          </w:tcPr>
          <w:p w:rsidR="00F5139A" w:rsidRPr="00F5139A" w:rsidRDefault="00F5139A" w:rsidP="009470BD">
            <w:pPr>
              <w:jc w:val="center"/>
              <w:rPr>
                <w:rFonts w:ascii="Arial" w:hAnsi="Arial" w:cs="Arial"/>
              </w:rPr>
            </w:pPr>
            <w:r w:rsidRPr="00F5139A">
              <w:rPr>
                <w:rFonts w:ascii="Arial" w:hAnsi="Arial" w:cs="Arial"/>
              </w:rPr>
              <w:t>5.55439</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0.23347</w:t>
            </w:r>
          </w:p>
        </w:tc>
        <w:tc>
          <w:tcPr>
            <w:tcW w:w="1915" w:type="dxa"/>
          </w:tcPr>
          <w:p w:rsidR="00F5139A" w:rsidRPr="00F5139A" w:rsidRDefault="00F5139A" w:rsidP="009470BD">
            <w:pPr>
              <w:jc w:val="center"/>
              <w:rPr>
                <w:rFonts w:ascii="Arial" w:hAnsi="Arial" w:cs="Arial"/>
              </w:rPr>
            </w:pPr>
            <w:r w:rsidRPr="00F5139A">
              <w:rPr>
                <w:rFonts w:ascii="Arial" w:hAnsi="Arial" w:cs="Arial"/>
              </w:rPr>
              <w:t>0.04517</w:t>
            </w:r>
          </w:p>
        </w:tc>
        <w:tc>
          <w:tcPr>
            <w:tcW w:w="1915" w:type="dxa"/>
          </w:tcPr>
          <w:p w:rsidR="00F5139A" w:rsidRPr="00F5139A" w:rsidRDefault="00F5139A" w:rsidP="009470BD">
            <w:pPr>
              <w:jc w:val="center"/>
              <w:rPr>
                <w:rFonts w:ascii="Arial" w:hAnsi="Arial" w:cs="Arial"/>
              </w:rPr>
            </w:pPr>
            <w:r w:rsidRPr="00F5139A">
              <w:rPr>
                <w:rFonts w:ascii="Arial" w:hAnsi="Arial" w:cs="Arial"/>
              </w:rPr>
              <w:t>5.16870</w:t>
            </w:r>
          </w:p>
        </w:tc>
        <w:tc>
          <w:tcPr>
            <w:tcW w:w="1916" w:type="dxa"/>
          </w:tcPr>
          <w:p w:rsidR="00F5139A" w:rsidRPr="00F5139A" w:rsidRDefault="00F5139A" w:rsidP="009470BD">
            <w:pPr>
              <w:jc w:val="center"/>
              <w:rPr>
                <w:rFonts w:ascii="Arial" w:hAnsi="Arial" w:cs="Arial"/>
              </w:rPr>
            </w:pPr>
            <w:r w:rsidRPr="00F5139A">
              <w:rPr>
                <w:rFonts w:ascii="Arial" w:hAnsi="Arial" w:cs="Arial"/>
              </w:rPr>
              <w:t>0.0000</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0.07684</w:t>
            </w:r>
          </w:p>
        </w:tc>
        <w:tc>
          <w:tcPr>
            <w:tcW w:w="1915" w:type="dxa"/>
          </w:tcPr>
          <w:p w:rsidR="00F5139A" w:rsidRPr="00F5139A" w:rsidRDefault="00F5139A" w:rsidP="009470BD">
            <w:pPr>
              <w:jc w:val="center"/>
              <w:rPr>
                <w:rFonts w:ascii="Arial" w:hAnsi="Arial" w:cs="Arial"/>
              </w:rPr>
            </w:pPr>
            <w:r w:rsidRPr="00F5139A">
              <w:rPr>
                <w:rFonts w:ascii="Arial" w:hAnsi="Arial" w:cs="Arial"/>
              </w:rPr>
              <w:t>0.02336</w:t>
            </w:r>
          </w:p>
        </w:tc>
        <w:tc>
          <w:tcPr>
            <w:tcW w:w="1915" w:type="dxa"/>
          </w:tcPr>
          <w:p w:rsidR="00F5139A" w:rsidRPr="00F5139A" w:rsidRDefault="00F5139A" w:rsidP="009470BD">
            <w:pPr>
              <w:jc w:val="center"/>
              <w:rPr>
                <w:rFonts w:ascii="Arial" w:hAnsi="Arial" w:cs="Arial"/>
              </w:rPr>
            </w:pPr>
            <w:r w:rsidRPr="00F5139A">
              <w:rPr>
                <w:rFonts w:ascii="Arial" w:hAnsi="Arial" w:cs="Arial"/>
              </w:rPr>
              <w:t>3.28938</w:t>
            </w:r>
          </w:p>
        </w:tc>
        <w:tc>
          <w:tcPr>
            <w:tcW w:w="1916" w:type="dxa"/>
          </w:tcPr>
          <w:p w:rsidR="00F5139A" w:rsidRPr="00F5139A" w:rsidRDefault="00F5139A" w:rsidP="009470BD">
            <w:pPr>
              <w:jc w:val="center"/>
              <w:rPr>
                <w:rFonts w:ascii="Arial" w:hAnsi="Arial" w:cs="Arial"/>
              </w:rPr>
            </w:pPr>
            <w:r w:rsidRPr="00F5139A">
              <w:rPr>
                <w:rFonts w:ascii="Arial" w:hAnsi="Arial" w:cs="Arial"/>
              </w:rPr>
              <w:t>0.0009</w:t>
            </w:r>
          </w:p>
        </w:tc>
      </w:tr>
      <w:tr w:rsidR="00F5139A" w:rsidRPr="00F5139A" w:rsidTr="009470BD">
        <w:tc>
          <w:tcPr>
            <w:tcW w:w="1915" w:type="dxa"/>
          </w:tcPr>
          <w:p w:rsidR="00F5139A" w:rsidRPr="00F5139A" w:rsidRDefault="00AC73E4"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m:oMathPara>
          </w:p>
        </w:tc>
        <w:tc>
          <w:tcPr>
            <w:tcW w:w="1915" w:type="dxa"/>
          </w:tcPr>
          <w:p w:rsidR="00F5139A" w:rsidRPr="00F5139A" w:rsidRDefault="00F5139A" w:rsidP="009470BD">
            <w:pPr>
              <w:jc w:val="center"/>
              <w:rPr>
                <w:rFonts w:ascii="Arial" w:hAnsi="Arial" w:cs="Arial"/>
              </w:rPr>
            </w:pPr>
            <w:r w:rsidRPr="00F5139A">
              <w:rPr>
                <w:rFonts w:ascii="Arial" w:hAnsi="Arial" w:cs="Arial"/>
              </w:rPr>
              <w:t>0.06641</w:t>
            </w:r>
          </w:p>
        </w:tc>
        <w:tc>
          <w:tcPr>
            <w:tcW w:w="1915" w:type="dxa"/>
          </w:tcPr>
          <w:p w:rsidR="00F5139A" w:rsidRPr="00F5139A" w:rsidRDefault="00F5139A" w:rsidP="009470BD">
            <w:pPr>
              <w:jc w:val="center"/>
              <w:rPr>
                <w:rFonts w:ascii="Arial" w:hAnsi="Arial" w:cs="Arial"/>
              </w:rPr>
            </w:pPr>
            <w:r w:rsidRPr="00F5139A">
              <w:rPr>
                <w:rFonts w:ascii="Arial" w:hAnsi="Arial" w:cs="Arial"/>
              </w:rPr>
              <w:t>0.02715</w:t>
            </w:r>
          </w:p>
        </w:tc>
        <w:tc>
          <w:tcPr>
            <w:tcW w:w="1915" w:type="dxa"/>
          </w:tcPr>
          <w:p w:rsidR="00F5139A" w:rsidRPr="00F5139A" w:rsidRDefault="00F5139A" w:rsidP="009470BD">
            <w:pPr>
              <w:jc w:val="center"/>
              <w:rPr>
                <w:rFonts w:ascii="Arial" w:hAnsi="Arial" w:cs="Arial"/>
              </w:rPr>
            </w:pPr>
            <w:r w:rsidRPr="00F5139A">
              <w:rPr>
                <w:rFonts w:ascii="Arial" w:hAnsi="Arial" w:cs="Arial"/>
              </w:rPr>
              <w:t>2.44604</w:t>
            </w:r>
          </w:p>
        </w:tc>
        <w:tc>
          <w:tcPr>
            <w:tcW w:w="1916" w:type="dxa"/>
          </w:tcPr>
          <w:p w:rsidR="00F5139A" w:rsidRPr="00F5139A" w:rsidRDefault="00F5139A" w:rsidP="009470BD">
            <w:pPr>
              <w:jc w:val="center"/>
              <w:rPr>
                <w:rFonts w:ascii="Arial" w:hAnsi="Arial" w:cs="Arial"/>
              </w:rPr>
            </w:pPr>
            <w:r w:rsidRPr="00F5139A">
              <w:rPr>
                <w:rFonts w:ascii="Arial" w:hAnsi="Arial" w:cs="Arial"/>
              </w:rPr>
              <w:t>0.0146</w:t>
            </w:r>
          </w:p>
        </w:tc>
      </w:tr>
      <w:tr w:rsidR="00F5139A" w:rsidRPr="00F5139A" w:rsidTr="009470BD">
        <w:tc>
          <w:tcPr>
            <w:tcW w:w="1915" w:type="dxa"/>
          </w:tcPr>
          <w:p w:rsidR="00F5139A" w:rsidRPr="00F5139A" w:rsidRDefault="00AC73E4" w:rsidP="009470BD">
            <w:pPr>
              <w:rPr>
                <w:rFonts w:ascii="Arial" w:hAnsi="Arial" w:cs="Arial"/>
              </w:rPr>
            </w:pPr>
            <m:oMathPara>
              <m:oMath>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α</m:t>
                        </m:r>
                      </m:e>
                      <m:sub>
                        <m:r>
                          <w:rPr>
                            <w:rFonts w:ascii="Cambria Math" w:hAnsi="Cambria Math" w:cs="Arial"/>
                          </w:rPr>
                          <m:t>i</m:t>
                        </m:r>
                      </m:sub>
                    </m:sSub>
                  </m:e>
                </m:nary>
                <m:r>
                  <w:rPr>
                    <w:rFonts w:ascii="Cambria Math" w:hAnsi="Arial" w:cs="Arial"/>
                  </w:rPr>
                  <m:t>+</m:t>
                </m:r>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β</m:t>
                        </m:r>
                      </m:e>
                      <m:sub>
                        <m:r>
                          <w:rPr>
                            <w:rFonts w:ascii="Cambria Math" w:hAnsi="Cambria Math" w:cs="Arial"/>
                          </w:rPr>
                          <m:t>j</m:t>
                        </m:r>
                      </m:sub>
                    </m:sSub>
                  </m:e>
                </m:nary>
              </m:oMath>
            </m:oMathPara>
          </w:p>
        </w:tc>
        <w:tc>
          <w:tcPr>
            <w:tcW w:w="1915" w:type="dxa"/>
          </w:tcPr>
          <w:p w:rsidR="00F5139A" w:rsidRPr="00F5139A" w:rsidRDefault="00F5139A" w:rsidP="009470BD">
            <w:pPr>
              <w:jc w:val="center"/>
              <w:rPr>
                <w:rFonts w:ascii="Arial" w:hAnsi="Arial" w:cs="Arial"/>
                <w:b/>
              </w:rPr>
            </w:pPr>
            <w:r w:rsidRPr="00F5139A">
              <w:rPr>
                <w:rFonts w:ascii="Arial" w:hAnsi="Arial" w:cs="Arial"/>
                <w:b/>
              </w:rPr>
              <w:t>0.75972</w:t>
            </w:r>
          </w:p>
        </w:tc>
        <w:tc>
          <w:tcPr>
            <w:tcW w:w="1915" w:type="dxa"/>
          </w:tcPr>
          <w:p w:rsidR="00F5139A" w:rsidRPr="00F5139A" w:rsidRDefault="00F5139A" w:rsidP="009470BD">
            <w:pPr>
              <w:jc w:val="center"/>
              <w:rPr>
                <w:rFonts w:ascii="Arial" w:hAnsi="Arial" w:cs="Arial"/>
              </w:rPr>
            </w:pPr>
          </w:p>
        </w:tc>
        <w:tc>
          <w:tcPr>
            <w:tcW w:w="1915" w:type="dxa"/>
          </w:tcPr>
          <w:p w:rsidR="00F5139A" w:rsidRPr="00F5139A" w:rsidRDefault="00F5139A" w:rsidP="009470BD">
            <w:pPr>
              <w:jc w:val="center"/>
              <w:rPr>
                <w:rFonts w:ascii="Arial" w:hAnsi="Arial" w:cs="Arial"/>
              </w:rPr>
            </w:pPr>
          </w:p>
        </w:tc>
        <w:tc>
          <w:tcPr>
            <w:tcW w:w="1916" w:type="dxa"/>
          </w:tcPr>
          <w:p w:rsidR="00F5139A" w:rsidRPr="00F5139A" w:rsidRDefault="00F5139A" w:rsidP="009470BD">
            <w:pPr>
              <w:jc w:val="center"/>
              <w:rPr>
                <w:rFonts w:ascii="Arial" w:hAnsi="Arial" w:cs="Arial"/>
              </w:rPr>
            </w:pPr>
          </w:p>
        </w:tc>
      </w:tr>
      <w:tr w:rsidR="00F5139A" w:rsidRPr="00F5139A" w:rsidTr="009470BD">
        <w:tc>
          <w:tcPr>
            <w:tcW w:w="1915" w:type="dxa"/>
          </w:tcPr>
          <w:p w:rsidR="00F5139A" w:rsidRPr="00F5139A" w:rsidRDefault="00F5139A" w:rsidP="009470BD">
            <w:pPr>
              <w:rPr>
                <w:rFonts w:ascii="Arial" w:hAnsi="Arial" w:cs="Arial"/>
              </w:rPr>
            </w:pPr>
            <w:proofErr w:type="spellStart"/>
            <w:r w:rsidRPr="00F5139A">
              <w:rPr>
                <w:rFonts w:ascii="Arial" w:hAnsi="Arial" w:cs="Arial"/>
              </w:rPr>
              <w:t>LogL</w:t>
            </w:r>
            <w:proofErr w:type="spellEnd"/>
          </w:p>
        </w:tc>
        <w:tc>
          <w:tcPr>
            <w:tcW w:w="1915" w:type="dxa"/>
          </w:tcPr>
          <w:p w:rsidR="00F5139A" w:rsidRPr="00F5139A" w:rsidRDefault="00F5139A" w:rsidP="009470BD">
            <w:pPr>
              <w:jc w:val="center"/>
              <w:rPr>
                <w:rFonts w:ascii="Arial" w:hAnsi="Arial" w:cs="Arial"/>
              </w:rPr>
            </w:pPr>
            <w:r w:rsidRPr="00F5139A">
              <w:rPr>
                <w:rFonts w:ascii="Arial" w:hAnsi="Arial" w:cs="Arial"/>
              </w:rPr>
              <w:t>-117.8987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BIC</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257.5139</w:t>
            </w:r>
          </w:p>
        </w:tc>
        <w:tc>
          <w:tcPr>
            <w:tcW w:w="1916" w:type="dxa"/>
          </w:tcPr>
          <w:p w:rsidR="00F5139A" w:rsidRPr="00F5139A" w:rsidRDefault="00F5139A" w:rsidP="009470BD">
            <w:pPr>
              <w:jc w:val="center"/>
              <w:rPr>
                <w:rFonts w:ascii="Arial" w:hAnsi="Arial" w:cs="Arial"/>
              </w:rPr>
            </w:pPr>
          </w:p>
        </w:tc>
      </w:tr>
      <w:tr w:rsidR="00F5139A" w:rsidRPr="00F5139A" w:rsidTr="009470BD">
        <w:tc>
          <w:tcPr>
            <w:tcW w:w="1915" w:type="dxa"/>
          </w:tcPr>
          <w:p w:rsidR="00F5139A" w:rsidRPr="00F5139A" w:rsidRDefault="00F5139A" w:rsidP="009470BD">
            <w:pPr>
              <w:rPr>
                <w:rFonts w:ascii="Arial" w:hAnsi="Arial" w:cs="Arial"/>
              </w:rPr>
            </w:pPr>
            <w:r w:rsidRPr="00F5139A">
              <w:rPr>
                <w:rFonts w:ascii="Arial" w:hAnsi="Arial" w:cs="Arial"/>
              </w:rPr>
              <w:t>AIC</w:t>
            </w:r>
          </w:p>
        </w:tc>
        <w:tc>
          <w:tcPr>
            <w:tcW w:w="1915" w:type="dxa"/>
          </w:tcPr>
          <w:p w:rsidR="00F5139A" w:rsidRPr="00F5139A" w:rsidRDefault="00F5139A" w:rsidP="009470BD">
            <w:pPr>
              <w:jc w:val="center"/>
              <w:rPr>
                <w:rFonts w:ascii="Arial" w:hAnsi="Arial" w:cs="Arial"/>
              </w:rPr>
            </w:pPr>
            <w:r w:rsidRPr="00F5139A">
              <w:rPr>
                <w:rFonts w:ascii="Arial" w:hAnsi="Arial" w:cs="Arial"/>
              </w:rPr>
              <w:t>249.7974</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HQIC</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257.7435</w:t>
            </w:r>
          </w:p>
        </w:tc>
        <w:tc>
          <w:tcPr>
            <w:tcW w:w="1916" w:type="dxa"/>
          </w:tcPr>
          <w:p w:rsidR="00F5139A" w:rsidRPr="00F5139A" w:rsidRDefault="00F5139A" w:rsidP="009470BD">
            <w:pPr>
              <w:jc w:val="center"/>
              <w:rPr>
                <w:rFonts w:ascii="Arial" w:hAnsi="Arial" w:cs="Arial"/>
              </w:rPr>
            </w:pPr>
          </w:p>
        </w:tc>
      </w:tr>
    </w:tbl>
    <w:p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All the estimated parameters in the Log-</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as shown in Table 6, are statistically significant at the 5% level (p &lt; 0.05), confirming the strength and reliability of the model. The constant term (ω = -0.54217) is negative, which aligns with expectations for a log-linear model and still ensures that the expected durations remain positive after exponentiation. The combined sum of the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F5139A">
        <w:rPr>
          <w:rFonts w:ascii="Arial" w:hAnsi="Arial" w:cs="Arial"/>
          <w:sz w:val="20"/>
          <w:szCs w:val="20"/>
        </w:rPr>
        <w:t xml:space="preserve">  parameters is 0.75972 which is less than one, satisfying the condition for stationarity. This indica</w:t>
      </w:r>
      <w:proofErr w:type="spellStart"/>
      <w:r w:rsidRPr="00F5139A">
        <w:rPr>
          <w:rFonts w:ascii="Arial" w:hAnsi="Arial" w:cs="Arial"/>
          <w:sz w:val="20"/>
          <w:szCs w:val="20"/>
        </w:rPr>
        <w:t>tes</w:t>
      </w:r>
      <w:proofErr w:type="spellEnd"/>
      <w:r w:rsidRPr="00F5139A">
        <w:rPr>
          <w:rFonts w:ascii="Arial" w:hAnsi="Arial" w:cs="Arial"/>
          <w:sz w:val="20"/>
          <w:szCs w:val="20"/>
        </w:rPr>
        <w:t xml:space="preserve"> that shocks or fluctuations in crude oil price durations gradually fade over time, allowing the process to return to its long-term average — a clear sign of mean-reverting </w:t>
      </w:r>
      <w:proofErr w:type="spellStart"/>
      <w:r w:rsidRPr="00F5139A">
        <w:rPr>
          <w:rFonts w:ascii="Arial" w:hAnsi="Arial" w:cs="Arial"/>
          <w:sz w:val="20"/>
          <w:szCs w:val="20"/>
        </w:rPr>
        <w:t>behaviour</w:t>
      </w:r>
      <w:proofErr w:type="spellEnd"/>
      <w:r w:rsidRPr="00F5139A">
        <w:rPr>
          <w:rFonts w:ascii="Arial" w:hAnsi="Arial" w:cs="Arial"/>
          <w:sz w:val="20"/>
          <w:szCs w:val="20"/>
        </w:rPr>
        <w:t>.</w:t>
      </w:r>
    </w:p>
    <w:p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Furthermore, the significance of both the duration parameters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oMath>
      <w:r w:rsidRPr="00F5139A">
        <w:rPr>
          <w:rFonts w:ascii="Arial" w:hAnsi="Arial" w:cs="Arial"/>
          <w:sz w:val="20"/>
          <w:szCs w:val="20"/>
        </w:rPr>
        <w:t>) and the conditional expectation parameters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oMath>
      <w:r w:rsidRPr="00F5139A">
        <w:rPr>
          <w:rFonts w:ascii="Arial" w:hAnsi="Arial" w:cs="Arial"/>
          <w:sz w:val="20"/>
          <w:szCs w:val="20"/>
        </w:rPr>
        <w:t>) indicates a strong temporal dependence within the log-duration process, meaning that past durations have a substantial influence on future ones. The model’s performance indicators — a log-likelihood value of -117.8987 and low AIC (249.7974), BIC (257.5139), and HQIC (257.7435) values-further affirm its goodness of fit. Overall, these results demonstrate that the Log-</w:t>
      </w:r>
      <w:proofErr w:type="gramStart"/>
      <w:r w:rsidRPr="00F5139A">
        <w:rPr>
          <w:rFonts w:ascii="Arial" w:hAnsi="Arial" w:cs="Arial"/>
          <w:sz w:val="20"/>
          <w:szCs w:val="20"/>
        </w:rPr>
        <w:t>ACD(</w:t>
      </w:r>
      <w:proofErr w:type="gramEnd"/>
      <w:r w:rsidRPr="00F5139A">
        <w:rPr>
          <w:rFonts w:ascii="Arial" w:hAnsi="Arial" w:cs="Arial"/>
          <w:sz w:val="20"/>
          <w:szCs w:val="20"/>
        </w:rPr>
        <w:t>2,3) model provides a stable, parsimonious, and dependable framework for understanding and forecasting the timing of price changes in Nigeria’s crude oil market.</w:t>
      </w:r>
    </w:p>
    <w:p w:rsidR="00F5139A" w:rsidRPr="00F5139A" w:rsidRDefault="00F5139A" w:rsidP="00F5139A">
      <w:pPr>
        <w:jc w:val="both"/>
        <w:rPr>
          <w:rFonts w:ascii="Arial" w:hAnsi="Arial" w:cs="Arial"/>
          <w:b/>
        </w:rPr>
      </w:pPr>
      <w:r w:rsidRPr="00F5139A">
        <w:rPr>
          <w:rFonts w:ascii="Arial" w:hAnsi="Arial" w:cs="Arial"/>
          <w:b/>
        </w:rPr>
        <w:t>Table 7: Model comparison using Fit Metrics</w:t>
      </w:r>
    </w:p>
    <w:tbl>
      <w:tblPr>
        <w:tblW w:w="0" w:type="auto"/>
        <w:tblLook w:val="04A0" w:firstRow="1" w:lastRow="0" w:firstColumn="1" w:lastColumn="0" w:noHBand="0" w:noVBand="1"/>
      </w:tblPr>
      <w:tblGrid>
        <w:gridCol w:w="1607"/>
        <w:gridCol w:w="1828"/>
        <w:gridCol w:w="1735"/>
        <w:gridCol w:w="1735"/>
        <w:gridCol w:w="1519"/>
      </w:tblGrid>
      <w:tr w:rsidR="00F5139A" w:rsidRPr="00F5139A" w:rsidTr="009470BD">
        <w:tc>
          <w:tcPr>
            <w:tcW w:w="1896" w:type="dxa"/>
            <w:vAlign w:val="center"/>
          </w:tcPr>
          <w:p w:rsidR="00F5139A" w:rsidRPr="00F5139A" w:rsidRDefault="00F5139A" w:rsidP="009470BD">
            <w:pPr>
              <w:jc w:val="center"/>
              <w:rPr>
                <w:rFonts w:ascii="Arial" w:hAnsi="Arial" w:cs="Arial"/>
                <w:b/>
                <w:bCs/>
              </w:rPr>
            </w:pPr>
            <w:r w:rsidRPr="00F5139A">
              <w:rPr>
                <w:rFonts w:ascii="Arial" w:hAnsi="Arial" w:cs="Arial"/>
                <w:b/>
                <w:bCs/>
              </w:rPr>
              <w:t>Model</w:t>
            </w:r>
          </w:p>
        </w:tc>
        <w:tc>
          <w:tcPr>
            <w:tcW w:w="2044" w:type="dxa"/>
            <w:vAlign w:val="center"/>
          </w:tcPr>
          <w:p w:rsidR="00F5139A" w:rsidRPr="00F5139A" w:rsidRDefault="00F5139A" w:rsidP="009470BD">
            <w:pPr>
              <w:jc w:val="center"/>
              <w:rPr>
                <w:rFonts w:ascii="Arial" w:hAnsi="Arial" w:cs="Arial"/>
                <w:b/>
                <w:bCs/>
              </w:rPr>
            </w:pPr>
            <w:r w:rsidRPr="00F5139A">
              <w:rPr>
                <w:rFonts w:ascii="Arial" w:hAnsi="Arial" w:cs="Arial"/>
                <w:b/>
                <w:bCs/>
              </w:rPr>
              <w:t>Log-Likelihood</w:t>
            </w:r>
          </w:p>
        </w:tc>
        <w:tc>
          <w:tcPr>
            <w:tcW w:w="1976" w:type="dxa"/>
            <w:vAlign w:val="center"/>
          </w:tcPr>
          <w:p w:rsidR="00F5139A" w:rsidRPr="00F5139A" w:rsidRDefault="00F5139A" w:rsidP="009470BD">
            <w:pPr>
              <w:jc w:val="center"/>
              <w:rPr>
                <w:rFonts w:ascii="Arial" w:hAnsi="Arial" w:cs="Arial"/>
                <w:b/>
                <w:bCs/>
              </w:rPr>
            </w:pPr>
            <w:r w:rsidRPr="00F5139A">
              <w:rPr>
                <w:rFonts w:ascii="Arial" w:hAnsi="Arial" w:cs="Arial"/>
                <w:b/>
                <w:bCs/>
              </w:rPr>
              <w:t>AIC</w:t>
            </w:r>
          </w:p>
        </w:tc>
        <w:tc>
          <w:tcPr>
            <w:tcW w:w="1976" w:type="dxa"/>
            <w:vAlign w:val="center"/>
          </w:tcPr>
          <w:p w:rsidR="00F5139A" w:rsidRPr="00F5139A" w:rsidRDefault="00F5139A" w:rsidP="009470BD">
            <w:pPr>
              <w:jc w:val="center"/>
              <w:rPr>
                <w:rFonts w:ascii="Arial" w:hAnsi="Arial" w:cs="Arial"/>
                <w:b/>
                <w:bCs/>
              </w:rPr>
            </w:pPr>
            <w:r w:rsidRPr="00F5139A">
              <w:rPr>
                <w:rFonts w:ascii="Arial" w:hAnsi="Arial" w:cs="Arial"/>
                <w:b/>
                <w:bCs/>
              </w:rPr>
              <w:t>BIC</w:t>
            </w:r>
          </w:p>
        </w:tc>
        <w:tc>
          <w:tcPr>
            <w:tcW w:w="1684" w:type="dxa"/>
          </w:tcPr>
          <w:p w:rsidR="00F5139A" w:rsidRPr="00F5139A" w:rsidRDefault="00F5139A" w:rsidP="009470BD">
            <w:pPr>
              <w:jc w:val="center"/>
              <w:rPr>
                <w:rFonts w:ascii="Arial" w:hAnsi="Arial" w:cs="Arial"/>
                <w:b/>
                <w:bCs/>
              </w:rPr>
            </w:pPr>
            <w:r w:rsidRPr="00F5139A">
              <w:rPr>
                <w:rFonts w:ascii="Arial" w:hAnsi="Arial" w:cs="Arial"/>
                <w:b/>
                <w:bCs/>
              </w:rPr>
              <w:t>HQIC</w:t>
            </w:r>
          </w:p>
        </w:tc>
      </w:tr>
      <w:tr w:rsidR="00F5139A" w:rsidRPr="00F5139A" w:rsidTr="009470BD">
        <w:tc>
          <w:tcPr>
            <w:tcW w:w="1896" w:type="dxa"/>
            <w:vAlign w:val="center"/>
          </w:tcPr>
          <w:p w:rsidR="00F5139A" w:rsidRPr="00F5139A" w:rsidRDefault="00F5139A" w:rsidP="009470BD">
            <w:pPr>
              <w:jc w:val="center"/>
              <w:rPr>
                <w:rFonts w:ascii="Arial" w:hAnsi="Arial" w:cs="Arial"/>
              </w:rPr>
            </w:pPr>
            <w:r w:rsidRPr="00F5139A">
              <w:rPr>
                <w:rFonts w:ascii="Arial" w:hAnsi="Arial" w:cs="Arial"/>
              </w:rPr>
              <w:t>ACD (2,3)</w:t>
            </w:r>
          </w:p>
        </w:tc>
        <w:tc>
          <w:tcPr>
            <w:tcW w:w="2044" w:type="dxa"/>
            <w:vAlign w:val="center"/>
          </w:tcPr>
          <w:p w:rsidR="00F5139A" w:rsidRPr="00F5139A" w:rsidRDefault="00F5139A" w:rsidP="009470BD">
            <w:pPr>
              <w:jc w:val="center"/>
              <w:rPr>
                <w:rFonts w:ascii="Arial" w:hAnsi="Arial" w:cs="Arial"/>
              </w:rPr>
            </w:pPr>
            <w:r w:rsidRPr="00F5139A">
              <w:rPr>
                <w:rFonts w:ascii="Arial" w:hAnsi="Arial" w:cs="Arial"/>
              </w:rPr>
              <w:t>-119.3322</w:t>
            </w:r>
          </w:p>
        </w:tc>
        <w:tc>
          <w:tcPr>
            <w:tcW w:w="1976" w:type="dxa"/>
            <w:vAlign w:val="center"/>
          </w:tcPr>
          <w:p w:rsidR="00F5139A" w:rsidRPr="00F5139A" w:rsidRDefault="00F5139A" w:rsidP="009470BD">
            <w:pPr>
              <w:jc w:val="center"/>
              <w:rPr>
                <w:rFonts w:ascii="Arial" w:hAnsi="Arial" w:cs="Arial"/>
              </w:rPr>
            </w:pPr>
            <w:r w:rsidRPr="00F5139A">
              <w:rPr>
                <w:rFonts w:ascii="Arial" w:hAnsi="Arial" w:cs="Arial"/>
              </w:rPr>
              <w:t>251.6644</w:t>
            </w:r>
          </w:p>
        </w:tc>
        <w:tc>
          <w:tcPr>
            <w:tcW w:w="1976" w:type="dxa"/>
            <w:vAlign w:val="center"/>
          </w:tcPr>
          <w:p w:rsidR="00F5139A" w:rsidRPr="00F5139A" w:rsidRDefault="00F5139A" w:rsidP="009470BD">
            <w:pPr>
              <w:jc w:val="center"/>
              <w:rPr>
                <w:rFonts w:ascii="Arial" w:hAnsi="Arial" w:cs="Arial"/>
              </w:rPr>
            </w:pPr>
            <w:r w:rsidRPr="00F5139A">
              <w:rPr>
                <w:rFonts w:ascii="Arial" w:hAnsi="Arial" w:cs="Arial"/>
              </w:rPr>
              <w:t>259.1883</w:t>
            </w:r>
          </w:p>
        </w:tc>
        <w:tc>
          <w:tcPr>
            <w:tcW w:w="1684" w:type="dxa"/>
          </w:tcPr>
          <w:p w:rsidR="00F5139A" w:rsidRPr="00F5139A" w:rsidRDefault="00F5139A" w:rsidP="009470BD">
            <w:pPr>
              <w:jc w:val="center"/>
              <w:rPr>
                <w:rFonts w:ascii="Arial" w:hAnsi="Arial" w:cs="Arial"/>
              </w:rPr>
            </w:pPr>
            <w:r w:rsidRPr="00F5139A">
              <w:rPr>
                <w:rFonts w:ascii="Arial" w:hAnsi="Arial" w:cs="Arial"/>
              </w:rPr>
              <w:t>260.0297</w:t>
            </w:r>
          </w:p>
        </w:tc>
      </w:tr>
      <w:tr w:rsidR="00F5139A" w:rsidRPr="00F5139A" w:rsidTr="009470BD">
        <w:tc>
          <w:tcPr>
            <w:tcW w:w="1896" w:type="dxa"/>
            <w:vAlign w:val="center"/>
          </w:tcPr>
          <w:p w:rsidR="00F5139A" w:rsidRPr="00F5139A" w:rsidRDefault="00F5139A" w:rsidP="009470BD">
            <w:pPr>
              <w:jc w:val="center"/>
              <w:rPr>
                <w:rFonts w:ascii="Arial" w:hAnsi="Arial" w:cs="Arial"/>
                <w:highlight w:val="lightGray"/>
              </w:rPr>
            </w:pPr>
            <w:r w:rsidRPr="00F5139A">
              <w:rPr>
                <w:rFonts w:ascii="Arial" w:hAnsi="Arial" w:cs="Arial"/>
                <w:highlight w:val="lightGray"/>
              </w:rPr>
              <w:t>Log-</w:t>
            </w:r>
            <w:proofErr w:type="gramStart"/>
            <w:r w:rsidRPr="00F5139A">
              <w:rPr>
                <w:rFonts w:ascii="Arial" w:hAnsi="Arial" w:cs="Arial"/>
                <w:highlight w:val="lightGray"/>
              </w:rPr>
              <w:t>ACD( 2</w:t>
            </w:r>
            <w:proofErr w:type="gramEnd"/>
            <w:r w:rsidRPr="00F5139A">
              <w:rPr>
                <w:rFonts w:ascii="Arial" w:hAnsi="Arial" w:cs="Arial"/>
                <w:highlight w:val="lightGray"/>
              </w:rPr>
              <w:t>,3)</w:t>
            </w:r>
          </w:p>
        </w:tc>
        <w:tc>
          <w:tcPr>
            <w:tcW w:w="2044" w:type="dxa"/>
            <w:vAlign w:val="center"/>
          </w:tcPr>
          <w:p w:rsidR="00F5139A" w:rsidRPr="00F5139A" w:rsidRDefault="00F5139A" w:rsidP="009470BD">
            <w:pPr>
              <w:jc w:val="center"/>
              <w:rPr>
                <w:rFonts w:ascii="Arial" w:hAnsi="Arial" w:cs="Arial"/>
                <w:highlight w:val="lightGray"/>
              </w:rPr>
            </w:pPr>
            <w:r w:rsidRPr="00F5139A">
              <w:rPr>
                <w:rFonts w:ascii="Arial" w:hAnsi="Arial" w:cs="Arial"/>
                <w:highlight w:val="lightGray"/>
              </w:rPr>
              <w:t>-117.8987</w:t>
            </w:r>
          </w:p>
        </w:tc>
        <w:tc>
          <w:tcPr>
            <w:tcW w:w="1976" w:type="dxa"/>
            <w:vAlign w:val="center"/>
          </w:tcPr>
          <w:p w:rsidR="00F5139A" w:rsidRPr="00F5139A" w:rsidRDefault="00F5139A" w:rsidP="009470BD">
            <w:pPr>
              <w:jc w:val="center"/>
              <w:rPr>
                <w:rFonts w:ascii="Arial" w:hAnsi="Arial" w:cs="Arial"/>
                <w:highlight w:val="lightGray"/>
              </w:rPr>
            </w:pPr>
            <w:r w:rsidRPr="00F5139A">
              <w:rPr>
                <w:rFonts w:ascii="Arial" w:hAnsi="Arial" w:cs="Arial"/>
                <w:highlight w:val="lightGray"/>
              </w:rPr>
              <w:t>249.7974</w:t>
            </w:r>
          </w:p>
        </w:tc>
        <w:tc>
          <w:tcPr>
            <w:tcW w:w="1976" w:type="dxa"/>
            <w:vAlign w:val="center"/>
          </w:tcPr>
          <w:p w:rsidR="00F5139A" w:rsidRPr="00F5139A" w:rsidRDefault="00F5139A" w:rsidP="009470BD">
            <w:pPr>
              <w:jc w:val="center"/>
              <w:rPr>
                <w:rFonts w:ascii="Arial" w:hAnsi="Arial" w:cs="Arial"/>
                <w:highlight w:val="lightGray"/>
              </w:rPr>
            </w:pPr>
            <w:r w:rsidRPr="00F5139A">
              <w:rPr>
                <w:rFonts w:ascii="Arial" w:hAnsi="Arial" w:cs="Arial"/>
                <w:highlight w:val="lightGray"/>
              </w:rPr>
              <w:t>257.5139</w:t>
            </w:r>
          </w:p>
        </w:tc>
        <w:tc>
          <w:tcPr>
            <w:tcW w:w="1684" w:type="dxa"/>
          </w:tcPr>
          <w:p w:rsidR="00F5139A" w:rsidRPr="00F5139A" w:rsidRDefault="00F5139A" w:rsidP="009470BD">
            <w:pPr>
              <w:jc w:val="center"/>
              <w:rPr>
                <w:rFonts w:ascii="Arial" w:hAnsi="Arial" w:cs="Arial"/>
                <w:highlight w:val="lightGray"/>
              </w:rPr>
            </w:pPr>
            <w:r w:rsidRPr="00F5139A">
              <w:rPr>
                <w:rFonts w:ascii="Arial" w:hAnsi="Arial" w:cs="Arial"/>
                <w:highlight w:val="lightGray"/>
              </w:rPr>
              <w:t>257.7435</w:t>
            </w:r>
          </w:p>
        </w:tc>
      </w:tr>
    </w:tbl>
    <w:p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The model comparison results reported in Table 7 show that the Log-</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outperforms the standard ACD(2,3) model across all fit metrics, including log-likelihood, AIC, </w:t>
      </w:r>
      <w:r w:rsidRPr="00F5139A">
        <w:rPr>
          <w:rFonts w:ascii="Arial" w:hAnsi="Arial" w:cs="Arial"/>
          <w:sz w:val="20"/>
          <w:szCs w:val="20"/>
        </w:rPr>
        <w:lastRenderedPageBreak/>
        <w:t>BIC, and HQIC. The Log-</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stands out as the best-fitting model because it achieves a higher log-likelihood and lower information criteria values compared to other specifications. This balance between accuracy and simplicity suggests that transforming durations into their logarithmic form provides a clearer and more precise picture of crude oil price </w:t>
      </w:r>
      <w:proofErr w:type="spellStart"/>
      <w:r w:rsidRPr="00F5139A">
        <w:rPr>
          <w:rFonts w:ascii="Arial" w:hAnsi="Arial" w:cs="Arial"/>
          <w:sz w:val="20"/>
          <w:szCs w:val="20"/>
        </w:rPr>
        <w:t>behaviour</w:t>
      </w:r>
      <w:proofErr w:type="spellEnd"/>
      <w:r w:rsidRPr="00F5139A">
        <w:rPr>
          <w:rFonts w:ascii="Arial" w:hAnsi="Arial" w:cs="Arial"/>
          <w:sz w:val="20"/>
          <w:szCs w:val="20"/>
        </w:rPr>
        <w:t xml:space="preserve"> over time. In essence, the Log-</w:t>
      </w:r>
      <w:proofErr w:type="gramStart"/>
      <w:r w:rsidRPr="00F5139A">
        <w:rPr>
          <w:rFonts w:ascii="Arial" w:hAnsi="Arial" w:cs="Arial"/>
          <w:sz w:val="20"/>
          <w:szCs w:val="20"/>
        </w:rPr>
        <w:t>ACD(</w:t>
      </w:r>
      <w:proofErr w:type="gramEnd"/>
      <w:r w:rsidRPr="00F5139A">
        <w:rPr>
          <w:rFonts w:ascii="Arial" w:hAnsi="Arial" w:cs="Arial"/>
          <w:sz w:val="20"/>
          <w:szCs w:val="20"/>
        </w:rPr>
        <w:t>2,3) model not only captures the dynamics of price durations more effectively but also offers a reliable and efficient tool for interpreting and forecasting movements in Nigeria’s crude oil market.</w:t>
      </w:r>
    </w:p>
    <w:p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 xml:space="preserve">The </w:t>
      </w:r>
      <w:proofErr w:type="spellStart"/>
      <w:r w:rsidRPr="00F5139A">
        <w:rPr>
          <w:rFonts w:ascii="Arial" w:hAnsi="Arial" w:cs="Arial"/>
          <w:sz w:val="20"/>
          <w:szCs w:val="20"/>
        </w:rPr>
        <w:t>Ljung</w:t>
      </w:r>
      <w:proofErr w:type="spellEnd"/>
      <w:r w:rsidRPr="00F5139A">
        <w:rPr>
          <w:rFonts w:ascii="Arial" w:hAnsi="Arial" w:cs="Arial"/>
          <w:sz w:val="20"/>
          <w:szCs w:val="20"/>
        </w:rPr>
        <w:t xml:space="preserve">-Box Q-statistic test was applied (Table 8) to the residuals of the </w:t>
      </w:r>
      <w:proofErr w:type="gramStart"/>
      <w:r w:rsidRPr="00F5139A">
        <w:rPr>
          <w:rFonts w:ascii="Arial" w:hAnsi="Arial" w:cs="Arial"/>
          <w:sz w:val="20"/>
          <w:szCs w:val="20"/>
        </w:rPr>
        <w:t>ACD(</w:t>
      </w:r>
      <w:proofErr w:type="gramEnd"/>
      <w:r w:rsidRPr="00F5139A">
        <w:rPr>
          <w:rFonts w:ascii="Arial" w:hAnsi="Arial" w:cs="Arial"/>
          <w:sz w:val="20"/>
          <w:szCs w:val="20"/>
        </w:rPr>
        <w:t>2,3) and Log-ACD(2,3) models to assess whether any significant autocorrelation remains after model estimation. For both models, the Q-statistics at all lags (from 1 to 24) have p-values greater than 0.05, indicating that the null hypothesis of no autocorrelation cannot be rejected at any lag.</w:t>
      </w:r>
    </w:p>
    <w:p w:rsidR="00F5139A" w:rsidRPr="00F5139A" w:rsidRDefault="00F5139A" w:rsidP="00F5139A">
      <w:pPr>
        <w:rPr>
          <w:rFonts w:ascii="Arial" w:hAnsi="Arial" w:cs="Arial"/>
          <w:b/>
        </w:rPr>
      </w:pPr>
      <w:r w:rsidRPr="00F5139A">
        <w:rPr>
          <w:rFonts w:ascii="Arial" w:hAnsi="Arial" w:cs="Arial"/>
          <w:b/>
        </w:rPr>
        <w:t xml:space="preserve">Table 8: </w:t>
      </w:r>
      <w:proofErr w:type="spellStart"/>
      <w:r w:rsidRPr="00F5139A">
        <w:rPr>
          <w:rFonts w:ascii="Arial" w:hAnsi="Arial" w:cs="Arial"/>
          <w:b/>
        </w:rPr>
        <w:t>Ljung</w:t>
      </w:r>
      <w:proofErr w:type="spellEnd"/>
      <w:r w:rsidRPr="00F5139A">
        <w:rPr>
          <w:rFonts w:ascii="Arial" w:hAnsi="Arial" w:cs="Arial"/>
          <w:b/>
        </w:rPr>
        <w:t>-Box Q-statistic Test Results on the Residuals of Estimated Models</w:t>
      </w:r>
    </w:p>
    <w:tbl>
      <w:tblPr>
        <w:tblW w:w="0" w:type="auto"/>
        <w:tblBorders>
          <w:top w:val="single" w:sz="4" w:space="0" w:color="auto"/>
          <w:bottom w:val="single" w:sz="4" w:space="0" w:color="auto"/>
        </w:tblBorders>
        <w:tblLook w:val="04A0" w:firstRow="1" w:lastRow="0" w:firstColumn="1" w:lastColumn="0" w:noHBand="0" w:noVBand="1"/>
      </w:tblPr>
      <w:tblGrid>
        <w:gridCol w:w="1629"/>
        <w:gridCol w:w="1714"/>
        <w:gridCol w:w="1683"/>
        <w:gridCol w:w="1714"/>
        <w:gridCol w:w="1684"/>
      </w:tblGrid>
      <w:tr w:rsidR="00F5139A" w:rsidRPr="00F5139A" w:rsidTr="009470BD">
        <w:tc>
          <w:tcPr>
            <w:tcW w:w="1915" w:type="dxa"/>
            <w:vMerge w:val="restart"/>
            <w:tcBorders>
              <w:top w:val="single" w:sz="4" w:space="0" w:color="auto"/>
              <w:bottom w:val="nil"/>
            </w:tcBorders>
          </w:tcPr>
          <w:p w:rsidR="00F5139A" w:rsidRPr="00F5139A" w:rsidRDefault="00F5139A" w:rsidP="009470BD">
            <w:pPr>
              <w:rPr>
                <w:rFonts w:ascii="Arial" w:hAnsi="Arial" w:cs="Arial"/>
                <w:b/>
              </w:rPr>
            </w:pPr>
            <w:r w:rsidRPr="00F5139A">
              <w:rPr>
                <w:rFonts w:ascii="Arial" w:hAnsi="Arial" w:cs="Arial"/>
                <w:b/>
              </w:rPr>
              <w:t xml:space="preserve">Lag </w:t>
            </w:r>
          </w:p>
        </w:tc>
        <w:tc>
          <w:tcPr>
            <w:tcW w:w="3830" w:type="dxa"/>
            <w:gridSpan w:val="2"/>
            <w:tcBorders>
              <w:top w:val="single" w:sz="4" w:space="0" w:color="auto"/>
              <w:bottom w:val="nil"/>
            </w:tcBorders>
          </w:tcPr>
          <w:p w:rsidR="00F5139A" w:rsidRPr="00F5139A" w:rsidRDefault="00F5139A" w:rsidP="009470BD">
            <w:pPr>
              <w:spacing w:before="100" w:beforeAutospacing="1" w:after="100" w:afterAutospacing="1"/>
              <w:jc w:val="center"/>
              <w:outlineLvl w:val="3"/>
              <w:rPr>
                <w:rFonts w:ascii="Arial" w:hAnsi="Arial" w:cs="Arial"/>
                <w:b/>
                <w:bCs/>
              </w:rPr>
            </w:pPr>
            <w:r w:rsidRPr="00F5139A">
              <w:rPr>
                <w:rFonts w:ascii="Arial" w:hAnsi="Arial" w:cs="Arial"/>
                <w:b/>
                <w:bCs/>
              </w:rPr>
              <w:t>ACD (2,3) Residuals</w:t>
            </w:r>
          </w:p>
        </w:tc>
        <w:tc>
          <w:tcPr>
            <w:tcW w:w="3831" w:type="dxa"/>
            <w:gridSpan w:val="2"/>
            <w:tcBorders>
              <w:top w:val="single" w:sz="4" w:space="0" w:color="auto"/>
              <w:bottom w:val="nil"/>
            </w:tcBorders>
          </w:tcPr>
          <w:p w:rsidR="00F5139A" w:rsidRPr="00F5139A" w:rsidRDefault="00F5139A" w:rsidP="009470BD">
            <w:pPr>
              <w:spacing w:before="100" w:beforeAutospacing="1" w:after="100" w:afterAutospacing="1"/>
              <w:jc w:val="center"/>
              <w:outlineLvl w:val="3"/>
              <w:rPr>
                <w:rFonts w:ascii="Arial" w:hAnsi="Arial" w:cs="Arial"/>
                <w:b/>
                <w:bCs/>
              </w:rPr>
            </w:pPr>
            <w:r w:rsidRPr="00F5139A">
              <w:rPr>
                <w:rFonts w:ascii="Arial" w:hAnsi="Arial" w:cs="Arial"/>
                <w:b/>
                <w:bCs/>
              </w:rPr>
              <w:t>Log-ACD (2,3) Residuals</w:t>
            </w:r>
          </w:p>
        </w:tc>
      </w:tr>
      <w:tr w:rsidR="00F5139A" w:rsidRPr="00F5139A" w:rsidTr="009470BD">
        <w:tc>
          <w:tcPr>
            <w:tcW w:w="1915" w:type="dxa"/>
            <w:vMerge/>
            <w:tcBorders>
              <w:top w:val="nil"/>
              <w:bottom w:val="single" w:sz="4" w:space="0" w:color="auto"/>
            </w:tcBorders>
          </w:tcPr>
          <w:p w:rsidR="00F5139A" w:rsidRPr="00F5139A" w:rsidRDefault="00F5139A" w:rsidP="009470BD">
            <w:pPr>
              <w:rPr>
                <w:rFonts w:ascii="Arial" w:hAnsi="Arial" w:cs="Arial"/>
                <w:b/>
              </w:rPr>
            </w:pPr>
          </w:p>
        </w:tc>
        <w:tc>
          <w:tcPr>
            <w:tcW w:w="1915" w:type="dxa"/>
            <w:tcBorders>
              <w:top w:val="nil"/>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Q-statistic</w:t>
            </w:r>
          </w:p>
        </w:tc>
        <w:tc>
          <w:tcPr>
            <w:tcW w:w="1915" w:type="dxa"/>
            <w:tcBorders>
              <w:top w:val="nil"/>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p-value</w:t>
            </w:r>
          </w:p>
        </w:tc>
        <w:tc>
          <w:tcPr>
            <w:tcW w:w="1915" w:type="dxa"/>
            <w:tcBorders>
              <w:top w:val="nil"/>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Q-statistic</w:t>
            </w:r>
          </w:p>
        </w:tc>
        <w:tc>
          <w:tcPr>
            <w:tcW w:w="1916" w:type="dxa"/>
            <w:tcBorders>
              <w:top w:val="nil"/>
              <w:bottom w:val="single" w:sz="4" w:space="0" w:color="auto"/>
            </w:tcBorders>
          </w:tcPr>
          <w:p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rsidTr="009470BD">
        <w:tc>
          <w:tcPr>
            <w:tcW w:w="1915" w:type="dxa"/>
            <w:tcBorders>
              <w:top w:val="single" w:sz="4" w:space="0" w:color="auto"/>
            </w:tcBorders>
            <w:vAlign w:val="center"/>
          </w:tcPr>
          <w:p w:rsidR="00F5139A" w:rsidRPr="00F5139A" w:rsidRDefault="00F5139A" w:rsidP="009470BD">
            <w:pPr>
              <w:rPr>
                <w:rFonts w:ascii="Arial" w:hAnsi="Arial" w:cs="Arial"/>
              </w:rPr>
            </w:pPr>
            <w:r w:rsidRPr="00F5139A">
              <w:rPr>
                <w:rFonts w:ascii="Arial" w:hAnsi="Arial" w:cs="Arial"/>
              </w:rPr>
              <w:t>1</w:t>
            </w:r>
          </w:p>
        </w:tc>
        <w:tc>
          <w:tcPr>
            <w:tcW w:w="1915" w:type="dxa"/>
            <w:tcBorders>
              <w:top w:val="single" w:sz="4" w:space="0" w:color="auto"/>
            </w:tcBorders>
            <w:vAlign w:val="center"/>
          </w:tcPr>
          <w:p w:rsidR="00F5139A" w:rsidRPr="00F5139A" w:rsidRDefault="00F5139A" w:rsidP="009470BD">
            <w:pPr>
              <w:jc w:val="center"/>
              <w:rPr>
                <w:rFonts w:ascii="Arial" w:hAnsi="Arial" w:cs="Arial"/>
              </w:rPr>
            </w:pPr>
            <w:r w:rsidRPr="00F5139A">
              <w:rPr>
                <w:rFonts w:ascii="Arial" w:hAnsi="Arial" w:cs="Arial"/>
              </w:rPr>
              <w:t>0.1532</w:t>
            </w:r>
          </w:p>
        </w:tc>
        <w:tc>
          <w:tcPr>
            <w:tcW w:w="1915" w:type="dxa"/>
            <w:tcBorders>
              <w:top w:val="single" w:sz="4" w:space="0" w:color="auto"/>
            </w:tcBorders>
            <w:vAlign w:val="center"/>
          </w:tcPr>
          <w:p w:rsidR="00F5139A" w:rsidRPr="00F5139A" w:rsidRDefault="00F5139A" w:rsidP="009470BD">
            <w:pPr>
              <w:jc w:val="center"/>
              <w:rPr>
                <w:rFonts w:ascii="Arial" w:hAnsi="Arial" w:cs="Arial"/>
              </w:rPr>
            </w:pPr>
            <w:r w:rsidRPr="00F5139A">
              <w:rPr>
                <w:rFonts w:ascii="Arial" w:hAnsi="Arial" w:cs="Arial"/>
              </w:rPr>
              <w:t>0.6953</w:t>
            </w:r>
          </w:p>
        </w:tc>
        <w:tc>
          <w:tcPr>
            <w:tcW w:w="1915" w:type="dxa"/>
            <w:tcBorders>
              <w:top w:val="single" w:sz="4" w:space="0" w:color="auto"/>
            </w:tcBorders>
            <w:vAlign w:val="center"/>
          </w:tcPr>
          <w:p w:rsidR="00F5139A" w:rsidRPr="00F5139A" w:rsidRDefault="00F5139A" w:rsidP="009470BD">
            <w:pPr>
              <w:jc w:val="center"/>
              <w:rPr>
                <w:rFonts w:ascii="Arial" w:hAnsi="Arial" w:cs="Arial"/>
              </w:rPr>
            </w:pPr>
            <w:r w:rsidRPr="00F5139A">
              <w:rPr>
                <w:rFonts w:ascii="Arial" w:hAnsi="Arial" w:cs="Arial"/>
              </w:rPr>
              <w:t>0.2156</w:t>
            </w:r>
          </w:p>
        </w:tc>
        <w:tc>
          <w:tcPr>
            <w:tcW w:w="1916" w:type="dxa"/>
            <w:tcBorders>
              <w:top w:val="single" w:sz="4" w:space="0" w:color="auto"/>
            </w:tcBorders>
            <w:vAlign w:val="center"/>
          </w:tcPr>
          <w:p w:rsidR="00F5139A" w:rsidRPr="00F5139A" w:rsidRDefault="00F5139A" w:rsidP="009470BD">
            <w:pPr>
              <w:jc w:val="center"/>
              <w:rPr>
                <w:rFonts w:ascii="Arial" w:hAnsi="Arial" w:cs="Arial"/>
              </w:rPr>
            </w:pPr>
            <w:r w:rsidRPr="00F5139A">
              <w:rPr>
                <w:rFonts w:ascii="Arial" w:hAnsi="Arial" w:cs="Arial"/>
              </w:rPr>
              <w:t>0.6429</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1.4523</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0.4831</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1.7619</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0.4142</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3</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2.3145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0.5092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2.8421</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0.4160</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4</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3.6217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0.4597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3.8802</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0.4221</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4.3928</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0.4941</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4.7703</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0.4444</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6</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5.7889</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0.4490</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5.9815</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0.4266</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6.1987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0.5174</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6.7630</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0.4528</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8</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7.1342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0.5210</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7.9891</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0.4363</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9</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8.0193</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0.5328</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8.7587</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0.4587</w:t>
            </w:r>
          </w:p>
        </w:tc>
      </w:tr>
      <w:tr w:rsidR="00F5139A" w:rsidRPr="00F5139A" w:rsidTr="009470BD">
        <w:tc>
          <w:tcPr>
            <w:tcW w:w="1915" w:type="dxa"/>
            <w:vAlign w:val="center"/>
          </w:tcPr>
          <w:p w:rsidR="00F5139A" w:rsidRPr="00F5139A" w:rsidRDefault="00F5139A" w:rsidP="009470BD">
            <w:pPr>
              <w:rPr>
                <w:rFonts w:ascii="Arial" w:hAnsi="Arial" w:cs="Arial"/>
              </w:rPr>
            </w:pPr>
            <w:r w:rsidRPr="00F5139A">
              <w:rPr>
                <w:rFonts w:ascii="Arial" w:hAnsi="Arial" w:cs="Arial"/>
              </w:rPr>
              <w:t>10</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8.9312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0.5410</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9.6913</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0.4652</w:t>
            </w:r>
          </w:p>
        </w:tc>
      </w:tr>
      <w:tr w:rsidR="00F5139A" w:rsidRPr="00F5139A" w:rsidTr="009470BD">
        <w:tc>
          <w:tcPr>
            <w:tcW w:w="1915" w:type="dxa"/>
          </w:tcPr>
          <w:p w:rsidR="00F5139A" w:rsidRPr="00F5139A" w:rsidRDefault="00F5139A" w:rsidP="009470BD">
            <w:pPr>
              <w:rPr>
                <w:rFonts w:ascii="Arial" w:hAnsi="Arial" w:cs="Arial"/>
              </w:rPr>
            </w:pPr>
            <w:r w:rsidRPr="00F5139A">
              <w:rPr>
                <w:rFonts w:ascii="Arial" w:hAnsi="Arial" w:cs="Arial"/>
              </w:rPr>
              <w:t>15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9.7118</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0.8425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10.9327</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0.8751</w:t>
            </w:r>
          </w:p>
        </w:tc>
      </w:tr>
      <w:tr w:rsidR="00F5139A" w:rsidRPr="00F5139A" w:rsidTr="009470BD">
        <w:tc>
          <w:tcPr>
            <w:tcW w:w="1915" w:type="dxa"/>
          </w:tcPr>
          <w:p w:rsidR="00F5139A" w:rsidRPr="00F5139A" w:rsidRDefault="00F5139A" w:rsidP="009470BD">
            <w:pPr>
              <w:rPr>
                <w:rFonts w:ascii="Arial" w:hAnsi="Arial" w:cs="Arial"/>
              </w:rPr>
            </w:pPr>
            <w:r w:rsidRPr="00F5139A">
              <w:rPr>
                <w:rFonts w:ascii="Arial" w:hAnsi="Arial" w:cs="Arial"/>
              </w:rPr>
              <w:t>20</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12.1385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0.9092</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11.2895</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0.9313</w:t>
            </w:r>
          </w:p>
        </w:tc>
      </w:tr>
      <w:tr w:rsidR="00F5139A" w:rsidRPr="00F5139A" w:rsidTr="009470BD">
        <w:tc>
          <w:tcPr>
            <w:tcW w:w="1915" w:type="dxa"/>
          </w:tcPr>
          <w:p w:rsidR="00F5139A" w:rsidRPr="00F5139A" w:rsidRDefault="00F5139A" w:rsidP="009470BD">
            <w:pPr>
              <w:rPr>
                <w:rFonts w:ascii="Arial" w:hAnsi="Arial" w:cs="Arial"/>
              </w:rPr>
            </w:pPr>
            <w:r w:rsidRPr="00F5139A">
              <w:rPr>
                <w:rFonts w:ascii="Arial" w:hAnsi="Arial" w:cs="Arial"/>
              </w:rPr>
              <w:t>24</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21.8345</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0.6017</w:t>
            </w:r>
          </w:p>
        </w:tc>
        <w:tc>
          <w:tcPr>
            <w:tcW w:w="1915" w:type="dxa"/>
            <w:vAlign w:val="center"/>
          </w:tcPr>
          <w:p w:rsidR="00F5139A" w:rsidRPr="00F5139A" w:rsidRDefault="00F5139A" w:rsidP="009470BD">
            <w:pPr>
              <w:jc w:val="center"/>
              <w:rPr>
                <w:rFonts w:ascii="Arial" w:hAnsi="Arial" w:cs="Arial"/>
              </w:rPr>
            </w:pPr>
            <w:r w:rsidRPr="00F5139A">
              <w:rPr>
                <w:rFonts w:ascii="Arial" w:hAnsi="Arial" w:cs="Arial"/>
              </w:rPr>
              <w:t>22.7168</w:t>
            </w:r>
          </w:p>
        </w:tc>
        <w:tc>
          <w:tcPr>
            <w:tcW w:w="1916" w:type="dxa"/>
            <w:vAlign w:val="center"/>
          </w:tcPr>
          <w:p w:rsidR="00F5139A" w:rsidRPr="00F5139A" w:rsidRDefault="00F5139A" w:rsidP="009470BD">
            <w:pPr>
              <w:jc w:val="center"/>
              <w:rPr>
                <w:rFonts w:ascii="Arial" w:hAnsi="Arial" w:cs="Arial"/>
              </w:rPr>
            </w:pPr>
            <w:r w:rsidRPr="00F5139A">
              <w:rPr>
                <w:rFonts w:ascii="Arial" w:hAnsi="Arial" w:cs="Arial"/>
              </w:rPr>
              <w:t>0.5812</w:t>
            </w:r>
          </w:p>
        </w:tc>
      </w:tr>
    </w:tbl>
    <w:p w:rsidR="00F5139A" w:rsidRPr="00F5139A" w:rsidRDefault="00F5139A" w:rsidP="00F5139A">
      <w:pPr>
        <w:jc w:val="both"/>
        <w:rPr>
          <w:rFonts w:ascii="Arial" w:hAnsi="Arial" w:cs="Arial"/>
        </w:rPr>
      </w:pPr>
      <w:r w:rsidRPr="00F5139A">
        <w:rPr>
          <w:rFonts w:ascii="Arial" w:hAnsi="Arial" w:cs="Arial"/>
        </w:rPr>
        <w:t xml:space="preserve">The </w:t>
      </w:r>
      <w:proofErr w:type="spellStart"/>
      <w:r w:rsidRPr="00F5139A">
        <w:rPr>
          <w:rFonts w:ascii="Arial" w:hAnsi="Arial" w:cs="Arial"/>
        </w:rPr>
        <w:t>Ljung</w:t>
      </w:r>
      <w:proofErr w:type="spellEnd"/>
      <w:r w:rsidRPr="00F5139A">
        <w:rPr>
          <w:rFonts w:ascii="Arial" w:hAnsi="Arial" w:cs="Arial"/>
        </w:rPr>
        <w:t xml:space="preserve">-Box Q-statistic results presented in Table 8 indicate that both the </w:t>
      </w:r>
      <w:proofErr w:type="gramStart"/>
      <w:r w:rsidRPr="00F5139A">
        <w:rPr>
          <w:rFonts w:ascii="Arial" w:hAnsi="Arial" w:cs="Arial"/>
        </w:rPr>
        <w:t>ACD(</w:t>
      </w:r>
      <w:proofErr w:type="gramEnd"/>
      <w:r w:rsidRPr="00F5139A">
        <w:rPr>
          <w:rFonts w:ascii="Arial" w:hAnsi="Arial" w:cs="Arial"/>
        </w:rPr>
        <w:t>2,3) and Log-ACD(2,3) models successfully captured the autocorrelation patterns in the crude oil price duration series. The residuals resemble white noise, showing no remaining serial correlation and confirming that the models are properly specified. However, the Log-</w:t>
      </w:r>
      <w:proofErr w:type="gramStart"/>
      <w:r w:rsidRPr="00F5139A">
        <w:rPr>
          <w:rFonts w:ascii="Arial" w:hAnsi="Arial" w:cs="Arial"/>
        </w:rPr>
        <w:t>ACD(</w:t>
      </w:r>
      <w:proofErr w:type="gramEnd"/>
      <w:r w:rsidRPr="00F5139A">
        <w:rPr>
          <w:rFonts w:ascii="Arial" w:hAnsi="Arial" w:cs="Arial"/>
        </w:rPr>
        <w:t>2,3) model performed slightly better, as its residuals passed all autocorrelation tests across different lags. This demonstrates its higher accuracy and reliability for forecasting the timing of crude oil price movements.</w:t>
      </w:r>
    </w:p>
    <w:p w:rsidR="00F5139A" w:rsidRPr="00F5139A" w:rsidRDefault="00F5139A" w:rsidP="00F5139A">
      <w:pPr>
        <w:jc w:val="both"/>
        <w:rPr>
          <w:rFonts w:ascii="Arial" w:hAnsi="Arial" w:cs="Arial"/>
          <w:b/>
        </w:rPr>
      </w:pPr>
      <w:r w:rsidRPr="00F5139A">
        <w:rPr>
          <w:rFonts w:ascii="Arial" w:hAnsi="Arial" w:cs="Arial"/>
          <w:b/>
        </w:rPr>
        <w:t>3.6 Policy Implications and Relevance of the Model</w:t>
      </w:r>
    </w:p>
    <w:p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The findings of this study reveal that the intervals between major volatility spikes in Nigeria’s crude oil market are not random but follow a predictable, mean-reverting pattern. In practical terms, this means that government institutions can estimate, with reasonable accuracy, how long it might take before the next significant price shock occurs. Given that oil revenues form a substantial portion of Nigeria’s fiscal income, sudden changes in oil prices have far-reaching implications for the national budget, debt management, and foreign reserves.</w:t>
      </w:r>
    </w:p>
    <w:p w:rsidR="00F5139A" w:rsidRDefault="00F5139A" w:rsidP="00F5139A">
      <w:pPr>
        <w:pStyle w:val="NormalWeb"/>
        <w:spacing w:after="0" w:afterAutospacing="0"/>
        <w:jc w:val="both"/>
      </w:pPr>
      <w:r w:rsidRPr="00F5139A">
        <w:rPr>
          <w:rFonts w:ascii="Arial" w:hAnsi="Arial" w:cs="Arial"/>
          <w:sz w:val="20"/>
          <w:szCs w:val="20"/>
        </w:rPr>
        <w:t>By tracking and forecasting the expected duration before the next volatility episode, agencies such as the Ministry of Finance and the Central Bank can better anticipate potential revenue shortfalls and activate precautionary measures ahead of time. This proactive approach enables more effective fiscal planning, improved debt servicing, and enhanced reserve management. Ultimately, the study’s insights provide policymakers with a valuable tool for stabilizing oil-dependent revenue streams, reducing exposure to external shocks, and promoting sustainable fiscal discipline during periods of market uncertainty.</w:t>
      </w:r>
    </w:p>
    <w:p w:rsidR="00E053D0" w:rsidRDefault="00E053D0"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This study examined the </w:t>
      </w:r>
      <w:proofErr w:type="spellStart"/>
      <w:r w:rsidRPr="001002A8">
        <w:rPr>
          <w:rFonts w:ascii="Arial" w:hAnsi="Arial" w:cs="Arial"/>
          <w:sz w:val="20"/>
          <w:szCs w:val="20"/>
        </w:rPr>
        <w:t>behaviour</w:t>
      </w:r>
      <w:proofErr w:type="spellEnd"/>
      <w:r w:rsidRPr="001002A8">
        <w:rPr>
          <w:rFonts w:ascii="Arial" w:hAnsi="Arial" w:cs="Arial"/>
          <w:sz w:val="20"/>
          <w:szCs w:val="20"/>
        </w:rPr>
        <w:t xml:space="preserve"> of Nigerian crude oil price durations using Symmetric Autoregressive Conditional Duration (ACD) models to identify the best model for capturing the timing pattern between major price changes. The descriptive analysis showed that oil returns were highly volatile, skewed, and leptokurtic—traits that justify the use of advanced time series models capable of handling non-normal and dependent data. Stationarity checks using the KPSS test confirmed that the duration series was stationary, while the </w:t>
      </w:r>
      <w:proofErr w:type="spellStart"/>
      <w:r w:rsidRPr="001002A8">
        <w:rPr>
          <w:rFonts w:ascii="Arial" w:hAnsi="Arial" w:cs="Arial"/>
          <w:sz w:val="20"/>
          <w:szCs w:val="20"/>
        </w:rPr>
        <w:t>Ljung</w:t>
      </w:r>
      <w:proofErr w:type="spellEnd"/>
      <w:r w:rsidRPr="001002A8">
        <w:rPr>
          <w:rFonts w:ascii="Arial" w:hAnsi="Arial" w:cs="Arial"/>
          <w:sz w:val="20"/>
          <w:szCs w:val="20"/>
        </w:rPr>
        <w:t>-Box test revealed significant autocorrelation, supporting the use of ACD-type models.</w:t>
      </w:r>
    </w:p>
    <w:p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Model selection based on AIC, BIC, and HQIC criteria identified the </w:t>
      </w:r>
      <w:proofErr w:type="gramStart"/>
      <w:r w:rsidRPr="001002A8">
        <w:rPr>
          <w:rFonts w:ascii="Arial" w:hAnsi="Arial" w:cs="Arial"/>
          <w:sz w:val="20"/>
          <w:szCs w:val="20"/>
        </w:rPr>
        <w:t>ACD(</w:t>
      </w:r>
      <w:proofErr w:type="gramEnd"/>
      <w:r w:rsidRPr="001002A8">
        <w:rPr>
          <w:rFonts w:ascii="Arial" w:hAnsi="Arial" w:cs="Arial"/>
          <w:sz w:val="20"/>
          <w:szCs w:val="20"/>
        </w:rPr>
        <w:t xml:space="preserve">2,3) and Log-ACD(2,3) models (under Weibull and log-Weibull distributions, respectively) as the best-fitting specifications. The estimated parameters were all significant, and the combined </w:t>
      </w:r>
      <m:oMath>
        <m:r>
          <w:rPr>
            <w:rFonts w:ascii="Cambria Math" w:hAnsi="Cambria Math" w:cs="Arial"/>
            <w:sz w:val="20"/>
            <w:szCs w:val="20"/>
          </w:rPr>
          <m:t>α</m:t>
        </m:r>
      </m:oMath>
      <w:r w:rsidRPr="001002A8">
        <w:rPr>
          <w:rFonts w:ascii="Arial" w:hAnsi="Arial" w:cs="Arial"/>
          <w:sz w:val="20"/>
          <w:szCs w:val="20"/>
        </w:rPr>
        <w:t xml:space="preserve"> and </w:t>
      </w:r>
      <m:oMath>
        <m:r>
          <w:rPr>
            <w:rFonts w:ascii="Cambria Math" w:hAnsi="Cambria Math" w:cs="Arial"/>
            <w:sz w:val="20"/>
            <w:szCs w:val="20"/>
          </w:rPr>
          <m:t>β</m:t>
        </m:r>
      </m:oMath>
      <w:r w:rsidRPr="001002A8">
        <w:rPr>
          <w:rFonts w:ascii="Arial" w:hAnsi="Arial" w:cs="Arial"/>
          <w:sz w:val="20"/>
          <w:szCs w:val="20"/>
        </w:rPr>
        <w:t xml:space="preserve"> values were below one, indicating that while shocks to duration persist, they eventually fade—suggesting a stable, mean-reverting process. Among the two competing models, the Log-</w:t>
      </w:r>
      <w:proofErr w:type="gramStart"/>
      <w:r w:rsidRPr="001002A8">
        <w:rPr>
          <w:rFonts w:ascii="Arial" w:hAnsi="Arial" w:cs="Arial"/>
          <w:sz w:val="20"/>
          <w:szCs w:val="20"/>
        </w:rPr>
        <w:t>ACD(</w:t>
      </w:r>
      <w:proofErr w:type="gramEnd"/>
      <w:r w:rsidRPr="001002A8">
        <w:rPr>
          <w:rFonts w:ascii="Arial" w:hAnsi="Arial" w:cs="Arial"/>
          <w:sz w:val="20"/>
          <w:szCs w:val="20"/>
        </w:rPr>
        <w:t>2,3) model provided the best overall fit, with higher log-likelihood and lower information criteria values.</w:t>
      </w:r>
    </w:p>
    <w:p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Diagnostic tests using the </w:t>
      </w:r>
      <w:proofErr w:type="spellStart"/>
      <w:r w:rsidRPr="001002A8">
        <w:rPr>
          <w:rFonts w:ascii="Arial" w:hAnsi="Arial" w:cs="Arial"/>
          <w:sz w:val="20"/>
          <w:szCs w:val="20"/>
        </w:rPr>
        <w:t>Ljung</w:t>
      </w:r>
      <w:proofErr w:type="spellEnd"/>
      <w:r w:rsidRPr="001002A8">
        <w:rPr>
          <w:rFonts w:ascii="Arial" w:hAnsi="Arial" w:cs="Arial"/>
          <w:sz w:val="20"/>
          <w:szCs w:val="20"/>
        </w:rPr>
        <w:t>-Box Q-statistics on model residuals confirmed that both models effectively removed autocorrelation, as the residuals behaved like white noise. This validates the models’ reliability and adequacy. In essence, the study found that the intervals between crude oil price movements in Nigeria are not random but exhibit predictable temporal dependence. The Log-</w:t>
      </w:r>
      <w:proofErr w:type="gramStart"/>
      <w:r w:rsidRPr="001002A8">
        <w:rPr>
          <w:rFonts w:ascii="Arial" w:hAnsi="Arial" w:cs="Arial"/>
          <w:sz w:val="20"/>
          <w:szCs w:val="20"/>
        </w:rPr>
        <w:t>ACD(</w:t>
      </w:r>
      <w:proofErr w:type="gramEnd"/>
      <w:r w:rsidRPr="001002A8">
        <w:rPr>
          <w:rFonts w:ascii="Arial" w:hAnsi="Arial" w:cs="Arial"/>
          <w:sz w:val="20"/>
          <w:szCs w:val="20"/>
        </w:rPr>
        <w:t xml:space="preserve">2,3) model, in particular, offers the most accurate representation of these dynamics, making it a valuable tool for policymakers, investors, and analysts to forecast market </w:t>
      </w:r>
      <w:proofErr w:type="spellStart"/>
      <w:r w:rsidRPr="001002A8">
        <w:rPr>
          <w:rFonts w:ascii="Arial" w:hAnsi="Arial" w:cs="Arial"/>
          <w:sz w:val="20"/>
          <w:szCs w:val="20"/>
        </w:rPr>
        <w:t>behaviour</w:t>
      </w:r>
      <w:proofErr w:type="spellEnd"/>
      <w:r w:rsidRPr="001002A8">
        <w:rPr>
          <w:rFonts w:ascii="Arial" w:hAnsi="Arial" w:cs="Arial"/>
          <w:sz w:val="20"/>
          <w:szCs w:val="20"/>
        </w:rPr>
        <w:t>, manage risks, and plan more effective economic and trading strategies.</w:t>
      </w:r>
    </w:p>
    <w:p w:rsidR="00CE6CFB" w:rsidRDefault="00CE6CFB" w:rsidP="00441B6F">
      <w:pPr>
        <w:pStyle w:val="ReferHead"/>
        <w:spacing w:after="0"/>
        <w:jc w:val="both"/>
        <w:rPr>
          <w:rFonts w:ascii="Arial" w:hAnsi="Arial" w:cs="Arial"/>
          <w:bCs/>
        </w:rPr>
      </w:pP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860000" w:rsidRPr="001002A8" w:rsidRDefault="00E66E10" w:rsidP="00441B6F">
      <w:pPr>
        <w:pStyle w:val="ReferHead"/>
        <w:spacing w:after="0"/>
        <w:jc w:val="both"/>
        <w:rPr>
          <w:rFonts w:ascii="Arial" w:hAnsi="Arial" w:cs="Arial"/>
          <w:b w:val="0"/>
          <w:caps w:val="0"/>
          <w:sz w:val="20"/>
        </w:rPr>
      </w:pPr>
      <w:r w:rsidRPr="001002A8">
        <w:rPr>
          <w:rFonts w:ascii="Arial" w:hAnsi="Arial" w:cs="Arial"/>
          <w:b w:val="0"/>
          <w:caps w:val="0"/>
          <w:sz w:val="20"/>
        </w:rPr>
        <w:t xml:space="preserve">Authors have declared that </w:t>
      </w:r>
      <w:r w:rsidR="001002A8">
        <w:rPr>
          <w:rFonts w:ascii="Arial" w:hAnsi="Arial" w:cs="Arial"/>
          <w:b w:val="0"/>
          <w:caps w:val="0"/>
          <w:sz w:val="20"/>
        </w:rPr>
        <w:t>no competing interests exist</w:t>
      </w:r>
      <w:r w:rsidRPr="001002A8">
        <w:rPr>
          <w:rFonts w:ascii="Arial" w:hAnsi="Arial" w:cs="Arial"/>
          <w:b w:val="0"/>
          <w:caps w:val="0"/>
          <w:sz w:val="20"/>
        </w:rPr>
        <w:t>.</w:t>
      </w:r>
    </w:p>
    <w:p w:rsidR="00371FB6" w:rsidRDefault="00371FB6"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p>
    <w:p w:rsidR="002B685A" w:rsidRPr="002B685A" w:rsidRDefault="002B685A" w:rsidP="00441B6F">
      <w:pPr>
        <w:pStyle w:val="ReferHead"/>
        <w:spacing w:after="0"/>
        <w:jc w:val="both"/>
        <w:rPr>
          <w:rFonts w:ascii="Arial" w:hAnsi="Arial" w:cs="Arial"/>
          <w:bCs/>
        </w:rPr>
      </w:pPr>
    </w:p>
    <w:p w:rsidR="001A29D8" w:rsidRDefault="002B685A" w:rsidP="001002A8">
      <w:pPr>
        <w:pStyle w:val="ReferHead"/>
        <w:spacing w:after="0"/>
        <w:jc w:val="both"/>
        <w:rPr>
          <w:rFonts w:ascii="Arial" w:hAnsi="Arial" w:cs="Arial"/>
          <w:b w:val="0"/>
          <w:caps w:val="0"/>
          <w:sz w:val="20"/>
        </w:rPr>
      </w:pPr>
      <w:r>
        <w:rPr>
          <w:rFonts w:ascii="Arial" w:hAnsi="Arial" w:cs="Arial"/>
          <w:b w:val="0"/>
          <w:caps w:val="0"/>
          <w:sz w:val="20"/>
        </w:rPr>
        <w:t>No</w:t>
      </w:r>
      <w:r w:rsidR="001002A8">
        <w:rPr>
          <w:rFonts w:ascii="Arial" w:hAnsi="Arial" w:cs="Arial"/>
          <w:b w:val="0"/>
          <w:caps w:val="0"/>
          <w:sz w:val="20"/>
        </w:rPr>
        <w:t>t applicable.</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6C76A8" w:rsidRPr="00CE6CFB" w:rsidRDefault="001002A8" w:rsidP="00CE6CFB">
      <w:pPr>
        <w:pStyle w:val="ReferHead"/>
        <w:spacing w:after="0"/>
        <w:jc w:val="both"/>
        <w:rPr>
          <w:rFonts w:ascii="Arial" w:hAnsi="Arial" w:cs="Arial"/>
          <w:b w:val="0"/>
          <w:caps w:val="0"/>
          <w:sz w:val="20"/>
        </w:rPr>
      </w:pPr>
      <w:r>
        <w:rPr>
          <w:rFonts w:ascii="Arial" w:hAnsi="Arial" w:cs="Arial"/>
          <w:b w:val="0"/>
          <w:caps w:val="0"/>
          <w:sz w:val="20"/>
        </w:rPr>
        <w:t xml:space="preserve">Not applicable. </w:t>
      </w:r>
    </w:p>
    <w:p w:rsidR="00DA024E" w:rsidRDefault="00DA024E" w:rsidP="00DA024E">
      <w:pPr>
        <w:rPr>
          <w:rFonts w:ascii="Arial" w:eastAsiaTheme="minorEastAsia" w:hAnsi="Arial" w:cs="Arial"/>
        </w:rPr>
      </w:pPr>
      <w:bookmarkStart w:id="0" w:name="_Hlk223955456"/>
    </w:p>
    <w:p w:rsidR="00DA024E" w:rsidRPr="00CE6CFB" w:rsidRDefault="00DA024E" w:rsidP="00DA024E">
      <w:pPr>
        <w:pStyle w:val="NoSpacing"/>
        <w:rPr>
          <w:rFonts w:ascii="Arial" w:hAnsi="Arial" w:cs="Arial"/>
          <w:b/>
        </w:rPr>
      </w:pPr>
      <w:bookmarkStart w:id="1" w:name="_Hlk198031404"/>
      <w:r w:rsidRPr="00CE6CFB">
        <w:rPr>
          <w:rFonts w:ascii="Arial" w:hAnsi="Arial" w:cs="Arial"/>
          <w:b/>
        </w:rPr>
        <w:t>Disclaimer (Artificial intelligence)</w:t>
      </w:r>
    </w:p>
    <w:p w:rsidR="00DA024E" w:rsidRPr="00CE6CFB" w:rsidRDefault="00DA024E" w:rsidP="00CE6CFB">
      <w:pPr>
        <w:pStyle w:val="NoSpacing"/>
        <w:jc w:val="both"/>
        <w:rPr>
          <w:rFonts w:ascii="Arial" w:hAnsi="Arial" w:cs="Arial"/>
        </w:rPr>
      </w:pPr>
    </w:p>
    <w:p w:rsidR="00DA024E" w:rsidRPr="00005ED1" w:rsidRDefault="00DA024E" w:rsidP="00CE6CFB">
      <w:pPr>
        <w:pStyle w:val="NoSpacing"/>
        <w:jc w:val="both"/>
        <w:rPr>
          <w:rFonts w:ascii="Arial" w:hAnsi="Arial" w:cs="Arial"/>
          <w:highlight w:val="yellow"/>
        </w:rPr>
      </w:pPr>
      <w:r w:rsidRPr="00CE6CFB">
        <w:rPr>
          <w:rFonts w:ascii="Arial" w:hAnsi="Arial" w:cs="Arial"/>
        </w:rPr>
        <w:t>Author(s) hereby declare that NO generative AI technologies such as Large Language Models (</w:t>
      </w:r>
      <w:proofErr w:type="spellStart"/>
      <w:r w:rsidRPr="00CE6CFB">
        <w:rPr>
          <w:rFonts w:ascii="Arial" w:hAnsi="Arial" w:cs="Arial"/>
        </w:rPr>
        <w:t>ChatGPT</w:t>
      </w:r>
      <w:proofErr w:type="spellEnd"/>
      <w:r w:rsidRPr="00CE6CFB">
        <w:rPr>
          <w:rFonts w:ascii="Arial" w:hAnsi="Arial" w:cs="Arial"/>
        </w:rPr>
        <w:t xml:space="preserve">, COPILOT, etc.) and text-to-image generators have been used during the writing or editing of this manuscript. </w:t>
      </w:r>
    </w:p>
    <w:bookmarkEnd w:id="0"/>
    <w:bookmarkEnd w:id="1"/>
    <w:p w:rsidR="00DA024E" w:rsidRPr="00F469F0" w:rsidRDefault="00DA024E" w:rsidP="001002A8">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CE6CFB" w:rsidRDefault="00CE6CFB"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1D626C" w:rsidRDefault="001D626C" w:rsidP="005018F0">
      <w:pPr>
        <w:ind w:left="720" w:hanging="720"/>
        <w:jc w:val="both"/>
        <w:rPr>
          <w:rFonts w:ascii="Arial" w:hAnsi="Arial" w:cs="Arial"/>
        </w:rPr>
      </w:pPr>
      <w:r w:rsidRPr="001D626C">
        <w:rPr>
          <w:rFonts w:ascii="Arial" w:hAnsi="Arial" w:cs="Arial"/>
          <w:highlight w:val="yellow"/>
        </w:rPr>
        <w:t xml:space="preserve">Adebayo, T. S., </w:t>
      </w:r>
      <w:proofErr w:type="spellStart"/>
      <w:r w:rsidRPr="001D626C">
        <w:rPr>
          <w:rFonts w:ascii="Arial" w:hAnsi="Arial" w:cs="Arial"/>
          <w:highlight w:val="yellow"/>
        </w:rPr>
        <w:t>Akinsola</w:t>
      </w:r>
      <w:proofErr w:type="spellEnd"/>
      <w:r w:rsidRPr="001D626C">
        <w:rPr>
          <w:rFonts w:ascii="Arial" w:hAnsi="Arial" w:cs="Arial"/>
          <w:highlight w:val="yellow"/>
        </w:rPr>
        <w:t xml:space="preserve">, G. D., </w:t>
      </w:r>
      <w:proofErr w:type="spellStart"/>
      <w:r w:rsidRPr="001D626C">
        <w:rPr>
          <w:rFonts w:ascii="Arial" w:hAnsi="Arial" w:cs="Arial"/>
          <w:highlight w:val="yellow"/>
        </w:rPr>
        <w:t>Odugbesan</w:t>
      </w:r>
      <w:proofErr w:type="spellEnd"/>
      <w:r w:rsidRPr="001D626C">
        <w:rPr>
          <w:rFonts w:ascii="Arial" w:hAnsi="Arial" w:cs="Arial"/>
          <w:highlight w:val="yellow"/>
        </w:rPr>
        <w:t>, J. A., &amp; Olanrewaju, V. O.</w:t>
      </w:r>
      <w:r w:rsidRPr="00BF47D2">
        <w:rPr>
          <w:rFonts w:ascii="Arial" w:hAnsi="Arial" w:cs="Arial"/>
          <w:highlight w:val="yellow"/>
        </w:rPr>
        <w:t xml:space="preserve"> (2025). Comparative analysis of ARIMA and GARCH models in forecasting crude oil prices. </w:t>
      </w:r>
      <w:r w:rsidRPr="001D626C">
        <w:rPr>
          <w:rFonts w:ascii="Arial" w:hAnsi="Arial" w:cs="Arial"/>
          <w:i/>
          <w:iCs/>
        </w:rPr>
        <w:t>Journal of Energy Economics</w:t>
      </w:r>
      <w:r w:rsidRPr="001D626C">
        <w:rPr>
          <w:rFonts w:ascii="Arial" w:hAnsi="Arial" w:cs="Arial"/>
          <w:highlight w:val="yellow"/>
        </w:rPr>
        <w:t>, 45(2), 112-</w:t>
      </w:r>
      <w:r w:rsidRPr="00BF47D2">
        <w:rPr>
          <w:rFonts w:ascii="Arial" w:hAnsi="Arial" w:cs="Arial"/>
          <w:highlight w:val="yellow"/>
        </w:rPr>
        <w:t>130.</w:t>
      </w:r>
    </w:p>
    <w:p w:rsidR="005018F0" w:rsidRPr="005018F0" w:rsidRDefault="005018F0" w:rsidP="005018F0">
      <w:pPr>
        <w:ind w:left="720" w:hanging="720"/>
        <w:jc w:val="both"/>
        <w:rPr>
          <w:rFonts w:ascii="Arial" w:hAnsi="Arial" w:cs="Arial"/>
        </w:rPr>
      </w:pPr>
      <w:r w:rsidRPr="005018F0">
        <w:rPr>
          <w:rFonts w:ascii="Arial" w:hAnsi="Arial" w:cs="Arial"/>
        </w:rPr>
        <w:t xml:space="preserve">Akpan, E. O. (2009). Oil price shocks and Nigeria’s macroeconomy. </w:t>
      </w:r>
      <w:r w:rsidRPr="005018F0">
        <w:rPr>
          <w:rFonts w:ascii="Arial" w:hAnsi="Arial" w:cs="Arial"/>
          <w:i/>
          <w:iCs/>
        </w:rPr>
        <w:t>AERC Research Paper 183</w:t>
      </w:r>
      <w:r w:rsidRPr="005018F0">
        <w:rPr>
          <w:rFonts w:ascii="Arial" w:hAnsi="Arial" w:cs="Arial"/>
        </w:rPr>
        <w:t>, African Economic Research Consortium.</w:t>
      </w:r>
    </w:p>
    <w:p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Alomari</w:t>
      </w:r>
      <w:proofErr w:type="spellEnd"/>
      <w:r w:rsidRPr="005018F0">
        <w:rPr>
          <w:rFonts w:ascii="Arial" w:hAnsi="Arial" w:cs="Arial"/>
          <w:sz w:val="20"/>
          <w:szCs w:val="20"/>
        </w:rPr>
        <w:t>, M., &amp;</w:t>
      </w:r>
      <w:proofErr w:type="spellStart"/>
      <w:r w:rsidRPr="005018F0">
        <w:rPr>
          <w:rFonts w:ascii="Arial" w:hAnsi="Arial" w:cs="Arial"/>
          <w:sz w:val="20"/>
          <w:szCs w:val="20"/>
        </w:rPr>
        <w:t>Alshehri</w:t>
      </w:r>
      <w:proofErr w:type="spellEnd"/>
      <w:r w:rsidRPr="005018F0">
        <w:rPr>
          <w:rFonts w:ascii="Arial" w:hAnsi="Arial" w:cs="Arial"/>
          <w:sz w:val="20"/>
          <w:szCs w:val="20"/>
        </w:rPr>
        <w:t xml:space="preserve">, M. (2017). Modeling trade durations in crude oil futures markets using ACD models. </w:t>
      </w:r>
      <w:r w:rsidRPr="005018F0">
        <w:rPr>
          <w:rStyle w:val="Emphasis"/>
          <w:rFonts w:ascii="Arial" w:hAnsi="Arial" w:cs="Arial"/>
          <w:sz w:val="20"/>
          <w:szCs w:val="20"/>
        </w:rPr>
        <w:t>Energy Economics</w:t>
      </w:r>
      <w:r w:rsidRPr="005018F0">
        <w:rPr>
          <w:rFonts w:ascii="Arial" w:hAnsi="Arial" w:cs="Arial"/>
          <w:sz w:val="20"/>
          <w:szCs w:val="20"/>
        </w:rPr>
        <w:t xml:space="preserve">, </w:t>
      </w:r>
      <w:r w:rsidRPr="005018F0">
        <w:rPr>
          <w:rFonts w:ascii="Arial" w:hAnsi="Arial" w:cs="Arial"/>
          <w:i/>
          <w:sz w:val="20"/>
          <w:szCs w:val="20"/>
        </w:rPr>
        <w:t>65</w:t>
      </w:r>
      <w:r w:rsidRPr="005018F0">
        <w:rPr>
          <w:rFonts w:ascii="Arial" w:hAnsi="Arial" w:cs="Arial"/>
          <w:sz w:val="20"/>
          <w:szCs w:val="20"/>
        </w:rPr>
        <w:t>, 152-160.</w:t>
      </w:r>
    </w:p>
    <w:p w:rsidR="001D626C" w:rsidRDefault="005018F0" w:rsidP="001D626C">
      <w:pPr>
        <w:ind w:left="720" w:hanging="720"/>
        <w:jc w:val="both"/>
        <w:rPr>
          <w:rFonts w:ascii="Arial" w:hAnsi="Arial" w:cs="Arial"/>
        </w:rPr>
      </w:pPr>
      <w:r w:rsidRPr="005018F0">
        <w:rPr>
          <w:rFonts w:ascii="Arial" w:hAnsi="Arial" w:cs="Arial"/>
        </w:rPr>
        <w:t>Bauwens, L., &amp;</w:t>
      </w:r>
      <w:proofErr w:type="spellStart"/>
      <w:r w:rsidRPr="005018F0">
        <w:rPr>
          <w:rFonts w:ascii="Arial" w:hAnsi="Arial" w:cs="Arial"/>
        </w:rPr>
        <w:t>Giot</w:t>
      </w:r>
      <w:proofErr w:type="spellEnd"/>
      <w:r w:rsidRPr="005018F0">
        <w:rPr>
          <w:rFonts w:ascii="Arial" w:hAnsi="Arial" w:cs="Arial"/>
        </w:rPr>
        <w:t xml:space="preserve">, P. (2000). The logarithmic ACD model: An application to the bid-ask quote process of three NYSE stocks. </w:t>
      </w:r>
      <w:r w:rsidRPr="005018F0">
        <w:rPr>
          <w:rFonts w:ascii="Arial" w:hAnsi="Arial" w:cs="Arial"/>
          <w:i/>
          <w:iCs/>
        </w:rPr>
        <w:t xml:space="preserve">Annales </w:t>
      </w:r>
      <w:proofErr w:type="spellStart"/>
      <w:r w:rsidRPr="005018F0">
        <w:rPr>
          <w:rFonts w:ascii="Arial" w:hAnsi="Arial" w:cs="Arial"/>
          <w:i/>
          <w:iCs/>
        </w:rPr>
        <w:t>d’Économie</w:t>
      </w:r>
      <w:proofErr w:type="spellEnd"/>
      <w:r w:rsidRPr="005018F0">
        <w:rPr>
          <w:rFonts w:ascii="Arial" w:hAnsi="Arial" w:cs="Arial"/>
          <w:i/>
          <w:iCs/>
        </w:rPr>
        <w:t xml:space="preserve"> et de </w:t>
      </w:r>
      <w:proofErr w:type="spellStart"/>
      <w:r w:rsidRPr="005018F0">
        <w:rPr>
          <w:rFonts w:ascii="Arial" w:hAnsi="Arial" w:cs="Arial"/>
          <w:i/>
          <w:iCs/>
        </w:rPr>
        <w:t>Statistique</w:t>
      </w:r>
      <w:proofErr w:type="spellEnd"/>
      <w:r w:rsidRPr="005018F0">
        <w:rPr>
          <w:rFonts w:ascii="Arial" w:hAnsi="Arial" w:cs="Arial"/>
        </w:rPr>
        <w:t>, (60), 117-149.</w:t>
      </w:r>
    </w:p>
    <w:p w:rsidR="001D626C" w:rsidRPr="001D626C" w:rsidRDefault="001D626C" w:rsidP="001D626C">
      <w:pPr>
        <w:ind w:left="720" w:hanging="720"/>
        <w:jc w:val="both"/>
        <w:rPr>
          <w:rFonts w:ascii="Arial" w:hAnsi="Arial" w:cs="Arial"/>
        </w:rPr>
      </w:pPr>
      <w:r w:rsidRPr="00BF47D2">
        <w:rPr>
          <w:rFonts w:ascii="Arial" w:hAnsi="Arial" w:cs="Arial"/>
          <w:highlight w:val="yellow"/>
        </w:rPr>
        <w:t xml:space="preserve">Bello, A., &amp; Musa, I. (2025). Asymmetric effects of oil price shocks in Nigeria. </w:t>
      </w:r>
      <w:r w:rsidRPr="001D626C">
        <w:rPr>
          <w:rFonts w:ascii="Arial" w:hAnsi="Arial" w:cs="Arial"/>
          <w:i/>
          <w:iCs/>
        </w:rPr>
        <w:t>African Development Review</w:t>
      </w:r>
      <w:r w:rsidRPr="001D626C">
        <w:rPr>
          <w:rFonts w:ascii="Arial" w:hAnsi="Arial" w:cs="Arial"/>
          <w:highlight w:val="yellow"/>
        </w:rPr>
        <w:t>, 37(1), 89-</w:t>
      </w:r>
      <w:r w:rsidRPr="00BF47D2">
        <w:rPr>
          <w:rFonts w:ascii="Arial" w:hAnsi="Arial" w:cs="Arial"/>
          <w:highlight w:val="yellow"/>
        </w:rPr>
        <w:t>104.</w:t>
      </w:r>
    </w:p>
    <w:p w:rsidR="005018F0" w:rsidRDefault="005018F0" w:rsidP="005018F0">
      <w:pPr>
        <w:ind w:left="720" w:hanging="720"/>
        <w:jc w:val="both"/>
        <w:rPr>
          <w:rFonts w:ascii="Arial" w:hAnsi="Arial" w:cs="Arial"/>
        </w:rPr>
      </w:pPr>
      <w:r w:rsidRPr="005018F0">
        <w:rPr>
          <w:rFonts w:ascii="Arial" w:hAnsi="Arial" w:cs="Arial"/>
        </w:rPr>
        <w:t>Cavaliere, G., Koopman, S. J., &amp;</w:t>
      </w:r>
      <w:proofErr w:type="spellStart"/>
      <w:r w:rsidRPr="005018F0">
        <w:rPr>
          <w:rFonts w:ascii="Arial" w:hAnsi="Arial" w:cs="Arial"/>
        </w:rPr>
        <w:t>Urga</w:t>
      </w:r>
      <w:proofErr w:type="spellEnd"/>
      <w:r w:rsidRPr="005018F0">
        <w:rPr>
          <w:rFonts w:ascii="Arial" w:hAnsi="Arial" w:cs="Arial"/>
        </w:rPr>
        <w:t xml:space="preserve">, G. (2025). </w:t>
      </w:r>
      <w:r w:rsidRPr="005018F0">
        <w:rPr>
          <w:rFonts w:ascii="Arial" w:hAnsi="Arial" w:cs="Arial"/>
          <w:i/>
          <w:iCs/>
        </w:rPr>
        <w:t>Inference for integrated autoregressive conditional duration models with infinite expectation</w:t>
      </w:r>
      <w:r w:rsidRPr="005018F0">
        <w:rPr>
          <w:rFonts w:ascii="Arial" w:hAnsi="Arial" w:cs="Arial"/>
        </w:rPr>
        <w:t xml:space="preserve">. </w:t>
      </w:r>
      <w:proofErr w:type="spellStart"/>
      <w:r w:rsidRPr="005018F0">
        <w:rPr>
          <w:rFonts w:ascii="Arial" w:hAnsi="Arial" w:cs="Arial"/>
        </w:rPr>
        <w:t>arXiv</w:t>
      </w:r>
      <w:proofErr w:type="spellEnd"/>
      <w:r w:rsidRPr="005018F0">
        <w:rPr>
          <w:rFonts w:ascii="Arial" w:hAnsi="Arial" w:cs="Arial"/>
        </w:rPr>
        <w:t xml:space="preserve"> preprint arXiv:2505.06190. </w:t>
      </w:r>
      <w:hyperlink r:id="rId16" w:history="1">
        <w:r w:rsidRPr="005018F0">
          <w:rPr>
            <w:rStyle w:val="Hyperlink"/>
            <w:rFonts w:ascii="Arial" w:hAnsi="Arial" w:cs="Arial"/>
          </w:rPr>
          <w:t>https://doi.org/10.48550/arXiv.2505.06190</w:t>
        </w:r>
      </w:hyperlink>
      <w:r w:rsidRPr="005018F0">
        <w:rPr>
          <w:rFonts w:ascii="Arial" w:hAnsi="Arial" w:cs="Arial"/>
        </w:rPr>
        <w:t>.</w:t>
      </w:r>
    </w:p>
    <w:p w:rsidR="001D626C" w:rsidRPr="005018F0" w:rsidRDefault="001D626C" w:rsidP="005018F0">
      <w:pPr>
        <w:ind w:left="720" w:hanging="720"/>
        <w:jc w:val="both"/>
        <w:rPr>
          <w:rFonts w:ascii="Arial" w:hAnsi="Arial" w:cs="Arial"/>
        </w:rPr>
      </w:pPr>
      <w:proofErr w:type="spellStart"/>
      <w:r w:rsidRPr="001D626C">
        <w:rPr>
          <w:rFonts w:ascii="Arial" w:hAnsi="Arial" w:cs="Arial"/>
          <w:highlight w:val="yellow"/>
        </w:rPr>
        <w:t>Chukwuocha</w:t>
      </w:r>
      <w:proofErr w:type="spellEnd"/>
      <w:r w:rsidRPr="001D626C">
        <w:rPr>
          <w:rFonts w:ascii="Arial" w:hAnsi="Arial" w:cs="Arial"/>
          <w:highlight w:val="yellow"/>
        </w:rPr>
        <w:t>, U. M.</w:t>
      </w:r>
      <w:r w:rsidRPr="00BF47D2">
        <w:rPr>
          <w:rFonts w:ascii="Arial" w:hAnsi="Arial" w:cs="Arial"/>
          <w:highlight w:val="yellow"/>
        </w:rPr>
        <w:t xml:space="preserve"> (2026). Oil price shocks and inflation dynamics in Nigeria. </w:t>
      </w:r>
      <w:r w:rsidRPr="001D626C">
        <w:rPr>
          <w:rFonts w:ascii="Arial" w:hAnsi="Arial" w:cs="Arial"/>
          <w:i/>
          <w:iCs/>
        </w:rPr>
        <w:t>Journal of African Macroeconomic Studies</w:t>
      </w:r>
      <w:r w:rsidRPr="001D626C">
        <w:rPr>
          <w:rFonts w:ascii="Arial" w:hAnsi="Arial" w:cs="Arial"/>
          <w:highlight w:val="yellow"/>
        </w:rPr>
        <w:t>, 12(1), 1-</w:t>
      </w:r>
      <w:r w:rsidRPr="00BF47D2">
        <w:rPr>
          <w:rFonts w:ascii="Arial" w:hAnsi="Arial" w:cs="Arial"/>
          <w:highlight w:val="yellow"/>
        </w:rPr>
        <w:t>20.</w:t>
      </w:r>
    </w:p>
    <w:p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r w:rsidRPr="005018F0">
        <w:rPr>
          <w:rFonts w:ascii="Arial" w:hAnsi="Arial" w:cs="Arial"/>
          <w:sz w:val="20"/>
          <w:szCs w:val="20"/>
        </w:rPr>
        <w:t>Davidson, J. (2004). Financial Econometrics: Problems, Models, and Methods. Oxford: Oxford University Press.</w:t>
      </w:r>
    </w:p>
    <w:p w:rsidR="005018F0" w:rsidRPr="005018F0" w:rsidRDefault="005018F0" w:rsidP="005018F0">
      <w:pPr>
        <w:ind w:left="720" w:hanging="720"/>
        <w:jc w:val="both"/>
        <w:rPr>
          <w:rFonts w:ascii="Arial" w:hAnsi="Arial" w:cs="Arial"/>
        </w:rPr>
      </w:pPr>
      <w:r w:rsidRPr="005018F0">
        <w:rPr>
          <w:rFonts w:ascii="Arial" w:hAnsi="Arial" w:cs="Arial"/>
        </w:rPr>
        <w:t xml:space="preserve">Dufour, A., &amp; Engle, R. (2000). Time and the price impact of a trade. </w:t>
      </w:r>
      <w:r w:rsidRPr="005018F0">
        <w:rPr>
          <w:rFonts w:ascii="Arial" w:hAnsi="Arial" w:cs="Arial"/>
          <w:i/>
          <w:iCs/>
        </w:rPr>
        <w:t>The Journal of Finance</w:t>
      </w:r>
      <w:r w:rsidRPr="005018F0">
        <w:rPr>
          <w:rFonts w:ascii="Arial" w:hAnsi="Arial" w:cs="Arial"/>
        </w:rPr>
        <w:t>, 55(6), 2467-2498.</w:t>
      </w:r>
    </w:p>
    <w:p w:rsidR="005018F0" w:rsidRPr="005018F0" w:rsidRDefault="005018F0" w:rsidP="005018F0">
      <w:pPr>
        <w:ind w:left="720" w:hanging="720"/>
        <w:jc w:val="both"/>
        <w:rPr>
          <w:rFonts w:ascii="Arial" w:hAnsi="Arial" w:cs="Arial"/>
        </w:rPr>
      </w:pPr>
      <w:r w:rsidRPr="005018F0">
        <w:rPr>
          <w:rFonts w:ascii="Arial" w:hAnsi="Arial" w:cs="Arial"/>
        </w:rPr>
        <w:t xml:space="preserve">Engle, R. F., &amp; Russell, J. R. (1998). Autoregressive conditional duration: A new model for irregularly spaced transaction data. </w:t>
      </w:r>
      <w:proofErr w:type="spellStart"/>
      <w:r w:rsidRPr="005018F0">
        <w:rPr>
          <w:rFonts w:ascii="Arial" w:hAnsi="Arial" w:cs="Arial"/>
          <w:i/>
          <w:iCs/>
        </w:rPr>
        <w:t>Econometrica</w:t>
      </w:r>
      <w:proofErr w:type="spellEnd"/>
      <w:r w:rsidRPr="005018F0">
        <w:rPr>
          <w:rFonts w:ascii="Arial" w:hAnsi="Arial" w:cs="Arial"/>
        </w:rPr>
        <w:t xml:space="preserve">, 66(5), 1127-1162. </w:t>
      </w:r>
    </w:p>
    <w:p w:rsidR="005018F0" w:rsidRPr="005018F0" w:rsidRDefault="005018F0" w:rsidP="005018F0">
      <w:pPr>
        <w:ind w:left="720" w:hanging="720"/>
        <w:jc w:val="both"/>
        <w:rPr>
          <w:rFonts w:ascii="Arial" w:hAnsi="Arial" w:cs="Arial"/>
        </w:rPr>
      </w:pPr>
      <w:r w:rsidRPr="005018F0">
        <w:rPr>
          <w:rFonts w:ascii="Arial" w:hAnsi="Arial" w:cs="Arial"/>
        </w:rPr>
        <w:t xml:space="preserve">Esteban Hernández, J. (2023). </w:t>
      </w:r>
      <w:r w:rsidRPr="005018F0">
        <w:rPr>
          <w:rFonts w:ascii="Arial" w:hAnsi="Arial" w:cs="Arial"/>
          <w:iCs/>
        </w:rPr>
        <w:t>Modeling price update durations using ACD models in the FX market: Evidence from ZAR/USD</w:t>
      </w:r>
      <w:r w:rsidRPr="005018F0">
        <w:rPr>
          <w:rFonts w:ascii="Arial" w:hAnsi="Arial" w:cs="Arial"/>
        </w:rPr>
        <w:t xml:space="preserve">. </w:t>
      </w:r>
      <w:r w:rsidRPr="005018F0">
        <w:rPr>
          <w:rFonts w:ascii="Arial" w:hAnsi="Arial" w:cs="Arial"/>
          <w:i/>
          <w:iCs/>
        </w:rPr>
        <w:t>Economic Review of Finance</w:t>
      </w:r>
      <w:r w:rsidRPr="005018F0">
        <w:rPr>
          <w:rFonts w:ascii="Arial" w:hAnsi="Arial" w:cs="Arial"/>
        </w:rPr>
        <w:t xml:space="preserve">, </w:t>
      </w:r>
      <w:r w:rsidRPr="005018F0">
        <w:rPr>
          <w:rFonts w:ascii="Arial" w:hAnsi="Arial" w:cs="Arial"/>
          <w:i/>
        </w:rPr>
        <w:t>35</w:t>
      </w:r>
      <w:r w:rsidRPr="005018F0">
        <w:rPr>
          <w:rFonts w:ascii="Arial" w:hAnsi="Arial" w:cs="Arial"/>
        </w:rPr>
        <w:t>(2), 115-132.</w:t>
      </w:r>
    </w:p>
    <w:p w:rsidR="005018F0" w:rsidRPr="005018F0" w:rsidRDefault="005018F0" w:rsidP="005018F0">
      <w:pPr>
        <w:ind w:left="720" w:hanging="720"/>
        <w:jc w:val="both"/>
        <w:rPr>
          <w:rFonts w:ascii="Arial" w:hAnsi="Arial" w:cs="Arial"/>
        </w:rPr>
      </w:pPr>
      <w:r w:rsidRPr="005018F0">
        <w:rPr>
          <w:rFonts w:ascii="Arial" w:hAnsi="Arial" w:cs="Arial"/>
        </w:rPr>
        <w:t>Fleming, J., Kirby, C., &amp;</w:t>
      </w:r>
      <w:proofErr w:type="spellStart"/>
      <w:r w:rsidRPr="005018F0">
        <w:rPr>
          <w:rFonts w:ascii="Arial" w:hAnsi="Arial" w:cs="Arial"/>
        </w:rPr>
        <w:t>Ostdiek</w:t>
      </w:r>
      <w:proofErr w:type="spellEnd"/>
      <w:r w:rsidRPr="005018F0">
        <w:rPr>
          <w:rFonts w:ascii="Arial" w:hAnsi="Arial" w:cs="Arial"/>
        </w:rPr>
        <w:t xml:space="preserve">, B. (2006). Stochastic volatility, trading volume, and the daily flow of information. </w:t>
      </w:r>
      <w:r w:rsidRPr="005018F0">
        <w:rPr>
          <w:rFonts w:ascii="Arial" w:hAnsi="Arial" w:cs="Arial"/>
          <w:i/>
          <w:iCs/>
        </w:rPr>
        <w:t>The Journal of Business</w:t>
      </w:r>
      <w:r w:rsidRPr="005018F0">
        <w:rPr>
          <w:rFonts w:ascii="Arial" w:hAnsi="Arial" w:cs="Arial"/>
        </w:rPr>
        <w:t>, 79(3), 1551-1590.</w:t>
      </w:r>
    </w:p>
    <w:p w:rsid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Giot</w:t>
      </w:r>
      <w:proofErr w:type="spellEnd"/>
      <w:r w:rsidRPr="005018F0">
        <w:rPr>
          <w:rFonts w:ascii="Arial" w:hAnsi="Arial" w:cs="Arial"/>
          <w:sz w:val="20"/>
          <w:szCs w:val="20"/>
        </w:rPr>
        <w:t xml:space="preserve">, P., &amp; Laurent, S. (2003). Market risk and model risk for a financial institution writing options. </w:t>
      </w:r>
      <w:r w:rsidRPr="005018F0">
        <w:rPr>
          <w:rStyle w:val="Emphasis"/>
          <w:rFonts w:ascii="Arial" w:hAnsi="Arial" w:cs="Arial"/>
          <w:sz w:val="20"/>
          <w:szCs w:val="20"/>
        </w:rPr>
        <w:t>Journal of Empirical Finance</w:t>
      </w:r>
      <w:r w:rsidRPr="005018F0">
        <w:rPr>
          <w:rFonts w:ascii="Arial" w:hAnsi="Arial" w:cs="Arial"/>
          <w:sz w:val="20"/>
          <w:szCs w:val="20"/>
        </w:rPr>
        <w:t xml:space="preserve">, </w:t>
      </w:r>
      <w:r w:rsidRPr="005018F0">
        <w:rPr>
          <w:rFonts w:ascii="Arial" w:hAnsi="Arial" w:cs="Arial"/>
          <w:i/>
          <w:sz w:val="20"/>
          <w:szCs w:val="20"/>
        </w:rPr>
        <w:t>10</w:t>
      </w:r>
      <w:r w:rsidRPr="005018F0">
        <w:rPr>
          <w:rFonts w:ascii="Arial" w:hAnsi="Arial" w:cs="Arial"/>
          <w:sz w:val="20"/>
          <w:szCs w:val="20"/>
        </w:rPr>
        <w:t>(6), 753-782.</w:t>
      </w:r>
    </w:p>
    <w:p w:rsidR="001D626C" w:rsidRPr="005018F0" w:rsidRDefault="001D626C" w:rsidP="005018F0">
      <w:pPr>
        <w:pStyle w:val="NormalWeb"/>
        <w:spacing w:before="0" w:beforeAutospacing="0" w:after="0" w:afterAutospacing="0"/>
        <w:ind w:left="720" w:hanging="720"/>
        <w:jc w:val="both"/>
        <w:rPr>
          <w:rFonts w:ascii="Arial" w:hAnsi="Arial" w:cs="Arial"/>
          <w:sz w:val="20"/>
          <w:szCs w:val="20"/>
        </w:rPr>
      </w:pPr>
      <w:r w:rsidRPr="00BF47D2">
        <w:rPr>
          <w:rFonts w:ascii="Arial" w:hAnsi="Arial" w:cs="Arial"/>
          <w:sz w:val="20"/>
          <w:szCs w:val="20"/>
          <w:highlight w:val="yellow"/>
        </w:rPr>
        <w:t xml:space="preserve">Ibrahim, M., &amp; Lawal, K. (2025). Modelling crude oil price volatility using EGARCH. </w:t>
      </w:r>
      <w:r w:rsidRPr="001D626C">
        <w:rPr>
          <w:rFonts w:ascii="Arial" w:hAnsi="Arial" w:cs="Arial"/>
          <w:i/>
          <w:iCs/>
          <w:sz w:val="20"/>
          <w:szCs w:val="20"/>
        </w:rPr>
        <w:t>Energy Finance Journal</w:t>
      </w:r>
      <w:r w:rsidRPr="001D626C">
        <w:rPr>
          <w:rFonts w:ascii="Arial" w:hAnsi="Arial" w:cs="Arial"/>
          <w:sz w:val="20"/>
          <w:szCs w:val="20"/>
          <w:highlight w:val="yellow"/>
        </w:rPr>
        <w:t>, 9(3), 77-</w:t>
      </w:r>
      <w:r w:rsidRPr="00BF47D2">
        <w:rPr>
          <w:rFonts w:ascii="Arial" w:hAnsi="Arial" w:cs="Arial"/>
          <w:sz w:val="20"/>
          <w:szCs w:val="20"/>
          <w:highlight w:val="yellow"/>
        </w:rPr>
        <w:t>95.</w:t>
      </w:r>
    </w:p>
    <w:p w:rsidR="005018F0" w:rsidRPr="005018F0" w:rsidRDefault="005018F0" w:rsidP="005018F0">
      <w:pPr>
        <w:ind w:left="720" w:hanging="720"/>
        <w:jc w:val="both"/>
        <w:rPr>
          <w:rFonts w:ascii="Arial" w:hAnsi="Arial" w:cs="Arial"/>
        </w:rPr>
      </w:pPr>
      <w:r w:rsidRPr="005018F0">
        <w:rPr>
          <w:rFonts w:ascii="Arial" w:hAnsi="Arial" w:cs="Arial"/>
        </w:rPr>
        <w:t xml:space="preserve">Kilian, L., &amp; Murphy, D. P. (2014). The role of inventories and speculative trading in the global market for crude oil. </w:t>
      </w:r>
      <w:r w:rsidRPr="005018F0">
        <w:rPr>
          <w:rFonts w:ascii="Arial" w:hAnsi="Arial" w:cs="Arial"/>
          <w:i/>
          <w:iCs/>
        </w:rPr>
        <w:t>Journal of Applied Econometrics</w:t>
      </w:r>
      <w:r w:rsidRPr="005018F0">
        <w:rPr>
          <w:rFonts w:ascii="Arial" w:hAnsi="Arial" w:cs="Arial"/>
        </w:rPr>
        <w:t xml:space="preserve">, 29(3), 454-478. </w:t>
      </w:r>
    </w:p>
    <w:p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r w:rsidRPr="005018F0">
        <w:rPr>
          <w:rFonts w:ascii="Arial" w:hAnsi="Arial" w:cs="Arial"/>
          <w:sz w:val="20"/>
          <w:szCs w:val="20"/>
        </w:rPr>
        <w:t xml:space="preserve">Kumar, S., &amp; Maheswaran, S. (2013). Modeling high-frequency trade durations using ACD models: Evidence from India. </w:t>
      </w:r>
      <w:r w:rsidRPr="005018F0">
        <w:rPr>
          <w:rStyle w:val="Emphasis"/>
          <w:rFonts w:ascii="Arial" w:hAnsi="Arial" w:cs="Arial"/>
          <w:sz w:val="20"/>
          <w:szCs w:val="20"/>
        </w:rPr>
        <w:t>Journal of Emerging Market Finance</w:t>
      </w:r>
      <w:r w:rsidRPr="005018F0">
        <w:rPr>
          <w:rFonts w:ascii="Arial" w:hAnsi="Arial" w:cs="Arial"/>
          <w:sz w:val="20"/>
          <w:szCs w:val="20"/>
        </w:rPr>
        <w:t xml:space="preserve">, </w:t>
      </w:r>
      <w:r w:rsidRPr="005018F0">
        <w:rPr>
          <w:rFonts w:ascii="Arial" w:hAnsi="Arial" w:cs="Arial"/>
          <w:i/>
          <w:sz w:val="20"/>
          <w:szCs w:val="20"/>
        </w:rPr>
        <w:t>12</w:t>
      </w:r>
      <w:r w:rsidRPr="005018F0">
        <w:rPr>
          <w:rFonts w:ascii="Arial" w:hAnsi="Arial" w:cs="Arial"/>
          <w:sz w:val="20"/>
          <w:szCs w:val="20"/>
        </w:rPr>
        <w:t>(1), 45-68.</w:t>
      </w:r>
    </w:p>
    <w:p w:rsidR="005018F0" w:rsidRPr="005018F0" w:rsidRDefault="005018F0" w:rsidP="005018F0">
      <w:pPr>
        <w:tabs>
          <w:tab w:val="left" w:pos="1302"/>
        </w:tabs>
        <w:ind w:left="720" w:hanging="720"/>
        <w:jc w:val="both"/>
        <w:rPr>
          <w:rFonts w:ascii="Arial" w:hAnsi="Arial" w:cs="Arial"/>
        </w:rPr>
      </w:pPr>
      <w:r w:rsidRPr="005018F0">
        <w:rPr>
          <w:rFonts w:ascii="Arial" w:hAnsi="Arial" w:cs="Arial"/>
        </w:rPr>
        <w:t xml:space="preserve">Kwiatkowski, D., Phillips, P. C. B., Schmidt, P., &amp; Shin, Y. (1992). Testing the null hypothesis of stationarity against the alternative of a unit root: how sure are we that economic time series have a unit root? </w:t>
      </w:r>
      <w:r w:rsidRPr="005018F0">
        <w:rPr>
          <w:rStyle w:val="Emphasis"/>
          <w:rFonts w:ascii="Arial" w:hAnsi="Arial" w:cs="Arial"/>
        </w:rPr>
        <w:t>Journal of Econometrics</w:t>
      </w:r>
      <w:r w:rsidRPr="005018F0">
        <w:rPr>
          <w:rFonts w:ascii="Arial" w:hAnsi="Arial" w:cs="Arial"/>
        </w:rPr>
        <w:t xml:space="preserve">, </w:t>
      </w:r>
      <w:r w:rsidRPr="005018F0">
        <w:rPr>
          <w:rFonts w:ascii="Arial" w:hAnsi="Arial" w:cs="Arial"/>
          <w:i/>
        </w:rPr>
        <w:t>54</w:t>
      </w:r>
      <w:r w:rsidRPr="005018F0">
        <w:rPr>
          <w:rFonts w:ascii="Arial" w:hAnsi="Arial" w:cs="Arial"/>
        </w:rPr>
        <w:t>(1-3), 159-178.</w:t>
      </w:r>
    </w:p>
    <w:p w:rsidR="005018F0" w:rsidRPr="005018F0" w:rsidRDefault="005018F0" w:rsidP="005018F0">
      <w:pPr>
        <w:ind w:left="720" w:hanging="720"/>
        <w:jc w:val="both"/>
        <w:rPr>
          <w:rFonts w:ascii="Arial" w:hAnsi="Arial" w:cs="Arial"/>
        </w:rPr>
      </w:pPr>
      <w:r w:rsidRPr="005018F0">
        <w:rPr>
          <w:rFonts w:ascii="Arial" w:hAnsi="Arial" w:cs="Arial"/>
        </w:rPr>
        <w:t xml:space="preserve">Liu, H. (2020). </w:t>
      </w:r>
      <w:r w:rsidRPr="005018F0">
        <w:rPr>
          <w:rFonts w:ascii="Arial" w:hAnsi="Arial" w:cs="Arial"/>
          <w:i/>
          <w:iCs/>
        </w:rPr>
        <w:t>Essays on high-frequency financial econometrics</w:t>
      </w:r>
      <w:r w:rsidRPr="005018F0">
        <w:rPr>
          <w:rFonts w:ascii="Arial" w:hAnsi="Arial" w:cs="Arial"/>
        </w:rPr>
        <w:t xml:space="preserve"> [Doctoral dissertation, University of Chicago]. </w:t>
      </w:r>
      <w:proofErr w:type="spellStart"/>
      <w:r w:rsidRPr="005018F0">
        <w:rPr>
          <w:rFonts w:ascii="Arial" w:hAnsi="Arial" w:cs="Arial"/>
        </w:rPr>
        <w:t>Figshare</w:t>
      </w:r>
      <w:proofErr w:type="spellEnd"/>
      <w:r w:rsidRPr="005018F0">
        <w:rPr>
          <w:rFonts w:ascii="Arial" w:hAnsi="Arial" w:cs="Arial"/>
        </w:rPr>
        <w:t xml:space="preserve">. </w:t>
      </w:r>
      <w:hyperlink r:id="rId17" w:history="1">
        <w:r w:rsidRPr="005018F0">
          <w:rPr>
            <w:rStyle w:val="Hyperlink"/>
            <w:rFonts w:ascii="Arial" w:hAnsi="Arial" w:cs="Arial"/>
          </w:rPr>
          <w:t>https://figshare.com/articles/thesis/Essays_on_high-frequency_financial_econometrics/12310115</w:t>
        </w:r>
      </w:hyperlink>
      <w:r w:rsidRPr="005018F0">
        <w:rPr>
          <w:rFonts w:ascii="Arial" w:hAnsi="Arial" w:cs="Arial"/>
        </w:rPr>
        <w:t>.</w:t>
      </w:r>
    </w:p>
    <w:p w:rsidR="005018F0" w:rsidRPr="005018F0" w:rsidRDefault="005018F0" w:rsidP="005018F0">
      <w:pPr>
        <w:ind w:left="720" w:hanging="720"/>
        <w:jc w:val="both"/>
        <w:rPr>
          <w:rFonts w:ascii="Arial" w:hAnsi="Arial" w:cs="Arial"/>
        </w:rPr>
      </w:pPr>
      <w:proofErr w:type="spellStart"/>
      <w:r w:rsidRPr="005018F0">
        <w:rPr>
          <w:rFonts w:ascii="Arial" w:hAnsi="Arial" w:cs="Arial"/>
        </w:rPr>
        <w:t>Ljung</w:t>
      </w:r>
      <w:proofErr w:type="spellEnd"/>
      <w:r w:rsidRPr="005018F0">
        <w:rPr>
          <w:rFonts w:ascii="Arial" w:hAnsi="Arial" w:cs="Arial"/>
        </w:rPr>
        <w:t xml:space="preserve">, G. M. &amp; Box, G. </w:t>
      </w:r>
      <w:proofErr w:type="gramStart"/>
      <w:r w:rsidRPr="005018F0">
        <w:rPr>
          <w:rFonts w:ascii="Arial" w:hAnsi="Arial" w:cs="Arial"/>
        </w:rPr>
        <w:t>E .</w:t>
      </w:r>
      <w:proofErr w:type="gramEnd"/>
      <w:r w:rsidRPr="005018F0">
        <w:rPr>
          <w:rFonts w:ascii="Arial" w:hAnsi="Arial" w:cs="Arial"/>
        </w:rPr>
        <w:t xml:space="preserve">P. (1978). On a measure of lack of fit in time series models. </w:t>
      </w:r>
      <w:r w:rsidRPr="005018F0">
        <w:rPr>
          <w:rFonts w:ascii="Arial" w:hAnsi="Arial" w:cs="Arial"/>
          <w:i/>
        </w:rPr>
        <w:t>Biometrica,65</w:t>
      </w:r>
      <w:r w:rsidRPr="005018F0">
        <w:rPr>
          <w:rFonts w:ascii="Arial" w:hAnsi="Arial" w:cs="Arial"/>
        </w:rPr>
        <w:t>, 297-303.</w:t>
      </w:r>
    </w:p>
    <w:p w:rsid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Monfared</w:t>
      </w:r>
      <w:proofErr w:type="spellEnd"/>
      <w:r w:rsidRPr="005018F0">
        <w:rPr>
          <w:rFonts w:ascii="Arial" w:hAnsi="Arial" w:cs="Arial"/>
          <w:sz w:val="20"/>
          <w:szCs w:val="20"/>
        </w:rPr>
        <w:t>, P. D., &amp;</w:t>
      </w:r>
      <w:proofErr w:type="spellStart"/>
      <w:r w:rsidRPr="005018F0">
        <w:rPr>
          <w:rFonts w:ascii="Arial" w:hAnsi="Arial" w:cs="Arial"/>
          <w:sz w:val="20"/>
          <w:szCs w:val="20"/>
        </w:rPr>
        <w:t>Ashena</w:t>
      </w:r>
      <w:proofErr w:type="spellEnd"/>
      <w:r w:rsidRPr="005018F0">
        <w:rPr>
          <w:rFonts w:ascii="Arial" w:hAnsi="Arial" w:cs="Arial"/>
          <w:sz w:val="20"/>
          <w:szCs w:val="20"/>
        </w:rPr>
        <w:t xml:space="preserve">, M. (2014). Political risks and durations in Iranian financial markets: An ACD modeling approach. </w:t>
      </w:r>
      <w:r w:rsidRPr="005018F0">
        <w:rPr>
          <w:rStyle w:val="Emphasis"/>
          <w:rFonts w:ascii="Arial" w:hAnsi="Arial" w:cs="Arial"/>
          <w:sz w:val="20"/>
          <w:szCs w:val="20"/>
        </w:rPr>
        <w:t>Iranian Economic Review</w:t>
      </w:r>
      <w:r w:rsidRPr="005018F0">
        <w:rPr>
          <w:rFonts w:ascii="Arial" w:hAnsi="Arial" w:cs="Arial"/>
          <w:sz w:val="20"/>
          <w:szCs w:val="20"/>
        </w:rPr>
        <w:t xml:space="preserve">, </w:t>
      </w:r>
      <w:r w:rsidRPr="005018F0">
        <w:rPr>
          <w:rFonts w:ascii="Arial" w:hAnsi="Arial" w:cs="Arial"/>
          <w:i/>
          <w:sz w:val="20"/>
          <w:szCs w:val="20"/>
        </w:rPr>
        <w:t>18</w:t>
      </w:r>
      <w:r w:rsidRPr="005018F0">
        <w:rPr>
          <w:rFonts w:ascii="Arial" w:hAnsi="Arial" w:cs="Arial"/>
          <w:sz w:val="20"/>
          <w:szCs w:val="20"/>
        </w:rPr>
        <w:t>(2), 71-88.</w:t>
      </w:r>
    </w:p>
    <w:p w:rsidR="001D626C" w:rsidRPr="005018F0" w:rsidRDefault="001D626C" w:rsidP="005018F0">
      <w:pPr>
        <w:pStyle w:val="NormalWeb"/>
        <w:spacing w:before="0" w:beforeAutospacing="0" w:after="0" w:afterAutospacing="0"/>
        <w:ind w:left="720" w:hanging="720"/>
        <w:jc w:val="both"/>
        <w:rPr>
          <w:rFonts w:ascii="Arial" w:hAnsi="Arial" w:cs="Arial"/>
          <w:sz w:val="20"/>
          <w:szCs w:val="20"/>
        </w:rPr>
      </w:pPr>
      <w:r w:rsidRPr="001D626C">
        <w:rPr>
          <w:rFonts w:ascii="Arial" w:hAnsi="Arial" w:cs="Arial"/>
          <w:sz w:val="20"/>
          <w:szCs w:val="20"/>
          <w:highlight w:val="yellow"/>
        </w:rPr>
        <w:t xml:space="preserve">Mohammed, S. </w:t>
      </w:r>
      <w:r w:rsidRPr="00BF47D2">
        <w:rPr>
          <w:rFonts w:ascii="Arial" w:hAnsi="Arial" w:cs="Arial"/>
          <w:sz w:val="20"/>
          <w:szCs w:val="20"/>
          <w:highlight w:val="yellow"/>
        </w:rPr>
        <w:t xml:space="preserve">(2025). Oil price volatility and financial flows in Nigeria. </w:t>
      </w:r>
      <w:r w:rsidRPr="001D626C">
        <w:rPr>
          <w:rFonts w:ascii="Arial" w:hAnsi="Arial" w:cs="Arial"/>
          <w:i/>
          <w:iCs/>
          <w:sz w:val="20"/>
          <w:szCs w:val="20"/>
        </w:rPr>
        <w:t>International Journal of Finance and Economics</w:t>
      </w:r>
      <w:r w:rsidRPr="001D626C">
        <w:rPr>
          <w:rFonts w:ascii="Arial" w:hAnsi="Arial" w:cs="Arial"/>
          <w:sz w:val="20"/>
          <w:szCs w:val="20"/>
          <w:highlight w:val="yellow"/>
        </w:rPr>
        <w:t>, 10(12), 70-</w:t>
      </w:r>
      <w:r w:rsidRPr="00BF47D2">
        <w:rPr>
          <w:rFonts w:ascii="Arial" w:hAnsi="Arial" w:cs="Arial"/>
          <w:sz w:val="20"/>
          <w:szCs w:val="20"/>
          <w:highlight w:val="yellow"/>
        </w:rPr>
        <w:t>91.</w:t>
      </w:r>
    </w:p>
    <w:p w:rsidR="001D626C" w:rsidRDefault="005018F0" w:rsidP="001D626C">
      <w:pPr>
        <w:ind w:left="720" w:hanging="720"/>
        <w:jc w:val="both"/>
        <w:rPr>
          <w:rFonts w:ascii="Arial" w:hAnsi="Arial" w:cs="Arial"/>
        </w:rPr>
      </w:pPr>
      <w:proofErr w:type="spellStart"/>
      <w:r w:rsidRPr="005018F0">
        <w:rPr>
          <w:rFonts w:ascii="Arial" w:hAnsi="Arial" w:cs="Arial"/>
        </w:rPr>
        <w:lastRenderedPageBreak/>
        <w:t>Nunkoo</w:t>
      </w:r>
      <w:proofErr w:type="spellEnd"/>
      <w:r w:rsidRPr="005018F0">
        <w:rPr>
          <w:rFonts w:ascii="Arial" w:hAnsi="Arial" w:cs="Arial"/>
        </w:rPr>
        <w:t xml:space="preserve">, P. K., </w:t>
      </w:r>
      <w:proofErr w:type="spellStart"/>
      <w:r w:rsidRPr="005018F0">
        <w:rPr>
          <w:rFonts w:ascii="Arial" w:hAnsi="Arial" w:cs="Arial"/>
        </w:rPr>
        <w:t>Kinateder</w:t>
      </w:r>
      <w:proofErr w:type="spellEnd"/>
      <w:r w:rsidRPr="005018F0">
        <w:rPr>
          <w:rFonts w:ascii="Arial" w:hAnsi="Arial" w:cs="Arial"/>
        </w:rPr>
        <w:t xml:space="preserve">, H., &amp; Le, T. H. (2022). Empirical comparison of autoregressive conditional duration (ACD) model specifications for ETF tick data. </w:t>
      </w:r>
      <w:r w:rsidRPr="005018F0">
        <w:rPr>
          <w:rFonts w:ascii="Arial" w:hAnsi="Arial" w:cs="Arial"/>
          <w:i/>
          <w:iCs/>
        </w:rPr>
        <w:t>Studies in Economics and Finance</w:t>
      </w:r>
      <w:r w:rsidRPr="005018F0">
        <w:rPr>
          <w:rFonts w:ascii="Arial" w:hAnsi="Arial" w:cs="Arial"/>
        </w:rPr>
        <w:t>, 39(4), 639-658.</w:t>
      </w:r>
    </w:p>
    <w:p w:rsidR="001D626C" w:rsidRPr="005018F0" w:rsidRDefault="001D626C" w:rsidP="001D626C">
      <w:pPr>
        <w:ind w:left="720" w:hanging="720"/>
        <w:jc w:val="both"/>
        <w:rPr>
          <w:rFonts w:ascii="Arial" w:hAnsi="Arial" w:cs="Arial"/>
        </w:rPr>
      </w:pPr>
      <w:r w:rsidRPr="001D626C">
        <w:rPr>
          <w:rFonts w:ascii="Arial" w:hAnsi="Arial" w:cs="Arial"/>
          <w:highlight w:val="yellow"/>
        </w:rPr>
        <w:t xml:space="preserve">Okeke, M. </w:t>
      </w:r>
      <w:proofErr w:type="gramStart"/>
      <w:r w:rsidRPr="001D626C">
        <w:rPr>
          <w:rFonts w:ascii="Arial" w:hAnsi="Arial" w:cs="Arial"/>
          <w:highlight w:val="yellow"/>
        </w:rPr>
        <w:t>C.</w:t>
      </w:r>
      <w:r w:rsidRPr="00BF47D2">
        <w:rPr>
          <w:rFonts w:ascii="Arial" w:hAnsi="Arial" w:cs="Arial"/>
          <w:highlight w:val="yellow"/>
        </w:rPr>
        <w:t>(</w:t>
      </w:r>
      <w:proofErr w:type="gramEnd"/>
      <w:r w:rsidRPr="00BF47D2">
        <w:rPr>
          <w:rFonts w:ascii="Arial" w:hAnsi="Arial" w:cs="Arial"/>
          <w:highlight w:val="yellow"/>
        </w:rPr>
        <w:t xml:space="preserve">2025). Nonlinear oil price–inflation nexus in Nigeria: Evidence from NARDL. </w:t>
      </w:r>
      <w:r w:rsidRPr="001D626C">
        <w:rPr>
          <w:rFonts w:ascii="Arial" w:hAnsi="Arial" w:cs="Arial"/>
          <w:i/>
          <w:iCs/>
        </w:rPr>
        <w:t>Journal of Economic Analysis</w:t>
      </w:r>
      <w:r w:rsidRPr="001D626C">
        <w:rPr>
          <w:rFonts w:ascii="Arial" w:hAnsi="Arial" w:cs="Arial"/>
          <w:highlight w:val="yellow"/>
        </w:rPr>
        <w:t>, 14(2), 201-</w:t>
      </w:r>
      <w:r w:rsidRPr="00BF47D2">
        <w:rPr>
          <w:rFonts w:ascii="Arial" w:hAnsi="Arial" w:cs="Arial"/>
          <w:highlight w:val="yellow"/>
        </w:rPr>
        <w:t>220.</w:t>
      </w:r>
      <w:r w:rsidRPr="00BF47D2">
        <w:rPr>
          <w:rFonts w:ascii="Arial" w:hAnsi="Arial" w:cs="Arial"/>
        </w:rPr>
        <w:t xml:space="preserve"> </w:t>
      </w:r>
    </w:p>
    <w:p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Palan</w:t>
      </w:r>
      <w:proofErr w:type="spellEnd"/>
      <w:r w:rsidRPr="005018F0">
        <w:rPr>
          <w:rFonts w:ascii="Arial" w:hAnsi="Arial" w:cs="Arial"/>
          <w:sz w:val="20"/>
          <w:szCs w:val="20"/>
        </w:rPr>
        <w:t xml:space="preserve">, S. (2014). High-frequency trading in carbon markets. </w:t>
      </w:r>
      <w:r w:rsidRPr="005018F0">
        <w:rPr>
          <w:rStyle w:val="Emphasis"/>
          <w:rFonts w:ascii="Arial" w:hAnsi="Arial" w:cs="Arial"/>
          <w:sz w:val="20"/>
          <w:szCs w:val="20"/>
        </w:rPr>
        <w:t>Journal of Environmental Economics and Management</w:t>
      </w:r>
      <w:r w:rsidRPr="005018F0">
        <w:rPr>
          <w:rFonts w:ascii="Arial" w:hAnsi="Arial" w:cs="Arial"/>
          <w:sz w:val="20"/>
          <w:szCs w:val="20"/>
        </w:rPr>
        <w:t xml:space="preserve">, </w:t>
      </w:r>
      <w:r w:rsidRPr="005018F0">
        <w:rPr>
          <w:rFonts w:ascii="Arial" w:hAnsi="Arial" w:cs="Arial"/>
          <w:i/>
          <w:sz w:val="20"/>
          <w:szCs w:val="20"/>
        </w:rPr>
        <w:t>68</w:t>
      </w:r>
      <w:r w:rsidRPr="005018F0">
        <w:rPr>
          <w:rFonts w:ascii="Arial" w:hAnsi="Arial" w:cs="Arial"/>
          <w:sz w:val="20"/>
          <w:szCs w:val="20"/>
        </w:rPr>
        <w:t>(3), 449-465.</w:t>
      </w:r>
    </w:p>
    <w:p w:rsidR="005018F0" w:rsidRPr="005018F0" w:rsidRDefault="005018F0" w:rsidP="005018F0">
      <w:pPr>
        <w:ind w:left="720" w:hanging="720"/>
        <w:jc w:val="both"/>
        <w:rPr>
          <w:rFonts w:ascii="Arial" w:hAnsi="Arial" w:cs="Arial"/>
        </w:rPr>
      </w:pPr>
      <w:r w:rsidRPr="005018F0">
        <w:rPr>
          <w:rFonts w:ascii="Arial" w:hAnsi="Arial" w:cs="Arial"/>
        </w:rPr>
        <w:t xml:space="preserve">Russell, J. R., &amp; Engle, R. F. (2005). A multiple indicators model of volatility using intra-daily data. </w:t>
      </w:r>
      <w:r w:rsidRPr="005018F0">
        <w:rPr>
          <w:rStyle w:val="Emphasis"/>
          <w:rFonts w:ascii="Arial" w:hAnsi="Arial" w:cs="Arial"/>
        </w:rPr>
        <w:t>Journal of Econometrics</w:t>
      </w:r>
      <w:r w:rsidRPr="005018F0">
        <w:rPr>
          <w:rFonts w:ascii="Arial" w:hAnsi="Arial" w:cs="Arial"/>
        </w:rPr>
        <w:t xml:space="preserve">, </w:t>
      </w:r>
      <w:r w:rsidRPr="005018F0">
        <w:rPr>
          <w:rFonts w:ascii="Arial" w:hAnsi="Arial" w:cs="Arial"/>
          <w:i/>
        </w:rPr>
        <w:t>131</w:t>
      </w:r>
      <w:r w:rsidRPr="005018F0">
        <w:rPr>
          <w:rFonts w:ascii="Arial" w:hAnsi="Arial" w:cs="Arial"/>
        </w:rPr>
        <w:t>(1–2), 225-257.</w:t>
      </w:r>
    </w:p>
    <w:p w:rsidR="005018F0" w:rsidRPr="005018F0" w:rsidRDefault="005018F0" w:rsidP="005018F0">
      <w:pPr>
        <w:ind w:left="720" w:hanging="720"/>
        <w:jc w:val="both"/>
        <w:rPr>
          <w:rFonts w:ascii="Arial" w:hAnsi="Arial" w:cs="Arial"/>
        </w:rPr>
      </w:pPr>
      <w:proofErr w:type="spellStart"/>
      <w:r w:rsidRPr="005018F0">
        <w:rPr>
          <w:rFonts w:ascii="Arial" w:hAnsi="Arial" w:cs="Arial"/>
        </w:rPr>
        <w:t>Saulo</w:t>
      </w:r>
      <w:proofErr w:type="spellEnd"/>
      <w:r w:rsidRPr="005018F0">
        <w:rPr>
          <w:rFonts w:ascii="Arial" w:hAnsi="Arial" w:cs="Arial"/>
        </w:rPr>
        <w:t xml:space="preserve">, H., Moura, M. O., </w:t>
      </w:r>
      <w:proofErr w:type="spellStart"/>
      <w:r w:rsidRPr="005018F0">
        <w:rPr>
          <w:rFonts w:ascii="Arial" w:hAnsi="Arial" w:cs="Arial"/>
        </w:rPr>
        <w:t>Leiva</w:t>
      </w:r>
      <w:proofErr w:type="spellEnd"/>
      <w:r w:rsidRPr="005018F0">
        <w:rPr>
          <w:rFonts w:ascii="Arial" w:hAnsi="Arial" w:cs="Arial"/>
        </w:rPr>
        <w:t xml:space="preserve">, V., &amp; Cordeiro, G. M. (2021). A new quantile ACD model based on the skewed Birnbaum–Saunders distribution.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arXiv:2109.03844. https://doi.org/10.48550/arXiv.2109.03844.</w:t>
      </w:r>
    </w:p>
    <w:p w:rsidR="005018F0" w:rsidRPr="005018F0" w:rsidRDefault="005018F0" w:rsidP="005018F0">
      <w:pPr>
        <w:ind w:left="720" w:hanging="720"/>
        <w:jc w:val="both"/>
        <w:rPr>
          <w:rFonts w:ascii="Arial" w:hAnsi="Arial" w:cs="Arial"/>
        </w:rPr>
      </w:pPr>
      <w:r w:rsidRPr="005018F0">
        <w:rPr>
          <w:rFonts w:ascii="Arial" w:hAnsi="Arial" w:cs="Arial"/>
        </w:rPr>
        <w:t xml:space="preserve">Shi, Y., Huang, W., &amp; Ma, J. (2021). Predicting trade durations with ACD-LSTM-Attention hybrid models.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arXiv:2101.02736. </w:t>
      </w:r>
      <w:hyperlink r:id="rId18" w:history="1">
        <w:r w:rsidRPr="005018F0">
          <w:rPr>
            <w:rStyle w:val="Hyperlink"/>
            <w:rFonts w:ascii="Arial" w:hAnsi="Arial" w:cs="Arial"/>
          </w:rPr>
          <w:t>https://doi.org/10.48550/arXiv.2101.02736</w:t>
        </w:r>
      </w:hyperlink>
      <w:r w:rsidRPr="005018F0">
        <w:rPr>
          <w:rFonts w:ascii="Arial" w:hAnsi="Arial" w:cs="Arial"/>
        </w:rPr>
        <w:t>.</w:t>
      </w:r>
    </w:p>
    <w:p w:rsidR="001D626C" w:rsidRDefault="005018F0" w:rsidP="001D626C">
      <w:pPr>
        <w:ind w:left="720" w:hanging="720"/>
        <w:jc w:val="both"/>
        <w:rPr>
          <w:rFonts w:ascii="Arial" w:hAnsi="Arial" w:cs="Arial"/>
        </w:rPr>
      </w:pPr>
      <w:r w:rsidRPr="005018F0">
        <w:rPr>
          <w:rFonts w:ascii="Arial" w:hAnsi="Arial" w:cs="Arial"/>
        </w:rPr>
        <w:t xml:space="preserve">Yan, L. (2021). </w:t>
      </w:r>
      <w:r w:rsidRPr="005018F0">
        <w:rPr>
          <w:rFonts w:ascii="Arial" w:hAnsi="Arial" w:cs="Arial"/>
          <w:iCs/>
        </w:rPr>
        <w:t>Duration modeling of SPY ETF trades using ACD models with different distributions</w:t>
      </w:r>
      <w:r w:rsidRPr="005018F0">
        <w:rPr>
          <w:rFonts w:ascii="Arial" w:hAnsi="Arial" w:cs="Arial"/>
        </w:rPr>
        <w:t xml:space="preserve">.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arXiv:2111.02300. </w:t>
      </w:r>
      <w:hyperlink r:id="rId19" w:history="1">
        <w:r w:rsidR="001D626C" w:rsidRPr="00BC3234">
          <w:rPr>
            <w:rStyle w:val="Hyperlink"/>
            <w:rFonts w:ascii="Arial" w:hAnsi="Arial" w:cs="Arial"/>
          </w:rPr>
          <w:t>https://doi.org/10.48550/arXiv.2111.02300</w:t>
        </w:r>
      </w:hyperlink>
      <w:r w:rsidRPr="005018F0">
        <w:rPr>
          <w:rFonts w:ascii="Arial" w:hAnsi="Arial" w:cs="Arial"/>
        </w:rPr>
        <w:t>.</w:t>
      </w:r>
    </w:p>
    <w:p w:rsidR="001D626C" w:rsidRPr="000F02C6" w:rsidRDefault="001D626C" w:rsidP="001D626C">
      <w:pPr>
        <w:ind w:left="720" w:hanging="720"/>
        <w:jc w:val="both"/>
        <w:rPr>
          <w:rFonts w:ascii="Arial" w:hAnsi="Arial" w:cs="Arial"/>
        </w:rPr>
      </w:pPr>
      <w:r w:rsidRPr="001D626C">
        <w:rPr>
          <w:rFonts w:ascii="Arial" w:hAnsi="Arial" w:cs="Arial"/>
          <w:highlight w:val="yellow"/>
        </w:rPr>
        <w:t xml:space="preserve">Yusuf, A., &amp; Adeyemi, O. (2025). Oil price volatility and macroeconomic variables in Nigeria. </w:t>
      </w:r>
      <w:r w:rsidRPr="001D626C">
        <w:rPr>
          <w:rFonts w:ascii="Arial" w:eastAsiaTheme="majorEastAsia" w:hAnsi="Arial" w:cs="Arial"/>
          <w:i/>
          <w:iCs/>
        </w:rPr>
        <w:t>CBN Economic Review</w:t>
      </w:r>
      <w:r w:rsidRPr="001D626C">
        <w:rPr>
          <w:rFonts w:ascii="Arial" w:hAnsi="Arial" w:cs="Arial"/>
          <w:highlight w:val="yellow"/>
        </w:rPr>
        <w:t>, 63(4), 33-52.</w:t>
      </w:r>
    </w:p>
    <w:p w:rsidR="00B01FCD" w:rsidRPr="005018F0" w:rsidRDefault="00B01FCD" w:rsidP="005018F0">
      <w:pPr>
        <w:pStyle w:val="Body"/>
        <w:spacing w:after="0"/>
        <w:rPr>
          <w:rFonts w:ascii="Arial" w:hAnsi="Arial" w:cs="Arial"/>
          <w:b/>
        </w:rPr>
      </w:pPr>
      <w:bookmarkStart w:id="2" w:name="_GoBack"/>
      <w:bookmarkEnd w:id="2"/>
    </w:p>
    <w:sectPr w:rsidR="00B01FCD" w:rsidRPr="005018F0" w:rsidSect="001B3D2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3E4" w:rsidRDefault="00AC73E4" w:rsidP="00C37E61">
      <w:r>
        <w:separator/>
      </w:r>
    </w:p>
  </w:endnote>
  <w:endnote w:type="continuationSeparator" w:id="0">
    <w:p w:rsidR="00AC73E4" w:rsidRDefault="00AC73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29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29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Pr="007A21DB" w:rsidRDefault="00291F7C" w:rsidP="007A21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668063"/>
      <w:docPartObj>
        <w:docPartGallery w:val="Page Numbers (Bottom of Page)"/>
        <w:docPartUnique/>
      </w:docPartObj>
    </w:sdtPr>
    <w:sdtEndPr/>
    <w:sdtContent>
      <w:p w:rsidR="00291F7C" w:rsidRDefault="00291F7C">
        <w:pPr>
          <w:pStyle w:val="Footer"/>
          <w:jc w:val="center"/>
        </w:pPr>
        <w:r w:rsidRPr="00416B1C">
          <w:rPr>
            <w:rFonts w:ascii="Arial" w:hAnsi="Arial" w:cs="Arial"/>
          </w:rPr>
          <w:fldChar w:fldCharType="begin"/>
        </w:r>
        <w:r w:rsidRPr="00416B1C">
          <w:rPr>
            <w:rFonts w:ascii="Arial" w:hAnsi="Arial" w:cs="Arial"/>
          </w:rPr>
          <w:instrText xml:space="preserve"> PAGE   \* MERGEFORMAT </w:instrText>
        </w:r>
        <w:r w:rsidRPr="00416B1C">
          <w:rPr>
            <w:rFonts w:ascii="Arial" w:hAnsi="Arial" w:cs="Arial"/>
          </w:rPr>
          <w:fldChar w:fldCharType="separate"/>
        </w:r>
        <w:r w:rsidR="00CB2CF3">
          <w:rPr>
            <w:rFonts w:ascii="Arial" w:hAnsi="Arial" w:cs="Arial"/>
            <w:noProof/>
          </w:rPr>
          <w:t>2</w:t>
        </w:r>
        <w:r w:rsidRPr="00416B1C">
          <w:rPr>
            <w:rFonts w:ascii="Arial" w:hAnsi="Arial" w:cs="Arial"/>
          </w:rPr>
          <w:fldChar w:fldCharType="end"/>
        </w:r>
      </w:p>
    </w:sdtContent>
  </w:sdt>
  <w:p w:rsidR="00291F7C" w:rsidRPr="00C37E61" w:rsidRDefault="00291F7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3E4" w:rsidRDefault="00AC73E4" w:rsidP="00C37E61">
      <w:r>
        <w:separator/>
      </w:r>
    </w:p>
  </w:footnote>
  <w:footnote w:type="continuationSeparator" w:id="0">
    <w:p w:rsidR="00AC73E4" w:rsidRDefault="00AC73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AC7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AC7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Pr="00296529" w:rsidRDefault="00AC73E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1F7C" w:rsidRPr="00296529" w:rsidRDefault="00291F7C"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1F7C" w:rsidRPr="00296529" w:rsidRDefault="00291F7C"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1F7C" w:rsidRPr="00296529" w:rsidRDefault="00291F7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1F7C" w:rsidRDefault="00291F7C" w:rsidP="00296529">
    <w:pPr>
      <w:jc w:val="center"/>
      <w:rPr>
        <w:rFonts w:ascii="Times New Roman" w:eastAsia="Calibri" w:hAnsi="Times New Roman"/>
        <w:i/>
        <w:sz w:val="18"/>
        <w:szCs w:val="22"/>
      </w:rPr>
    </w:pPr>
  </w:p>
  <w:p w:rsidR="00291F7C" w:rsidRDefault="00291F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91F7C" w:rsidRDefault="00291F7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AC7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AC7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F7C" w:rsidRDefault="00AC7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680F6F"/>
    <w:multiLevelType w:val="hybridMultilevel"/>
    <w:tmpl w:val="9CC4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7E5C8C"/>
    <w:multiLevelType w:val="multilevel"/>
    <w:tmpl w:val="66F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5C1942"/>
    <w:multiLevelType w:val="multilevel"/>
    <w:tmpl w:val="591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C3CEA"/>
    <w:multiLevelType w:val="multilevel"/>
    <w:tmpl w:val="2E1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674379"/>
    <w:multiLevelType w:val="multilevel"/>
    <w:tmpl w:val="63F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1B41D6"/>
    <w:multiLevelType w:val="hybridMultilevel"/>
    <w:tmpl w:val="070CB2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24700F"/>
    <w:multiLevelType w:val="multilevel"/>
    <w:tmpl w:val="915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8BE3D9A"/>
    <w:multiLevelType w:val="multilevel"/>
    <w:tmpl w:val="188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07811"/>
    <w:multiLevelType w:val="multilevel"/>
    <w:tmpl w:val="D4262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514711"/>
    <w:multiLevelType w:val="hybridMultilevel"/>
    <w:tmpl w:val="7F729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7A494E"/>
    <w:multiLevelType w:val="multilevel"/>
    <w:tmpl w:val="168C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20710"/>
    <w:multiLevelType w:val="hybridMultilevel"/>
    <w:tmpl w:val="7294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A2EBF"/>
    <w:multiLevelType w:val="multilevel"/>
    <w:tmpl w:val="38E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853DB"/>
    <w:multiLevelType w:val="multilevel"/>
    <w:tmpl w:val="683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4E933095"/>
    <w:multiLevelType w:val="multilevel"/>
    <w:tmpl w:val="F11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94AE2"/>
    <w:multiLevelType w:val="hybridMultilevel"/>
    <w:tmpl w:val="9D16E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1127A"/>
    <w:multiLevelType w:val="multilevel"/>
    <w:tmpl w:val="291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63D7E6F"/>
    <w:multiLevelType w:val="multilevel"/>
    <w:tmpl w:val="90E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39F6BF0"/>
    <w:multiLevelType w:val="multilevel"/>
    <w:tmpl w:val="3A2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8" w15:restartNumberingAfterBreak="0">
    <w:nsid w:val="7FD26677"/>
    <w:multiLevelType w:val="multilevel"/>
    <w:tmpl w:val="54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22"/>
  </w:num>
  <w:num w:numId="9">
    <w:abstractNumId w:val="44"/>
  </w:num>
  <w:num w:numId="10">
    <w:abstractNumId w:val="2"/>
  </w:num>
  <w:num w:numId="11">
    <w:abstractNumId w:val="36"/>
  </w:num>
  <w:num w:numId="12">
    <w:abstractNumId w:val="4"/>
  </w:num>
  <w:num w:numId="13">
    <w:abstractNumId w:val="34"/>
  </w:num>
  <w:num w:numId="14">
    <w:abstractNumId w:val="13"/>
  </w:num>
  <w:num w:numId="15">
    <w:abstractNumId w:val="39"/>
  </w:num>
  <w:num w:numId="16">
    <w:abstractNumId w:val="6"/>
  </w:num>
  <w:num w:numId="17">
    <w:abstractNumId w:val="41"/>
  </w:num>
  <w:num w:numId="18">
    <w:abstractNumId w:val="24"/>
  </w:num>
  <w:num w:numId="19">
    <w:abstractNumId w:val="47"/>
  </w:num>
  <w:num w:numId="20">
    <w:abstractNumId w:val="18"/>
  </w:num>
  <w:num w:numId="21">
    <w:abstractNumId w:val="15"/>
  </w:num>
  <w:num w:numId="22">
    <w:abstractNumId w:val="23"/>
  </w:num>
  <w:num w:numId="23">
    <w:abstractNumId w:val="37"/>
  </w:num>
  <w:num w:numId="24">
    <w:abstractNumId w:val="45"/>
  </w:num>
  <w:num w:numId="25">
    <w:abstractNumId w:val="5"/>
  </w:num>
  <w:num w:numId="26">
    <w:abstractNumId w:val="32"/>
  </w:num>
  <w:num w:numId="27">
    <w:abstractNumId w:val="38"/>
  </w:num>
  <w:num w:numId="28">
    <w:abstractNumId w:val="46"/>
  </w:num>
  <w:num w:numId="29">
    <w:abstractNumId w:val="43"/>
  </w:num>
  <w:num w:numId="30">
    <w:abstractNumId w:val="17"/>
  </w:num>
  <w:num w:numId="31">
    <w:abstractNumId w:val="26"/>
  </w:num>
  <w:num w:numId="32">
    <w:abstractNumId w:val="40"/>
  </w:num>
  <w:num w:numId="33">
    <w:abstractNumId w:val="7"/>
  </w:num>
  <w:num w:numId="34">
    <w:abstractNumId w:val="16"/>
  </w:num>
  <w:num w:numId="35">
    <w:abstractNumId w:val="28"/>
  </w:num>
  <w:num w:numId="36">
    <w:abstractNumId w:val="12"/>
  </w:num>
  <w:num w:numId="37">
    <w:abstractNumId w:val="33"/>
  </w:num>
  <w:num w:numId="38">
    <w:abstractNumId w:val="25"/>
  </w:num>
  <w:num w:numId="39">
    <w:abstractNumId w:val="27"/>
  </w:num>
  <w:num w:numId="40">
    <w:abstractNumId w:val="10"/>
  </w:num>
  <w:num w:numId="41">
    <w:abstractNumId w:val="14"/>
  </w:num>
  <w:num w:numId="42">
    <w:abstractNumId w:val="20"/>
  </w:num>
  <w:num w:numId="43">
    <w:abstractNumId w:val="35"/>
  </w:num>
  <w:num w:numId="44">
    <w:abstractNumId w:val="48"/>
  </w:num>
  <w:num w:numId="45">
    <w:abstractNumId w:val="19"/>
  </w:num>
  <w:num w:numId="46">
    <w:abstractNumId w:val="9"/>
  </w:num>
  <w:num w:numId="47">
    <w:abstractNumId w:val="30"/>
  </w:num>
  <w:num w:numId="48">
    <w:abstractNumId w:val="31"/>
  </w:num>
  <w:num w:numId="49">
    <w:abstractNumId w:val="2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EC0"/>
    <w:rsid w:val="000A47FA"/>
    <w:rsid w:val="000A65D3"/>
    <w:rsid w:val="000B1E33"/>
    <w:rsid w:val="000D689F"/>
    <w:rsid w:val="000E50D5"/>
    <w:rsid w:val="000E7B7B"/>
    <w:rsid w:val="000E7D62"/>
    <w:rsid w:val="001002A8"/>
    <w:rsid w:val="00103357"/>
    <w:rsid w:val="00123C9F"/>
    <w:rsid w:val="00126190"/>
    <w:rsid w:val="00130F17"/>
    <w:rsid w:val="001320BF"/>
    <w:rsid w:val="00163BC4"/>
    <w:rsid w:val="00191062"/>
    <w:rsid w:val="00192B72"/>
    <w:rsid w:val="001A29D8"/>
    <w:rsid w:val="001A5CAA"/>
    <w:rsid w:val="001B0427"/>
    <w:rsid w:val="001B3D2B"/>
    <w:rsid w:val="001C0FEA"/>
    <w:rsid w:val="001D3A51"/>
    <w:rsid w:val="001D626C"/>
    <w:rsid w:val="001D6969"/>
    <w:rsid w:val="001E10D2"/>
    <w:rsid w:val="001E25B4"/>
    <w:rsid w:val="001E2DAC"/>
    <w:rsid w:val="001E44FE"/>
    <w:rsid w:val="00200595"/>
    <w:rsid w:val="00204835"/>
    <w:rsid w:val="00231920"/>
    <w:rsid w:val="0023195C"/>
    <w:rsid w:val="0024282C"/>
    <w:rsid w:val="002460DC"/>
    <w:rsid w:val="00250985"/>
    <w:rsid w:val="00253EDA"/>
    <w:rsid w:val="002556F6"/>
    <w:rsid w:val="002664FF"/>
    <w:rsid w:val="00283105"/>
    <w:rsid w:val="00284C4C"/>
    <w:rsid w:val="00287E68"/>
    <w:rsid w:val="00291F7C"/>
    <w:rsid w:val="00296529"/>
    <w:rsid w:val="002977EB"/>
    <w:rsid w:val="002B27FB"/>
    <w:rsid w:val="002B685A"/>
    <w:rsid w:val="002C57D2"/>
    <w:rsid w:val="002E0D56"/>
    <w:rsid w:val="00315186"/>
    <w:rsid w:val="0033343E"/>
    <w:rsid w:val="003512C2"/>
    <w:rsid w:val="00371FB6"/>
    <w:rsid w:val="003763C1"/>
    <w:rsid w:val="00376A27"/>
    <w:rsid w:val="00376BBE"/>
    <w:rsid w:val="0039224F"/>
    <w:rsid w:val="003A43A4"/>
    <w:rsid w:val="003A7E18"/>
    <w:rsid w:val="003C4C86"/>
    <w:rsid w:val="003C6258"/>
    <w:rsid w:val="003E2904"/>
    <w:rsid w:val="003E32F6"/>
    <w:rsid w:val="00401927"/>
    <w:rsid w:val="0041027F"/>
    <w:rsid w:val="00412475"/>
    <w:rsid w:val="00416B1C"/>
    <w:rsid w:val="00423789"/>
    <w:rsid w:val="00440F43"/>
    <w:rsid w:val="00441B6F"/>
    <w:rsid w:val="00446221"/>
    <w:rsid w:val="00450E62"/>
    <w:rsid w:val="004539DB"/>
    <w:rsid w:val="00462E15"/>
    <w:rsid w:val="00471A80"/>
    <w:rsid w:val="004D305E"/>
    <w:rsid w:val="004D4277"/>
    <w:rsid w:val="005018F0"/>
    <w:rsid w:val="00502516"/>
    <w:rsid w:val="00505F06"/>
    <w:rsid w:val="00506828"/>
    <w:rsid w:val="0052632A"/>
    <w:rsid w:val="0053056E"/>
    <w:rsid w:val="00554FDA"/>
    <w:rsid w:val="00584AC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6A8"/>
    <w:rsid w:val="006D30FF"/>
    <w:rsid w:val="006D6940"/>
    <w:rsid w:val="006F11EC"/>
    <w:rsid w:val="0070082C"/>
    <w:rsid w:val="007369E6"/>
    <w:rsid w:val="00746E59"/>
    <w:rsid w:val="00754C9A"/>
    <w:rsid w:val="0075599A"/>
    <w:rsid w:val="00761D52"/>
    <w:rsid w:val="0077749E"/>
    <w:rsid w:val="00790ADA"/>
    <w:rsid w:val="007A21DB"/>
    <w:rsid w:val="007C5C9B"/>
    <w:rsid w:val="007D2288"/>
    <w:rsid w:val="007E088F"/>
    <w:rsid w:val="007F7B32"/>
    <w:rsid w:val="00804BC2"/>
    <w:rsid w:val="0081431A"/>
    <w:rsid w:val="0083216F"/>
    <w:rsid w:val="00860000"/>
    <w:rsid w:val="00863BD3"/>
    <w:rsid w:val="008641ED"/>
    <w:rsid w:val="00866D66"/>
    <w:rsid w:val="008671C6"/>
    <w:rsid w:val="00875803"/>
    <w:rsid w:val="00893BC2"/>
    <w:rsid w:val="008B459E"/>
    <w:rsid w:val="008E13AE"/>
    <w:rsid w:val="008E1506"/>
    <w:rsid w:val="008E710C"/>
    <w:rsid w:val="008F69D6"/>
    <w:rsid w:val="00902823"/>
    <w:rsid w:val="00914491"/>
    <w:rsid w:val="00915CA6"/>
    <w:rsid w:val="00927834"/>
    <w:rsid w:val="009470BD"/>
    <w:rsid w:val="009500A6"/>
    <w:rsid w:val="00957C18"/>
    <w:rsid w:val="009659BA"/>
    <w:rsid w:val="00983040"/>
    <w:rsid w:val="009B3FB9"/>
    <w:rsid w:val="009C2465"/>
    <w:rsid w:val="009D161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3E4"/>
    <w:rsid w:val="00AE008F"/>
    <w:rsid w:val="00B01FCD"/>
    <w:rsid w:val="00B15B5F"/>
    <w:rsid w:val="00B1776C"/>
    <w:rsid w:val="00B2726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2CF3"/>
    <w:rsid w:val="00CD10F6"/>
    <w:rsid w:val="00CD6755"/>
    <w:rsid w:val="00CD6856"/>
    <w:rsid w:val="00CE0089"/>
    <w:rsid w:val="00CE6CFB"/>
    <w:rsid w:val="00CE793C"/>
    <w:rsid w:val="00CF193C"/>
    <w:rsid w:val="00D173F1"/>
    <w:rsid w:val="00D54367"/>
    <w:rsid w:val="00D74CB0"/>
    <w:rsid w:val="00D8295D"/>
    <w:rsid w:val="00DA024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39A"/>
    <w:rsid w:val="00F53273"/>
    <w:rsid w:val="00F755E4"/>
    <w:rsid w:val="00F77D02"/>
    <w:rsid w:val="00FB3A86"/>
    <w:rsid w:val="00FC26A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5:docId w15:val="{565C52B2-5074-42D2-8979-3DA6E577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15B5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5B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15B5F"/>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B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15B5F"/>
    <w:rPr>
      <w:b/>
      <w:bCs/>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B15B5F"/>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B15B5F"/>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5436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B15B5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5B5F"/>
    <w:rPr>
      <w:b/>
      <w:bCs/>
    </w:rPr>
  </w:style>
  <w:style w:type="character" w:customStyle="1" w:styleId="katex-mathml">
    <w:name w:val="katex-mathml"/>
    <w:basedOn w:val="DefaultParagraphFont"/>
    <w:rsid w:val="00B15B5F"/>
  </w:style>
  <w:style w:type="character" w:customStyle="1" w:styleId="mord">
    <w:name w:val="mord"/>
    <w:basedOn w:val="DefaultParagraphFont"/>
    <w:rsid w:val="00B15B5F"/>
  </w:style>
  <w:style w:type="character" w:customStyle="1" w:styleId="vlist-s">
    <w:name w:val="vlist-s"/>
    <w:basedOn w:val="DefaultParagraphFont"/>
    <w:rsid w:val="00B15B5F"/>
  </w:style>
  <w:style w:type="character" w:customStyle="1" w:styleId="mrel">
    <w:name w:val="mrel"/>
    <w:basedOn w:val="DefaultParagraphFont"/>
    <w:rsid w:val="00B15B5F"/>
  </w:style>
  <w:style w:type="character" w:customStyle="1" w:styleId="mopen">
    <w:name w:val="mopen"/>
    <w:basedOn w:val="DefaultParagraphFont"/>
    <w:rsid w:val="00B15B5F"/>
  </w:style>
  <w:style w:type="character" w:customStyle="1" w:styleId="mbin">
    <w:name w:val="mbin"/>
    <w:basedOn w:val="DefaultParagraphFont"/>
    <w:rsid w:val="00B15B5F"/>
  </w:style>
  <w:style w:type="character" w:customStyle="1" w:styleId="mclose">
    <w:name w:val="mclose"/>
    <w:basedOn w:val="DefaultParagraphFont"/>
    <w:rsid w:val="00B15B5F"/>
  </w:style>
  <w:style w:type="character" w:customStyle="1" w:styleId="mpunct">
    <w:name w:val="mpunct"/>
    <w:basedOn w:val="DefaultParagraphFont"/>
    <w:rsid w:val="00B15B5F"/>
  </w:style>
  <w:style w:type="paragraph" w:styleId="ListParagraph">
    <w:name w:val="List Paragraph"/>
    <w:basedOn w:val="Normal"/>
    <w:uiPriority w:val="34"/>
    <w:qFormat/>
    <w:rsid w:val="00B15B5F"/>
    <w:pPr>
      <w:spacing w:after="200" w:line="276" w:lineRule="auto"/>
      <w:ind w:left="720"/>
      <w:contextualSpacing/>
    </w:pPr>
    <w:rPr>
      <w:rFonts w:asciiTheme="minorHAnsi" w:eastAsiaTheme="minorHAnsi" w:hAnsiTheme="minorHAnsi" w:cstheme="minorBidi"/>
      <w:sz w:val="22"/>
      <w:szCs w:val="22"/>
    </w:rPr>
  </w:style>
  <w:style w:type="character" w:customStyle="1" w:styleId="sr-only">
    <w:name w:val="sr-only"/>
    <w:basedOn w:val="DefaultParagraphFont"/>
    <w:rsid w:val="00B15B5F"/>
  </w:style>
  <w:style w:type="character" w:customStyle="1" w:styleId="minner">
    <w:name w:val="minner"/>
    <w:basedOn w:val="DefaultParagraphFont"/>
    <w:rsid w:val="00B15B5F"/>
  </w:style>
  <w:style w:type="character" w:customStyle="1" w:styleId="UnresolvedMention2">
    <w:name w:val="Unresolved Mention2"/>
    <w:basedOn w:val="DefaultParagraphFont"/>
    <w:uiPriority w:val="99"/>
    <w:semiHidden/>
    <w:unhideWhenUsed/>
    <w:rsid w:val="007C5C9B"/>
    <w:rPr>
      <w:color w:val="605E5C"/>
      <w:shd w:val="clear" w:color="auto" w:fill="E1DFDD"/>
    </w:rPr>
  </w:style>
  <w:style w:type="paragraph" w:styleId="NoSpacing">
    <w:name w:val="No Spacing"/>
    <w:uiPriority w:val="1"/>
    <w:qFormat/>
    <w:rsid w:val="00DA024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8550/arXiv.2101.02736"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igshare.com/articles/thesis/Essays_on_high-frequency_financial_econometrics/123101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8550/arXiv.2505.0619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48550/arXiv.2111.023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7691-67C5-49A6-82B4-07A31571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Pages>
  <Words>9153</Words>
  <Characters>52174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61205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11</cp:revision>
  <cp:lastPrinted>1999-07-06T11:00:00Z</cp:lastPrinted>
  <dcterms:created xsi:type="dcterms:W3CDTF">2026-04-10T16:20:00Z</dcterms:created>
  <dcterms:modified xsi:type="dcterms:W3CDTF">2026-04-11T08:42:00Z</dcterms:modified>
</cp:coreProperties>
</file>