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D3449" w:rsidRPr="004D673E" w14:paraId="418419BF" w14:textId="77777777">
        <w:trPr>
          <w:trHeight w:val="20"/>
          <w:jc w:val="center"/>
        </w:trPr>
        <w:tc>
          <w:tcPr>
            <w:tcW w:w="1186" w:type="pct"/>
          </w:tcPr>
          <w:p w14:paraId="166E1F6B" w14:textId="77777777" w:rsidR="004D3449" w:rsidRPr="004D673E" w:rsidRDefault="00C37B5E">
            <w:pPr>
              <w:pStyle w:val="BodyText"/>
              <w:ind w:left="90"/>
              <w:jc w:val="left"/>
              <w:rPr>
                <w:rFonts w:ascii="Arial" w:hAnsi="Arial" w:cs="Arial"/>
                <w:bCs/>
                <w:sz w:val="20"/>
                <w:szCs w:val="20"/>
                <w:lang w:val="en-GB" w:eastAsia="en-US"/>
              </w:rPr>
            </w:pPr>
            <w:r w:rsidRPr="004D673E">
              <w:rPr>
                <w:rFonts w:ascii="Arial" w:hAnsi="Arial" w:cs="Arial"/>
                <w:bCs/>
                <w:sz w:val="20"/>
                <w:szCs w:val="20"/>
                <w:lang w:val="en-GB" w:eastAsia="en-US"/>
              </w:rPr>
              <w:t>Journal Name:</w:t>
            </w:r>
          </w:p>
        </w:tc>
        <w:tc>
          <w:tcPr>
            <w:tcW w:w="3814" w:type="pct"/>
          </w:tcPr>
          <w:p w14:paraId="19B7F6CF" w14:textId="77777777" w:rsidR="004D3449" w:rsidRPr="004D673E" w:rsidRDefault="00C37B5E">
            <w:pPr>
              <w:rPr>
                <w:rFonts w:ascii="Arial" w:hAnsi="Arial" w:cs="Arial"/>
                <w:b/>
                <w:bCs/>
                <w:color w:val="0000FF"/>
                <w:sz w:val="20"/>
                <w:szCs w:val="20"/>
                <w:lang w:val="en-GB"/>
              </w:rPr>
            </w:pPr>
            <w:hyperlink r:id="rId7" w:history="1">
              <w:r w:rsidRPr="004D673E">
                <w:rPr>
                  <w:rFonts w:ascii="Arial" w:hAnsi="Arial" w:cs="Arial"/>
                  <w:color w:val="0000FF"/>
                  <w:sz w:val="20"/>
                  <w:szCs w:val="20"/>
                  <w:u w:val="single"/>
                </w:rPr>
                <w:t>Asian Journal of Pure and Applied Mathematics</w:t>
              </w:r>
            </w:hyperlink>
          </w:p>
        </w:tc>
      </w:tr>
      <w:tr w:rsidR="004D3449" w:rsidRPr="004D673E" w14:paraId="2348AD4B" w14:textId="77777777">
        <w:trPr>
          <w:trHeight w:val="20"/>
          <w:jc w:val="center"/>
        </w:trPr>
        <w:tc>
          <w:tcPr>
            <w:tcW w:w="1186" w:type="pct"/>
          </w:tcPr>
          <w:p w14:paraId="03DC9739" w14:textId="77777777" w:rsidR="004D3449" w:rsidRPr="004D673E" w:rsidRDefault="00C37B5E">
            <w:pPr>
              <w:pStyle w:val="BodyText"/>
              <w:ind w:left="90"/>
              <w:jc w:val="left"/>
              <w:rPr>
                <w:rFonts w:ascii="Arial" w:hAnsi="Arial" w:cs="Arial"/>
                <w:bCs/>
                <w:sz w:val="20"/>
                <w:szCs w:val="20"/>
                <w:lang w:val="en-GB" w:eastAsia="en-US"/>
              </w:rPr>
            </w:pPr>
            <w:r w:rsidRPr="004D673E">
              <w:rPr>
                <w:rFonts w:ascii="Arial" w:hAnsi="Arial" w:cs="Arial"/>
                <w:bCs/>
                <w:sz w:val="20"/>
                <w:szCs w:val="20"/>
                <w:lang w:val="en-GB" w:eastAsia="en-US"/>
              </w:rPr>
              <w:t>Manuscript Number:</w:t>
            </w:r>
          </w:p>
        </w:tc>
        <w:tc>
          <w:tcPr>
            <w:tcW w:w="3814" w:type="pct"/>
          </w:tcPr>
          <w:p w14:paraId="40A20939" w14:textId="7ED905F8" w:rsidR="004D3449" w:rsidRPr="004D673E" w:rsidRDefault="00DF5EF2">
            <w:pPr>
              <w:pStyle w:val="NormalWeb"/>
              <w:spacing w:before="0" w:beforeAutospacing="0" w:after="0" w:afterAutospacing="0"/>
              <w:rPr>
                <w:rFonts w:ascii="Arial" w:hAnsi="Arial" w:cs="Arial"/>
                <w:b/>
                <w:bCs/>
                <w:sz w:val="20"/>
                <w:szCs w:val="20"/>
                <w:lang w:val="en-GB"/>
              </w:rPr>
            </w:pPr>
            <w:r w:rsidRPr="004D673E">
              <w:rPr>
                <w:rFonts w:ascii="Arial" w:hAnsi="Arial" w:cs="Arial"/>
                <w:b/>
                <w:bCs/>
                <w:sz w:val="20"/>
                <w:szCs w:val="20"/>
                <w:lang w:val="en-GB"/>
              </w:rPr>
              <w:t>Ms_AJPAM_2679</w:t>
            </w:r>
          </w:p>
        </w:tc>
      </w:tr>
      <w:tr w:rsidR="004D3449" w:rsidRPr="004D673E" w14:paraId="3E599579" w14:textId="77777777">
        <w:trPr>
          <w:trHeight w:val="20"/>
          <w:jc w:val="center"/>
        </w:trPr>
        <w:tc>
          <w:tcPr>
            <w:tcW w:w="1186" w:type="pct"/>
          </w:tcPr>
          <w:p w14:paraId="362CEB11" w14:textId="77777777" w:rsidR="004D3449" w:rsidRPr="004D673E" w:rsidRDefault="00C37B5E">
            <w:pPr>
              <w:pStyle w:val="BodyText"/>
              <w:ind w:left="90"/>
              <w:jc w:val="left"/>
              <w:rPr>
                <w:rFonts w:ascii="Arial" w:hAnsi="Arial" w:cs="Arial"/>
                <w:bCs/>
                <w:sz w:val="20"/>
                <w:szCs w:val="20"/>
                <w:lang w:val="en-GB" w:eastAsia="en-US"/>
              </w:rPr>
            </w:pPr>
            <w:r w:rsidRPr="004D673E">
              <w:rPr>
                <w:rFonts w:ascii="Arial" w:hAnsi="Arial" w:cs="Arial"/>
                <w:bCs/>
                <w:sz w:val="20"/>
                <w:szCs w:val="20"/>
                <w:lang w:val="en-GB" w:eastAsia="en-US"/>
              </w:rPr>
              <w:t xml:space="preserve">Title of the Manuscript: </w:t>
            </w:r>
          </w:p>
        </w:tc>
        <w:tc>
          <w:tcPr>
            <w:tcW w:w="3814" w:type="pct"/>
          </w:tcPr>
          <w:p w14:paraId="7442B653" w14:textId="4356B40A" w:rsidR="004D3449" w:rsidRPr="004D673E" w:rsidRDefault="00DF5EF2" w:rsidP="00DF5EF2">
            <w:pPr>
              <w:pStyle w:val="NormalWeb"/>
              <w:rPr>
                <w:rFonts w:ascii="Arial" w:hAnsi="Arial" w:cs="Arial"/>
                <w:b/>
                <w:sz w:val="20"/>
                <w:szCs w:val="20"/>
                <w:lang w:val="en-GB"/>
              </w:rPr>
            </w:pPr>
            <w:r w:rsidRPr="004D673E">
              <w:rPr>
                <w:rFonts w:ascii="Arial" w:hAnsi="Arial" w:cs="Arial"/>
                <w:b/>
                <w:sz w:val="20"/>
                <w:szCs w:val="20"/>
                <w:lang w:val="en-GB"/>
              </w:rPr>
              <w:t>Modeling the Transmission Dynamics of Hantavirus with Environmental Viral Persistence</w:t>
            </w:r>
          </w:p>
        </w:tc>
      </w:tr>
      <w:tr w:rsidR="004D3449" w:rsidRPr="004D673E" w14:paraId="0CE0B074" w14:textId="77777777">
        <w:trPr>
          <w:trHeight w:val="20"/>
          <w:jc w:val="center"/>
        </w:trPr>
        <w:tc>
          <w:tcPr>
            <w:tcW w:w="1186" w:type="pct"/>
          </w:tcPr>
          <w:p w14:paraId="0DC81E99" w14:textId="77777777" w:rsidR="004D3449" w:rsidRPr="004D673E" w:rsidRDefault="00C37B5E">
            <w:pPr>
              <w:pStyle w:val="BodyText"/>
              <w:ind w:left="90"/>
              <w:jc w:val="left"/>
              <w:rPr>
                <w:rFonts w:ascii="Arial" w:hAnsi="Arial" w:cs="Arial"/>
                <w:bCs/>
                <w:sz w:val="20"/>
                <w:szCs w:val="20"/>
                <w:lang w:val="en-GB" w:eastAsia="en-US"/>
              </w:rPr>
            </w:pPr>
            <w:r w:rsidRPr="004D673E">
              <w:rPr>
                <w:rFonts w:ascii="Arial" w:hAnsi="Arial" w:cs="Arial"/>
                <w:bCs/>
                <w:sz w:val="20"/>
                <w:szCs w:val="20"/>
                <w:lang w:val="en-GB" w:eastAsia="en-US"/>
              </w:rPr>
              <w:t>Type of the Article</w:t>
            </w:r>
          </w:p>
        </w:tc>
        <w:tc>
          <w:tcPr>
            <w:tcW w:w="3814" w:type="pct"/>
          </w:tcPr>
          <w:p w14:paraId="514A8CAD" w14:textId="77777777" w:rsidR="004D3449" w:rsidRPr="004D673E" w:rsidRDefault="00C37B5E">
            <w:pPr>
              <w:pStyle w:val="NormalWeb"/>
              <w:spacing w:before="0" w:beforeAutospacing="0" w:after="0" w:afterAutospacing="0"/>
              <w:rPr>
                <w:rFonts w:ascii="Arial" w:hAnsi="Arial" w:cs="Arial"/>
                <w:b/>
                <w:sz w:val="20"/>
                <w:szCs w:val="20"/>
                <w:lang w:val="en-GB"/>
              </w:rPr>
            </w:pPr>
            <w:r w:rsidRPr="004D673E">
              <w:rPr>
                <w:rFonts w:ascii="Arial" w:hAnsi="Arial" w:cs="Arial"/>
                <w:b/>
                <w:sz w:val="20"/>
                <w:szCs w:val="20"/>
                <w:lang w:val="en-GB"/>
              </w:rPr>
              <w:t>Research Article</w:t>
            </w:r>
          </w:p>
          <w:p w14:paraId="3403B26C" w14:textId="77777777" w:rsidR="004D3449" w:rsidRPr="004D673E" w:rsidRDefault="004D3449">
            <w:pPr>
              <w:pStyle w:val="NormalWeb"/>
              <w:spacing w:before="0" w:beforeAutospacing="0" w:after="0" w:afterAutospacing="0"/>
              <w:rPr>
                <w:rFonts w:ascii="Arial" w:hAnsi="Arial" w:cs="Arial"/>
                <w:b/>
                <w:sz w:val="20"/>
                <w:szCs w:val="20"/>
                <w:lang w:val="en-GB"/>
              </w:rPr>
            </w:pPr>
          </w:p>
        </w:tc>
      </w:tr>
    </w:tbl>
    <w:p w14:paraId="22DE161A" w14:textId="77777777" w:rsidR="004D3449" w:rsidRPr="004D673E" w:rsidRDefault="004D3449">
      <w:pPr>
        <w:pStyle w:val="BodyText"/>
        <w:rPr>
          <w:rFonts w:ascii="Arial" w:hAnsi="Arial" w:cs="Arial"/>
          <w:i/>
          <w:sz w:val="20"/>
          <w:szCs w:val="20"/>
          <w:u w:val="single"/>
          <w:lang w:val="en-GB"/>
        </w:rPr>
      </w:pPr>
    </w:p>
    <w:p w14:paraId="03B4F72F" w14:textId="77777777" w:rsidR="004D3449" w:rsidRPr="004D673E" w:rsidRDefault="004D3449">
      <w:pPr>
        <w:jc w:val="both"/>
        <w:rPr>
          <w:rFonts w:ascii="Arial" w:eastAsia="MS Mincho" w:hAnsi="Arial" w:cs="Arial"/>
          <w:sz w:val="20"/>
          <w:szCs w:val="20"/>
          <w:lang w:val="en-GB" w:eastAsia="x-none"/>
        </w:rPr>
      </w:pPr>
    </w:p>
    <w:p w14:paraId="507B84CA" w14:textId="77777777" w:rsidR="004D3449" w:rsidRPr="004D673E" w:rsidRDefault="004D3449">
      <w:pPr>
        <w:jc w:val="both"/>
        <w:rPr>
          <w:rFonts w:ascii="Arial" w:eastAsia="MS Mincho" w:hAnsi="Arial" w:cs="Arial"/>
          <w:sz w:val="20"/>
          <w:szCs w:val="20"/>
          <w:lang w:val="en-GB" w:eastAsia="x-none"/>
        </w:rPr>
      </w:pPr>
    </w:p>
    <w:p w14:paraId="2DA2147F" w14:textId="77777777" w:rsidR="004D3449" w:rsidRPr="004D673E" w:rsidRDefault="00C37B5E">
      <w:pPr>
        <w:jc w:val="both"/>
        <w:rPr>
          <w:rFonts w:ascii="Arial" w:eastAsia="MS Mincho" w:hAnsi="Arial" w:cs="Arial"/>
          <w:b/>
          <w:sz w:val="20"/>
          <w:szCs w:val="20"/>
          <w:u w:val="single"/>
          <w:lang w:val="en-GB" w:eastAsia="x-none"/>
        </w:rPr>
      </w:pPr>
      <w:r w:rsidRPr="004D673E">
        <w:rPr>
          <w:rFonts w:ascii="Arial" w:eastAsia="MS Mincho" w:hAnsi="Arial" w:cs="Arial"/>
          <w:b/>
          <w:sz w:val="20"/>
          <w:szCs w:val="20"/>
          <w:highlight w:val="yellow"/>
          <w:u w:val="single"/>
          <w:lang w:val="en-GB" w:eastAsia="x-none"/>
        </w:rPr>
        <w:t>PART 1 (Importance of the manuscript)</w:t>
      </w:r>
      <w:r w:rsidRPr="004D673E">
        <w:rPr>
          <w:rFonts w:ascii="Arial" w:eastAsia="MS Mincho" w:hAnsi="Arial" w:cs="Arial"/>
          <w:b/>
          <w:sz w:val="20"/>
          <w:szCs w:val="20"/>
          <w:u w:val="single"/>
          <w:lang w:val="en-GB" w:eastAsia="x-none"/>
        </w:rPr>
        <w:t xml:space="preserve"> </w:t>
      </w:r>
    </w:p>
    <w:p w14:paraId="3DF9212E" w14:textId="77777777" w:rsidR="004D3449" w:rsidRPr="004D673E" w:rsidRDefault="004D344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4D3449" w:rsidRPr="004D673E" w14:paraId="6542FB70" w14:textId="77777777">
        <w:trPr>
          <w:trHeight w:val="20"/>
          <w:jc w:val="center"/>
        </w:trPr>
        <w:tc>
          <w:tcPr>
            <w:tcW w:w="1666" w:type="pct"/>
            <w:noWrap/>
          </w:tcPr>
          <w:p w14:paraId="197AC1C6" w14:textId="77777777" w:rsidR="004D3449" w:rsidRPr="004D673E" w:rsidRDefault="004D3449">
            <w:pPr>
              <w:keepNext/>
              <w:outlineLvl w:val="1"/>
              <w:rPr>
                <w:rFonts w:ascii="Arial" w:eastAsia="MS Mincho" w:hAnsi="Arial" w:cs="Arial"/>
                <w:b/>
                <w:bCs/>
                <w:sz w:val="20"/>
                <w:szCs w:val="20"/>
                <w:lang w:val="en-GB"/>
              </w:rPr>
            </w:pPr>
          </w:p>
        </w:tc>
        <w:tc>
          <w:tcPr>
            <w:tcW w:w="1667" w:type="pct"/>
            <w:hideMark/>
          </w:tcPr>
          <w:p w14:paraId="1568772A" w14:textId="77777777" w:rsidR="004D3449" w:rsidRPr="004D673E" w:rsidRDefault="00C37B5E">
            <w:pPr>
              <w:keepNext/>
              <w:outlineLvl w:val="1"/>
              <w:rPr>
                <w:rFonts w:ascii="Arial" w:eastAsia="MS Mincho" w:hAnsi="Arial" w:cs="Arial"/>
                <w:b/>
                <w:bCs/>
                <w:sz w:val="20"/>
                <w:szCs w:val="20"/>
                <w:lang w:val="en-GB"/>
              </w:rPr>
            </w:pPr>
            <w:r w:rsidRPr="004D673E">
              <w:rPr>
                <w:rFonts w:ascii="Arial" w:eastAsia="MS Mincho" w:hAnsi="Arial" w:cs="Arial"/>
                <w:b/>
                <w:bCs/>
                <w:sz w:val="20"/>
                <w:szCs w:val="20"/>
                <w:lang w:val="en-GB"/>
              </w:rPr>
              <w:t>Comments of the Reviewers</w:t>
            </w:r>
          </w:p>
        </w:tc>
        <w:tc>
          <w:tcPr>
            <w:tcW w:w="1667" w:type="pct"/>
          </w:tcPr>
          <w:p w14:paraId="63B03C81" w14:textId="77777777" w:rsidR="004D3449" w:rsidRPr="004D673E" w:rsidRDefault="00C37B5E">
            <w:pPr>
              <w:spacing w:after="160" w:line="256" w:lineRule="auto"/>
              <w:rPr>
                <w:rFonts w:ascii="Arial" w:eastAsia="Calibri" w:hAnsi="Arial" w:cs="Arial"/>
                <w:kern w:val="2"/>
                <w:sz w:val="20"/>
                <w:szCs w:val="20"/>
                <w:lang w:val="en-GB"/>
              </w:rPr>
            </w:pPr>
            <w:r w:rsidRPr="004D673E">
              <w:rPr>
                <w:rFonts w:ascii="Arial" w:eastAsia="Calibri" w:hAnsi="Arial" w:cs="Arial"/>
                <w:b/>
                <w:kern w:val="2"/>
                <w:sz w:val="20"/>
                <w:szCs w:val="20"/>
                <w:lang w:val="en-GB"/>
              </w:rPr>
              <w:t>Author’s Feedback</w:t>
            </w:r>
            <w:r w:rsidRPr="004D673E">
              <w:rPr>
                <w:rFonts w:ascii="Arial" w:eastAsia="Calibri" w:hAnsi="Arial" w:cs="Arial"/>
                <w:kern w:val="2"/>
                <w:sz w:val="20"/>
                <w:szCs w:val="20"/>
                <w:lang w:val="en-GB"/>
              </w:rPr>
              <w:t xml:space="preserve"> </w:t>
            </w:r>
          </w:p>
          <w:p w14:paraId="7B0E0E2E"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49BB9AB8" w14:textId="77777777">
        <w:trPr>
          <w:trHeight w:val="20"/>
          <w:jc w:val="center"/>
        </w:trPr>
        <w:tc>
          <w:tcPr>
            <w:tcW w:w="1666" w:type="pct"/>
            <w:noWrap/>
            <w:hideMark/>
          </w:tcPr>
          <w:p w14:paraId="55B4D3EC" w14:textId="77777777" w:rsidR="004D3449" w:rsidRPr="004D673E" w:rsidRDefault="00C37B5E">
            <w:pPr>
              <w:rPr>
                <w:rFonts w:ascii="Arial" w:hAnsi="Arial" w:cs="Arial"/>
                <w:bCs/>
                <w:sz w:val="20"/>
                <w:szCs w:val="20"/>
                <w:lang w:val="en-GB"/>
              </w:rPr>
            </w:pPr>
            <w:r w:rsidRPr="004D673E">
              <w:rPr>
                <w:rFonts w:ascii="Arial" w:hAnsi="Arial" w:cs="Arial"/>
                <w:b/>
                <w:bCs/>
                <w:sz w:val="20"/>
                <w:szCs w:val="20"/>
                <w:lang w:val="en-GB"/>
              </w:rPr>
              <w:t>Please write a few sentences regarding the importance of this manuscript for the scientific community.</w:t>
            </w:r>
            <w:r w:rsidRPr="004D673E">
              <w:rPr>
                <w:rFonts w:ascii="Arial" w:hAnsi="Arial" w:cs="Arial"/>
                <w:bCs/>
                <w:sz w:val="20"/>
                <w:szCs w:val="20"/>
                <w:lang w:val="en-GB"/>
              </w:rPr>
              <w:t xml:space="preserve"> A minimum of 3-4 sentences may </w:t>
            </w:r>
          </w:p>
          <w:p w14:paraId="1532F594" w14:textId="77777777" w:rsidR="004D3449" w:rsidRPr="004D673E" w:rsidRDefault="00C37B5E">
            <w:pPr>
              <w:rPr>
                <w:rFonts w:ascii="Arial" w:eastAsia="MS Mincho" w:hAnsi="Arial" w:cs="Arial"/>
                <w:bCs/>
                <w:sz w:val="20"/>
                <w:szCs w:val="20"/>
                <w:lang w:val="en-GB"/>
              </w:rPr>
            </w:pPr>
            <w:r w:rsidRPr="004D673E">
              <w:rPr>
                <w:rFonts w:ascii="Arial" w:hAnsi="Arial" w:cs="Arial"/>
                <w:bCs/>
                <w:sz w:val="20"/>
                <w:szCs w:val="20"/>
                <w:lang w:val="en-GB"/>
              </w:rPr>
              <w:t>be required for this part.</w:t>
            </w:r>
          </w:p>
        </w:tc>
        <w:tc>
          <w:tcPr>
            <w:tcW w:w="1667" w:type="pct"/>
          </w:tcPr>
          <w:p w14:paraId="5F03F75F" w14:textId="64A69600" w:rsidR="004D3449" w:rsidRPr="004D673E" w:rsidRDefault="00F9668B">
            <w:pPr>
              <w:contextualSpacing/>
              <w:rPr>
                <w:rFonts w:ascii="Arial" w:hAnsi="Arial" w:cs="Arial"/>
                <w:b/>
                <w:bCs/>
                <w:sz w:val="20"/>
                <w:szCs w:val="20"/>
                <w:lang w:val="en-GB"/>
              </w:rPr>
            </w:pPr>
            <w:r w:rsidRPr="004D673E">
              <w:rPr>
                <w:rFonts w:ascii="Arial" w:hAnsi="Arial" w:cs="Arial"/>
                <w:sz w:val="20"/>
                <w:szCs w:val="20"/>
              </w:rPr>
              <w:t>In this manuscript, the authors present a deterministic mathematical model for hantavirus transmission involving rodent reservoirs, humans, and environmental viral persistence. The topic is relevant, and the inclusion of environmental contamination is biologically meaningful. However, the manuscript needs substantial revision because several notational, mathematical, biological, and presentation issues reduce the rigor of the analysis. I recommend major revision after addressing the given comments.</w:t>
            </w:r>
          </w:p>
        </w:tc>
        <w:tc>
          <w:tcPr>
            <w:tcW w:w="1667" w:type="pct"/>
          </w:tcPr>
          <w:p w14:paraId="3635D1BA" w14:textId="77777777" w:rsidR="004D3449" w:rsidRPr="004D673E" w:rsidRDefault="004D3449">
            <w:pPr>
              <w:keepNext/>
              <w:outlineLvl w:val="1"/>
              <w:rPr>
                <w:rFonts w:ascii="Arial" w:eastAsia="MS Mincho" w:hAnsi="Arial" w:cs="Arial"/>
                <w:bCs/>
                <w:sz w:val="20"/>
                <w:szCs w:val="20"/>
                <w:lang w:val="en-GB"/>
              </w:rPr>
            </w:pPr>
          </w:p>
        </w:tc>
      </w:tr>
    </w:tbl>
    <w:p w14:paraId="3D2B6FFE" w14:textId="77777777" w:rsidR="004D3449" w:rsidRPr="004D673E" w:rsidRDefault="004D3449">
      <w:pPr>
        <w:rPr>
          <w:rFonts w:ascii="Arial" w:hAnsi="Arial" w:cs="Arial"/>
          <w:sz w:val="20"/>
          <w:szCs w:val="20"/>
          <w:lang w:val="en-GB"/>
        </w:rPr>
      </w:pPr>
    </w:p>
    <w:p w14:paraId="4674335F" w14:textId="77777777" w:rsidR="004D3449" w:rsidRPr="004D673E" w:rsidRDefault="004D3449">
      <w:pPr>
        <w:rPr>
          <w:rFonts w:ascii="Arial" w:hAnsi="Arial" w:cs="Arial"/>
          <w:sz w:val="20"/>
          <w:szCs w:val="20"/>
          <w:lang w:val="en-GB"/>
        </w:rPr>
      </w:pPr>
    </w:p>
    <w:p w14:paraId="72E3A404" w14:textId="77777777" w:rsidR="004D3449" w:rsidRPr="004D673E" w:rsidRDefault="00C37B5E">
      <w:pPr>
        <w:keepNext/>
        <w:outlineLvl w:val="1"/>
        <w:rPr>
          <w:rFonts w:ascii="Arial" w:eastAsia="MS Mincho" w:hAnsi="Arial" w:cs="Arial"/>
          <w:b/>
          <w:bCs/>
          <w:sz w:val="20"/>
          <w:szCs w:val="20"/>
          <w:highlight w:val="yellow"/>
          <w:u w:val="single"/>
          <w:lang w:val="en-GB"/>
        </w:rPr>
      </w:pPr>
      <w:r w:rsidRPr="004D673E">
        <w:rPr>
          <w:rFonts w:ascii="Arial" w:eastAsia="MS Mincho" w:hAnsi="Arial" w:cs="Arial"/>
          <w:b/>
          <w:bCs/>
          <w:sz w:val="20"/>
          <w:szCs w:val="20"/>
          <w:highlight w:val="yellow"/>
          <w:u w:val="single"/>
          <w:lang w:val="en-GB"/>
        </w:rPr>
        <w:t>PART 2.1 (Objective Evaluation)</w:t>
      </w:r>
    </w:p>
    <w:p w14:paraId="22182BDC" w14:textId="77777777" w:rsidR="004D3449" w:rsidRPr="004D673E" w:rsidRDefault="004D34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D3449" w:rsidRPr="004D673E" w14:paraId="5DA84C46" w14:textId="77777777">
        <w:trPr>
          <w:trHeight w:val="20"/>
          <w:jc w:val="center"/>
        </w:trPr>
        <w:tc>
          <w:tcPr>
            <w:tcW w:w="1666" w:type="pct"/>
            <w:noWrap/>
          </w:tcPr>
          <w:p w14:paraId="14575AE3" w14:textId="77777777" w:rsidR="004D3449" w:rsidRPr="004D673E" w:rsidRDefault="004D3449">
            <w:pPr>
              <w:keepNext/>
              <w:outlineLvl w:val="1"/>
              <w:rPr>
                <w:rFonts w:ascii="Arial" w:eastAsia="MS Mincho" w:hAnsi="Arial" w:cs="Arial"/>
                <w:b/>
                <w:bCs/>
                <w:sz w:val="20"/>
                <w:szCs w:val="20"/>
                <w:lang w:val="en-GB"/>
              </w:rPr>
            </w:pPr>
          </w:p>
        </w:tc>
        <w:tc>
          <w:tcPr>
            <w:tcW w:w="1667" w:type="pct"/>
            <w:hideMark/>
          </w:tcPr>
          <w:p w14:paraId="76466046" w14:textId="77777777" w:rsidR="004D3449" w:rsidRPr="004D673E" w:rsidRDefault="00C37B5E">
            <w:pPr>
              <w:keepNext/>
              <w:outlineLvl w:val="1"/>
              <w:rPr>
                <w:rFonts w:ascii="Arial" w:eastAsia="MS Mincho" w:hAnsi="Arial" w:cs="Arial"/>
                <w:b/>
                <w:bCs/>
                <w:sz w:val="20"/>
                <w:szCs w:val="20"/>
                <w:lang w:val="en-GB"/>
              </w:rPr>
            </w:pPr>
            <w:r w:rsidRPr="004D673E">
              <w:rPr>
                <w:rFonts w:ascii="Arial" w:eastAsia="MS Mincho" w:hAnsi="Arial" w:cs="Arial"/>
                <w:b/>
                <w:bCs/>
                <w:sz w:val="20"/>
                <w:szCs w:val="20"/>
                <w:lang w:val="en-GB"/>
              </w:rPr>
              <w:t>Rating of the Reviewers</w:t>
            </w:r>
          </w:p>
        </w:tc>
        <w:tc>
          <w:tcPr>
            <w:tcW w:w="1667" w:type="pct"/>
            <w:hideMark/>
          </w:tcPr>
          <w:p w14:paraId="04E844E9" w14:textId="6AAF2C4C" w:rsidR="004D3449" w:rsidRPr="004D673E" w:rsidRDefault="00C37B5E">
            <w:pPr>
              <w:spacing w:after="160" w:line="256" w:lineRule="auto"/>
              <w:rPr>
                <w:rFonts w:ascii="Arial" w:hAnsi="Arial" w:cs="Arial"/>
                <w:b/>
                <w:sz w:val="20"/>
                <w:szCs w:val="20"/>
                <w:lang w:val="en-GB"/>
              </w:rPr>
            </w:pPr>
            <w:r w:rsidRPr="004D673E">
              <w:rPr>
                <w:rFonts w:ascii="Arial" w:eastAsia="Calibri" w:hAnsi="Arial" w:cs="Arial"/>
                <w:b/>
                <w:kern w:val="2"/>
                <w:sz w:val="20"/>
                <w:szCs w:val="20"/>
                <w:lang w:val="en-GB"/>
              </w:rPr>
              <w:t>Author’s Feedback</w:t>
            </w:r>
            <w:r w:rsidRPr="004D673E">
              <w:rPr>
                <w:rFonts w:ascii="Arial" w:eastAsia="Calibri" w:hAnsi="Arial" w:cs="Arial"/>
                <w:kern w:val="2"/>
                <w:sz w:val="20"/>
                <w:szCs w:val="20"/>
                <w:lang w:val="en-GB"/>
              </w:rPr>
              <w:t xml:space="preserve"> </w:t>
            </w:r>
            <w:r w:rsidR="00850879" w:rsidRPr="004D673E">
              <w:rPr>
                <w:rFonts w:ascii="Arial" w:hAnsi="Arial" w:cs="Arial"/>
                <w:b/>
                <w:kern w:val="2"/>
                <w:sz w:val="20"/>
                <w:szCs w:val="20"/>
                <w:highlight w:val="yellow"/>
                <w:lang w:val="en-GB"/>
              </w:rPr>
              <w:t>(</w:t>
            </w:r>
            <w:r w:rsidR="00850879" w:rsidRPr="004D673E">
              <w:rPr>
                <w:rFonts w:ascii="Arial" w:hAnsi="Arial" w:cs="Arial"/>
                <w:bCs/>
                <w:kern w:val="2"/>
                <w:sz w:val="20"/>
                <w:szCs w:val="20"/>
                <w:highlight w:val="yellow"/>
                <w:lang w:val="en-GB"/>
              </w:rPr>
              <w:t>Revision of the Manuscript and Feedback of Authors are mandatory for Rating of 2 and 1)</w:t>
            </w:r>
          </w:p>
        </w:tc>
      </w:tr>
      <w:tr w:rsidR="004D3449" w:rsidRPr="004D673E" w14:paraId="71C4B139" w14:textId="77777777">
        <w:trPr>
          <w:trHeight w:val="20"/>
          <w:jc w:val="center"/>
        </w:trPr>
        <w:tc>
          <w:tcPr>
            <w:tcW w:w="1666" w:type="pct"/>
            <w:noWrap/>
            <w:hideMark/>
          </w:tcPr>
          <w:p w14:paraId="1C830B06" w14:textId="77777777" w:rsidR="004D3449" w:rsidRPr="004D673E" w:rsidRDefault="00C37B5E">
            <w:pPr>
              <w:rPr>
                <w:rFonts w:ascii="Arial" w:hAnsi="Arial" w:cs="Arial"/>
                <w:b/>
                <w:bCs/>
                <w:sz w:val="20"/>
                <w:szCs w:val="20"/>
                <w:lang w:val="en-GB"/>
              </w:rPr>
            </w:pPr>
            <w:r w:rsidRPr="004D673E">
              <w:rPr>
                <w:rFonts w:ascii="Arial" w:hAnsi="Arial" w:cs="Arial"/>
                <w:b/>
                <w:bCs/>
                <w:sz w:val="20"/>
                <w:szCs w:val="20"/>
                <w:lang w:val="en-GB"/>
              </w:rPr>
              <w:t xml:space="preserve">1. Is the title clear and appropriate for the study? </w:t>
            </w:r>
          </w:p>
          <w:p w14:paraId="6A4AA6BD"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4CEB9E64" w14:textId="77777777" w:rsidR="004D3449" w:rsidRPr="004D673E" w:rsidRDefault="00C37B5E">
            <w:pPr>
              <w:rPr>
                <w:rFonts w:ascii="Arial" w:hAnsi="Arial" w:cs="Arial"/>
                <w:sz w:val="20"/>
                <w:szCs w:val="20"/>
                <w:u w:val="single"/>
                <w:lang w:val="en-GB"/>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28343B" w14:textId="65D55C7C" w:rsidR="004D3449" w:rsidRPr="004D673E" w:rsidRDefault="00F9668B">
            <w:pPr>
              <w:ind w:left="360"/>
              <w:rPr>
                <w:rFonts w:ascii="Arial" w:hAnsi="Arial" w:cs="Arial"/>
                <w:b/>
                <w:bCs/>
                <w:sz w:val="20"/>
                <w:szCs w:val="20"/>
                <w:lang w:val="en-GB"/>
              </w:rPr>
            </w:pPr>
            <w:r w:rsidRPr="004D673E">
              <w:rPr>
                <w:rFonts w:ascii="Arial" w:hAnsi="Arial" w:cs="Arial"/>
                <w:b/>
                <w:bCs/>
                <w:sz w:val="20"/>
                <w:szCs w:val="20"/>
                <w:lang w:val="en-GB"/>
              </w:rPr>
              <w:t>4</w:t>
            </w:r>
          </w:p>
        </w:tc>
        <w:tc>
          <w:tcPr>
            <w:tcW w:w="1667" w:type="pct"/>
          </w:tcPr>
          <w:p w14:paraId="4F685D00"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56DD4B81" w14:textId="77777777">
        <w:trPr>
          <w:trHeight w:val="20"/>
          <w:jc w:val="center"/>
        </w:trPr>
        <w:tc>
          <w:tcPr>
            <w:tcW w:w="1666" w:type="pct"/>
            <w:noWrap/>
            <w:hideMark/>
          </w:tcPr>
          <w:p w14:paraId="21CFCAF3" w14:textId="77777777" w:rsidR="004D3449" w:rsidRPr="004D673E" w:rsidRDefault="00C37B5E">
            <w:pPr>
              <w:keepNext/>
              <w:outlineLvl w:val="1"/>
              <w:rPr>
                <w:rFonts w:ascii="Arial" w:eastAsia="MS Mincho" w:hAnsi="Arial" w:cs="Arial"/>
                <w:b/>
                <w:bCs/>
                <w:sz w:val="20"/>
                <w:szCs w:val="20"/>
                <w:lang w:val="en-GB"/>
              </w:rPr>
            </w:pPr>
            <w:r w:rsidRPr="004D673E">
              <w:rPr>
                <w:rFonts w:ascii="Arial" w:eastAsia="MS Mincho" w:hAnsi="Arial" w:cs="Arial"/>
                <w:b/>
                <w:bCs/>
                <w:sz w:val="20"/>
                <w:szCs w:val="20"/>
                <w:lang w:val="en-GB"/>
              </w:rPr>
              <w:t xml:space="preserve">2. Is the abstract of the article comprehensive? </w:t>
            </w:r>
          </w:p>
          <w:p w14:paraId="3BA98DD7"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72B34878" w14:textId="77777777" w:rsidR="004D3449" w:rsidRPr="004D673E" w:rsidRDefault="00C37B5E">
            <w:pPr>
              <w:rPr>
                <w:rFonts w:ascii="Arial" w:hAnsi="Arial" w:cs="Arial"/>
                <w:sz w:val="20"/>
                <w:szCs w:val="20"/>
                <w:lang w:val="en-GB"/>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F01BDA" w14:textId="4549DCC2" w:rsidR="004D3449" w:rsidRPr="004D673E" w:rsidRDefault="00F9668B">
            <w:pPr>
              <w:ind w:left="360"/>
              <w:rPr>
                <w:rFonts w:ascii="Arial" w:hAnsi="Arial" w:cs="Arial"/>
                <w:b/>
                <w:bCs/>
                <w:sz w:val="20"/>
                <w:szCs w:val="20"/>
                <w:lang w:val="en-GB"/>
              </w:rPr>
            </w:pPr>
            <w:r w:rsidRPr="004D673E">
              <w:rPr>
                <w:rFonts w:ascii="Arial" w:hAnsi="Arial" w:cs="Arial"/>
                <w:b/>
                <w:bCs/>
                <w:sz w:val="20"/>
                <w:szCs w:val="20"/>
                <w:lang w:val="en-GB"/>
              </w:rPr>
              <w:t>3</w:t>
            </w:r>
          </w:p>
        </w:tc>
        <w:tc>
          <w:tcPr>
            <w:tcW w:w="1667" w:type="pct"/>
          </w:tcPr>
          <w:p w14:paraId="30696891"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5E3DCA74" w14:textId="77777777">
        <w:trPr>
          <w:trHeight w:val="20"/>
          <w:jc w:val="center"/>
        </w:trPr>
        <w:tc>
          <w:tcPr>
            <w:tcW w:w="1666" w:type="pct"/>
            <w:noWrap/>
            <w:hideMark/>
          </w:tcPr>
          <w:p w14:paraId="02A682FC" w14:textId="77777777" w:rsidR="004D3449" w:rsidRPr="004D673E" w:rsidRDefault="00C37B5E">
            <w:pPr>
              <w:keepNext/>
              <w:outlineLvl w:val="1"/>
              <w:rPr>
                <w:rFonts w:ascii="Arial" w:eastAsia="MS Mincho" w:hAnsi="Arial" w:cs="Arial"/>
                <w:b/>
                <w:bCs/>
                <w:sz w:val="20"/>
                <w:szCs w:val="20"/>
                <w:lang w:val="en-GB" w:eastAsia="x-none"/>
              </w:rPr>
            </w:pPr>
            <w:r w:rsidRPr="004D673E">
              <w:rPr>
                <w:rFonts w:ascii="Arial" w:eastAsia="MS Mincho" w:hAnsi="Arial" w:cs="Arial"/>
                <w:b/>
                <w:bCs/>
                <w:sz w:val="20"/>
                <w:szCs w:val="20"/>
                <w:lang w:val="en-GB" w:eastAsia="x-none"/>
              </w:rPr>
              <w:t>3. Are the keywords appropriate and useful?</w:t>
            </w:r>
          </w:p>
          <w:p w14:paraId="48FBBF55"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7CE80C26" w14:textId="77777777" w:rsidR="004D3449" w:rsidRPr="004D673E" w:rsidRDefault="00C37B5E">
            <w:pPr>
              <w:rPr>
                <w:rFonts w:ascii="Arial" w:hAnsi="Arial" w:cs="Arial"/>
                <w:sz w:val="20"/>
                <w:szCs w:val="20"/>
                <w:lang w:val="en-GB" w:eastAsia="x-none"/>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2710B4" w14:textId="3DA6E4E7" w:rsidR="004D3449" w:rsidRPr="004D673E" w:rsidRDefault="00F9668B">
            <w:pPr>
              <w:ind w:left="360"/>
              <w:rPr>
                <w:rFonts w:ascii="Arial" w:hAnsi="Arial" w:cs="Arial"/>
                <w:b/>
                <w:bCs/>
                <w:sz w:val="20"/>
                <w:szCs w:val="20"/>
                <w:lang w:val="en-GB"/>
              </w:rPr>
            </w:pPr>
            <w:r w:rsidRPr="004D673E">
              <w:rPr>
                <w:rFonts w:ascii="Arial" w:hAnsi="Arial" w:cs="Arial"/>
                <w:b/>
                <w:bCs/>
                <w:sz w:val="20"/>
                <w:szCs w:val="20"/>
                <w:lang w:val="en-GB"/>
              </w:rPr>
              <w:t>3</w:t>
            </w:r>
          </w:p>
        </w:tc>
        <w:tc>
          <w:tcPr>
            <w:tcW w:w="1667" w:type="pct"/>
          </w:tcPr>
          <w:p w14:paraId="0EB8AFD2"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5753017B" w14:textId="77777777">
        <w:trPr>
          <w:trHeight w:val="20"/>
          <w:jc w:val="center"/>
        </w:trPr>
        <w:tc>
          <w:tcPr>
            <w:tcW w:w="1666" w:type="pct"/>
            <w:noWrap/>
            <w:hideMark/>
          </w:tcPr>
          <w:p w14:paraId="038CA2B4" w14:textId="77777777" w:rsidR="004D3449" w:rsidRPr="004D673E" w:rsidRDefault="00C37B5E">
            <w:pPr>
              <w:keepNext/>
              <w:outlineLvl w:val="1"/>
              <w:rPr>
                <w:rFonts w:ascii="Arial" w:eastAsia="MS Mincho" w:hAnsi="Arial" w:cs="Arial"/>
                <w:b/>
                <w:bCs/>
                <w:sz w:val="20"/>
                <w:szCs w:val="20"/>
                <w:lang w:val="en-GB" w:eastAsia="x-none"/>
              </w:rPr>
            </w:pPr>
            <w:r w:rsidRPr="004D673E">
              <w:rPr>
                <w:rFonts w:ascii="Arial" w:eastAsia="MS Mincho" w:hAnsi="Arial" w:cs="Arial"/>
                <w:b/>
                <w:bCs/>
                <w:sz w:val="20"/>
                <w:szCs w:val="20"/>
                <w:lang w:val="en-GB" w:eastAsia="x-none"/>
              </w:rPr>
              <w:t>4. Is the background information of the paper sufficient and well organized?</w:t>
            </w:r>
          </w:p>
          <w:p w14:paraId="454A8FB5"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5877F50F" w14:textId="77777777" w:rsidR="004D3449" w:rsidRPr="004D673E" w:rsidRDefault="00C37B5E">
            <w:pPr>
              <w:rPr>
                <w:rFonts w:ascii="Arial" w:hAnsi="Arial" w:cs="Arial"/>
                <w:sz w:val="20"/>
                <w:szCs w:val="20"/>
                <w:lang w:val="en-GB" w:eastAsia="x-none"/>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012648" w14:textId="46A8575F" w:rsidR="004D3449" w:rsidRPr="004D673E" w:rsidRDefault="00F9668B">
            <w:pPr>
              <w:ind w:left="360"/>
              <w:rPr>
                <w:rFonts w:ascii="Arial" w:hAnsi="Arial" w:cs="Arial"/>
                <w:b/>
                <w:bCs/>
                <w:sz w:val="20"/>
                <w:szCs w:val="20"/>
                <w:lang w:val="en-GB"/>
              </w:rPr>
            </w:pPr>
            <w:r w:rsidRPr="004D673E">
              <w:rPr>
                <w:rFonts w:ascii="Arial" w:hAnsi="Arial" w:cs="Arial"/>
                <w:b/>
                <w:bCs/>
                <w:sz w:val="20"/>
                <w:szCs w:val="20"/>
                <w:lang w:val="en-GB"/>
              </w:rPr>
              <w:t>3</w:t>
            </w:r>
          </w:p>
        </w:tc>
        <w:tc>
          <w:tcPr>
            <w:tcW w:w="1667" w:type="pct"/>
          </w:tcPr>
          <w:p w14:paraId="002645DE"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5655E376" w14:textId="77777777">
        <w:trPr>
          <w:trHeight w:val="20"/>
          <w:jc w:val="center"/>
        </w:trPr>
        <w:tc>
          <w:tcPr>
            <w:tcW w:w="1666" w:type="pct"/>
            <w:noWrap/>
            <w:hideMark/>
          </w:tcPr>
          <w:p w14:paraId="266CAF7E" w14:textId="77777777" w:rsidR="004D3449" w:rsidRPr="004D673E" w:rsidRDefault="00C37B5E">
            <w:pPr>
              <w:keepNext/>
              <w:outlineLvl w:val="1"/>
              <w:rPr>
                <w:rFonts w:ascii="Arial" w:eastAsia="MS Mincho" w:hAnsi="Arial" w:cs="Arial"/>
                <w:b/>
                <w:bCs/>
                <w:sz w:val="20"/>
                <w:szCs w:val="20"/>
                <w:lang w:val="en-GB" w:eastAsia="x-none"/>
              </w:rPr>
            </w:pPr>
            <w:r w:rsidRPr="004D673E">
              <w:rPr>
                <w:rFonts w:ascii="Arial" w:eastAsia="MS Mincho" w:hAnsi="Arial" w:cs="Arial"/>
                <w:b/>
                <w:bCs/>
                <w:sz w:val="20"/>
                <w:szCs w:val="20"/>
                <w:lang w:val="en-GB" w:eastAsia="x-none"/>
              </w:rPr>
              <w:t>5. Are the research objectives/hypotheses clearly stated?</w:t>
            </w:r>
          </w:p>
          <w:p w14:paraId="3295348A"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210D5BB7" w14:textId="77777777" w:rsidR="004D3449" w:rsidRPr="004D673E" w:rsidRDefault="00C37B5E">
            <w:pPr>
              <w:rPr>
                <w:rFonts w:ascii="Arial" w:hAnsi="Arial" w:cs="Arial"/>
                <w:sz w:val="20"/>
                <w:szCs w:val="20"/>
                <w:lang w:val="en-GB" w:eastAsia="x-none"/>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843D32" w14:textId="432CAF1A" w:rsidR="004D3449" w:rsidRPr="004D673E" w:rsidRDefault="00F9668B">
            <w:pPr>
              <w:ind w:left="360"/>
              <w:rPr>
                <w:rFonts w:ascii="Arial" w:hAnsi="Arial" w:cs="Arial"/>
                <w:b/>
                <w:bCs/>
                <w:sz w:val="20"/>
                <w:szCs w:val="20"/>
                <w:lang w:val="en-GB"/>
              </w:rPr>
            </w:pPr>
            <w:r w:rsidRPr="004D673E">
              <w:rPr>
                <w:rFonts w:ascii="Arial" w:hAnsi="Arial" w:cs="Arial"/>
                <w:b/>
                <w:bCs/>
                <w:sz w:val="20"/>
                <w:szCs w:val="20"/>
                <w:lang w:val="en-GB"/>
              </w:rPr>
              <w:t>4</w:t>
            </w:r>
          </w:p>
        </w:tc>
        <w:tc>
          <w:tcPr>
            <w:tcW w:w="1667" w:type="pct"/>
          </w:tcPr>
          <w:p w14:paraId="242C661B"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73ED7209" w14:textId="77777777">
        <w:trPr>
          <w:trHeight w:val="20"/>
          <w:jc w:val="center"/>
        </w:trPr>
        <w:tc>
          <w:tcPr>
            <w:tcW w:w="1666" w:type="pct"/>
            <w:noWrap/>
            <w:hideMark/>
          </w:tcPr>
          <w:p w14:paraId="380414E9" w14:textId="77777777" w:rsidR="004D3449" w:rsidRPr="004D673E" w:rsidRDefault="00C37B5E">
            <w:pPr>
              <w:keepNext/>
              <w:outlineLvl w:val="1"/>
              <w:rPr>
                <w:rFonts w:ascii="Arial" w:eastAsia="MS Mincho" w:hAnsi="Arial" w:cs="Arial"/>
                <w:b/>
                <w:bCs/>
                <w:sz w:val="20"/>
                <w:szCs w:val="20"/>
                <w:lang w:val="en-GB" w:eastAsia="x-none"/>
              </w:rPr>
            </w:pPr>
            <w:r w:rsidRPr="004D673E">
              <w:rPr>
                <w:rFonts w:ascii="Arial" w:eastAsia="MS Mincho" w:hAnsi="Arial" w:cs="Arial"/>
                <w:b/>
                <w:bCs/>
                <w:sz w:val="20"/>
                <w:szCs w:val="20"/>
                <w:lang w:val="en-GB" w:eastAsia="x-none"/>
              </w:rPr>
              <w:t>6. Is the literature review relevant and up to date?</w:t>
            </w:r>
          </w:p>
          <w:p w14:paraId="0FA30FD4"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7DA3020B" w14:textId="77777777" w:rsidR="004D3449" w:rsidRPr="004D673E" w:rsidRDefault="00C37B5E">
            <w:pPr>
              <w:rPr>
                <w:rFonts w:ascii="Arial" w:hAnsi="Arial" w:cs="Arial"/>
                <w:sz w:val="20"/>
                <w:szCs w:val="20"/>
                <w:lang w:val="en-GB" w:eastAsia="x-none"/>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924B84" w14:textId="24465F40" w:rsidR="004D3449" w:rsidRPr="004D673E" w:rsidRDefault="00F9668B">
            <w:pPr>
              <w:ind w:left="360"/>
              <w:rPr>
                <w:rFonts w:ascii="Arial" w:hAnsi="Arial" w:cs="Arial"/>
                <w:b/>
                <w:bCs/>
                <w:sz w:val="20"/>
                <w:szCs w:val="20"/>
                <w:lang w:val="en-GB"/>
              </w:rPr>
            </w:pPr>
            <w:r w:rsidRPr="004D673E">
              <w:rPr>
                <w:rFonts w:ascii="Arial" w:hAnsi="Arial" w:cs="Arial"/>
                <w:b/>
                <w:bCs/>
                <w:sz w:val="20"/>
                <w:szCs w:val="20"/>
                <w:lang w:val="en-GB"/>
              </w:rPr>
              <w:t>2</w:t>
            </w:r>
          </w:p>
        </w:tc>
        <w:tc>
          <w:tcPr>
            <w:tcW w:w="1667" w:type="pct"/>
          </w:tcPr>
          <w:p w14:paraId="1467F9F9"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7BD06234" w14:textId="77777777">
        <w:trPr>
          <w:trHeight w:val="20"/>
          <w:jc w:val="center"/>
        </w:trPr>
        <w:tc>
          <w:tcPr>
            <w:tcW w:w="1666" w:type="pct"/>
            <w:noWrap/>
            <w:hideMark/>
          </w:tcPr>
          <w:p w14:paraId="773CC664" w14:textId="77777777" w:rsidR="004D3449" w:rsidRPr="004D673E" w:rsidRDefault="00C37B5E">
            <w:pPr>
              <w:keepNext/>
              <w:outlineLvl w:val="1"/>
              <w:rPr>
                <w:rFonts w:ascii="Arial" w:eastAsia="MS Mincho" w:hAnsi="Arial" w:cs="Arial"/>
                <w:b/>
                <w:bCs/>
                <w:sz w:val="20"/>
                <w:szCs w:val="20"/>
                <w:lang w:val="en-GB" w:eastAsia="x-none"/>
              </w:rPr>
            </w:pPr>
            <w:r w:rsidRPr="004D673E">
              <w:rPr>
                <w:rFonts w:ascii="Arial" w:eastAsia="MS Mincho" w:hAnsi="Arial" w:cs="Arial"/>
                <w:b/>
                <w:bCs/>
                <w:sz w:val="20"/>
                <w:szCs w:val="20"/>
                <w:lang w:val="en-GB" w:eastAsia="x-none"/>
              </w:rPr>
              <w:t>7. Is the research methodology appropriate for the study?</w:t>
            </w:r>
          </w:p>
          <w:p w14:paraId="7193E5BB"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51E13D6E" w14:textId="77777777" w:rsidR="004D3449" w:rsidRPr="004D673E" w:rsidRDefault="00C37B5E">
            <w:pPr>
              <w:rPr>
                <w:rFonts w:ascii="Arial" w:hAnsi="Arial" w:cs="Arial"/>
                <w:sz w:val="20"/>
                <w:szCs w:val="20"/>
                <w:lang w:val="en-GB"/>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FE8099" w14:textId="3AC0D5D2" w:rsidR="004D3449" w:rsidRPr="004D673E" w:rsidRDefault="00F9668B">
            <w:pPr>
              <w:ind w:left="360"/>
              <w:rPr>
                <w:rFonts w:ascii="Arial" w:hAnsi="Arial" w:cs="Arial"/>
                <w:b/>
                <w:bCs/>
                <w:sz w:val="20"/>
                <w:szCs w:val="20"/>
                <w:lang w:val="en-GB"/>
              </w:rPr>
            </w:pPr>
            <w:r w:rsidRPr="004D673E">
              <w:rPr>
                <w:rFonts w:ascii="Arial" w:hAnsi="Arial" w:cs="Arial"/>
                <w:b/>
                <w:bCs/>
                <w:sz w:val="20"/>
                <w:szCs w:val="20"/>
                <w:lang w:val="en-GB"/>
              </w:rPr>
              <w:t>3</w:t>
            </w:r>
          </w:p>
        </w:tc>
        <w:tc>
          <w:tcPr>
            <w:tcW w:w="1667" w:type="pct"/>
          </w:tcPr>
          <w:p w14:paraId="66984D0A"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42100680" w14:textId="77777777">
        <w:trPr>
          <w:trHeight w:val="20"/>
          <w:jc w:val="center"/>
        </w:trPr>
        <w:tc>
          <w:tcPr>
            <w:tcW w:w="1666" w:type="pct"/>
            <w:noWrap/>
            <w:hideMark/>
          </w:tcPr>
          <w:p w14:paraId="04546279" w14:textId="77777777" w:rsidR="004D3449" w:rsidRPr="004D673E" w:rsidRDefault="00C37B5E">
            <w:pPr>
              <w:keepNext/>
              <w:outlineLvl w:val="1"/>
              <w:rPr>
                <w:rFonts w:ascii="Arial" w:eastAsia="MS Mincho" w:hAnsi="Arial" w:cs="Arial"/>
                <w:b/>
                <w:bCs/>
                <w:sz w:val="20"/>
                <w:szCs w:val="20"/>
                <w:lang w:val="en-GB" w:eastAsia="x-none"/>
              </w:rPr>
            </w:pPr>
            <w:r w:rsidRPr="004D673E">
              <w:rPr>
                <w:rFonts w:ascii="Arial" w:eastAsia="MS Mincho" w:hAnsi="Arial" w:cs="Arial"/>
                <w:b/>
                <w:bCs/>
                <w:sz w:val="20"/>
                <w:szCs w:val="20"/>
                <w:lang w:val="en-GB" w:eastAsia="x-none"/>
              </w:rPr>
              <w:t>8. Were ethical issues properly addressed (if applicable)?</w:t>
            </w:r>
          </w:p>
          <w:p w14:paraId="34527FEB"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5C022A8B" w14:textId="77777777" w:rsidR="004D3449" w:rsidRPr="004D673E" w:rsidRDefault="00C37B5E">
            <w:pPr>
              <w:rPr>
                <w:rFonts w:ascii="Arial" w:hAnsi="Arial" w:cs="Arial"/>
                <w:sz w:val="20"/>
                <w:szCs w:val="20"/>
                <w:lang w:val="en-GB" w:eastAsia="x-none"/>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26FDF9" w14:textId="12D79C47" w:rsidR="004D3449" w:rsidRPr="004D673E" w:rsidRDefault="00F9668B">
            <w:pPr>
              <w:ind w:left="360"/>
              <w:rPr>
                <w:rFonts w:ascii="Arial" w:hAnsi="Arial" w:cs="Arial"/>
                <w:b/>
                <w:bCs/>
                <w:sz w:val="20"/>
                <w:szCs w:val="20"/>
                <w:lang w:val="en-GB"/>
              </w:rPr>
            </w:pPr>
            <w:r w:rsidRPr="004D673E">
              <w:rPr>
                <w:rFonts w:ascii="Arial" w:hAnsi="Arial" w:cs="Arial"/>
                <w:b/>
                <w:bCs/>
                <w:sz w:val="20"/>
                <w:szCs w:val="20"/>
                <w:lang w:val="en-GB"/>
              </w:rPr>
              <w:t>4</w:t>
            </w:r>
          </w:p>
        </w:tc>
        <w:tc>
          <w:tcPr>
            <w:tcW w:w="1667" w:type="pct"/>
          </w:tcPr>
          <w:p w14:paraId="24EA0D61"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488E29EC" w14:textId="77777777">
        <w:trPr>
          <w:trHeight w:val="20"/>
          <w:jc w:val="center"/>
        </w:trPr>
        <w:tc>
          <w:tcPr>
            <w:tcW w:w="1666" w:type="pct"/>
            <w:noWrap/>
            <w:hideMark/>
          </w:tcPr>
          <w:p w14:paraId="7BD6222E" w14:textId="77777777" w:rsidR="004D3449" w:rsidRPr="004D673E" w:rsidRDefault="00C37B5E">
            <w:pPr>
              <w:rPr>
                <w:rFonts w:ascii="Arial" w:hAnsi="Arial" w:cs="Arial"/>
                <w:b/>
                <w:sz w:val="20"/>
                <w:szCs w:val="20"/>
                <w:lang w:val="en-GB"/>
              </w:rPr>
            </w:pPr>
            <w:r w:rsidRPr="004D673E">
              <w:rPr>
                <w:rFonts w:ascii="Arial" w:hAnsi="Arial" w:cs="Arial"/>
                <w:b/>
                <w:sz w:val="20"/>
                <w:szCs w:val="20"/>
                <w:lang w:val="en-GB"/>
              </w:rPr>
              <w:t xml:space="preserve">9. Are the results presented clearly? </w:t>
            </w:r>
          </w:p>
          <w:p w14:paraId="60EA3C10"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150F2DAC" w14:textId="77777777" w:rsidR="004D3449" w:rsidRPr="004D673E" w:rsidRDefault="00C37B5E">
            <w:pPr>
              <w:rPr>
                <w:rFonts w:ascii="Arial" w:hAnsi="Arial" w:cs="Arial"/>
                <w:bCs/>
                <w:sz w:val="20"/>
                <w:szCs w:val="20"/>
                <w:lang w:val="en-GB"/>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57DCA1" w14:textId="7493121A" w:rsidR="004D3449" w:rsidRPr="004D673E" w:rsidRDefault="00F9668B">
            <w:pPr>
              <w:contextualSpacing/>
              <w:rPr>
                <w:rFonts w:ascii="Arial" w:hAnsi="Arial" w:cs="Arial"/>
                <w:bCs/>
                <w:sz w:val="20"/>
                <w:szCs w:val="20"/>
                <w:lang w:val="en-GB"/>
              </w:rPr>
            </w:pPr>
            <w:r w:rsidRPr="004D673E">
              <w:rPr>
                <w:rFonts w:ascii="Arial" w:hAnsi="Arial" w:cs="Arial"/>
                <w:bCs/>
                <w:sz w:val="20"/>
                <w:szCs w:val="20"/>
                <w:lang w:val="en-GB"/>
              </w:rPr>
              <w:t>3</w:t>
            </w:r>
          </w:p>
        </w:tc>
        <w:tc>
          <w:tcPr>
            <w:tcW w:w="1667" w:type="pct"/>
          </w:tcPr>
          <w:p w14:paraId="7FB7C85A"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5BB439D7" w14:textId="77777777">
        <w:trPr>
          <w:trHeight w:val="20"/>
          <w:jc w:val="center"/>
        </w:trPr>
        <w:tc>
          <w:tcPr>
            <w:tcW w:w="1666" w:type="pct"/>
            <w:noWrap/>
            <w:hideMark/>
          </w:tcPr>
          <w:p w14:paraId="10EB0BA5" w14:textId="77777777" w:rsidR="004D3449" w:rsidRPr="004D673E" w:rsidRDefault="00C37B5E">
            <w:pPr>
              <w:rPr>
                <w:rFonts w:ascii="Arial" w:hAnsi="Arial" w:cs="Arial"/>
                <w:b/>
                <w:sz w:val="20"/>
                <w:szCs w:val="20"/>
                <w:lang w:val="en-GB"/>
              </w:rPr>
            </w:pPr>
            <w:r w:rsidRPr="004D673E">
              <w:rPr>
                <w:rFonts w:ascii="Arial" w:hAnsi="Arial" w:cs="Arial"/>
                <w:b/>
                <w:sz w:val="20"/>
                <w:szCs w:val="20"/>
                <w:lang w:val="en-GB"/>
              </w:rPr>
              <w:lastRenderedPageBreak/>
              <w:t>10. Are tables and figures clear, relevant, and necessary?</w:t>
            </w:r>
          </w:p>
          <w:p w14:paraId="242A624E"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090A0801"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5 = Excellent 4 = Good 3 = Satisfactory 2 = Needs Improvement 1 = Poor N/A = Not Applicable</w:t>
            </w:r>
          </w:p>
          <w:p w14:paraId="60E1D4A5" w14:textId="77777777" w:rsidR="004D3449" w:rsidRPr="004D673E" w:rsidRDefault="004D3449">
            <w:pPr>
              <w:rPr>
                <w:rFonts w:ascii="Arial" w:hAnsi="Arial" w:cs="Arial"/>
                <w:color w:val="404040"/>
                <w:sz w:val="20"/>
                <w:szCs w:val="20"/>
                <w:shd w:val="clear" w:color="auto" w:fill="FFFFFF"/>
                <w:lang w:val="en-GB"/>
              </w:rPr>
            </w:pPr>
          </w:p>
          <w:p w14:paraId="52A7A651" w14:textId="77777777" w:rsidR="004D3449" w:rsidRPr="004D673E" w:rsidRDefault="004D3449">
            <w:pPr>
              <w:rPr>
                <w:rFonts w:ascii="Arial" w:hAnsi="Arial" w:cs="Arial"/>
                <w:sz w:val="20"/>
                <w:szCs w:val="20"/>
                <w:lang w:val="en-GB"/>
              </w:rPr>
            </w:pPr>
          </w:p>
        </w:tc>
        <w:tc>
          <w:tcPr>
            <w:tcW w:w="1667" w:type="pct"/>
          </w:tcPr>
          <w:p w14:paraId="04A44C3E" w14:textId="492A6622" w:rsidR="004D3449" w:rsidRPr="004D673E" w:rsidRDefault="00F9668B">
            <w:pPr>
              <w:contextualSpacing/>
              <w:rPr>
                <w:rFonts w:ascii="Arial" w:hAnsi="Arial" w:cs="Arial"/>
                <w:bCs/>
                <w:sz w:val="20"/>
                <w:szCs w:val="20"/>
                <w:lang w:val="en-GB"/>
              </w:rPr>
            </w:pPr>
            <w:r w:rsidRPr="004D673E">
              <w:rPr>
                <w:rFonts w:ascii="Arial" w:hAnsi="Arial" w:cs="Arial"/>
                <w:bCs/>
                <w:sz w:val="20"/>
                <w:szCs w:val="20"/>
                <w:lang w:val="en-GB"/>
              </w:rPr>
              <w:t>4</w:t>
            </w:r>
          </w:p>
        </w:tc>
        <w:tc>
          <w:tcPr>
            <w:tcW w:w="1667" w:type="pct"/>
          </w:tcPr>
          <w:p w14:paraId="2E0D9FB2"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1C3B2590" w14:textId="77777777">
        <w:trPr>
          <w:trHeight w:val="20"/>
          <w:jc w:val="center"/>
        </w:trPr>
        <w:tc>
          <w:tcPr>
            <w:tcW w:w="1666" w:type="pct"/>
            <w:noWrap/>
            <w:hideMark/>
          </w:tcPr>
          <w:p w14:paraId="2C1BE691" w14:textId="77777777" w:rsidR="004D3449" w:rsidRPr="004D673E" w:rsidRDefault="00C37B5E">
            <w:pPr>
              <w:rPr>
                <w:rFonts w:ascii="Arial" w:hAnsi="Arial" w:cs="Arial"/>
                <w:b/>
                <w:sz w:val="20"/>
                <w:szCs w:val="20"/>
                <w:lang w:val="en-GB"/>
              </w:rPr>
            </w:pPr>
            <w:r w:rsidRPr="004D673E">
              <w:rPr>
                <w:rFonts w:ascii="Arial" w:hAnsi="Arial" w:cs="Arial"/>
                <w:b/>
                <w:sz w:val="20"/>
                <w:szCs w:val="20"/>
                <w:lang w:val="en-GB"/>
              </w:rPr>
              <w:t>11. Does the discussion relate findings to existing literature?</w:t>
            </w:r>
          </w:p>
          <w:p w14:paraId="45690D03"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6A24F8BD" w14:textId="77777777" w:rsidR="004D3449" w:rsidRPr="004D673E" w:rsidRDefault="00C37B5E">
            <w:pPr>
              <w:rPr>
                <w:rFonts w:ascii="Arial" w:hAnsi="Arial" w:cs="Arial"/>
                <w:sz w:val="20"/>
                <w:szCs w:val="20"/>
                <w:lang w:val="en-GB"/>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6763E5" w14:textId="7A9CF566" w:rsidR="004D3449" w:rsidRPr="004D673E" w:rsidRDefault="00F9668B">
            <w:pPr>
              <w:contextualSpacing/>
              <w:rPr>
                <w:rFonts w:ascii="Arial" w:hAnsi="Arial" w:cs="Arial"/>
                <w:bCs/>
                <w:sz w:val="20"/>
                <w:szCs w:val="20"/>
                <w:lang w:val="en-GB"/>
              </w:rPr>
            </w:pPr>
            <w:r w:rsidRPr="004D673E">
              <w:rPr>
                <w:rFonts w:ascii="Arial" w:hAnsi="Arial" w:cs="Arial"/>
                <w:bCs/>
                <w:sz w:val="20"/>
                <w:szCs w:val="20"/>
                <w:lang w:val="en-GB"/>
              </w:rPr>
              <w:t>3</w:t>
            </w:r>
          </w:p>
        </w:tc>
        <w:tc>
          <w:tcPr>
            <w:tcW w:w="1667" w:type="pct"/>
          </w:tcPr>
          <w:p w14:paraId="44701DFC"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0A0CC26E" w14:textId="77777777">
        <w:trPr>
          <w:trHeight w:val="20"/>
          <w:jc w:val="center"/>
        </w:trPr>
        <w:tc>
          <w:tcPr>
            <w:tcW w:w="1666" w:type="pct"/>
            <w:noWrap/>
            <w:hideMark/>
          </w:tcPr>
          <w:p w14:paraId="241CD710" w14:textId="77777777" w:rsidR="004D3449" w:rsidRPr="004D673E" w:rsidRDefault="00C37B5E">
            <w:pPr>
              <w:rPr>
                <w:rFonts w:ascii="Arial" w:hAnsi="Arial" w:cs="Arial"/>
                <w:b/>
                <w:sz w:val="20"/>
                <w:szCs w:val="20"/>
                <w:lang w:val="en-GB"/>
              </w:rPr>
            </w:pPr>
            <w:r w:rsidRPr="004D673E">
              <w:rPr>
                <w:rFonts w:ascii="Arial" w:hAnsi="Arial" w:cs="Arial"/>
                <w:b/>
                <w:sz w:val="20"/>
                <w:szCs w:val="20"/>
                <w:lang w:val="en-GB"/>
              </w:rPr>
              <w:t>12. Are the conclusions supported by the data?</w:t>
            </w:r>
          </w:p>
          <w:p w14:paraId="01733AD0"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3CA3E14E" w14:textId="77777777" w:rsidR="004D3449" w:rsidRPr="004D673E" w:rsidRDefault="00C37B5E">
            <w:pPr>
              <w:rPr>
                <w:rFonts w:ascii="Arial" w:hAnsi="Arial" w:cs="Arial"/>
                <w:sz w:val="20"/>
                <w:szCs w:val="20"/>
                <w:lang w:val="en-GB"/>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073976" w14:textId="727F3C18" w:rsidR="004D3449" w:rsidRPr="004D673E" w:rsidRDefault="00F9668B">
            <w:pPr>
              <w:contextualSpacing/>
              <w:rPr>
                <w:rFonts w:ascii="Arial" w:hAnsi="Arial" w:cs="Arial"/>
                <w:bCs/>
                <w:sz w:val="20"/>
                <w:szCs w:val="20"/>
                <w:lang w:val="en-GB"/>
              </w:rPr>
            </w:pPr>
            <w:r w:rsidRPr="004D673E">
              <w:rPr>
                <w:rFonts w:ascii="Arial" w:hAnsi="Arial" w:cs="Arial"/>
                <w:bCs/>
                <w:sz w:val="20"/>
                <w:szCs w:val="20"/>
                <w:lang w:val="en-GB"/>
              </w:rPr>
              <w:t>4</w:t>
            </w:r>
          </w:p>
        </w:tc>
        <w:tc>
          <w:tcPr>
            <w:tcW w:w="1667" w:type="pct"/>
          </w:tcPr>
          <w:p w14:paraId="0E345E27"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704A73D3" w14:textId="77777777">
        <w:trPr>
          <w:trHeight w:val="20"/>
          <w:jc w:val="center"/>
        </w:trPr>
        <w:tc>
          <w:tcPr>
            <w:tcW w:w="1666" w:type="pct"/>
            <w:noWrap/>
            <w:hideMark/>
          </w:tcPr>
          <w:p w14:paraId="268BBBA5" w14:textId="77777777" w:rsidR="004D3449" w:rsidRPr="004D673E" w:rsidRDefault="00C37B5E">
            <w:pPr>
              <w:rPr>
                <w:rFonts w:ascii="Arial" w:hAnsi="Arial" w:cs="Arial"/>
                <w:b/>
                <w:sz w:val="20"/>
                <w:szCs w:val="20"/>
                <w:lang w:val="en-GB"/>
              </w:rPr>
            </w:pPr>
            <w:r w:rsidRPr="004D673E">
              <w:rPr>
                <w:rFonts w:ascii="Arial" w:hAnsi="Arial" w:cs="Arial"/>
                <w:b/>
                <w:sz w:val="20"/>
                <w:szCs w:val="20"/>
                <w:lang w:val="en-GB"/>
              </w:rPr>
              <w:t>13. Are the limitations of the study discussed?</w:t>
            </w:r>
          </w:p>
          <w:p w14:paraId="59AA7FEF"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7CFAC93D" w14:textId="77777777" w:rsidR="004D3449" w:rsidRPr="004D673E" w:rsidRDefault="00C37B5E">
            <w:pPr>
              <w:rPr>
                <w:rFonts w:ascii="Arial" w:hAnsi="Arial" w:cs="Arial"/>
                <w:sz w:val="20"/>
                <w:szCs w:val="20"/>
                <w:lang w:val="en-GB"/>
              </w:rPr>
            </w:pPr>
            <w:r w:rsidRPr="004D67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072C0F" w14:textId="1631503E" w:rsidR="004D3449" w:rsidRPr="004D673E" w:rsidRDefault="00F9668B">
            <w:pPr>
              <w:contextualSpacing/>
              <w:rPr>
                <w:rFonts w:ascii="Arial" w:hAnsi="Arial" w:cs="Arial"/>
                <w:bCs/>
                <w:sz w:val="20"/>
                <w:szCs w:val="20"/>
                <w:lang w:val="en-GB"/>
              </w:rPr>
            </w:pPr>
            <w:r w:rsidRPr="004D673E">
              <w:rPr>
                <w:rFonts w:ascii="Arial" w:hAnsi="Arial" w:cs="Arial"/>
                <w:bCs/>
                <w:sz w:val="20"/>
                <w:szCs w:val="20"/>
                <w:lang w:val="en-GB"/>
              </w:rPr>
              <w:t>3</w:t>
            </w:r>
          </w:p>
        </w:tc>
        <w:tc>
          <w:tcPr>
            <w:tcW w:w="1667" w:type="pct"/>
          </w:tcPr>
          <w:p w14:paraId="7A3221DF"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04F1B43D" w14:textId="77777777">
        <w:trPr>
          <w:trHeight w:val="20"/>
          <w:jc w:val="center"/>
        </w:trPr>
        <w:tc>
          <w:tcPr>
            <w:tcW w:w="1666" w:type="pct"/>
            <w:noWrap/>
            <w:hideMark/>
          </w:tcPr>
          <w:p w14:paraId="734A63C1" w14:textId="77777777" w:rsidR="004D3449" w:rsidRPr="004D673E" w:rsidRDefault="00C37B5E">
            <w:pPr>
              <w:rPr>
                <w:rFonts w:ascii="Arial" w:hAnsi="Arial" w:cs="Arial"/>
                <w:b/>
                <w:sz w:val="20"/>
                <w:szCs w:val="20"/>
                <w:lang w:val="en-GB"/>
              </w:rPr>
            </w:pPr>
            <w:r w:rsidRPr="004D673E">
              <w:rPr>
                <w:rFonts w:ascii="Arial" w:hAnsi="Arial" w:cs="Arial"/>
                <w:b/>
                <w:sz w:val="20"/>
                <w:szCs w:val="20"/>
                <w:lang w:val="en-GB"/>
              </w:rPr>
              <w:t>14. Are the references relevant and sufficient (in number)?</w:t>
            </w:r>
          </w:p>
          <w:p w14:paraId="07E1D7EE"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7E257FD4"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5 = Excellent 4 = Good 3 = Satisfactory 2 = Needs Improvement 1 = Poor </w:t>
            </w:r>
          </w:p>
          <w:p w14:paraId="7FA5D4F5" w14:textId="77777777" w:rsidR="004D3449" w:rsidRPr="004D673E" w:rsidRDefault="00C37B5E">
            <w:pPr>
              <w:rPr>
                <w:rFonts w:ascii="Arial" w:hAnsi="Arial" w:cs="Arial"/>
                <w:sz w:val="20"/>
                <w:szCs w:val="20"/>
                <w:lang w:val="en-GB"/>
              </w:rPr>
            </w:pPr>
            <w:r w:rsidRPr="004D673E">
              <w:rPr>
                <w:rFonts w:ascii="Arial" w:hAnsi="Arial" w:cs="Arial"/>
                <w:color w:val="404040"/>
                <w:sz w:val="20"/>
                <w:szCs w:val="20"/>
                <w:shd w:val="clear" w:color="auto" w:fill="FFFFFF"/>
                <w:lang w:val="en-GB"/>
              </w:rPr>
              <w:t>N/A = Not Applicable</w:t>
            </w:r>
          </w:p>
        </w:tc>
        <w:tc>
          <w:tcPr>
            <w:tcW w:w="1667" w:type="pct"/>
          </w:tcPr>
          <w:p w14:paraId="17E7BF68" w14:textId="7CE0272C" w:rsidR="004D3449" w:rsidRPr="004D673E" w:rsidRDefault="00F9668B">
            <w:pPr>
              <w:contextualSpacing/>
              <w:rPr>
                <w:rFonts w:ascii="Arial" w:hAnsi="Arial" w:cs="Arial"/>
                <w:bCs/>
                <w:sz w:val="20"/>
                <w:szCs w:val="20"/>
                <w:lang w:val="en-GB"/>
              </w:rPr>
            </w:pPr>
            <w:r w:rsidRPr="004D673E">
              <w:rPr>
                <w:rFonts w:ascii="Arial" w:hAnsi="Arial" w:cs="Arial"/>
                <w:bCs/>
                <w:sz w:val="20"/>
                <w:szCs w:val="20"/>
                <w:lang w:val="en-GB"/>
              </w:rPr>
              <w:t>3</w:t>
            </w:r>
          </w:p>
        </w:tc>
        <w:tc>
          <w:tcPr>
            <w:tcW w:w="1667" w:type="pct"/>
          </w:tcPr>
          <w:p w14:paraId="30A6AAC2"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21E7B5D9" w14:textId="77777777">
        <w:trPr>
          <w:trHeight w:val="20"/>
          <w:jc w:val="center"/>
        </w:trPr>
        <w:tc>
          <w:tcPr>
            <w:tcW w:w="1666" w:type="pct"/>
            <w:noWrap/>
            <w:hideMark/>
          </w:tcPr>
          <w:p w14:paraId="479C40E1" w14:textId="77777777" w:rsidR="004D3449" w:rsidRPr="004D673E" w:rsidRDefault="00C37B5E">
            <w:pPr>
              <w:rPr>
                <w:rFonts w:ascii="Arial" w:hAnsi="Arial" w:cs="Arial"/>
                <w:b/>
                <w:sz w:val="20"/>
                <w:szCs w:val="20"/>
                <w:lang w:val="en-GB"/>
              </w:rPr>
            </w:pPr>
            <w:r w:rsidRPr="004D673E">
              <w:rPr>
                <w:rFonts w:ascii="Arial" w:hAnsi="Arial" w:cs="Arial"/>
                <w:b/>
                <w:sz w:val="20"/>
                <w:szCs w:val="20"/>
                <w:lang w:val="en-GB"/>
              </w:rPr>
              <w:t>15. Is the manuscript written in clear and understandable language?</w:t>
            </w:r>
          </w:p>
          <w:p w14:paraId="5071E4D5"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Rating Scale: </w:t>
            </w:r>
          </w:p>
          <w:p w14:paraId="3C64AB34" w14:textId="77777777" w:rsidR="004D3449" w:rsidRPr="004D673E" w:rsidRDefault="00C37B5E">
            <w:pPr>
              <w:rPr>
                <w:rFonts w:ascii="Arial" w:hAnsi="Arial" w:cs="Arial"/>
                <w:color w:val="404040"/>
                <w:sz w:val="20"/>
                <w:szCs w:val="20"/>
                <w:shd w:val="clear" w:color="auto" w:fill="FFFFFF"/>
                <w:lang w:val="en-GB"/>
              </w:rPr>
            </w:pPr>
            <w:r w:rsidRPr="004D673E">
              <w:rPr>
                <w:rFonts w:ascii="Arial" w:hAnsi="Arial" w:cs="Arial"/>
                <w:color w:val="404040"/>
                <w:sz w:val="20"/>
                <w:szCs w:val="20"/>
                <w:shd w:val="clear" w:color="auto" w:fill="FFFFFF"/>
                <w:lang w:val="en-GB"/>
              </w:rPr>
              <w:t xml:space="preserve">5 = Excellent 4 = Good 3 = Satisfactory 2 = Needs Improvement 1 = Poor </w:t>
            </w:r>
          </w:p>
          <w:p w14:paraId="7D08ABF9" w14:textId="77777777" w:rsidR="004D3449" w:rsidRPr="004D673E" w:rsidRDefault="00C37B5E">
            <w:pPr>
              <w:rPr>
                <w:rFonts w:ascii="Arial" w:hAnsi="Arial" w:cs="Arial"/>
                <w:sz w:val="20"/>
                <w:szCs w:val="20"/>
                <w:lang w:val="en-GB"/>
              </w:rPr>
            </w:pPr>
            <w:r w:rsidRPr="004D673E">
              <w:rPr>
                <w:rFonts w:ascii="Arial" w:hAnsi="Arial" w:cs="Arial"/>
                <w:color w:val="404040"/>
                <w:sz w:val="20"/>
                <w:szCs w:val="20"/>
                <w:shd w:val="clear" w:color="auto" w:fill="FFFFFF"/>
                <w:lang w:val="en-GB"/>
              </w:rPr>
              <w:t>N/A = Not Applicable</w:t>
            </w:r>
          </w:p>
        </w:tc>
        <w:tc>
          <w:tcPr>
            <w:tcW w:w="1667" w:type="pct"/>
          </w:tcPr>
          <w:p w14:paraId="50BA779A" w14:textId="3E4BBC38" w:rsidR="004D3449" w:rsidRPr="004D673E" w:rsidRDefault="00F9668B">
            <w:pPr>
              <w:contextualSpacing/>
              <w:rPr>
                <w:rFonts w:ascii="Arial" w:hAnsi="Arial" w:cs="Arial"/>
                <w:bCs/>
                <w:sz w:val="20"/>
                <w:szCs w:val="20"/>
                <w:lang w:val="en-GB"/>
              </w:rPr>
            </w:pPr>
            <w:r w:rsidRPr="004D673E">
              <w:rPr>
                <w:rFonts w:ascii="Arial" w:hAnsi="Arial" w:cs="Arial"/>
                <w:bCs/>
                <w:sz w:val="20"/>
                <w:szCs w:val="20"/>
                <w:lang w:val="en-GB"/>
              </w:rPr>
              <w:t>3</w:t>
            </w:r>
          </w:p>
        </w:tc>
        <w:tc>
          <w:tcPr>
            <w:tcW w:w="1667" w:type="pct"/>
          </w:tcPr>
          <w:p w14:paraId="1C8B2A6F" w14:textId="77777777" w:rsidR="004D3449" w:rsidRPr="004D673E" w:rsidRDefault="004D3449">
            <w:pPr>
              <w:keepNext/>
              <w:outlineLvl w:val="1"/>
              <w:rPr>
                <w:rFonts w:ascii="Arial" w:eastAsia="MS Mincho" w:hAnsi="Arial" w:cs="Arial"/>
                <w:bCs/>
                <w:sz w:val="20"/>
                <w:szCs w:val="20"/>
                <w:lang w:val="en-GB"/>
              </w:rPr>
            </w:pPr>
          </w:p>
        </w:tc>
      </w:tr>
    </w:tbl>
    <w:p w14:paraId="51381149" w14:textId="77777777" w:rsidR="004D3449" w:rsidRPr="004D673E" w:rsidRDefault="004D3449">
      <w:pPr>
        <w:jc w:val="both"/>
        <w:rPr>
          <w:rFonts w:ascii="Arial" w:eastAsia="MS Mincho" w:hAnsi="Arial" w:cs="Arial"/>
          <w:b/>
          <w:bCs/>
          <w:sz w:val="20"/>
          <w:szCs w:val="20"/>
          <w:u w:val="single"/>
          <w:lang w:val="en-GB" w:eastAsia="x-none"/>
        </w:rPr>
      </w:pPr>
    </w:p>
    <w:p w14:paraId="6EFBF3FC" w14:textId="77777777" w:rsidR="004D3449" w:rsidRPr="004D673E" w:rsidRDefault="004D3449">
      <w:pPr>
        <w:jc w:val="both"/>
        <w:rPr>
          <w:rFonts w:ascii="Arial" w:eastAsia="MS Mincho" w:hAnsi="Arial" w:cs="Arial"/>
          <w:b/>
          <w:bCs/>
          <w:sz w:val="20"/>
          <w:szCs w:val="20"/>
          <w:u w:val="single"/>
          <w:lang w:val="en-GB" w:eastAsia="x-none"/>
        </w:rPr>
      </w:pPr>
    </w:p>
    <w:p w14:paraId="52CBFBEA" w14:textId="77777777" w:rsidR="004D3449" w:rsidRPr="004D673E" w:rsidRDefault="00C37B5E">
      <w:pPr>
        <w:keepNext/>
        <w:outlineLvl w:val="1"/>
        <w:rPr>
          <w:rFonts w:ascii="Arial" w:eastAsia="MS Mincho" w:hAnsi="Arial" w:cs="Arial"/>
          <w:b/>
          <w:bCs/>
          <w:sz w:val="20"/>
          <w:szCs w:val="20"/>
          <w:u w:val="single"/>
          <w:lang w:val="en-GB"/>
        </w:rPr>
      </w:pPr>
      <w:r w:rsidRPr="004D673E">
        <w:rPr>
          <w:rFonts w:ascii="Arial" w:eastAsia="MS Mincho" w:hAnsi="Arial" w:cs="Arial"/>
          <w:b/>
          <w:bCs/>
          <w:sz w:val="20"/>
          <w:szCs w:val="20"/>
          <w:highlight w:val="yellow"/>
          <w:u w:val="single"/>
          <w:lang w:val="en-GB"/>
        </w:rPr>
        <w:t>PART 2.2 (Subjective Evaluation)</w:t>
      </w:r>
    </w:p>
    <w:p w14:paraId="768C131A" w14:textId="77777777" w:rsidR="004D3449" w:rsidRPr="004D673E" w:rsidRDefault="004D34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D3449" w:rsidRPr="004D673E" w14:paraId="2C45608E" w14:textId="77777777">
        <w:trPr>
          <w:trHeight w:val="20"/>
          <w:jc w:val="center"/>
        </w:trPr>
        <w:tc>
          <w:tcPr>
            <w:tcW w:w="1666" w:type="pct"/>
            <w:noWrap/>
          </w:tcPr>
          <w:p w14:paraId="76C5B724" w14:textId="77777777" w:rsidR="004D3449" w:rsidRPr="004D673E" w:rsidRDefault="004D3449">
            <w:pPr>
              <w:keepNext/>
              <w:outlineLvl w:val="1"/>
              <w:rPr>
                <w:rFonts w:ascii="Arial" w:eastAsia="MS Mincho" w:hAnsi="Arial" w:cs="Arial"/>
                <w:b/>
                <w:bCs/>
                <w:sz w:val="20"/>
                <w:szCs w:val="20"/>
                <w:lang w:val="en-GB"/>
              </w:rPr>
            </w:pPr>
          </w:p>
        </w:tc>
        <w:tc>
          <w:tcPr>
            <w:tcW w:w="1667" w:type="pct"/>
          </w:tcPr>
          <w:p w14:paraId="1A0FD318" w14:textId="77777777" w:rsidR="004D3449" w:rsidRPr="004D673E" w:rsidRDefault="00C37B5E">
            <w:pPr>
              <w:keepNext/>
              <w:outlineLvl w:val="1"/>
              <w:rPr>
                <w:rFonts w:ascii="Arial" w:eastAsia="MS Mincho" w:hAnsi="Arial" w:cs="Arial"/>
                <w:b/>
                <w:bCs/>
                <w:sz w:val="20"/>
                <w:szCs w:val="20"/>
                <w:lang w:val="en-GB"/>
              </w:rPr>
            </w:pPr>
            <w:r w:rsidRPr="004D673E">
              <w:rPr>
                <w:rFonts w:ascii="Arial" w:eastAsia="MS Mincho" w:hAnsi="Arial" w:cs="Arial"/>
                <w:b/>
                <w:bCs/>
                <w:sz w:val="20"/>
                <w:szCs w:val="20"/>
                <w:lang w:val="en-GB"/>
              </w:rPr>
              <w:t>Reviewer’s comment</w:t>
            </w:r>
          </w:p>
          <w:p w14:paraId="6C2212A9" w14:textId="77777777" w:rsidR="004D3449" w:rsidRPr="004D673E" w:rsidRDefault="004D3449">
            <w:pPr>
              <w:rPr>
                <w:rFonts w:ascii="Arial" w:hAnsi="Arial" w:cs="Arial"/>
                <w:sz w:val="20"/>
                <w:szCs w:val="20"/>
                <w:lang w:val="en-GB"/>
              </w:rPr>
            </w:pPr>
          </w:p>
        </w:tc>
        <w:tc>
          <w:tcPr>
            <w:tcW w:w="1667" w:type="pct"/>
          </w:tcPr>
          <w:p w14:paraId="7232E084" w14:textId="77777777" w:rsidR="004D3449" w:rsidRPr="004D673E" w:rsidRDefault="00C37B5E">
            <w:pPr>
              <w:spacing w:after="160" w:line="256" w:lineRule="auto"/>
              <w:rPr>
                <w:rFonts w:ascii="Arial" w:eastAsia="Calibri" w:hAnsi="Arial" w:cs="Arial"/>
                <w:kern w:val="2"/>
                <w:sz w:val="20"/>
                <w:szCs w:val="20"/>
                <w:lang w:val="en-IN"/>
              </w:rPr>
            </w:pPr>
            <w:r w:rsidRPr="004D673E">
              <w:rPr>
                <w:rFonts w:ascii="Arial" w:eastAsia="Calibri" w:hAnsi="Arial" w:cs="Arial"/>
                <w:b/>
                <w:kern w:val="2"/>
                <w:sz w:val="20"/>
                <w:szCs w:val="20"/>
                <w:lang w:val="en-IN"/>
              </w:rPr>
              <w:t>Author’s Feedback</w:t>
            </w:r>
            <w:r w:rsidRPr="004D673E">
              <w:rPr>
                <w:rFonts w:ascii="Arial" w:eastAsia="Calibri" w:hAnsi="Arial" w:cs="Arial"/>
                <w:kern w:val="2"/>
                <w:sz w:val="20"/>
                <w:szCs w:val="20"/>
                <w:lang w:val="en-IN"/>
              </w:rPr>
              <w:t xml:space="preserve"> </w:t>
            </w:r>
            <w:r w:rsidRPr="004D673E">
              <w:rPr>
                <w:rFonts w:ascii="Arial" w:eastAsia="Calibri" w:hAnsi="Arial" w:cs="Arial"/>
                <w:kern w:val="2"/>
                <w:sz w:val="20"/>
                <w:szCs w:val="20"/>
                <w:highlight w:val="yellow"/>
                <w:lang w:val="en-IN"/>
              </w:rPr>
              <w:t>(It is mandatory that authors should write his/her feedback here)</w:t>
            </w:r>
          </w:p>
          <w:p w14:paraId="24DC235D"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68E861F8" w14:textId="77777777">
        <w:trPr>
          <w:trHeight w:val="20"/>
          <w:jc w:val="center"/>
        </w:trPr>
        <w:tc>
          <w:tcPr>
            <w:tcW w:w="1666" w:type="pct"/>
            <w:noWrap/>
          </w:tcPr>
          <w:p w14:paraId="7C960325" w14:textId="77777777" w:rsidR="004D3449" w:rsidRPr="004D673E" w:rsidRDefault="00C37B5E">
            <w:pPr>
              <w:rPr>
                <w:rFonts w:ascii="Arial" w:hAnsi="Arial" w:cs="Arial"/>
                <w:b/>
                <w:bCs/>
                <w:sz w:val="20"/>
                <w:szCs w:val="20"/>
                <w:lang w:val="en-GB"/>
              </w:rPr>
            </w:pPr>
            <w:r w:rsidRPr="004D673E">
              <w:rPr>
                <w:rFonts w:ascii="Arial" w:hAnsi="Arial" w:cs="Arial"/>
                <w:b/>
                <w:bCs/>
                <w:sz w:val="20"/>
                <w:szCs w:val="20"/>
                <w:lang w:val="en-GB"/>
              </w:rPr>
              <w:t>Is the title of the article suitable?</w:t>
            </w:r>
          </w:p>
          <w:p w14:paraId="2203A14C" w14:textId="77777777" w:rsidR="004D3449" w:rsidRPr="004D673E" w:rsidRDefault="004D3449">
            <w:pPr>
              <w:rPr>
                <w:rFonts w:ascii="Arial" w:hAnsi="Arial" w:cs="Arial"/>
                <w:bCs/>
                <w:sz w:val="20"/>
                <w:szCs w:val="20"/>
                <w:lang w:val="en-GB"/>
              </w:rPr>
            </w:pPr>
          </w:p>
          <w:p w14:paraId="004FA805" w14:textId="77777777" w:rsidR="004D3449" w:rsidRPr="004D673E" w:rsidRDefault="00C37B5E">
            <w:pPr>
              <w:rPr>
                <w:rFonts w:ascii="Arial" w:hAnsi="Arial" w:cs="Arial"/>
                <w:bCs/>
                <w:sz w:val="20"/>
                <w:szCs w:val="20"/>
                <w:lang w:val="en-GB"/>
              </w:rPr>
            </w:pPr>
            <w:r w:rsidRPr="004D673E">
              <w:rPr>
                <w:rFonts w:ascii="Arial" w:hAnsi="Arial" w:cs="Arial"/>
                <w:bCs/>
                <w:sz w:val="20"/>
                <w:szCs w:val="20"/>
                <w:lang w:val="en-GB"/>
              </w:rPr>
              <w:t>If your answer is NO, please provide a brief, clear suggestion for improvement.</w:t>
            </w:r>
          </w:p>
          <w:p w14:paraId="0AED7F44" w14:textId="77777777" w:rsidR="004D3449" w:rsidRPr="004D673E" w:rsidRDefault="004D3449">
            <w:pPr>
              <w:rPr>
                <w:rFonts w:ascii="Arial" w:hAnsi="Arial" w:cs="Arial"/>
                <w:sz w:val="20"/>
                <w:szCs w:val="20"/>
                <w:u w:val="single"/>
                <w:lang w:val="en-GB"/>
              </w:rPr>
            </w:pPr>
          </w:p>
        </w:tc>
        <w:tc>
          <w:tcPr>
            <w:tcW w:w="1667" w:type="pct"/>
          </w:tcPr>
          <w:p w14:paraId="54381710" w14:textId="08893C9E" w:rsidR="004D3449" w:rsidRPr="004D673E" w:rsidRDefault="00F9668B">
            <w:pPr>
              <w:ind w:left="360"/>
              <w:rPr>
                <w:rFonts w:ascii="Arial" w:hAnsi="Arial" w:cs="Arial"/>
                <w:b/>
                <w:bCs/>
                <w:sz w:val="20"/>
                <w:szCs w:val="20"/>
                <w:lang w:val="en-GB"/>
              </w:rPr>
            </w:pPr>
            <w:r w:rsidRPr="004D673E">
              <w:rPr>
                <w:rFonts w:ascii="Arial" w:hAnsi="Arial" w:cs="Arial"/>
                <w:b/>
                <w:bCs/>
                <w:sz w:val="20"/>
                <w:szCs w:val="20"/>
                <w:lang w:val="en-GB"/>
              </w:rPr>
              <w:t>Yes</w:t>
            </w:r>
          </w:p>
        </w:tc>
        <w:tc>
          <w:tcPr>
            <w:tcW w:w="1667" w:type="pct"/>
          </w:tcPr>
          <w:p w14:paraId="06D9B459"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69B75689" w14:textId="77777777">
        <w:trPr>
          <w:trHeight w:val="20"/>
          <w:jc w:val="center"/>
        </w:trPr>
        <w:tc>
          <w:tcPr>
            <w:tcW w:w="1666" w:type="pct"/>
            <w:noWrap/>
          </w:tcPr>
          <w:p w14:paraId="3603444E" w14:textId="77777777" w:rsidR="004D3449" w:rsidRPr="004D673E" w:rsidRDefault="00C37B5E">
            <w:pPr>
              <w:keepNext/>
              <w:outlineLvl w:val="1"/>
              <w:rPr>
                <w:rFonts w:ascii="Arial" w:eastAsia="MS Mincho" w:hAnsi="Arial" w:cs="Arial"/>
                <w:b/>
                <w:bCs/>
                <w:sz w:val="20"/>
                <w:szCs w:val="20"/>
                <w:lang w:val="en-GB"/>
              </w:rPr>
            </w:pPr>
            <w:r w:rsidRPr="004D673E">
              <w:rPr>
                <w:rFonts w:ascii="Arial" w:eastAsia="MS Mincho" w:hAnsi="Arial" w:cs="Arial"/>
                <w:b/>
                <w:bCs/>
                <w:sz w:val="20"/>
                <w:szCs w:val="20"/>
                <w:lang w:val="en-GB"/>
              </w:rPr>
              <w:lastRenderedPageBreak/>
              <w:t xml:space="preserve">Is the abstract of the article comprehensive? </w:t>
            </w:r>
          </w:p>
          <w:p w14:paraId="36603CAD" w14:textId="77777777" w:rsidR="004D3449" w:rsidRPr="004D673E" w:rsidRDefault="00C37B5E">
            <w:pPr>
              <w:rPr>
                <w:rFonts w:ascii="Arial" w:hAnsi="Arial" w:cs="Arial"/>
                <w:bCs/>
                <w:sz w:val="20"/>
                <w:szCs w:val="20"/>
                <w:lang w:val="en-GB"/>
              </w:rPr>
            </w:pPr>
            <w:r w:rsidRPr="004D673E">
              <w:rPr>
                <w:rFonts w:ascii="Arial" w:hAnsi="Arial" w:cs="Arial"/>
                <w:bCs/>
                <w:sz w:val="20"/>
                <w:szCs w:val="20"/>
                <w:lang w:val="en-GB"/>
              </w:rPr>
              <w:t>s</w:t>
            </w:r>
          </w:p>
          <w:p w14:paraId="2504989C" w14:textId="77777777" w:rsidR="004D3449" w:rsidRPr="004D673E" w:rsidRDefault="00C37B5E">
            <w:pPr>
              <w:rPr>
                <w:rFonts w:ascii="Arial" w:hAnsi="Arial" w:cs="Arial"/>
                <w:bCs/>
                <w:sz w:val="20"/>
                <w:szCs w:val="20"/>
                <w:lang w:val="en-GB"/>
              </w:rPr>
            </w:pPr>
            <w:r w:rsidRPr="004D673E">
              <w:rPr>
                <w:rFonts w:ascii="Arial" w:hAnsi="Arial" w:cs="Arial"/>
                <w:bCs/>
                <w:sz w:val="20"/>
                <w:szCs w:val="20"/>
                <w:lang w:val="en-GB"/>
              </w:rPr>
              <w:t>If your answer is NO, please provide a brief, clear suggestion for improvement.</w:t>
            </w:r>
          </w:p>
          <w:p w14:paraId="3C5F5165" w14:textId="77777777" w:rsidR="004D3449" w:rsidRPr="004D673E" w:rsidRDefault="004D3449">
            <w:pPr>
              <w:rPr>
                <w:rFonts w:ascii="Arial" w:hAnsi="Arial" w:cs="Arial"/>
                <w:sz w:val="20"/>
                <w:szCs w:val="20"/>
                <w:lang w:val="en-GB"/>
              </w:rPr>
            </w:pPr>
          </w:p>
        </w:tc>
        <w:tc>
          <w:tcPr>
            <w:tcW w:w="1667" w:type="pct"/>
          </w:tcPr>
          <w:p w14:paraId="2FC2566D" w14:textId="7DBA57E3" w:rsidR="004D3449" w:rsidRPr="004D673E" w:rsidRDefault="00F9668B">
            <w:pPr>
              <w:ind w:left="360"/>
              <w:rPr>
                <w:rFonts w:ascii="Arial" w:hAnsi="Arial" w:cs="Arial"/>
                <w:b/>
                <w:bCs/>
                <w:sz w:val="20"/>
                <w:szCs w:val="20"/>
                <w:lang w:val="en-GB"/>
              </w:rPr>
            </w:pPr>
            <w:r w:rsidRPr="004D673E">
              <w:rPr>
                <w:rFonts w:ascii="Arial" w:hAnsi="Arial" w:cs="Arial"/>
                <w:b/>
                <w:bCs/>
                <w:sz w:val="20"/>
                <w:szCs w:val="20"/>
                <w:lang w:val="en-GB"/>
              </w:rPr>
              <w:t>The abstract is too long and should be shortened; it reads more like a full summary than a concise abstract.</w:t>
            </w:r>
          </w:p>
        </w:tc>
        <w:tc>
          <w:tcPr>
            <w:tcW w:w="1667" w:type="pct"/>
          </w:tcPr>
          <w:p w14:paraId="4D7A590E"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52624645" w14:textId="77777777">
        <w:trPr>
          <w:trHeight w:val="20"/>
          <w:jc w:val="center"/>
        </w:trPr>
        <w:tc>
          <w:tcPr>
            <w:tcW w:w="1666" w:type="pct"/>
            <w:noWrap/>
            <w:hideMark/>
          </w:tcPr>
          <w:p w14:paraId="397FA78D" w14:textId="77777777" w:rsidR="004D3449" w:rsidRPr="004D673E" w:rsidRDefault="00C37B5E">
            <w:pPr>
              <w:keepNext/>
              <w:outlineLvl w:val="1"/>
              <w:rPr>
                <w:rFonts w:ascii="Arial" w:eastAsia="MS Mincho" w:hAnsi="Arial" w:cs="Arial"/>
                <w:bCs/>
                <w:sz w:val="20"/>
                <w:szCs w:val="20"/>
                <w:lang w:val="en-GB"/>
              </w:rPr>
            </w:pPr>
            <w:r w:rsidRPr="004D673E">
              <w:rPr>
                <w:rFonts w:ascii="Arial" w:eastAsia="MS Mincho" w:hAnsi="Arial" w:cs="Arial"/>
                <w:b/>
                <w:bCs/>
                <w:sz w:val="20"/>
                <w:szCs w:val="20"/>
                <w:lang w:val="en-GB"/>
              </w:rPr>
              <w:t xml:space="preserve">Is the manuscript scientifically correct? </w:t>
            </w:r>
            <w:r w:rsidRPr="004D673E">
              <w:rPr>
                <w:rFonts w:ascii="Arial" w:eastAsia="MS Mincho" w:hAnsi="Arial" w:cs="Arial"/>
                <w:b/>
                <w:bCs/>
                <w:sz w:val="20"/>
                <w:szCs w:val="20"/>
                <w:lang w:val="en-GB"/>
              </w:rPr>
              <w:br/>
            </w:r>
          </w:p>
          <w:p w14:paraId="714BA7A2" w14:textId="77777777" w:rsidR="004D3449" w:rsidRPr="004D673E" w:rsidRDefault="00C37B5E">
            <w:pPr>
              <w:rPr>
                <w:rFonts w:ascii="Arial" w:hAnsi="Arial" w:cs="Arial"/>
                <w:bCs/>
                <w:sz w:val="20"/>
                <w:szCs w:val="20"/>
                <w:lang w:val="en-GB"/>
              </w:rPr>
            </w:pPr>
            <w:r w:rsidRPr="004D673E">
              <w:rPr>
                <w:rFonts w:ascii="Arial" w:hAnsi="Arial" w:cs="Arial"/>
                <w:bCs/>
                <w:sz w:val="20"/>
                <w:szCs w:val="20"/>
                <w:lang w:val="en-GB"/>
              </w:rPr>
              <w:t>If your answer is NO, please provide a brief, clear suggestion for improvement</w:t>
            </w:r>
          </w:p>
          <w:p w14:paraId="7E6AE2C4" w14:textId="77777777" w:rsidR="004D3449" w:rsidRPr="004D673E" w:rsidRDefault="00C37B5E">
            <w:pPr>
              <w:rPr>
                <w:rFonts w:ascii="Arial" w:hAnsi="Arial" w:cs="Arial"/>
                <w:b/>
                <w:sz w:val="20"/>
                <w:szCs w:val="20"/>
                <w:lang w:val="en-GB"/>
              </w:rPr>
            </w:pPr>
            <w:r w:rsidRPr="004D673E">
              <w:rPr>
                <w:rFonts w:ascii="Arial" w:hAnsi="Arial" w:cs="Arial"/>
                <w:bCs/>
                <w:sz w:val="20"/>
                <w:szCs w:val="20"/>
                <w:lang w:val="en-GB"/>
              </w:rPr>
              <w:t>.</w:t>
            </w:r>
          </w:p>
        </w:tc>
        <w:tc>
          <w:tcPr>
            <w:tcW w:w="1667" w:type="pct"/>
          </w:tcPr>
          <w:p w14:paraId="10A44A6D" w14:textId="091939C9" w:rsidR="00F9668B" w:rsidRPr="004D673E" w:rsidRDefault="00F9668B" w:rsidP="00F9668B">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manuscript contains many grammatical errors, such as “through contaminated environment,” “hosts, environment and human,” “outbreaks are,” and “rodent reservoir population are.”</w:t>
            </w:r>
          </w:p>
          <w:p w14:paraId="09C80347" w14:textId="6067D466" w:rsidR="00F9668B" w:rsidRPr="004D673E" w:rsidRDefault="00F9668B" w:rsidP="00F9668B">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Several spelling errors should be corrected, including “</w:t>
            </w:r>
            <w:proofErr w:type="spellStart"/>
            <w:r w:rsidRPr="004D673E">
              <w:rPr>
                <w:rFonts w:ascii="Arial" w:hAnsi="Arial" w:cs="Arial"/>
                <w:bCs/>
                <w:sz w:val="20"/>
                <w:szCs w:val="20"/>
                <w:lang w:val="en-GB"/>
              </w:rPr>
              <w:t>prevelance</w:t>
            </w:r>
            <w:proofErr w:type="spellEnd"/>
            <w:r w:rsidRPr="004D673E">
              <w:rPr>
                <w:rFonts w:ascii="Arial" w:hAnsi="Arial" w:cs="Arial"/>
                <w:bCs/>
                <w:sz w:val="20"/>
                <w:szCs w:val="20"/>
                <w:lang w:val="en-GB"/>
              </w:rPr>
              <w:t>,” “</w:t>
            </w:r>
            <w:proofErr w:type="spellStart"/>
            <w:r w:rsidRPr="004D673E">
              <w:rPr>
                <w:rFonts w:ascii="Arial" w:hAnsi="Arial" w:cs="Arial"/>
                <w:bCs/>
                <w:sz w:val="20"/>
                <w:szCs w:val="20"/>
                <w:lang w:val="en-GB"/>
              </w:rPr>
              <w:t>attmepts</w:t>
            </w:r>
            <w:proofErr w:type="spellEnd"/>
            <w:r w:rsidRPr="004D673E">
              <w:rPr>
                <w:rFonts w:ascii="Arial" w:hAnsi="Arial" w:cs="Arial"/>
                <w:bCs/>
                <w:sz w:val="20"/>
                <w:szCs w:val="20"/>
                <w:lang w:val="en-GB"/>
              </w:rPr>
              <w:t>,” “</w:t>
            </w:r>
            <w:proofErr w:type="spellStart"/>
            <w:r w:rsidRPr="004D673E">
              <w:rPr>
                <w:rFonts w:ascii="Arial" w:hAnsi="Arial" w:cs="Arial"/>
                <w:bCs/>
                <w:sz w:val="20"/>
                <w:szCs w:val="20"/>
                <w:lang w:val="en-GB"/>
              </w:rPr>
              <w:t>existance</w:t>
            </w:r>
            <w:proofErr w:type="spellEnd"/>
            <w:r w:rsidRPr="004D673E">
              <w:rPr>
                <w:rFonts w:ascii="Arial" w:hAnsi="Arial" w:cs="Arial"/>
                <w:bCs/>
                <w:sz w:val="20"/>
                <w:szCs w:val="20"/>
                <w:lang w:val="en-GB"/>
              </w:rPr>
              <w:t>,” and “</w:t>
            </w:r>
            <w:proofErr w:type="spellStart"/>
            <w:r w:rsidRPr="004D673E">
              <w:rPr>
                <w:rFonts w:ascii="Arial" w:hAnsi="Arial" w:cs="Arial"/>
                <w:bCs/>
                <w:sz w:val="20"/>
                <w:szCs w:val="20"/>
                <w:lang w:val="en-GB"/>
              </w:rPr>
              <w:t>intial</w:t>
            </w:r>
            <w:proofErr w:type="spellEnd"/>
            <w:r w:rsidRPr="004D673E">
              <w:rPr>
                <w:rFonts w:ascii="Arial" w:hAnsi="Arial" w:cs="Arial"/>
                <w:bCs/>
                <w:sz w:val="20"/>
                <w:szCs w:val="20"/>
                <w:lang w:val="en-GB"/>
              </w:rPr>
              <w:t>.”</w:t>
            </w:r>
          </w:p>
          <w:p w14:paraId="59327FCD" w14:textId="59626D15" w:rsidR="00F9668B" w:rsidRPr="004D673E" w:rsidRDefault="00F9668B" w:rsidP="00F9668B">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introduction is repetitive and should be made more focused on the research gap</w:t>
            </w:r>
            <w:r w:rsidR="005215E6" w:rsidRPr="004D673E">
              <w:rPr>
                <w:rFonts w:ascii="Arial" w:hAnsi="Arial" w:cs="Arial"/>
                <w:bCs/>
                <w:sz w:val="20"/>
                <w:szCs w:val="20"/>
                <w:lang w:val="en-GB"/>
              </w:rPr>
              <w:t>.</w:t>
            </w:r>
          </w:p>
          <w:p w14:paraId="04ADDC78" w14:textId="5BC06CBF" w:rsidR="00F9668B" w:rsidRPr="004D673E" w:rsidRDefault="00F9668B" w:rsidP="00F9668B">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model assumes infectious humans shed virus into the environment, but this is biologically questionable for hantavirus and requires strong justification or removal.</w:t>
            </w:r>
          </w:p>
          <w:p w14:paraId="1CEF9A66" w14:textId="67652EEC" w:rsidR="00F9668B" w:rsidRPr="004D673E" w:rsidRDefault="00F9668B" w:rsidP="00F9668B">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model excludes direct rodent-to-human contact, although this route is mentioned in the introduction.</w:t>
            </w:r>
          </w:p>
          <w:p w14:paraId="2108EC3D" w14:textId="375CD785" w:rsidR="00F9668B" w:rsidRPr="004D673E" w:rsidRDefault="00F9668B" w:rsidP="003971A5">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 xml:space="preserve">The notation is inconsistent: βr, βh are defined in the model, but later </w:t>
            </w:r>
            <w:proofErr w:type="spellStart"/>
            <w:r w:rsidRPr="004D673E">
              <w:rPr>
                <w:rFonts w:ascii="Arial" w:hAnsi="Arial" w:cs="Arial"/>
                <w:bCs/>
                <w:sz w:val="20"/>
                <w:szCs w:val="20"/>
                <w:lang w:val="en-GB"/>
              </w:rPr>
              <w:t>ηr</w:t>
            </w:r>
            <w:proofErr w:type="spellEnd"/>
            <w:r w:rsidRPr="004D673E">
              <w:rPr>
                <w:rFonts w:ascii="Arial" w:hAnsi="Arial" w:cs="Arial"/>
                <w:bCs/>
                <w:sz w:val="20"/>
                <w:szCs w:val="20"/>
                <w:lang w:val="en-GB"/>
              </w:rPr>
              <w:t xml:space="preserve">, </w:t>
            </w:r>
            <w:proofErr w:type="spellStart"/>
            <w:r w:rsidRPr="004D673E">
              <w:rPr>
                <w:rFonts w:ascii="Arial" w:hAnsi="Arial" w:cs="Arial"/>
                <w:bCs/>
                <w:sz w:val="20"/>
                <w:szCs w:val="20"/>
                <w:lang w:val="en-GB"/>
              </w:rPr>
              <w:t>ηh</w:t>
            </w:r>
            <w:proofErr w:type="spellEnd"/>
            <w:r w:rsidRPr="004D673E">
              <w:rPr>
                <w:rFonts w:ascii="Arial" w:hAnsi="Arial" w:cs="Arial"/>
                <w:bCs/>
                <w:sz w:val="20"/>
                <w:szCs w:val="20"/>
                <w:lang w:val="en-GB"/>
              </w:rPr>
              <w:t xml:space="preserve"> are used in equilibrium calculations.</w:t>
            </w:r>
          </w:p>
          <w:p w14:paraId="16EA7172" w14:textId="744321CD" w:rsidR="00F9668B" w:rsidRPr="004D673E" w:rsidRDefault="00F9668B" w:rsidP="009216E9">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rodent logistic growth term is applied to total rodents Nr, but its interaction with infection-induced class changes should be explained more carefully.</w:t>
            </w:r>
          </w:p>
          <w:p w14:paraId="67D01259" w14:textId="77777777" w:rsidR="00F9668B" w:rsidRPr="004D673E" w:rsidRDefault="00F9668B" w:rsidP="00C81061">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 xml:space="preserve">The disease-free equilibrium requires </w:t>
            </w:r>
          </w:p>
          <w:p w14:paraId="1A08BC4A" w14:textId="5F51FFD2" w:rsidR="00F9668B" w:rsidRPr="004D673E" w:rsidRDefault="00F9668B" w:rsidP="00F9668B">
            <w:pPr>
              <w:pStyle w:val="ListParagraph"/>
              <w:rPr>
                <w:rFonts w:ascii="Arial" w:hAnsi="Arial" w:cs="Arial"/>
                <w:bCs/>
                <w:sz w:val="20"/>
                <w:szCs w:val="20"/>
                <w:lang w:val="en-GB"/>
              </w:rPr>
            </w:pPr>
            <w:r w:rsidRPr="004D673E">
              <w:rPr>
                <w:rFonts w:ascii="Arial" w:hAnsi="Arial" w:cs="Arial"/>
                <w:bCs/>
                <w:sz w:val="20"/>
                <w:szCs w:val="20"/>
                <w:lang w:val="en-GB"/>
              </w:rPr>
              <w:t xml:space="preserve">πr &gt; </w:t>
            </w:r>
            <w:proofErr w:type="spellStart"/>
            <w:r w:rsidRPr="004D673E">
              <w:rPr>
                <w:rFonts w:ascii="Arial" w:hAnsi="Arial" w:cs="Arial"/>
                <w:bCs/>
                <w:sz w:val="20"/>
                <w:szCs w:val="20"/>
                <w:lang w:val="en-GB"/>
              </w:rPr>
              <w:t>ωr</w:t>
            </w:r>
            <w:proofErr w:type="spellEnd"/>
            <w:r w:rsidRPr="004D673E">
              <w:rPr>
                <w:rFonts w:ascii="Arial" w:hAnsi="Arial" w:cs="Arial"/>
                <w:bCs/>
                <w:sz w:val="20"/>
                <w:szCs w:val="20"/>
                <w:lang w:val="en-GB"/>
              </w:rPr>
              <w:t>; this biological feasibility condition should be clearly stated.</w:t>
            </w:r>
          </w:p>
          <w:p w14:paraId="2DDC6799" w14:textId="2F66C2B9" w:rsidR="00F9668B" w:rsidRPr="004D673E" w:rsidRDefault="00F9668B" w:rsidP="00E36E8C">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 xml:space="preserve">The invariant region proof is incomplete because the bound Nr ≤ Kr (1−ωr/πr) is not valid unless πr &gt; </w:t>
            </w:r>
            <w:proofErr w:type="spellStart"/>
            <w:r w:rsidRPr="004D673E">
              <w:rPr>
                <w:rFonts w:ascii="Arial" w:hAnsi="Arial" w:cs="Arial"/>
                <w:bCs/>
                <w:sz w:val="20"/>
                <w:szCs w:val="20"/>
                <w:lang w:val="en-GB"/>
              </w:rPr>
              <w:t>ωr</w:t>
            </w:r>
            <w:proofErr w:type="spellEnd"/>
            <w:r w:rsidRPr="004D673E">
              <w:rPr>
                <w:rFonts w:ascii="Arial" w:hAnsi="Arial" w:cs="Arial"/>
                <w:bCs/>
                <w:sz w:val="20"/>
                <w:szCs w:val="20"/>
                <w:lang w:val="en-GB"/>
              </w:rPr>
              <w:t>.</w:t>
            </w:r>
          </w:p>
          <w:p w14:paraId="7B7F351D" w14:textId="59A7C581" w:rsidR="00F9668B" w:rsidRPr="004D673E" w:rsidRDefault="00F9668B" w:rsidP="00F9668B">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basic reproduction number needs rechecking; the decomposition into rodent, environmental, and human components should be derived more rigorously.</w:t>
            </w:r>
          </w:p>
          <w:p w14:paraId="018CBBC6" w14:textId="09590925" w:rsidR="00F9668B" w:rsidRPr="004D673E" w:rsidRDefault="00F9668B" w:rsidP="00DE0648">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human infection component in R0 is questionable because humans do not produce new rodent infections unless human environmental shedding is justified.</w:t>
            </w:r>
          </w:p>
          <w:p w14:paraId="2E213B90" w14:textId="4DA89651" w:rsidR="00F9668B" w:rsidRPr="004D673E" w:rsidRDefault="00F9668B" w:rsidP="008660F8">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local stability proof of the DFE is incomplete; the authors claim that R0 &lt; 1 satisfies all Routh-Hurwitz conditions without proving the remaining inequalities.</w:t>
            </w:r>
          </w:p>
          <w:p w14:paraId="491CBC37" w14:textId="3153113B" w:rsidR="00F9668B" w:rsidRPr="004D673E" w:rsidRDefault="00F9668B" w:rsidP="00F6502C">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global stability proof is too brief; the constants in the Lyapunov function and the inequality L˙≤−Θ(1−R</w:t>
            </w:r>
            <w:proofErr w:type="gramStart"/>
            <w:r w:rsidRPr="004D673E">
              <w:rPr>
                <w:rFonts w:ascii="Arial" w:hAnsi="Arial" w:cs="Arial"/>
                <w:bCs/>
                <w:sz w:val="20"/>
                <w:szCs w:val="20"/>
                <w:lang w:val="en-GB"/>
              </w:rPr>
              <w:t>0)(</w:t>
            </w:r>
            <w:proofErr w:type="spellStart"/>
            <w:proofErr w:type="gramEnd"/>
            <w:r w:rsidRPr="004D673E">
              <w:rPr>
                <w:rFonts w:ascii="Arial" w:hAnsi="Arial" w:cs="Arial"/>
                <w:bCs/>
                <w:sz w:val="20"/>
                <w:szCs w:val="20"/>
                <w:lang w:val="en-GB"/>
              </w:rPr>
              <w:t>Ir</w:t>
            </w:r>
            <w:proofErr w:type="spellEnd"/>
            <w:r w:rsidRPr="004D673E">
              <w:rPr>
                <w:rFonts w:ascii="Arial" w:hAnsi="Arial" w:cs="Arial"/>
                <w:bCs/>
                <w:sz w:val="20"/>
                <w:szCs w:val="20"/>
                <w:lang w:val="en-GB"/>
              </w:rPr>
              <w:t xml:space="preserve"> + Eh + </w:t>
            </w:r>
            <w:proofErr w:type="spellStart"/>
            <w:r w:rsidRPr="004D673E">
              <w:rPr>
                <w:rFonts w:ascii="Arial" w:hAnsi="Arial" w:cs="Arial"/>
                <w:bCs/>
                <w:sz w:val="20"/>
                <w:szCs w:val="20"/>
                <w:lang w:val="en-GB"/>
              </w:rPr>
              <w:t>Ih</w:t>
            </w:r>
            <w:proofErr w:type="spellEnd"/>
            <w:r w:rsidRPr="004D673E">
              <w:rPr>
                <w:rFonts w:ascii="Arial" w:hAnsi="Arial" w:cs="Arial"/>
                <w:bCs/>
                <w:sz w:val="20"/>
                <w:szCs w:val="20"/>
                <w:lang w:val="en-GB"/>
              </w:rPr>
              <w:t xml:space="preserve"> +V) must be shown explicitly.</w:t>
            </w:r>
          </w:p>
          <w:p w14:paraId="6E6D5A00" w14:textId="26189A70" w:rsidR="00F9668B" w:rsidRPr="004D673E" w:rsidRDefault="00F9668B" w:rsidP="00F9668B">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endemic equilibrium section only proves possible existence, not uniqueness; the claim should be weakened or a uniqueness proof added.</w:t>
            </w:r>
          </w:p>
          <w:p w14:paraId="7DECF3A3" w14:textId="664FF67B" w:rsidR="00F9668B" w:rsidRPr="004D673E" w:rsidRDefault="00F9668B" w:rsidP="00506F05">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endemic equilibrium stability result is formal because the coefficients ‘bi’ are not explicitly computed, making the Hurwitz conditions difficult to verify.</w:t>
            </w:r>
          </w:p>
          <w:p w14:paraId="064BA4FC" w14:textId="507A53CC" w:rsidR="00F9668B" w:rsidRPr="004D673E" w:rsidRDefault="00F9668B" w:rsidP="00F9668B">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No numerical simulation, sensitivity analysis, or parameter estimation is included, which weakens the practical value of the model.</w:t>
            </w:r>
          </w:p>
          <w:p w14:paraId="1F051943" w14:textId="4232076A" w:rsidR="00F9668B" w:rsidRPr="004D673E" w:rsidRDefault="00F9668B" w:rsidP="00F9668B">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The discussion is too general and sometimes overstates the rigor of the results.</w:t>
            </w:r>
          </w:p>
          <w:p w14:paraId="658A6F37" w14:textId="4E326805" w:rsidR="004D3449" w:rsidRPr="004D673E" w:rsidRDefault="00F9668B" w:rsidP="00F9668B">
            <w:pPr>
              <w:pStyle w:val="ListParagraph"/>
              <w:numPr>
                <w:ilvl w:val="0"/>
                <w:numId w:val="13"/>
              </w:numPr>
              <w:rPr>
                <w:rFonts w:ascii="Arial" w:hAnsi="Arial" w:cs="Arial"/>
                <w:bCs/>
                <w:sz w:val="20"/>
                <w:szCs w:val="20"/>
                <w:lang w:val="en-GB"/>
              </w:rPr>
            </w:pPr>
            <w:r w:rsidRPr="004D673E">
              <w:rPr>
                <w:rFonts w:ascii="Arial" w:hAnsi="Arial" w:cs="Arial"/>
                <w:bCs/>
                <w:sz w:val="20"/>
                <w:szCs w:val="20"/>
                <w:lang w:val="en-GB"/>
              </w:rPr>
              <w:t>References contain formatting and spelling problems, including missing accents and incomplete author names; the full reference list should be carefully proofread.</w:t>
            </w:r>
          </w:p>
        </w:tc>
        <w:tc>
          <w:tcPr>
            <w:tcW w:w="1667" w:type="pct"/>
          </w:tcPr>
          <w:p w14:paraId="0AD96E1F"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2047BC07" w14:textId="77777777">
        <w:trPr>
          <w:trHeight w:val="20"/>
          <w:jc w:val="center"/>
        </w:trPr>
        <w:tc>
          <w:tcPr>
            <w:tcW w:w="1666" w:type="pct"/>
            <w:noWrap/>
          </w:tcPr>
          <w:p w14:paraId="1F2EA8F3" w14:textId="77777777" w:rsidR="004D3449" w:rsidRPr="004D673E" w:rsidRDefault="00C37B5E">
            <w:pPr>
              <w:rPr>
                <w:rFonts w:ascii="Arial" w:hAnsi="Arial" w:cs="Arial"/>
                <w:b/>
                <w:bCs/>
                <w:sz w:val="20"/>
                <w:szCs w:val="20"/>
                <w:lang w:val="en-GB"/>
              </w:rPr>
            </w:pPr>
            <w:r w:rsidRPr="004D673E">
              <w:rPr>
                <w:rFonts w:ascii="Arial" w:hAnsi="Arial" w:cs="Arial"/>
                <w:b/>
                <w:bCs/>
                <w:sz w:val="20"/>
                <w:szCs w:val="20"/>
                <w:lang w:val="en-GB"/>
              </w:rPr>
              <w:t xml:space="preserve">Are the references sufficient and recent? </w:t>
            </w:r>
          </w:p>
          <w:p w14:paraId="5C142A9F" w14:textId="77777777" w:rsidR="004D3449" w:rsidRPr="004D673E" w:rsidRDefault="00C37B5E">
            <w:pPr>
              <w:rPr>
                <w:rFonts w:ascii="Arial" w:hAnsi="Arial" w:cs="Arial"/>
                <w:bCs/>
                <w:sz w:val="20"/>
                <w:szCs w:val="20"/>
                <w:lang w:val="en-GB"/>
              </w:rPr>
            </w:pPr>
            <w:r w:rsidRPr="004D673E">
              <w:rPr>
                <w:rFonts w:ascii="Arial" w:hAnsi="Arial" w:cs="Arial"/>
                <w:bCs/>
                <w:sz w:val="20"/>
                <w:szCs w:val="20"/>
                <w:lang w:val="en-GB"/>
              </w:rPr>
              <w:t>(YES or NO)</w:t>
            </w:r>
          </w:p>
          <w:p w14:paraId="0CB40662" w14:textId="77777777" w:rsidR="004D3449" w:rsidRPr="004D673E" w:rsidRDefault="004D3449">
            <w:pPr>
              <w:rPr>
                <w:rFonts w:ascii="Arial" w:hAnsi="Arial" w:cs="Arial"/>
                <w:bCs/>
                <w:sz w:val="20"/>
                <w:szCs w:val="20"/>
                <w:lang w:val="en-GB"/>
              </w:rPr>
            </w:pPr>
          </w:p>
          <w:p w14:paraId="7165914D" w14:textId="77777777" w:rsidR="004D3449" w:rsidRPr="004D673E" w:rsidRDefault="00C37B5E">
            <w:pPr>
              <w:rPr>
                <w:rFonts w:ascii="Arial" w:hAnsi="Arial" w:cs="Arial"/>
                <w:bCs/>
                <w:sz w:val="20"/>
                <w:szCs w:val="20"/>
                <w:lang w:val="en-GB"/>
              </w:rPr>
            </w:pPr>
            <w:r w:rsidRPr="004D673E">
              <w:rPr>
                <w:rFonts w:ascii="Arial" w:hAnsi="Arial" w:cs="Arial"/>
                <w:bCs/>
                <w:sz w:val="20"/>
                <w:szCs w:val="20"/>
                <w:lang w:val="en-GB"/>
              </w:rPr>
              <w:t>If your answer is NO, please provide clear suggestion for improvement.</w:t>
            </w:r>
          </w:p>
          <w:p w14:paraId="60841D8C" w14:textId="77777777" w:rsidR="004D3449" w:rsidRPr="004D673E" w:rsidRDefault="004D3449">
            <w:pPr>
              <w:rPr>
                <w:rFonts w:ascii="Arial" w:hAnsi="Arial" w:cs="Arial"/>
                <w:b/>
                <w:bCs/>
                <w:sz w:val="20"/>
                <w:szCs w:val="20"/>
                <w:lang w:val="en-GB"/>
              </w:rPr>
            </w:pPr>
          </w:p>
        </w:tc>
        <w:tc>
          <w:tcPr>
            <w:tcW w:w="1667" w:type="pct"/>
          </w:tcPr>
          <w:p w14:paraId="1E0A07B1" w14:textId="77777777" w:rsidR="00F9668B" w:rsidRPr="004D673E" w:rsidRDefault="00F9668B" w:rsidP="00F96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lang w:val="en-IN" w:eastAsia="en-IN"/>
              </w:rPr>
            </w:pPr>
            <w:r w:rsidRPr="004D673E">
              <w:rPr>
                <w:rFonts w:ascii="Arial" w:hAnsi="Arial" w:cs="Arial"/>
                <w:color w:val="000000"/>
                <w:sz w:val="20"/>
                <w:szCs w:val="20"/>
                <w:lang w:val="en-IN" w:eastAsia="en-IN"/>
              </w:rPr>
              <w:t>Recently many developments have been found in the same directions. Authors are requested to go through the suggested articles and add them to your references to enrich the quality of your paper.</w:t>
            </w:r>
          </w:p>
          <w:p w14:paraId="01D5D9C3" w14:textId="77777777" w:rsidR="00F9668B" w:rsidRPr="004D673E" w:rsidRDefault="00F9668B" w:rsidP="00F96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ascii="Arial" w:eastAsia="MS Mincho" w:hAnsi="Arial" w:cs="Arial"/>
                <w:color w:val="000000" w:themeColor="text1"/>
                <w:sz w:val="20"/>
                <w:szCs w:val="20"/>
                <w:u w:val="none"/>
              </w:rPr>
            </w:pPr>
            <w:hyperlink r:id="rId8" w:history="1">
              <w:r w:rsidRPr="004D673E">
                <w:rPr>
                  <w:rStyle w:val="Hyperlink"/>
                  <w:rFonts w:ascii="Arial" w:eastAsia="MS Mincho" w:hAnsi="Arial" w:cs="Arial"/>
                  <w:color w:val="000000" w:themeColor="text1"/>
                  <w:sz w:val="20"/>
                  <w:szCs w:val="20"/>
                  <w:u w:val="none"/>
                </w:rPr>
                <w:t>https://doi.org/10.1038/s41598-026-51499-7</w:t>
              </w:r>
            </w:hyperlink>
          </w:p>
          <w:p w14:paraId="040FCAC3" w14:textId="77777777" w:rsidR="00F9668B" w:rsidRPr="004D673E" w:rsidRDefault="00F9668B" w:rsidP="00F96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ascii="Arial" w:eastAsia="MS Mincho" w:hAnsi="Arial" w:cs="Arial"/>
                <w:color w:val="000000" w:themeColor="text1"/>
                <w:sz w:val="20"/>
                <w:szCs w:val="20"/>
                <w:u w:val="none"/>
              </w:rPr>
            </w:pPr>
            <w:hyperlink r:id="rId9" w:history="1">
              <w:r w:rsidRPr="004D673E">
                <w:rPr>
                  <w:rStyle w:val="Hyperlink"/>
                  <w:rFonts w:ascii="Arial" w:eastAsia="MS Mincho" w:hAnsi="Arial" w:cs="Arial"/>
                  <w:color w:val="000000" w:themeColor="text1"/>
                  <w:sz w:val="20"/>
                  <w:szCs w:val="20"/>
                  <w:u w:val="none"/>
                </w:rPr>
                <w:t>http://dx.doi.org/10.1142/S1793005728500500</w:t>
              </w:r>
            </w:hyperlink>
          </w:p>
          <w:p w14:paraId="6CE241CD" w14:textId="77777777" w:rsidR="00F9668B" w:rsidRPr="004D673E" w:rsidRDefault="00F9668B" w:rsidP="00F96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ascii="Arial" w:eastAsia="MS Mincho" w:hAnsi="Arial" w:cs="Arial"/>
                <w:color w:val="000000" w:themeColor="text1"/>
                <w:sz w:val="20"/>
                <w:szCs w:val="20"/>
                <w:u w:val="none"/>
              </w:rPr>
            </w:pPr>
            <w:hyperlink r:id="rId10" w:history="1">
              <w:r w:rsidRPr="004D673E">
                <w:rPr>
                  <w:rStyle w:val="Hyperlink"/>
                  <w:rFonts w:ascii="Arial" w:eastAsia="MS Mincho" w:hAnsi="Arial" w:cs="Arial"/>
                  <w:color w:val="000000" w:themeColor="text1"/>
                  <w:sz w:val="20"/>
                  <w:szCs w:val="20"/>
                  <w:u w:val="none"/>
                </w:rPr>
                <w:t>http://dx.doi.org/10.1142/S1793005727500761</w:t>
              </w:r>
            </w:hyperlink>
          </w:p>
          <w:p w14:paraId="3F0357B0" w14:textId="77777777" w:rsidR="00F9668B" w:rsidRPr="004D673E" w:rsidRDefault="00F9668B" w:rsidP="00F96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ascii="Arial" w:eastAsia="MS Mincho" w:hAnsi="Arial" w:cs="Arial"/>
                <w:color w:val="000000" w:themeColor="text1"/>
                <w:sz w:val="20"/>
                <w:szCs w:val="20"/>
                <w:u w:val="none"/>
              </w:rPr>
            </w:pPr>
            <w:hyperlink r:id="rId11" w:history="1">
              <w:r w:rsidRPr="004D673E">
                <w:rPr>
                  <w:rStyle w:val="Hyperlink"/>
                  <w:rFonts w:ascii="Arial" w:eastAsia="MS Mincho" w:hAnsi="Arial" w:cs="Arial"/>
                  <w:color w:val="000000" w:themeColor="text1"/>
                  <w:sz w:val="20"/>
                  <w:szCs w:val="20"/>
                  <w:u w:val="none"/>
                </w:rPr>
                <w:t>https://doi.org/10.1016/j.nls.2026.100115</w:t>
              </w:r>
            </w:hyperlink>
          </w:p>
          <w:p w14:paraId="7E47E02A" w14:textId="77777777" w:rsidR="00F9668B" w:rsidRPr="004D673E" w:rsidRDefault="00F9668B" w:rsidP="00F96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ascii="Arial" w:eastAsia="MS Mincho" w:hAnsi="Arial" w:cs="Arial"/>
                <w:color w:val="000000" w:themeColor="text1"/>
                <w:sz w:val="20"/>
                <w:szCs w:val="20"/>
                <w:u w:val="none"/>
              </w:rPr>
            </w:pPr>
            <w:hyperlink r:id="rId12" w:history="1">
              <w:r w:rsidRPr="004D673E">
                <w:rPr>
                  <w:rStyle w:val="Hyperlink"/>
                  <w:rFonts w:ascii="Arial" w:eastAsia="MS Mincho" w:hAnsi="Arial" w:cs="Arial"/>
                  <w:color w:val="000000" w:themeColor="text1"/>
                  <w:sz w:val="20"/>
                  <w:szCs w:val="20"/>
                  <w:u w:val="none"/>
                </w:rPr>
                <w:t>https://doi.org/10.1038/s41598-026-43767-3</w:t>
              </w:r>
            </w:hyperlink>
          </w:p>
          <w:p w14:paraId="266F944F" w14:textId="77777777" w:rsidR="00F9668B" w:rsidRPr="004D673E" w:rsidRDefault="00F9668B" w:rsidP="00F96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ascii="Arial" w:eastAsia="MS Mincho" w:hAnsi="Arial" w:cs="Arial"/>
                <w:color w:val="000000" w:themeColor="text1"/>
                <w:sz w:val="20"/>
                <w:szCs w:val="20"/>
                <w:u w:val="none"/>
              </w:rPr>
            </w:pPr>
            <w:hyperlink r:id="rId13" w:history="1">
              <w:r w:rsidRPr="004D673E">
                <w:rPr>
                  <w:rStyle w:val="Hyperlink"/>
                  <w:rFonts w:ascii="Arial" w:eastAsia="MS Mincho" w:hAnsi="Arial" w:cs="Arial"/>
                  <w:color w:val="000000" w:themeColor="text1"/>
                  <w:sz w:val="20"/>
                  <w:szCs w:val="20"/>
                  <w:u w:val="none"/>
                </w:rPr>
                <w:t>https://dx.doi.org/%2010.3934/math.2026359</w:t>
              </w:r>
            </w:hyperlink>
          </w:p>
          <w:p w14:paraId="476E7753" w14:textId="219967A7" w:rsidR="004D3449" w:rsidRPr="004D673E" w:rsidRDefault="00F9668B" w:rsidP="00F9668B">
            <w:pPr>
              <w:contextualSpacing/>
              <w:rPr>
                <w:rFonts w:ascii="Arial" w:hAnsi="Arial" w:cs="Arial"/>
                <w:bCs/>
                <w:sz w:val="20"/>
                <w:szCs w:val="20"/>
                <w:lang w:val="en-GB"/>
              </w:rPr>
            </w:pPr>
            <w:hyperlink r:id="rId14" w:history="1">
              <w:r w:rsidRPr="004D673E">
                <w:rPr>
                  <w:rStyle w:val="Hyperlink"/>
                  <w:rFonts w:ascii="Arial" w:eastAsia="MS Mincho" w:hAnsi="Arial" w:cs="Arial"/>
                  <w:color w:val="000000" w:themeColor="text1"/>
                  <w:sz w:val="20"/>
                  <w:szCs w:val="20"/>
                  <w:u w:val="none"/>
                </w:rPr>
                <w:t>http://dx.doi.org/%2010.3934/math.2026103</w:t>
              </w:r>
            </w:hyperlink>
          </w:p>
        </w:tc>
        <w:tc>
          <w:tcPr>
            <w:tcW w:w="1667" w:type="pct"/>
          </w:tcPr>
          <w:p w14:paraId="73E48178" w14:textId="77777777" w:rsidR="004D3449" w:rsidRPr="004D673E" w:rsidRDefault="004D3449">
            <w:pPr>
              <w:keepNext/>
              <w:outlineLvl w:val="1"/>
              <w:rPr>
                <w:rFonts w:ascii="Arial" w:eastAsia="MS Mincho" w:hAnsi="Arial" w:cs="Arial"/>
                <w:bCs/>
                <w:sz w:val="20"/>
                <w:szCs w:val="20"/>
                <w:lang w:val="en-GB"/>
              </w:rPr>
            </w:pPr>
          </w:p>
        </w:tc>
      </w:tr>
      <w:tr w:rsidR="004D3449" w:rsidRPr="004D673E" w14:paraId="3D95BD17" w14:textId="77777777">
        <w:trPr>
          <w:trHeight w:val="20"/>
          <w:jc w:val="center"/>
        </w:trPr>
        <w:tc>
          <w:tcPr>
            <w:tcW w:w="1666" w:type="pct"/>
            <w:noWrap/>
          </w:tcPr>
          <w:p w14:paraId="7B050D84" w14:textId="77777777" w:rsidR="004D3449" w:rsidRPr="004D673E" w:rsidRDefault="00C37B5E">
            <w:pPr>
              <w:rPr>
                <w:rFonts w:ascii="Arial" w:hAnsi="Arial" w:cs="Arial"/>
                <w:b/>
                <w:bCs/>
                <w:sz w:val="20"/>
                <w:szCs w:val="20"/>
                <w:lang w:val="en-GB"/>
              </w:rPr>
            </w:pPr>
            <w:r w:rsidRPr="004D673E">
              <w:rPr>
                <w:rFonts w:ascii="Arial" w:hAnsi="Arial" w:cs="Arial"/>
                <w:b/>
                <w:bCs/>
                <w:sz w:val="20"/>
                <w:szCs w:val="20"/>
                <w:lang w:val="en-GB"/>
              </w:rPr>
              <w:t>Are there ethical issues in this manuscript?</w:t>
            </w:r>
          </w:p>
          <w:p w14:paraId="0BE46AE8" w14:textId="77777777" w:rsidR="004D3449" w:rsidRPr="004D673E" w:rsidRDefault="00C37B5E">
            <w:pPr>
              <w:rPr>
                <w:rFonts w:ascii="Arial" w:hAnsi="Arial" w:cs="Arial"/>
                <w:bCs/>
                <w:sz w:val="20"/>
                <w:szCs w:val="20"/>
                <w:lang w:val="en-GB"/>
              </w:rPr>
            </w:pPr>
            <w:r w:rsidRPr="004D673E">
              <w:rPr>
                <w:rFonts w:ascii="Arial" w:hAnsi="Arial" w:cs="Arial"/>
                <w:bCs/>
                <w:sz w:val="20"/>
                <w:szCs w:val="20"/>
                <w:lang w:val="en-GB"/>
              </w:rPr>
              <w:t>(YES or NO)</w:t>
            </w:r>
          </w:p>
          <w:p w14:paraId="54E5F3C3" w14:textId="77777777" w:rsidR="004D3449" w:rsidRPr="004D673E" w:rsidRDefault="004D3449">
            <w:pPr>
              <w:rPr>
                <w:rFonts w:ascii="Arial" w:hAnsi="Arial" w:cs="Arial"/>
                <w:bCs/>
                <w:sz w:val="20"/>
                <w:szCs w:val="20"/>
                <w:lang w:val="en-GB"/>
              </w:rPr>
            </w:pPr>
          </w:p>
          <w:p w14:paraId="14C5637F" w14:textId="77777777" w:rsidR="004D3449" w:rsidRPr="004D673E" w:rsidRDefault="00C37B5E">
            <w:pPr>
              <w:rPr>
                <w:rFonts w:ascii="Arial" w:hAnsi="Arial" w:cs="Arial"/>
                <w:bCs/>
                <w:sz w:val="20"/>
                <w:szCs w:val="20"/>
                <w:lang w:val="en-GB"/>
              </w:rPr>
            </w:pPr>
            <w:r w:rsidRPr="004D673E">
              <w:rPr>
                <w:rFonts w:ascii="Arial" w:hAnsi="Arial" w:cs="Arial"/>
                <w:bCs/>
                <w:sz w:val="20"/>
                <w:szCs w:val="20"/>
                <w:lang w:val="en-GB"/>
              </w:rPr>
              <w:t>(If yes, kindly please write down the ethical issues here in details)</w:t>
            </w:r>
          </w:p>
          <w:p w14:paraId="7386C8F0" w14:textId="77777777" w:rsidR="004D3449" w:rsidRPr="004D673E" w:rsidRDefault="004D3449">
            <w:pPr>
              <w:rPr>
                <w:rFonts w:ascii="Arial" w:hAnsi="Arial" w:cs="Arial"/>
                <w:bCs/>
                <w:sz w:val="20"/>
                <w:szCs w:val="20"/>
                <w:lang w:val="en-GB"/>
              </w:rPr>
            </w:pPr>
          </w:p>
        </w:tc>
        <w:tc>
          <w:tcPr>
            <w:tcW w:w="1667" w:type="pct"/>
          </w:tcPr>
          <w:p w14:paraId="14D79C2C" w14:textId="1EAF45E6" w:rsidR="004D3449" w:rsidRPr="004D673E" w:rsidRDefault="00F9668B">
            <w:pPr>
              <w:contextualSpacing/>
              <w:rPr>
                <w:rFonts w:ascii="Arial" w:hAnsi="Arial" w:cs="Arial"/>
                <w:bCs/>
                <w:sz w:val="20"/>
                <w:szCs w:val="20"/>
                <w:lang w:val="en-GB"/>
              </w:rPr>
            </w:pPr>
            <w:r w:rsidRPr="004D673E">
              <w:rPr>
                <w:rFonts w:ascii="Arial" w:hAnsi="Arial" w:cs="Arial"/>
                <w:bCs/>
                <w:sz w:val="20"/>
                <w:szCs w:val="20"/>
                <w:lang w:val="en-GB"/>
              </w:rPr>
              <w:t>No</w:t>
            </w:r>
          </w:p>
        </w:tc>
        <w:tc>
          <w:tcPr>
            <w:tcW w:w="1667" w:type="pct"/>
          </w:tcPr>
          <w:p w14:paraId="2E8EF690" w14:textId="77777777" w:rsidR="004D3449" w:rsidRPr="004D673E" w:rsidRDefault="004D3449">
            <w:pPr>
              <w:keepNext/>
              <w:outlineLvl w:val="1"/>
              <w:rPr>
                <w:rFonts w:ascii="Arial" w:eastAsia="MS Mincho" w:hAnsi="Arial" w:cs="Arial"/>
                <w:bCs/>
                <w:sz w:val="20"/>
                <w:szCs w:val="20"/>
                <w:lang w:val="en-GB"/>
              </w:rPr>
            </w:pPr>
          </w:p>
        </w:tc>
      </w:tr>
    </w:tbl>
    <w:p w14:paraId="3483FFD6" w14:textId="77777777" w:rsidR="004D3449" w:rsidRPr="004D673E" w:rsidRDefault="004D3449">
      <w:pPr>
        <w:keepNext/>
        <w:outlineLvl w:val="1"/>
        <w:rPr>
          <w:rFonts w:ascii="Arial" w:eastAsia="MS Mincho" w:hAnsi="Arial" w:cs="Arial"/>
          <w:b/>
          <w:bCs/>
          <w:sz w:val="20"/>
          <w:szCs w:val="20"/>
          <w:highlight w:val="yellow"/>
          <w:lang w:val="en-GB"/>
        </w:rPr>
      </w:pPr>
    </w:p>
    <w:p w14:paraId="5359429B" w14:textId="77777777" w:rsidR="004D673E" w:rsidRPr="004D673E" w:rsidRDefault="004D673E" w:rsidP="004D673E">
      <w:pPr>
        <w:pStyle w:val="Affiliation"/>
        <w:spacing w:after="0" w:line="240" w:lineRule="auto"/>
        <w:jc w:val="left"/>
        <w:rPr>
          <w:rFonts w:ascii="Arial" w:hAnsi="Arial" w:cs="Arial"/>
          <w:b/>
          <w:u w:val="single"/>
        </w:rPr>
      </w:pPr>
      <w:r w:rsidRPr="004D673E">
        <w:rPr>
          <w:rFonts w:ascii="Arial" w:hAnsi="Arial" w:cs="Arial"/>
          <w:b/>
          <w:u w:val="single"/>
        </w:rPr>
        <w:t>Reviewer details:</w:t>
      </w:r>
    </w:p>
    <w:p w14:paraId="6B711691" w14:textId="77777777" w:rsidR="004D673E" w:rsidRPr="004D673E" w:rsidRDefault="004D673E">
      <w:pPr>
        <w:keepNext/>
        <w:outlineLvl w:val="1"/>
        <w:rPr>
          <w:rFonts w:ascii="Arial" w:eastAsia="MS Mincho" w:hAnsi="Arial" w:cs="Arial"/>
          <w:b/>
          <w:bCs/>
          <w:sz w:val="20"/>
          <w:szCs w:val="20"/>
          <w:highlight w:val="yellow"/>
          <w:lang w:val="en-GB"/>
        </w:rPr>
      </w:pPr>
    </w:p>
    <w:p w14:paraId="7E9E4C32" w14:textId="1BB9B010" w:rsidR="004D673E" w:rsidRPr="004D673E" w:rsidRDefault="004D673E" w:rsidP="004D673E">
      <w:pPr>
        <w:keepNext/>
        <w:outlineLvl w:val="1"/>
        <w:rPr>
          <w:rFonts w:ascii="Arial" w:eastAsia="MS Mincho" w:hAnsi="Arial" w:cs="Arial"/>
          <w:b/>
          <w:bCs/>
          <w:sz w:val="20"/>
          <w:szCs w:val="20"/>
          <w:highlight w:val="yellow"/>
          <w:lang w:val="en-GB"/>
        </w:rPr>
      </w:pPr>
      <w:r w:rsidRPr="004D673E">
        <w:rPr>
          <w:rFonts w:ascii="Arial" w:eastAsia="MS Mincho" w:hAnsi="Arial" w:cs="Arial"/>
          <w:b/>
          <w:bCs/>
          <w:sz w:val="20"/>
          <w:szCs w:val="20"/>
          <w:lang w:val="en-GB"/>
        </w:rPr>
        <w:t xml:space="preserve">Sagar R. </w:t>
      </w:r>
      <w:proofErr w:type="spellStart"/>
      <w:r w:rsidRPr="004D673E">
        <w:rPr>
          <w:rFonts w:ascii="Arial" w:eastAsia="MS Mincho" w:hAnsi="Arial" w:cs="Arial"/>
          <w:b/>
          <w:bCs/>
          <w:sz w:val="20"/>
          <w:szCs w:val="20"/>
          <w:lang w:val="en-GB"/>
        </w:rPr>
        <w:t>Khirsariya</w:t>
      </w:r>
      <w:proofErr w:type="spellEnd"/>
      <w:r w:rsidRPr="004D673E">
        <w:rPr>
          <w:rFonts w:ascii="Arial" w:eastAsia="MS Mincho" w:hAnsi="Arial" w:cs="Arial"/>
          <w:b/>
          <w:bCs/>
          <w:sz w:val="20"/>
          <w:szCs w:val="20"/>
          <w:lang w:val="en-GB"/>
        </w:rPr>
        <w:t xml:space="preserve">, </w:t>
      </w:r>
      <w:proofErr w:type="spellStart"/>
      <w:r w:rsidRPr="004D673E">
        <w:rPr>
          <w:rFonts w:ascii="Arial" w:eastAsia="MS Mincho" w:hAnsi="Arial" w:cs="Arial"/>
          <w:b/>
          <w:bCs/>
          <w:sz w:val="20"/>
          <w:szCs w:val="20"/>
          <w:lang w:val="en-GB"/>
        </w:rPr>
        <w:t>Marwadi</w:t>
      </w:r>
      <w:proofErr w:type="spellEnd"/>
      <w:r w:rsidRPr="004D673E">
        <w:rPr>
          <w:rFonts w:ascii="Arial" w:eastAsia="MS Mincho" w:hAnsi="Arial" w:cs="Arial"/>
          <w:b/>
          <w:bCs/>
          <w:sz w:val="20"/>
          <w:szCs w:val="20"/>
          <w:lang w:val="en-GB"/>
        </w:rPr>
        <w:t xml:space="preserve"> University</w:t>
      </w:r>
      <w:r w:rsidRPr="004D673E">
        <w:rPr>
          <w:rFonts w:ascii="Arial" w:eastAsia="MS Mincho" w:hAnsi="Arial" w:cs="Arial"/>
          <w:b/>
          <w:bCs/>
          <w:sz w:val="20"/>
          <w:szCs w:val="20"/>
          <w:lang w:val="en-GB"/>
        </w:rPr>
        <w:t xml:space="preserve">, </w:t>
      </w:r>
      <w:r w:rsidRPr="004D673E">
        <w:rPr>
          <w:rFonts w:ascii="Arial" w:eastAsia="MS Mincho" w:hAnsi="Arial" w:cs="Arial"/>
          <w:b/>
          <w:bCs/>
          <w:sz w:val="20"/>
          <w:szCs w:val="20"/>
          <w:lang w:val="en-GB"/>
        </w:rPr>
        <w:t>India</w:t>
      </w:r>
    </w:p>
    <w:sectPr w:rsidR="004D673E" w:rsidRPr="004D673E">
      <w:headerReference w:type="default" r:id="rId15"/>
      <w:footerReference w:type="default" r:id="rId16"/>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54DC" w14:textId="77777777" w:rsidR="002F7A81" w:rsidRDefault="002F7A81">
      <w:r>
        <w:separator/>
      </w:r>
    </w:p>
  </w:endnote>
  <w:endnote w:type="continuationSeparator" w:id="0">
    <w:p w14:paraId="2461775B" w14:textId="77777777" w:rsidR="002F7A81" w:rsidRDefault="002F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9056" w14:textId="77777777" w:rsidR="004D3449" w:rsidRDefault="004D3449">
    <w:pPr>
      <w:pStyle w:val="Footer"/>
      <w:jc w:val="right"/>
    </w:pPr>
  </w:p>
  <w:p w14:paraId="2842072A" w14:textId="77777777" w:rsidR="004D3449" w:rsidRDefault="00C37B5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8199A85" w14:textId="77777777" w:rsidR="004D3449" w:rsidRDefault="00C37B5E">
    <w:pPr>
      <w:pStyle w:val="Footer"/>
      <w:jc w:val="right"/>
      <w:rPr>
        <w:b/>
        <w:sz w:val="20"/>
      </w:rPr>
    </w:pPr>
    <w:r>
      <w:rPr>
        <w:b/>
        <w:sz w:val="20"/>
      </w:rPr>
      <w:t>V240326</w:t>
    </w:r>
  </w:p>
  <w:p w14:paraId="5949A600" w14:textId="77777777" w:rsidR="004D3449" w:rsidRDefault="004D3449">
    <w:pPr>
      <w:pStyle w:val="Footer"/>
      <w:jc w:val="right"/>
    </w:pPr>
  </w:p>
  <w:p w14:paraId="797224FD" w14:textId="77777777" w:rsidR="004D3449" w:rsidRDefault="004D34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367D" w14:textId="77777777" w:rsidR="002F7A81" w:rsidRDefault="002F7A81">
      <w:r>
        <w:separator/>
      </w:r>
    </w:p>
  </w:footnote>
  <w:footnote w:type="continuationSeparator" w:id="0">
    <w:p w14:paraId="361D2921" w14:textId="77777777" w:rsidR="002F7A81" w:rsidRDefault="002F7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AF2" w14:textId="77777777" w:rsidR="004D3449" w:rsidRDefault="004D3449">
    <w:pPr>
      <w:spacing w:before="100" w:beforeAutospacing="1" w:after="100" w:afterAutospacing="1"/>
      <w:jc w:val="center"/>
      <w:rPr>
        <w:b/>
        <w:bCs/>
        <w:color w:val="003399"/>
        <w:szCs w:val="20"/>
        <w:u w:val="single"/>
        <w:lang w:val="en-GB"/>
      </w:rPr>
    </w:pPr>
  </w:p>
  <w:p w14:paraId="650C69DF" w14:textId="77777777" w:rsidR="004D3449" w:rsidRDefault="00C37B5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A2263"/>
    <w:multiLevelType w:val="hybridMultilevel"/>
    <w:tmpl w:val="99AC09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8586456">
    <w:abstractNumId w:val="4"/>
  </w:num>
  <w:num w:numId="2" w16cid:durableId="983703342">
    <w:abstractNumId w:val="9"/>
  </w:num>
  <w:num w:numId="3" w16cid:durableId="1634211599">
    <w:abstractNumId w:val="8"/>
  </w:num>
  <w:num w:numId="4" w16cid:durableId="1898513851">
    <w:abstractNumId w:val="10"/>
  </w:num>
  <w:num w:numId="5" w16cid:durableId="1769740705">
    <w:abstractNumId w:val="7"/>
  </w:num>
  <w:num w:numId="6" w16cid:durableId="1590192212">
    <w:abstractNumId w:val="0"/>
  </w:num>
  <w:num w:numId="7" w16cid:durableId="43985545">
    <w:abstractNumId w:val="3"/>
  </w:num>
  <w:num w:numId="8" w16cid:durableId="1050574132">
    <w:abstractNumId w:val="12"/>
  </w:num>
  <w:num w:numId="9" w16cid:durableId="629439640">
    <w:abstractNumId w:val="11"/>
  </w:num>
  <w:num w:numId="10" w16cid:durableId="1777022327">
    <w:abstractNumId w:val="2"/>
  </w:num>
  <w:num w:numId="11" w16cid:durableId="727458182">
    <w:abstractNumId w:val="1"/>
  </w:num>
  <w:num w:numId="12" w16cid:durableId="2045904824">
    <w:abstractNumId w:val="5"/>
  </w:num>
  <w:num w:numId="13" w16cid:durableId="2090150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49"/>
    <w:rsid w:val="000D1F8F"/>
    <w:rsid w:val="002F7A81"/>
    <w:rsid w:val="003F5EB0"/>
    <w:rsid w:val="004D3449"/>
    <w:rsid w:val="004D673E"/>
    <w:rsid w:val="005215E6"/>
    <w:rsid w:val="0055025F"/>
    <w:rsid w:val="00680C36"/>
    <w:rsid w:val="00743C82"/>
    <w:rsid w:val="00850879"/>
    <w:rsid w:val="009C4430"/>
    <w:rsid w:val="00AD16BC"/>
    <w:rsid w:val="00C37B5E"/>
    <w:rsid w:val="00D0344E"/>
    <w:rsid w:val="00D3725E"/>
    <w:rsid w:val="00DF5EF2"/>
    <w:rsid w:val="00F17EFC"/>
    <w:rsid w:val="00F966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5E3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D673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6-51499-7" TargetMode="External"/><Relationship Id="rId13" Type="http://schemas.openxmlformats.org/officeDocument/2006/relationships/hyperlink" Target="https://dx.doi.org/%2010.3934/math.202635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12" Type="http://schemas.openxmlformats.org/officeDocument/2006/relationships/hyperlink" Target="https://doi.org/10.1038/s41598-026-43767-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ls.2026.1001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x.doi.org/10.1142/S1793005727500761" TargetMode="External"/><Relationship Id="rId4" Type="http://schemas.openxmlformats.org/officeDocument/2006/relationships/webSettings" Target="webSettings.xml"/><Relationship Id="rId9" Type="http://schemas.openxmlformats.org/officeDocument/2006/relationships/hyperlink" Target="http://dx.doi.org/10.1142/S1793005728500500" TargetMode="External"/><Relationship Id="rId14" Type="http://schemas.openxmlformats.org/officeDocument/2006/relationships/hyperlink" Target="http://dx.doi.org/%2010.3934/math.2026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1200</Words>
  <Characters>6844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40</cp:revision>
  <dcterms:created xsi:type="dcterms:W3CDTF">2026-03-24T06:15:00Z</dcterms:created>
  <dcterms:modified xsi:type="dcterms:W3CDTF">2026-07-01T07:35:00Z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