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20D64" w14:textId="77777777" w:rsidR="003676C5" w:rsidRPr="009137B6" w:rsidRDefault="00367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3676C5" w:rsidRPr="009137B6" w14:paraId="6848E9C2" w14:textId="77777777">
        <w:trPr>
          <w:trHeight w:val="20"/>
          <w:jc w:val="center"/>
        </w:trPr>
        <w:tc>
          <w:tcPr>
            <w:tcW w:w="3295" w:type="dxa"/>
          </w:tcPr>
          <w:p w14:paraId="4268BB73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46EC0A03" w14:textId="77777777" w:rsidR="003676C5" w:rsidRPr="009137B6" w:rsidRDefault="007442E4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Pr="009137B6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Asian Journal of Economics, Finance and Management</w:t>
              </w:r>
            </w:hyperlink>
          </w:p>
        </w:tc>
      </w:tr>
      <w:tr w:rsidR="003676C5" w:rsidRPr="009137B6" w14:paraId="0CDC3843" w14:textId="77777777">
        <w:trPr>
          <w:trHeight w:val="20"/>
          <w:jc w:val="center"/>
        </w:trPr>
        <w:tc>
          <w:tcPr>
            <w:tcW w:w="3295" w:type="dxa"/>
          </w:tcPr>
          <w:p w14:paraId="503C9B0E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40155149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v4z92plrqs3p" w:colFirst="0" w:colLast="0"/>
            <w:bookmarkEnd w:id="0"/>
            <w:r w:rsidRPr="009137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Ms_AJEFM_2680</w:t>
            </w:r>
          </w:p>
        </w:tc>
      </w:tr>
      <w:tr w:rsidR="003676C5" w:rsidRPr="009137B6" w14:paraId="3A21F2E8" w14:textId="77777777">
        <w:trPr>
          <w:trHeight w:val="20"/>
          <w:jc w:val="center"/>
        </w:trPr>
        <w:tc>
          <w:tcPr>
            <w:tcW w:w="3295" w:type="dxa"/>
          </w:tcPr>
          <w:p w14:paraId="7767148A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488BE6CC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Fiscal Stance, Public Debt, and Inflation Dynamics in Nigeria</w:t>
            </w:r>
          </w:p>
        </w:tc>
      </w:tr>
      <w:tr w:rsidR="003676C5" w:rsidRPr="009137B6" w14:paraId="52730E66" w14:textId="77777777">
        <w:trPr>
          <w:trHeight w:val="20"/>
          <w:jc w:val="center"/>
        </w:trPr>
        <w:tc>
          <w:tcPr>
            <w:tcW w:w="3295" w:type="dxa"/>
          </w:tcPr>
          <w:p w14:paraId="43707D1B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4D7C51F2" w14:textId="77777777" w:rsidR="003676C5" w:rsidRPr="009137B6" w:rsidRDefault="0074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14:paraId="3560824A" w14:textId="77777777" w:rsidR="003676C5" w:rsidRPr="009137B6" w:rsidRDefault="0036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2FC3DC4" w14:textId="77777777" w:rsidR="003676C5" w:rsidRPr="009137B6" w:rsidRDefault="003676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14:paraId="1209EA69" w14:textId="77777777" w:rsidR="003676C5" w:rsidRPr="009137B6" w:rsidRDefault="003676C5">
      <w:pPr>
        <w:jc w:val="both"/>
        <w:rPr>
          <w:rFonts w:ascii="Arial" w:hAnsi="Arial" w:cs="Arial"/>
          <w:sz w:val="20"/>
          <w:szCs w:val="20"/>
        </w:rPr>
      </w:pPr>
    </w:p>
    <w:p w14:paraId="2172694E" w14:textId="77777777" w:rsidR="003676C5" w:rsidRPr="009137B6" w:rsidRDefault="007442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9137B6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9137B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3D3EA0CA" w14:textId="77777777" w:rsidR="003676C5" w:rsidRPr="009137B6" w:rsidRDefault="003676C5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3676C5" w:rsidRPr="009137B6" w14:paraId="49ECFFA1" w14:textId="77777777">
        <w:trPr>
          <w:trHeight w:val="20"/>
          <w:jc w:val="center"/>
        </w:trPr>
        <w:tc>
          <w:tcPr>
            <w:tcW w:w="4623" w:type="dxa"/>
          </w:tcPr>
          <w:p w14:paraId="26AB3BDA" w14:textId="77777777" w:rsidR="003676C5" w:rsidRPr="009137B6" w:rsidRDefault="003676C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14:paraId="1223E534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14:paraId="061CA88D" w14:textId="77777777" w:rsidR="003676C5" w:rsidRPr="009137B6" w:rsidRDefault="007442E4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137B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7AE698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42D61A1D" w14:textId="77777777">
        <w:trPr>
          <w:trHeight w:val="20"/>
          <w:jc w:val="center"/>
        </w:trPr>
        <w:tc>
          <w:tcPr>
            <w:tcW w:w="4623" w:type="dxa"/>
          </w:tcPr>
          <w:p w14:paraId="241795FD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9137B6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14:paraId="37E1BDDD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14:paraId="6A3D8E8A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 xml:space="preserve">The manuscript addresses an important macroeconomic issue for Nigeria: the relationship between fiscal stance, public debt, and inflation over a long historical period. Its focus is relevant for policymakers because inflation in Nigeria is often linked to exchange-rate pressure, debt financing, and fiscal-monetary coordination. The attempt to model the interaction between fiscal deficit and public debt is a useful contribution. </w:t>
            </w:r>
          </w:p>
        </w:tc>
        <w:tc>
          <w:tcPr>
            <w:tcW w:w="4627" w:type="dxa"/>
          </w:tcPr>
          <w:p w14:paraId="56923A5E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B4AEF1" w14:textId="77777777" w:rsidR="003676C5" w:rsidRPr="009137B6" w:rsidRDefault="003676C5">
      <w:pPr>
        <w:rPr>
          <w:rFonts w:ascii="Arial" w:hAnsi="Arial" w:cs="Arial"/>
          <w:sz w:val="20"/>
          <w:szCs w:val="20"/>
        </w:rPr>
      </w:pPr>
    </w:p>
    <w:p w14:paraId="70A8164F" w14:textId="77777777" w:rsidR="003676C5" w:rsidRPr="009137B6" w:rsidRDefault="003676C5">
      <w:pPr>
        <w:rPr>
          <w:rFonts w:ascii="Arial" w:hAnsi="Arial" w:cs="Arial"/>
          <w:sz w:val="20"/>
          <w:szCs w:val="20"/>
        </w:rPr>
      </w:pPr>
    </w:p>
    <w:p w14:paraId="7B6CCED4" w14:textId="77777777" w:rsidR="003676C5" w:rsidRPr="009137B6" w:rsidRDefault="007442E4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9137B6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14:paraId="18479E38" w14:textId="77777777" w:rsidR="003676C5" w:rsidRPr="009137B6" w:rsidRDefault="003676C5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3676C5" w:rsidRPr="009137B6" w14:paraId="11AB8662" w14:textId="77777777">
        <w:trPr>
          <w:trHeight w:val="20"/>
          <w:jc w:val="center"/>
        </w:trPr>
        <w:tc>
          <w:tcPr>
            <w:tcW w:w="4628" w:type="dxa"/>
          </w:tcPr>
          <w:p w14:paraId="0E8D7FEC" w14:textId="77777777" w:rsidR="003676C5" w:rsidRPr="009137B6" w:rsidRDefault="003676C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65712F56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4231F5B2" w14:textId="77777777" w:rsidR="003676C5" w:rsidRPr="009137B6" w:rsidRDefault="007442E4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137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37B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(</w:t>
            </w:r>
            <w:r w:rsidRPr="009137B6">
              <w:rPr>
                <w:rFonts w:ascii="Arial" w:hAnsi="Arial" w:cs="Arial"/>
                <w:sz w:val="20"/>
                <w:szCs w:val="20"/>
                <w:highlight w:val="yellow"/>
              </w:rPr>
              <w:t>Revision of the Manuscript and Feedback of Authors are mandatory for Rating of 2 and 1)</w:t>
            </w:r>
          </w:p>
        </w:tc>
      </w:tr>
      <w:tr w:rsidR="003676C5" w:rsidRPr="009137B6" w14:paraId="47CA3E4B" w14:textId="77777777">
        <w:trPr>
          <w:trHeight w:val="20"/>
          <w:jc w:val="center"/>
        </w:trPr>
        <w:tc>
          <w:tcPr>
            <w:tcW w:w="4628" w:type="dxa"/>
          </w:tcPr>
          <w:p w14:paraId="7C4F1379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14:paraId="00AAF9CE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A3DF63B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61BF738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9E81715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71F523E3" w14:textId="77777777">
        <w:trPr>
          <w:trHeight w:val="20"/>
          <w:jc w:val="center"/>
        </w:trPr>
        <w:tc>
          <w:tcPr>
            <w:tcW w:w="4628" w:type="dxa"/>
          </w:tcPr>
          <w:p w14:paraId="34C4AFE5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789CA633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CA0F3B5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5B21FED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0D7F9148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78464429" w14:textId="77777777">
        <w:trPr>
          <w:trHeight w:val="20"/>
          <w:jc w:val="center"/>
        </w:trPr>
        <w:tc>
          <w:tcPr>
            <w:tcW w:w="4628" w:type="dxa"/>
          </w:tcPr>
          <w:p w14:paraId="646EA629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03E965EA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BF76E84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4E5793BF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10CBDF68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5F70B8BF" w14:textId="77777777">
        <w:trPr>
          <w:trHeight w:val="20"/>
          <w:jc w:val="center"/>
        </w:trPr>
        <w:tc>
          <w:tcPr>
            <w:tcW w:w="4628" w:type="dxa"/>
          </w:tcPr>
          <w:p w14:paraId="3AB1DF9E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54DC7AA7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95A32BC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4591684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8C16C9D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16409004" w14:textId="77777777">
        <w:trPr>
          <w:trHeight w:val="20"/>
          <w:jc w:val="center"/>
        </w:trPr>
        <w:tc>
          <w:tcPr>
            <w:tcW w:w="4628" w:type="dxa"/>
          </w:tcPr>
          <w:p w14:paraId="026C5EF1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14:paraId="1282F814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573D768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81B8DD9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241D61E0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3C7B1D9E" w14:textId="77777777">
        <w:trPr>
          <w:trHeight w:val="20"/>
          <w:jc w:val="center"/>
        </w:trPr>
        <w:tc>
          <w:tcPr>
            <w:tcW w:w="4628" w:type="dxa"/>
          </w:tcPr>
          <w:p w14:paraId="45E1A16D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14:paraId="7BFAA05F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58E74B2E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C3C087D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32" w:type="dxa"/>
          </w:tcPr>
          <w:p w14:paraId="661E8903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0BB44096" w14:textId="77777777">
        <w:trPr>
          <w:trHeight w:val="20"/>
          <w:jc w:val="center"/>
        </w:trPr>
        <w:tc>
          <w:tcPr>
            <w:tcW w:w="4628" w:type="dxa"/>
          </w:tcPr>
          <w:p w14:paraId="5A2C14F5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14:paraId="682CDDAF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C4164E2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3C7F192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788B1BBE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4760E910" w14:textId="77777777">
        <w:trPr>
          <w:trHeight w:val="20"/>
          <w:jc w:val="center"/>
        </w:trPr>
        <w:tc>
          <w:tcPr>
            <w:tcW w:w="4628" w:type="dxa"/>
          </w:tcPr>
          <w:p w14:paraId="1D1E7803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14:paraId="34EEC370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6CC69F1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B091C9E" w14:textId="77777777" w:rsidR="003676C5" w:rsidRPr="009137B6" w:rsidRDefault="007442E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 </w:t>
            </w:r>
          </w:p>
        </w:tc>
        <w:tc>
          <w:tcPr>
            <w:tcW w:w="4632" w:type="dxa"/>
          </w:tcPr>
          <w:p w14:paraId="179B999D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793310DA" w14:textId="77777777">
        <w:trPr>
          <w:trHeight w:val="20"/>
          <w:jc w:val="center"/>
        </w:trPr>
        <w:tc>
          <w:tcPr>
            <w:tcW w:w="4628" w:type="dxa"/>
          </w:tcPr>
          <w:p w14:paraId="6BD9DA29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14:paraId="1F933E73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ECF7673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8000E38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252E3850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2E1EF35D" w14:textId="77777777">
        <w:trPr>
          <w:trHeight w:val="20"/>
          <w:jc w:val="center"/>
        </w:trPr>
        <w:tc>
          <w:tcPr>
            <w:tcW w:w="4628" w:type="dxa"/>
          </w:tcPr>
          <w:p w14:paraId="371A7973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14:paraId="0DB20D2B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2AFDCAD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  <w:p w14:paraId="2FB19936" w14:textId="77777777" w:rsidR="003676C5" w:rsidRPr="009137B6" w:rsidRDefault="003676C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14:paraId="4B4F8795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45113D3D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4632" w:type="dxa"/>
          </w:tcPr>
          <w:p w14:paraId="41672C65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28D802DF" w14:textId="77777777">
        <w:trPr>
          <w:trHeight w:val="20"/>
          <w:jc w:val="center"/>
        </w:trPr>
        <w:tc>
          <w:tcPr>
            <w:tcW w:w="4628" w:type="dxa"/>
          </w:tcPr>
          <w:p w14:paraId="746AF400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14:paraId="461F8D33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378B844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941E146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F6BE25E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0F383FB7" w14:textId="77777777">
        <w:trPr>
          <w:trHeight w:val="20"/>
          <w:jc w:val="center"/>
        </w:trPr>
        <w:tc>
          <w:tcPr>
            <w:tcW w:w="4628" w:type="dxa"/>
          </w:tcPr>
          <w:p w14:paraId="01F2ECDF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14:paraId="5F75E1E7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8685248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5296C32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0128A46B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163D2A18" w14:textId="77777777">
        <w:trPr>
          <w:trHeight w:val="20"/>
          <w:jc w:val="center"/>
        </w:trPr>
        <w:tc>
          <w:tcPr>
            <w:tcW w:w="4628" w:type="dxa"/>
          </w:tcPr>
          <w:p w14:paraId="7BF114B6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14:paraId="6AB48F86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BF30496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2503C077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1BFB6422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1329C044" w14:textId="77777777">
        <w:trPr>
          <w:trHeight w:val="20"/>
          <w:jc w:val="center"/>
        </w:trPr>
        <w:tc>
          <w:tcPr>
            <w:tcW w:w="4628" w:type="dxa"/>
          </w:tcPr>
          <w:p w14:paraId="4384A7F8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14:paraId="532CB959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5CF6684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309CD854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0C23EA75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58E6391C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51AF38B7" w14:textId="77777777">
        <w:trPr>
          <w:trHeight w:val="20"/>
          <w:jc w:val="center"/>
        </w:trPr>
        <w:tc>
          <w:tcPr>
            <w:tcW w:w="4628" w:type="dxa"/>
          </w:tcPr>
          <w:p w14:paraId="43C1A30E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14:paraId="76992C52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D4636A1" w14:textId="77777777" w:rsidR="003676C5" w:rsidRPr="009137B6" w:rsidRDefault="007442E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39AAAD9C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63D2FB88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00883A6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FB446" w14:textId="77777777" w:rsidR="003676C5" w:rsidRPr="009137B6" w:rsidRDefault="003676C5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D53BB92" w14:textId="77777777" w:rsidR="003676C5" w:rsidRPr="009137B6" w:rsidRDefault="003676C5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04F9738" w14:textId="77777777" w:rsidR="003676C5" w:rsidRPr="009137B6" w:rsidRDefault="007442E4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9137B6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18692E9D" w14:textId="77777777" w:rsidR="003676C5" w:rsidRPr="009137B6" w:rsidRDefault="003676C5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3676C5" w:rsidRPr="009137B6" w14:paraId="59B32DCA" w14:textId="77777777">
        <w:trPr>
          <w:trHeight w:val="20"/>
          <w:jc w:val="center"/>
        </w:trPr>
        <w:tc>
          <w:tcPr>
            <w:tcW w:w="4628" w:type="dxa"/>
          </w:tcPr>
          <w:p w14:paraId="162E0CC3" w14:textId="77777777" w:rsidR="003676C5" w:rsidRPr="009137B6" w:rsidRDefault="003676C5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7FAC5281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10E60B83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45462C0" w14:textId="77777777" w:rsidR="003676C5" w:rsidRPr="009137B6" w:rsidRDefault="007442E4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137B6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9137B6">
              <w:rPr>
                <w:rFonts w:ascii="Arial" w:hAnsi="Arial" w:cs="Arial"/>
                <w:sz w:val="20"/>
                <w:szCs w:val="20"/>
                <w:highlight w:val="yellow"/>
              </w:rPr>
              <w:t>It is mandatory that authors should write his/her feedback here)</w:t>
            </w:r>
          </w:p>
          <w:p w14:paraId="145D4881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23F90629" w14:textId="77777777">
        <w:trPr>
          <w:trHeight w:val="20"/>
          <w:jc w:val="center"/>
        </w:trPr>
        <w:tc>
          <w:tcPr>
            <w:tcW w:w="4628" w:type="dxa"/>
          </w:tcPr>
          <w:p w14:paraId="49F08FAD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2CC4ABE7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37E69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71152C2D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14:paraId="544CB6BA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YES. The title is suitable. However, the article type should be treated as a research article because the manuscript reports original empirical analysis.</w:t>
            </w:r>
          </w:p>
        </w:tc>
        <w:tc>
          <w:tcPr>
            <w:tcW w:w="4632" w:type="dxa"/>
          </w:tcPr>
          <w:p w14:paraId="1E0AEB7E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70EB4685" w14:textId="77777777">
        <w:trPr>
          <w:trHeight w:val="20"/>
          <w:jc w:val="center"/>
        </w:trPr>
        <w:tc>
          <w:tcPr>
            <w:tcW w:w="4628" w:type="dxa"/>
          </w:tcPr>
          <w:p w14:paraId="236E0E04" w14:textId="77777777" w:rsidR="003676C5" w:rsidRPr="009137B6" w:rsidRDefault="007442E4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501C6EFE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6DDAE14F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14:paraId="01028824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592D8B0B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 xml:space="preserve">YES, but it should be revised. It should state that the long-run interaction term is statistically insignificant. </w:t>
            </w:r>
          </w:p>
        </w:tc>
        <w:tc>
          <w:tcPr>
            <w:tcW w:w="4632" w:type="dxa"/>
          </w:tcPr>
          <w:p w14:paraId="433C0727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3453C894" w14:textId="77777777">
        <w:trPr>
          <w:trHeight w:val="20"/>
          <w:jc w:val="center"/>
        </w:trPr>
        <w:tc>
          <w:tcPr>
            <w:tcW w:w="4628" w:type="dxa"/>
          </w:tcPr>
          <w:p w14:paraId="0CFD56FA" w14:textId="77777777" w:rsidR="003676C5" w:rsidRPr="009137B6" w:rsidRDefault="007442E4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DFE75A1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14:paraId="55F3A643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14:paraId="7F3E2D15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0F54692E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0E7A012A" w14:textId="77777777">
        <w:trPr>
          <w:trHeight w:val="20"/>
          <w:jc w:val="center"/>
        </w:trPr>
        <w:tc>
          <w:tcPr>
            <w:tcW w:w="4628" w:type="dxa"/>
          </w:tcPr>
          <w:p w14:paraId="0D429875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4EDF66F1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6B7D0C5B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FF2F9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14:paraId="1129144D" w14:textId="77777777" w:rsidR="003676C5" w:rsidRPr="009137B6" w:rsidRDefault="003676C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6FFC7947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 xml:space="preserve">YES, But References such as </w:t>
            </w:r>
            <w:proofErr w:type="spellStart"/>
            <w:r w:rsidRPr="009137B6">
              <w:rPr>
                <w:rFonts w:ascii="Arial" w:hAnsi="Arial" w:cs="Arial"/>
                <w:sz w:val="20"/>
                <w:szCs w:val="20"/>
              </w:rPr>
              <w:t>Aimola</w:t>
            </w:r>
            <w:proofErr w:type="spellEnd"/>
            <w:r w:rsidRPr="009137B6">
              <w:rPr>
                <w:rFonts w:ascii="Arial" w:hAnsi="Arial" w:cs="Arial"/>
                <w:sz w:val="20"/>
                <w:szCs w:val="20"/>
              </w:rPr>
              <w:t xml:space="preserve"> and Odhiambo, </w:t>
            </w:r>
            <w:proofErr w:type="spellStart"/>
            <w:r w:rsidRPr="009137B6">
              <w:rPr>
                <w:rFonts w:ascii="Arial" w:hAnsi="Arial" w:cs="Arial"/>
                <w:sz w:val="20"/>
                <w:szCs w:val="20"/>
              </w:rPr>
              <w:t>Ezeabasili</w:t>
            </w:r>
            <w:proofErr w:type="spellEnd"/>
            <w:r w:rsidRPr="009137B6">
              <w:rPr>
                <w:rFonts w:ascii="Arial" w:hAnsi="Arial" w:cs="Arial"/>
                <w:sz w:val="20"/>
                <w:szCs w:val="20"/>
              </w:rPr>
              <w:t xml:space="preserve"> et al., and Batool et al. should be checked carefully for year consistency and formatting.</w:t>
            </w:r>
          </w:p>
        </w:tc>
        <w:tc>
          <w:tcPr>
            <w:tcW w:w="4632" w:type="dxa"/>
          </w:tcPr>
          <w:p w14:paraId="43C5988C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6C5" w:rsidRPr="009137B6" w14:paraId="41E3A669" w14:textId="77777777">
        <w:trPr>
          <w:trHeight w:val="20"/>
          <w:jc w:val="center"/>
        </w:trPr>
        <w:tc>
          <w:tcPr>
            <w:tcW w:w="4628" w:type="dxa"/>
          </w:tcPr>
          <w:p w14:paraId="798B549D" w14:textId="77777777" w:rsidR="003676C5" w:rsidRPr="009137B6" w:rsidRDefault="007442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37B6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7139F941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581C13F2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3602F4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5B1C34E3" w14:textId="77777777" w:rsidR="003676C5" w:rsidRPr="009137B6" w:rsidRDefault="003676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425D808" w14:textId="77777777" w:rsidR="003676C5" w:rsidRPr="009137B6" w:rsidRDefault="007442E4">
            <w:pPr>
              <w:rPr>
                <w:rFonts w:ascii="Arial" w:hAnsi="Arial" w:cs="Arial"/>
                <w:sz w:val="20"/>
                <w:szCs w:val="20"/>
              </w:rPr>
            </w:pPr>
            <w:r w:rsidRPr="009137B6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  <w:tc>
          <w:tcPr>
            <w:tcW w:w="4632" w:type="dxa"/>
          </w:tcPr>
          <w:p w14:paraId="1ADD9682" w14:textId="77777777" w:rsidR="003676C5" w:rsidRPr="009137B6" w:rsidRDefault="003676C5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3D1ED" w14:textId="77777777" w:rsidR="003676C5" w:rsidRPr="009137B6" w:rsidRDefault="003676C5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71C34B60" w14:textId="77777777" w:rsidR="009137B6" w:rsidRPr="009137B6" w:rsidRDefault="009137B6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462955B9" w14:textId="77777777" w:rsidR="009137B6" w:rsidRPr="009137B6" w:rsidRDefault="009137B6" w:rsidP="009137B6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9137B6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14:paraId="1379797F" w14:textId="77777777" w:rsidR="009137B6" w:rsidRPr="009137B6" w:rsidRDefault="009137B6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68ED3557" w14:textId="73A02747" w:rsidR="009137B6" w:rsidRPr="009137B6" w:rsidRDefault="009137B6" w:rsidP="009137B6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  <w:r w:rsidRPr="009137B6">
        <w:rPr>
          <w:rFonts w:ascii="Arial" w:hAnsi="Arial" w:cs="Arial"/>
          <w:b/>
          <w:bCs/>
          <w:sz w:val="20"/>
          <w:szCs w:val="20"/>
        </w:rPr>
        <w:t>Shivani Keny</w:t>
      </w:r>
      <w:r w:rsidRPr="009137B6">
        <w:rPr>
          <w:rFonts w:ascii="Arial" w:hAnsi="Arial" w:cs="Arial"/>
          <w:b/>
          <w:bCs/>
          <w:sz w:val="20"/>
          <w:szCs w:val="20"/>
        </w:rPr>
        <w:t xml:space="preserve">, </w:t>
      </w:r>
      <w:r w:rsidRPr="009137B6">
        <w:rPr>
          <w:rFonts w:ascii="Arial" w:hAnsi="Arial" w:cs="Arial"/>
          <w:b/>
          <w:bCs/>
          <w:sz w:val="20"/>
          <w:szCs w:val="20"/>
        </w:rPr>
        <w:t>India</w:t>
      </w:r>
    </w:p>
    <w:sectPr w:rsidR="009137B6" w:rsidRPr="009137B6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7676A" w14:textId="77777777" w:rsidR="006C04D7" w:rsidRDefault="006C04D7">
      <w:r>
        <w:separator/>
      </w:r>
    </w:p>
  </w:endnote>
  <w:endnote w:type="continuationSeparator" w:id="0">
    <w:p w14:paraId="7DE11B13" w14:textId="77777777" w:rsidR="006C04D7" w:rsidRDefault="006C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Bold r:id="rId1" w:fontKey="{74E3B0EB-32B2-4B35-B167-EDC2A13463A4}"/>
  </w:font>
  <w:font w:name="Arimo">
    <w:charset w:val="00"/>
    <w:family w:val="auto"/>
    <w:pitch w:val="default"/>
    <w:embedBold r:id="rId2" w:fontKey="{97B1240B-4E82-4B1B-8206-762E866C3E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EC850B-8113-4427-B1B7-9AF7CF9148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B71291-D78D-4AA9-85AA-95F0AE6ABF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A56FD66-E3E8-46C7-9DCB-CA644B3C2B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87BBD" w14:textId="77777777" w:rsidR="003676C5" w:rsidRDefault="003676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509FF98B" w14:textId="77777777" w:rsidR="003676C5" w:rsidRDefault="00744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697196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697196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14:paraId="24353B50" w14:textId="77777777" w:rsidR="003676C5" w:rsidRDefault="007442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14:paraId="29314288" w14:textId="77777777" w:rsidR="003676C5" w:rsidRDefault="003676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61D22668" w14:textId="77777777" w:rsidR="003676C5" w:rsidRDefault="003676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A07B3" w14:textId="77777777" w:rsidR="006C04D7" w:rsidRDefault="006C04D7">
      <w:r>
        <w:separator/>
      </w:r>
    </w:p>
  </w:footnote>
  <w:footnote w:type="continuationSeparator" w:id="0">
    <w:p w14:paraId="253C6443" w14:textId="77777777" w:rsidR="006C04D7" w:rsidRDefault="006C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D0ED" w14:textId="77777777" w:rsidR="003676C5" w:rsidRDefault="003676C5">
    <w:pPr>
      <w:spacing w:after="280"/>
      <w:jc w:val="center"/>
      <w:rPr>
        <w:b/>
        <w:bCs/>
        <w:color w:val="003399"/>
        <w:u w:val="single"/>
      </w:rPr>
    </w:pPr>
  </w:p>
  <w:p w14:paraId="2208DF41" w14:textId="77777777" w:rsidR="003676C5" w:rsidRDefault="007442E4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C5"/>
    <w:rsid w:val="003676C5"/>
    <w:rsid w:val="00451D60"/>
    <w:rsid w:val="00541F05"/>
    <w:rsid w:val="00697196"/>
    <w:rsid w:val="006C04D7"/>
    <w:rsid w:val="007442E4"/>
    <w:rsid w:val="007D307D"/>
    <w:rsid w:val="009137B6"/>
    <w:rsid w:val="00AB4264"/>
    <w:rsid w:val="00B33760"/>
    <w:rsid w:val="00F1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8D39"/>
  <w15:docId w15:val="{169DE700-23AE-4CB0-BD14-DB5506DA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19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Spacing">
    <w:name w:val="No Spacing"/>
    <w:uiPriority w:val="1"/>
    <w:qFormat/>
    <w:rsid w:val="00697196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37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ajefm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732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6</cp:revision>
  <dcterms:created xsi:type="dcterms:W3CDTF">2026-06-23T09:22:00Z</dcterms:created>
  <dcterms:modified xsi:type="dcterms:W3CDTF">2026-07-01T11:30:00Z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