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B9B93E" w14:textId="2A37CD74" w:rsidR="00B05A71" w:rsidRPr="00692AF5" w:rsidRDefault="00C2401C" w:rsidP="00055D83">
      <w:pPr>
        <w:spacing w:before="0" w:line="240" w:lineRule="auto"/>
        <w:jc w:val="center"/>
        <w:rPr>
          <w:rFonts w:cs="Times New Roman"/>
          <w:b/>
          <w:bCs/>
          <w:color w:val="000000" w:themeColor="text1"/>
          <w:sz w:val="36"/>
          <w:szCs w:val="36"/>
        </w:rPr>
      </w:pPr>
      <w:r w:rsidRPr="00692AF5">
        <w:rPr>
          <w:rFonts w:cs="Times New Roman"/>
          <w:b/>
          <w:bCs/>
          <w:color w:val="000000" w:themeColor="text1"/>
          <w:sz w:val="36"/>
          <w:szCs w:val="36"/>
        </w:rPr>
        <w:t xml:space="preserve">STRATEGIC RESPONSES AND PERFORMANCE OF </w:t>
      </w:r>
      <w:bookmarkStart w:id="0" w:name="_Hlk232695405"/>
      <w:r w:rsidRPr="00692AF5">
        <w:rPr>
          <w:rFonts w:cs="Times New Roman"/>
          <w:b/>
          <w:bCs/>
          <w:color w:val="000000" w:themeColor="text1"/>
          <w:sz w:val="36"/>
          <w:szCs w:val="36"/>
        </w:rPr>
        <w:t>KENYA REVENUE AUTHORITY</w:t>
      </w:r>
      <w:bookmarkEnd w:id="0"/>
      <w:r w:rsidRPr="00692AF5">
        <w:rPr>
          <w:rFonts w:cs="Times New Roman"/>
          <w:b/>
          <w:bCs/>
          <w:color w:val="000000" w:themeColor="text1"/>
          <w:sz w:val="36"/>
          <w:szCs w:val="36"/>
        </w:rPr>
        <w:t xml:space="preserve"> IN NAIROBI COUNTY, KENYA</w:t>
      </w:r>
    </w:p>
    <w:p w14:paraId="362DBFAE" w14:textId="77777777" w:rsidR="007B468C" w:rsidRPr="00692AF5" w:rsidRDefault="007B468C" w:rsidP="00055D83">
      <w:pPr>
        <w:spacing w:before="0" w:line="240" w:lineRule="auto"/>
        <w:jc w:val="center"/>
        <w:rPr>
          <w:rFonts w:cs="Times New Roman"/>
          <w:color w:val="000000" w:themeColor="text1"/>
          <w:szCs w:val="24"/>
        </w:rPr>
      </w:pPr>
    </w:p>
    <w:p w14:paraId="26A1F76F" w14:textId="77777777" w:rsidR="00DD21C0" w:rsidRPr="00692AF5" w:rsidRDefault="00DD21C0" w:rsidP="00055D83">
      <w:pPr>
        <w:spacing w:before="0" w:line="240" w:lineRule="auto"/>
        <w:jc w:val="center"/>
        <w:rPr>
          <w:rFonts w:cs="Times New Roman"/>
          <w:color w:val="000000" w:themeColor="text1"/>
          <w:szCs w:val="24"/>
        </w:rPr>
      </w:pPr>
    </w:p>
    <w:p w14:paraId="43D2AA90" w14:textId="77777777" w:rsidR="007C3182" w:rsidRPr="00692AF5" w:rsidRDefault="007C3182" w:rsidP="00055D83">
      <w:pPr>
        <w:spacing w:before="0" w:line="240" w:lineRule="auto"/>
        <w:jc w:val="center"/>
        <w:rPr>
          <w:rFonts w:cs="Times New Roman"/>
          <w:color w:val="000000" w:themeColor="text1"/>
          <w:szCs w:val="24"/>
        </w:rPr>
      </w:pPr>
    </w:p>
    <w:p w14:paraId="42946DD8" w14:textId="77777777" w:rsidR="00055D83" w:rsidRPr="00692AF5" w:rsidRDefault="00055D83" w:rsidP="004737A8">
      <w:pPr>
        <w:spacing w:before="0" w:line="240" w:lineRule="auto"/>
        <w:jc w:val="center"/>
        <w:rPr>
          <w:b/>
          <w:sz w:val="28"/>
        </w:rPr>
      </w:pPr>
      <w:bookmarkStart w:id="1" w:name="_Toc488404692"/>
      <w:bookmarkStart w:id="2" w:name="_Toc102409737"/>
      <w:r w:rsidRPr="00692AF5">
        <w:rPr>
          <w:b/>
          <w:sz w:val="28"/>
        </w:rPr>
        <w:t>ABSTRACT</w:t>
      </w:r>
      <w:bookmarkEnd w:id="1"/>
      <w:bookmarkEnd w:id="2"/>
    </w:p>
    <w:p w14:paraId="33405D5C" w14:textId="690F806C" w:rsidR="00C2401C" w:rsidRPr="00692AF5" w:rsidRDefault="00C2401C" w:rsidP="00C2401C">
      <w:pPr>
        <w:spacing w:line="240" w:lineRule="auto"/>
        <w:rPr>
          <w:rFonts w:cs="Times New Roman"/>
          <w:color w:val="000000" w:themeColor="text1"/>
          <w:szCs w:val="24"/>
        </w:rPr>
      </w:pPr>
      <w:r w:rsidRPr="00692AF5">
        <w:rPr>
          <w:rFonts w:cs="Times New Roman"/>
          <w:color w:val="000000" w:themeColor="text1"/>
          <w:szCs w:val="24"/>
        </w:rPr>
        <w:t>Despite implementing strategic management practices, the Kenya Revenue Authority (KRA) consistently experiences revenue shortfalls, highlighting potential gaps in strategy execution. Grounded in the Resource-Based View (RBV) theory and the Technology Acceptance Model (TAM), this study investigated the effects of strategic responses on organizational performance at KRA’s Nairobi headquarters, focusing on customer-centric approaches, brand positioning, technological integration, and data-driven decision-making. A descriptive research design utilized a census approach targeting 180 employees, sampling 50% from middle-level (n=116) and senior (n=64) cadres across three primary departments. Data reliability was verified using Cronbach’s alpha (alpha 0.7), and analyzed via descriptive and inferential statistics. Regression analysis revealed that data-driven decision-making exerted the strongest positive impact on performance (B= 1.399, p = 0.008), significantly improving compliance and forecasting. Strategic brand positioning also highly influenced performance (B = 1.240, p = 0.000) by fostering stakeholder trust and institutional legitimacy. Customer-centric approaches significantly driven efficiency (\beta = 0.662, p = 0.002), though outcomes depended heavily on implementation quality. Conversely, technological integration yielded a negative, statistically non-significant effect (B = -0.312, p = 0.535). The study concludes that customer-focused initiatives, taxpayer education, and robust brand management are critical for voluntary compliance. Furthermore, investments in technology and analytics yield optimal performance benefits only when paired with comprehensive staff training, system integration, and strong data governance. These insights offer actionable strategies for policymakers seeking to optimize tax administration and revenue mobilization.</w:t>
      </w:r>
    </w:p>
    <w:p w14:paraId="474A5808" w14:textId="77777777" w:rsidR="00C2401C" w:rsidRPr="00692AF5" w:rsidRDefault="00C2401C" w:rsidP="00C2401C">
      <w:pPr>
        <w:spacing w:line="240" w:lineRule="auto"/>
        <w:rPr>
          <w:rFonts w:cs="Times New Roman"/>
          <w:color w:val="000000" w:themeColor="text1"/>
          <w:szCs w:val="24"/>
        </w:rPr>
      </w:pPr>
    </w:p>
    <w:p w14:paraId="6DA87711" w14:textId="44FD56F9" w:rsidR="005E386E" w:rsidRPr="00692AF5" w:rsidRDefault="00C2401C" w:rsidP="00C2401C">
      <w:pPr>
        <w:spacing w:line="240" w:lineRule="auto"/>
        <w:rPr>
          <w:rFonts w:cs="Times New Roman"/>
          <w:color w:val="000000" w:themeColor="text1"/>
          <w:szCs w:val="24"/>
        </w:rPr>
      </w:pPr>
      <w:r w:rsidRPr="00692AF5">
        <w:rPr>
          <w:rFonts w:cs="Times New Roman"/>
          <w:b/>
          <w:bCs/>
          <w:color w:val="000000" w:themeColor="text1"/>
          <w:szCs w:val="24"/>
        </w:rPr>
        <w:t xml:space="preserve">Key Words: </w:t>
      </w:r>
      <w:r w:rsidRPr="00692AF5">
        <w:rPr>
          <w:rFonts w:cs="Times New Roman"/>
          <w:i/>
          <w:iCs/>
          <w:color w:val="000000" w:themeColor="text1"/>
          <w:szCs w:val="24"/>
        </w:rPr>
        <w:t>Strategic responses, Revenue mobilization, Brand positioning, Data-driven decision-making, Taxpayer compliance, Organizational performance, Tax administration</w:t>
      </w:r>
      <w:r w:rsidR="005E386E" w:rsidRPr="00692AF5">
        <w:rPr>
          <w:rFonts w:cs="Times New Roman"/>
          <w:i/>
          <w:iCs/>
          <w:color w:val="000000" w:themeColor="text1"/>
          <w:szCs w:val="24"/>
        </w:rPr>
        <w:t>.</w:t>
      </w:r>
    </w:p>
    <w:p w14:paraId="73B850E8" w14:textId="77777777" w:rsidR="004261F9" w:rsidRPr="00692AF5" w:rsidRDefault="004261F9" w:rsidP="004261F9">
      <w:pPr>
        <w:spacing w:line="240" w:lineRule="auto"/>
        <w:rPr>
          <w:rFonts w:cs="Times New Roman"/>
          <w:color w:val="000000" w:themeColor="text1"/>
          <w:szCs w:val="24"/>
        </w:rPr>
      </w:pPr>
    </w:p>
    <w:p w14:paraId="60C890DF" w14:textId="77777777" w:rsidR="00055D83" w:rsidRPr="00692AF5" w:rsidRDefault="00055D83" w:rsidP="00055D83">
      <w:pPr>
        <w:shd w:val="clear" w:color="auto" w:fill="FFFFFF"/>
        <w:spacing w:line="240" w:lineRule="auto"/>
        <w:rPr>
          <w:rFonts w:eastAsia="Times New Roman" w:cs="Times New Roman"/>
          <w:b/>
          <w:bCs/>
          <w:color w:val="000000" w:themeColor="text1"/>
          <w:sz w:val="28"/>
          <w:szCs w:val="28"/>
        </w:rPr>
      </w:pPr>
      <w:r w:rsidRPr="00692AF5">
        <w:rPr>
          <w:rFonts w:eastAsia="Times New Roman" w:cs="Times New Roman"/>
          <w:b/>
          <w:bCs/>
          <w:color w:val="000000" w:themeColor="text1"/>
          <w:sz w:val="28"/>
          <w:szCs w:val="28"/>
        </w:rPr>
        <w:t>1.0 INTRODUCTION</w:t>
      </w:r>
    </w:p>
    <w:p w14:paraId="2CBEFE8E" w14:textId="77777777" w:rsidR="001947AD" w:rsidRPr="00692AF5" w:rsidRDefault="001947AD" w:rsidP="001947AD">
      <w:pPr>
        <w:shd w:val="clear" w:color="auto" w:fill="FFFFFF"/>
        <w:spacing w:line="240" w:lineRule="auto"/>
        <w:rPr>
          <w:rFonts w:cs="Times New Roman"/>
          <w:color w:val="000000" w:themeColor="text1"/>
          <w:szCs w:val="24"/>
        </w:rPr>
      </w:pPr>
      <w:r w:rsidRPr="00692AF5">
        <w:rPr>
          <w:rFonts w:cs="Times New Roman"/>
          <w:color w:val="000000" w:themeColor="text1"/>
          <w:szCs w:val="24"/>
        </w:rPr>
        <w:t>In contemporary business environments, strategy is viewed as a long-term roadmap that guides organizations in achieving their performance objectives through coordinated actions, resource allocation, and informed decision-making (Braun et al., 2017). A strategy reflects an organization’s understanding of its operating environment, competitive dynamics, and the actions required to sustain competitiveness and improve performance (Munyao, 2021). Strategic management therefore involves the formulation, implementation, and evaluation of decisions aimed at achieving organizational objectives. It incorporates corporate, business-level, and operational strategies, where corporate strategy provides overall direction in line with organizational vision and mission (Kheyley &amp; Ragui, 2018; Nyong’a &amp; Maina, 2019).</w:t>
      </w:r>
    </w:p>
    <w:p w14:paraId="2CC213D3" w14:textId="77777777" w:rsidR="001947AD" w:rsidRPr="00692AF5" w:rsidRDefault="001947AD" w:rsidP="001947AD">
      <w:pPr>
        <w:shd w:val="clear" w:color="auto" w:fill="FFFFFF"/>
        <w:spacing w:line="240" w:lineRule="auto"/>
        <w:rPr>
          <w:rFonts w:cs="Times New Roman"/>
          <w:color w:val="000000" w:themeColor="text1"/>
          <w:szCs w:val="24"/>
        </w:rPr>
      </w:pPr>
      <w:r w:rsidRPr="00692AF5">
        <w:rPr>
          <w:rFonts w:cs="Times New Roman"/>
          <w:color w:val="000000" w:themeColor="text1"/>
          <w:szCs w:val="24"/>
        </w:rPr>
        <w:t xml:space="preserve">Strategic responses represent organizational adjustments to changes within the external and internal operating environment. These responses enable organizations to leverage their competencies, enhance value creation, and improve performance outcomes (Tarus &amp; Ndeto, 2021). Organizations that effectively adopt strategic responses are more likely to achieve improved performance compared to those that fail to adapt to environmental changes. In public institutions, strategic responses are particularly important because they enhance efficiency, improve service delivery, and support achievement of institutional mandates. For revenue-collecting agencies such as the Kenya </w:t>
      </w:r>
      <w:r w:rsidRPr="00692AF5">
        <w:rPr>
          <w:rFonts w:cs="Times New Roman"/>
          <w:color w:val="000000" w:themeColor="text1"/>
          <w:szCs w:val="24"/>
        </w:rPr>
        <w:lastRenderedPageBreak/>
        <w:t>Revenue Authority (KRA), strategic responses are essential in strengthening revenue mobilization and improving taxpayer engagement.</w:t>
      </w:r>
    </w:p>
    <w:p w14:paraId="2957A64C" w14:textId="77777777" w:rsidR="001947AD" w:rsidRPr="00692AF5" w:rsidRDefault="001947AD" w:rsidP="001947AD">
      <w:pPr>
        <w:shd w:val="clear" w:color="auto" w:fill="FFFFFF"/>
        <w:spacing w:line="240" w:lineRule="auto"/>
        <w:rPr>
          <w:rFonts w:cs="Times New Roman"/>
          <w:color w:val="000000" w:themeColor="text1"/>
          <w:szCs w:val="24"/>
        </w:rPr>
      </w:pPr>
      <w:r w:rsidRPr="00692AF5">
        <w:rPr>
          <w:rFonts w:cs="Times New Roman"/>
          <w:color w:val="000000" w:themeColor="text1"/>
          <w:szCs w:val="24"/>
        </w:rPr>
        <w:t>The Kenya Revenue Authority (KRA) was established under Chapter 469 of the Laws of Kenya and became operational on 1 July 1995. Its mandate is to assess, collect, and account for government revenue while providing guidance on matters related to revenue administration (Kenya Revenue Authority, 2022). The authority’s primary objective is to achieve government revenue targets while developing a sustainable tax base. To achieve this mandate, KRA has continuously implemented strategic initiatives aimed at improving taxpayer services, reducing the cost of revenue collection, and enhancing compliance. Consequently, its performance is largely assessed through revenue collection efficiency, taxpayer compliance, service delivery effectiveness, and achievement of annual collection targets (Tarus &amp; Ndeto, 2021).</w:t>
      </w:r>
    </w:p>
    <w:p w14:paraId="5B3F3145" w14:textId="77777777" w:rsidR="001947AD" w:rsidRPr="00692AF5" w:rsidRDefault="001947AD" w:rsidP="001947AD">
      <w:pPr>
        <w:shd w:val="clear" w:color="auto" w:fill="FFFFFF"/>
        <w:spacing w:line="240" w:lineRule="auto"/>
        <w:rPr>
          <w:rFonts w:cs="Times New Roman"/>
          <w:color w:val="000000" w:themeColor="text1"/>
          <w:szCs w:val="24"/>
        </w:rPr>
      </w:pPr>
      <w:r w:rsidRPr="00692AF5">
        <w:rPr>
          <w:rFonts w:cs="Times New Roman"/>
          <w:color w:val="000000" w:themeColor="text1"/>
          <w:szCs w:val="24"/>
        </w:rPr>
        <w:t>Strategic responses require organizations to modify their practices, processes, and approaches in response to environmental demands and emerging challenges (Akhter &amp; Barcellos, 2021). Organizations develop different strategic responses depending on their resources, capabilities, and competitive environments. Such responses provide organizations with competitive advantages by enabling them to anticipate changes and effectively address market or operational challenges (Snow &amp; Hambrick, 2018). In this study, strategic responses are conceptualized through customer-centric strategies and business process revitalization, which represent approaches adopted by KRA to enhance revenue mobilization.</w:t>
      </w:r>
    </w:p>
    <w:p w14:paraId="3F32F732" w14:textId="77777777" w:rsidR="001947AD" w:rsidRPr="00692AF5" w:rsidRDefault="001947AD" w:rsidP="001947AD">
      <w:pPr>
        <w:shd w:val="clear" w:color="auto" w:fill="FFFFFF"/>
        <w:spacing w:line="240" w:lineRule="auto"/>
        <w:rPr>
          <w:rFonts w:cs="Times New Roman"/>
          <w:color w:val="000000" w:themeColor="text1"/>
          <w:szCs w:val="24"/>
        </w:rPr>
      </w:pPr>
      <w:r w:rsidRPr="00692AF5">
        <w:rPr>
          <w:rFonts w:cs="Times New Roman"/>
          <w:color w:val="000000" w:themeColor="text1"/>
          <w:szCs w:val="24"/>
        </w:rPr>
        <w:t>Customer-centric strategies focus on creating positive customer experiences, strengthening relationships, and improving customer satisfaction to enhance organizational outcomes (Mohktar et al., 2021). Karaenke (2021) describes customer-centricity as an approach that not only improves customer experience but also contributes to organizational profitability and growth, while Ndunda (2021) emphasizes meeting customer needs and expectations as a central component of such strategies. Studies on public service delivery, including Huduma Centres and electronic government services in Kenya, demonstrate that addressing customer needs at every stage of service delivery improves adoption, satisfaction, and efficiency (Manyu, 2018; Mwangi, 2021).</w:t>
      </w:r>
    </w:p>
    <w:p w14:paraId="7C3F3D4B" w14:textId="77777777" w:rsidR="001947AD" w:rsidRPr="00692AF5" w:rsidRDefault="001947AD" w:rsidP="001947AD">
      <w:pPr>
        <w:shd w:val="clear" w:color="auto" w:fill="FFFFFF"/>
        <w:spacing w:line="240" w:lineRule="auto"/>
        <w:rPr>
          <w:rFonts w:cs="Times New Roman"/>
          <w:color w:val="000000" w:themeColor="text1"/>
          <w:szCs w:val="24"/>
        </w:rPr>
      </w:pPr>
      <w:r w:rsidRPr="00692AF5">
        <w:rPr>
          <w:rFonts w:cs="Times New Roman"/>
          <w:color w:val="000000" w:themeColor="text1"/>
          <w:szCs w:val="24"/>
        </w:rPr>
        <w:t>For KRA, customer-centric approaches are important because they encourage voluntary compliance, increase taxpayer retention, broaden the tax base, and reduce costs associated with taxpayer acquisition and administration (Karaenke, 2021). These approaches include tax simplification, service excellence, brand awareness, and improved trade facilitation. This study specifically focuses on tax simplification and brand awareness because of their direct influence on taxpayer experience and engagement.</w:t>
      </w:r>
    </w:p>
    <w:p w14:paraId="4D62133F" w14:textId="77777777" w:rsidR="001947AD" w:rsidRPr="00692AF5" w:rsidRDefault="001947AD" w:rsidP="001947AD">
      <w:pPr>
        <w:shd w:val="clear" w:color="auto" w:fill="FFFFFF"/>
        <w:spacing w:line="240" w:lineRule="auto"/>
        <w:rPr>
          <w:rFonts w:cs="Times New Roman"/>
          <w:color w:val="000000" w:themeColor="text1"/>
          <w:szCs w:val="24"/>
        </w:rPr>
      </w:pPr>
      <w:r w:rsidRPr="00692AF5">
        <w:rPr>
          <w:rFonts w:cs="Times New Roman"/>
          <w:color w:val="000000" w:themeColor="text1"/>
          <w:szCs w:val="24"/>
        </w:rPr>
        <w:t>Business process strategies involve initiatives aimed at improving organizational processes, operational efficiency, and service outcomes through restructuring and innovation (Goel et al., 2021). According to Lagula and Marklund (2018), business process strategies are closely linked to operational management practices where organizations transform competencies into efficient processes that meet customer requirements while controlling costs. Rane et al. (2019) further highlight the importance of business intelligence and data utilization in strengthening business processes. Similarly, Akumu and Nzulwa (2018) and Noah (2019) emphasize that effective business process strategies enhance efficiency by ensuring that organizational activities operate effectively.</w:t>
      </w:r>
    </w:p>
    <w:p w14:paraId="19F78AB7" w14:textId="77777777" w:rsidR="001947AD" w:rsidRPr="00692AF5" w:rsidRDefault="001947AD" w:rsidP="001947AD">
      <w:pPr>
        <w:shd w:val="clear" w:color="auto" w:fill="FFFFFF"/>
        <w:spacing w:line="240" w:lineRule="auto"/>
        <w:rPr>
          <w:rFonts w:cs="Times New Roman"/>
          <w:color w:val="000000" w:themeColor="text1"/>
          <w:szCs w:val="24"/>
        </w:rPr>
      </w:pPr>
      <w:r w:rsidRPr="00692AF5">
        <w:rPr>
          <w:rFonts w:cs="Times New Roman"/>
          <w:color w:val="000000" w:themeColor="text1"/>
          <w:szCs w:val="24"/>
        </w:rPr>
        <w:t>Within KRA, business process strategies include adoption of modern technologies, strengthening of big data analytics, and development of reliable information technology infrastructure. These initiatives are expected to improve compliance monitoring, enhance decision-making, and increase efficiency in revenue administration. Given the increasing role of digital transformation in public sector operations, technological advancement remains a critical component of KRA’s strategic response framework.</w:t>
      </w:r>
    </w:p>
    <w:p w14:paraId="25A10D13" w14:textId="77777777" w:rsidR="001947AD" w:rsidRPr="00692AF5" w:rsidRDefault="001947AD" w:rsidP="001947AD">
      <w:pPr>
        <w:shd w:val="clear" w:color="auto" w:fill="FFFFFF"/>
        <w:spacing w:line="240" w:lineRule="auto"/>
        <w:rPr>
          <w:rFonts w:cs="Times New Roman"/>
          <w:color w:val="000000" w:themeColor="text1"/>
          <w:szCs w:val="24"/>
        </w:rPr>
      </w:pPr>
      <w:r w:rsidRPr="00692AF5">
        <w:rPr>
          <w:rFonts w:cs="Times New Roman"/>
          <w:color w:val="000000" w:themeColor="text1"/>
          <w:szCs w:val="24"/>
        </w:rPr>
        <w:t xml:space="preserve">Organizational performance refers to an institution’s ability to effectively implement strategies and achieve predetermined objectives (Kaplan &amp; Norton, 1996). Neely, Adams, and Kennerley (2002) define performance in terms of the effectiveness and efficiency of activities undertaken to achieve organizational goals. Richard et al. </w:t>
      </w:r>
      <w:r w:rsidRPr="00692AF5">
        <w:rPr>
          <w:rFonts w:cs="Times New Roman"/>
          <w:color w:val="000000" w:themeColor="text1"/>
          <w:szCs w:val="24"/>
        </w:rPr>
        <w:lastRenderedPageBreak/>
        <w:t>(2009) argue that organizational performance includes both financial and non-financial outcomes, such as profitability, market share, and customer satisfaction. Similarly, Lebas (1995) views performance as an organization’s ability to generate outcomes aligned with its strategic objectives, while Armstrong and Baron (2005) emphasize continuous improvement of organizational activities to satisfy stakeholder expectations.</w:t>
      </w:r>
    </w:p>
    <w:p w14:paraId="66C8A70D" w14:textId="77777777" w:rsidR="001947AD" w:rsidRPr="00692AF5" w:rsidRDefault="001947AD" w:rsidP="001947AD">
      <w:pPr>
        <w:shd w:val="clear" w:color="auto" w:fill="FFFFFF"/>
        <w:spacing w:line="240" w:lineRule="auto"/>
        <w:rPr>
          <w:rFonts w:cs="Times New Roman"/>
          <w:color w:val="000000" w:themeColor="text1"/>
          <w:szCs w:val="24"/>
        </w:rPr>
      </w:pPr>
      <w:r w:rsidRPr="00692AF5">
        <w:rPr>
          <w:rFonts w:cs="Times New Roman"/>
          <w:color w:val="000000" w:themeColor="text1"/>
          <w:szCs w:val="24"/>
        </w:rPr>
        <w:t>Various frameworks have been developed to measure organizational performance. The Balanced Scorecard framework by Kaplan and Norton (1992) evaluates performance through financial, customer, internal process, and learning perspectives. Bourne et al. (2003) advocate for integrating both financial and non-financial measures, while Otley (1999) emphasizes efficiency, effectiveness, and flexibility as key performance dimensions. In public institutions, performance is commonly evaluated through revenue generation, operational efficiency, compliance levels, and quality of service delivery (OECD, 2017). Bititci et al. (2012) further argue that performance measurement should align with strategic objectives and incorporate both qualitative and quantitative indicators.</w:t>
      </w:r>
    </w:p>
    <w:p w14:paraId="13C5A849" w14:textId="77777777" w:rsidR="001947AD" w:rsidRPr="00692AF5" w:rsidRDefault="001947AD" w:rsidP="001947AD">
      <w:pPr>
        <w:shd w:val="clear" w:color="auto" w:fill="FFFFFF"/>
        <w:spacing w:line="240" w:lineRule="auto"/>
        <w:rPr>
          <w:rFonts w:cs="Times New Roman"/>
          <w:color w:val="000000" w:themeColor="text1"/>
          <w:szCs w:val="24"/>
        </w:rPr>
      </w:pPr>
      <w:r w:rsidRPr="00692AF5">
        <w:rPr>
          <w:rFonts w:cs="Times New Roman"/>
          <w:color w:val="000000" w:themeColor="text1"/>
          <w:szCs w:val="24"/>
        </w:rPr>
        <w:t>Tax administration performance is critical in promoting economic stability and financing public services. KRA, as the principal revenue collection agency in Kenya, continues to face challenges related to tax fraud, service inefficiencies, and technological limitations (KRA, 2023). Although digital solutions such as iTax and data analytics have improved compliance and operational efficiency, challenges associated with revenue shortfalls and taxpayer dissatisfaction remain. Previous studies have examined KRA performance through revenue targets, compliance levels, customer satisfaction, and service efficiency (Mutua, 2016; Njiru, 2018; Wanjohi, 2020; Mwangi &amp; Wekesa, 2022). Therefore, this study measures organizational performance using taxpayer compliance rate, revenue collection efficiency, customer satisfaction, service delivery effectiveness, and technological adoption.</w:t>
      </w:r>
    </w:p>
    <w:p w14:paraId="3ABD5073" w14:textId="77777777" w:rsidR="001947AD" w:rsidRPr="00692AF5" w:rsidRDefault="001947AD" w:rsidP="001947AD">
      <w:pPr>
        <w:shd w:val="clear" w:color="auto" w:fill="FFFFFF"/>
        <w:spacing w:line="240" w:lineRule="auto"/>
        <w:rPr>
          <w:rFonts w:cs="Times New Roman"/>
          <w:color w:val="000000" w:themeColor="text1"/>
          <w:szCs w:val="24"/>
        </w:rPr>
      </w:pPr>
      <w:r w:rsidRPr="00692AF5">
        <w:rPr>
          <w:rFonts w:cs="Times New Roman"/>
          <w:color w:val="000000" w:themeColor="text1"/>
          <w:szCs w:val="24"/>
        </w:rPr>
        <w:t>KRA operates within an environment characterized by increasing demands for efficient revenue administration and improved public service delivery. Since its establishment in 1995, the authority has implemented reforms aimed at enhancing revenue mobilization, improving taxpayer services, and strengthening compliance mechanisms (Mutuku, 2013). Its strategic capabilities include technical expertise, automation, independent management of the iTax system, and improved system reliability (KRA, 2020).</w:t>
      </w:r>
    </w:p>
    <w:p w14:paraId="7C155066" w14:textId="77777777" w:rsidR="001947AD" w:rsidRPr="00692AF5" w:rsidRDefault="001947AD" w:rsidP="001947AD">
      <w:pPr>
        <w:shd w:val="clear" w:color="auto" w:fill="FFFFFF"/>
        <w:spacing w:line="240" w:lineRule="auto"/>
        <w:rPr>
          <w:rFonts w:cs="Times New Roman"/>
          <w:color w:val="000000" w:themeColor="text1"/>
          <w:szCs w:val="24"/>
        </w:rPr>
      </w:pPr>
      <w:r w:rsidRPr="00692AF5">
        <w:rPr>
          <w:rFonts w:cs="Times New Roman"/>
          <w:color w:val="000000" w:themeColor="text1"/>
          <w:szCs w:val="24"/>
        </w:rPr>
        <w:t>KRA’s operating environment has been influenced by emerging opportunities and challenges, including digital transformation, growth of the informal sector, cybersecurity concerns, increased technological adoption, and reforms in tax legislation. These factors have informed the authority’s strategic plans for improving revenue administration and achieving international standards of practice.</w:t>
      </w:r>
    </w:p>
    <w:p w14:paraId="0B54AE1D" w14:textId="7F191511" w:rsidR="00533290" w:rsidRPr="00692AF5" w:rsidRDefault="001947AD" w:rsidP="001947AD">
      <w:pPr>
        <w:shd w:val="clear" w:color="auto" w:fill="FFFFFF"/>
        <w:spacing w:line="240" w:lineRule="auto"/>
        <w:rPr>
          <w:rFonts w:cs="Times New Roman"/>
          <w:color w:val="000000" w:themeColor="text1"/>
          <w:szCs w:val="24"/>
        </w:rPr>
      </w:pPr>
      <w:r w:rsidRPr="00692AF5">
        <w:rPr>
          <w:rFonts w:cs="Times New Roman"/>
          <w:color w:val="000000" w:themeColor="text1"/>
          <w:szCs w:val="24"/>
        </w:rPr>
        <w:t>Despite these initiatives, KRA has historically experienced difficulties in meeting revenue collection targets. Before 2020, the authority recorded persistent revenue collection deficits, a situation worsened by the economic effects of the COVID-19 pandemic, which resulted in a significant revenue shortfall of approximately KSh 350 billion (Omondi, 2020). Such deficits increase pressure on government financing and contribute to national debt challenges. Consequently, understanding how strategic responses influence KRA’s performance remains essential in enhancing revenue mobilization and strengthening public sector effectiveness.</w:t>
      </w:r>
    </w:p>
    <w:p w14:paraId="48C38FDC" w14:textId="4C473802" w:rsidR="00055D83" w:rsidRPr="00692AF5" w:rsidRDefault="00055D83" w:rsidP="00CE4C91">
      <w:pPr>
        <w:shd w:val="clear" w:color="auto" w:fill="FFFFFF"/>
        <w:spacing w:line="240" w:lineRule="auto"/>
        <w:rPr>
          <w:rFonts w:eastAsia="Times New Roman" w:cs="Times New Roman"/>
          <w:b/>
          <w:bCs/>
          <w:color w:val="000000" w:themeColor="text1"/>
          <w:sz w:val="28"/>
          <w:szCs w:val="28"/>
        </w:rPr>
      </w:pPr>
      <w:r w:rsidRPr="00692AF5">
        <w:rPr>
          <w:rFonts w:eastAsia="Times New Roman" w:cs="Times New Roman"/>
          <w:b/>
          <w:bCs/>
          <w:color w:val="000000" w:themeColor="text1"/>
          <w:sz w:val="28"/>
          <w:szCs w:val="28"/>
        </w:rPr>
        <w:t>1.1 Research Problem</w:t>
      </w:r>
    </w:p>
    <w:p w14:paraId="27FDC211" w14:textId="657E3A93" w:rsidR="00BD15A0" w:rsidRPr="00692AF5" w:rsidRDefault="00CD7331" w:rsidP="003E21E7">
      <w:pPr>
        <w:spacing w:after="240" w:line="240" w:lineRule="auto"/>
        <w:rPr>
          <w:rFonts w:cs="Times New Roman"/>
          <w:b/>
          <w:szCs w:val="24"/>
        </w:rPr>
      </w:pPr>
      <w:r w:rsidRPr="00692AF5">
        <w:rPr>
          <w:rFonts w:cs="Times New Roman"/>
          <w:color w:val="000000" w:themeColor="text1"/>
          <w:szCs w:val="24"/>
        </w:rPr>
        <w:t xml:space="preserve">Strategic plan implementation remains a critical yet challenging phase of strategic management in public organizations, with many parastatals experiencing difficulties in translating strategies into improved performance outcomes. Despite continuous efforts to enhance organizational effectiveness, the Kenya Revenue Authority (KRA) previously failed to achieve its revenue targets, raising concerns regarding the effectiveness of strategic implementation practices (Muiruri, 2021). Although KRA exceeded its revenue collection target in 2022, this deviation from previous trends presents an opportunity to examine the strategic factors contributing to improved performance. Munyao (2019) noted that many parastatals lose implementation momentum before realizing anticipated benefits. While Oluoch (2014) established a relationship between strategic responses, employee </w:t>
      </w:r>
      <w:r w:rsidRPr="00692AF5">
        <w:rPr>
          <w:rFonts w:cs="Times New Roman"/>
          <w:color w:val="000000" w:themeColor="text1"/>
          <w:szCs w:val="24"/>
        </w:rPr>
        <w:lastRenderedPageBreak/>
        <w:t>engagement, and organizational performance in public organizations, further investigation is needed on how strategic management of responses influences performance. This study therefore examined how strategic responses targeting customer satisfaction and internal business processes enhance revenue mobilization and support KRA’s strategic objectives.</w:t>
      </w:r>
      <w:r w:rsidR="00BD15A0" w:rsidRPr="00692AF5">
        <w:rPr>
          <w:rFonts w:cs="Times New Roman"/>
          <w:b/>
          <w:szCs w:val="24"/>
        </w:rPr>
        <w:t xml:space="preserve"> </w:t>
      </w:r>
    </w:p>
    <w:p w14:paraId="7860FC20" w14:textId="564AFDA6" w:rsidR="00055D83" w:rsidRPr="00692AF5" w:rsidRDefault="00055D83" w:rsidP="00E5141C">
      <w:pPr>
        <w:spacing w:line="240" w:lineRule="auto"/>
        <w:rPr>
          <w:rFonts w:cs="Times New Roman"/>
          <w:b/>
          <w:bCs/>
          <w:color w:val="000000" w:themeColor="text1"/>
          <w:sz w:val="28"/>
          <w:szCs w:val="28"/>
        </w:rPr>
      </w:pPr>
      <w:r w:rsidRPr="00692AF5">
        <w:rPr>
          <w:rFonts w:cs="Times New Roman"/>
          <w:b/>
          <w:bCs/>
          <w:color w:val="000000" w:themeColor="text1"/>
          <w:sz w:val="28"/>
          <w:szCs w:val="28"/>
        </w:rPr>
        <w:t>1.2 Research Objective</w:t>
      </w:r>
    </w:p>
    <w:p w14:paraId="3A006523" w14:textId="195B2345" w:rsidR="0054398C" w:rsidRPr="00692AF5" w:rsidRDefault="00055D83" w:rsidP="0054398C">
      <w:pPr>
        <w:spacing w:line="240" w:lineRule="auto"/>
        <w:rPr>
          <w:rFonts w:cs="Times New Roman"/>
          <w:color w:val="000000" w:themeColor="text1"/>
          <w:szCs w:val="24"/>
        </w:rPr>
      </w:pPr>
      <w:r w:rsidRPr="00692AF5">
        <w:rPr>
          <w:rFonts w:cs="Times New Roman"/>
          <w:color w:val="000000" w:themeColor="text1"/>
          <w:szCs w:val="24"/>
        </w:rPr>
        <w:t>This study was guided by the following general objective to:</w:t>
      </w:r>
      <w:r w:rsidR="00784B96" w:rsidRPr="00692AF5">
        <w:rPr>
          <w:rFonts w:cs="Times New Roman"/>
          <w:color w:val="000000" w:themeColor="text1"/>
          <w:szCs w:val="24"/>
        </w:rPr>
        <w:t xml:space="preserve"> </w:t>
      </w:r>
      <w:r w:rsidR="00CD7331" w:rsidRPr="00692AF5">
        <w:rPr>
          <w:rFonts w:cs="Times New Roman"/>
          <w:color w:val="000000" w:themeColor="text1"/>
          <w:szCs w:val="24"/>
        </w:rPr>
        <w:t>To establish the effects of strategic response on performance of Kenya Revenue Authority in Nairobi Headquarters.</w:t>
      </w:r>
    </w:p>
    <w:p w14:paraId="6B071E8F" w14:textId="77777777" w:rsidR="00E448DE" w:rsidRPr="00692AF5" w:rsidRDefault="0054398C" w:rsidP="00F42A52">
      <w:pPr>
        <w:spacing w:line="240" w:lineRule="auto"/>
        <w:rPr>
          <w:rFonts w:cs="Times New Roman"/>
          <w:color w:val="000000" w:themeColor="text1"/>
          <w:szCs w:val="24"/>
        </w:rPr>
      </w:pPr>
      <w:r w:rsidRPr="00692AF5">
        <w:rPr>
          <w:rFonts w:cs="Times New Roman"/>
          <w:color w:val="000000" w:themeColor="text1"/>
          <w:szCs w:val="24"/>
        </w:rPr>
        <w:t>Specific Objectives were to;</w:t>
      </w:r>
      <w:r w:rsidR="00784B96" w:rsidRPr="00692AF5">
        <w:rPr>
          <w:rFonts w:cs="Times New Roman"/>
          <w:color w:val="000000" w:themeColor="text1"/>
          <w:szCs w:val="24"/>
        </w:rPr>
        <w:t xml:space="preserve"> </w:t>
      </w:r>
    </w:p>
    <w:p w14:paraId="5C6B0918" w14:textId="77777777" w:rsidR="00CD7331" w:rsidRPr="00692AF5" w:rsidRDefault="00CD7331" w:rsidP="00CD7331">
      <w:pPr>
        <w:pStyle w:val="ListParagraph"/>
        <w:numPr>
          <w:ilvl w:val="0"/>
          <w:numId w:val="24"/>
        </w:numPr>
        <w:shd w:val="clear" w:color="auto" w:fill="FFFFFF"/>
        <w:spacing w:before="0" w:line="276" w:lineRule="auto"/>
        <w:rPr>
          <w:rFonts w:ascii="Times New Roman" w:hAnsi="Times New Roman"/>
          <w:sz w:val="24"/>
          <w:szCs w:val="24"/>
        </w:rPr>
      </w:pPr>
      <w:r w:rsidRPr="00692AF5">
        <w:rPr>
          <w:rFonts w:ascii="Times New Roman" w:hAnsi="Times New Roman"/>
          <w:sz w:val="24"/>
          <w:szCs w:val="24"/>
        </w:rPr>
        <w:t>To examine the effect of strategic customer engagement on the performance of the KRA in Nairobi County.</w:t>
      </w:r>
    </w:p>
    <w:p w14:paraId="1148B6E3" w14:textId="77777777" w:rsidR="00CD7331" w:rsidRPr="00692AF5" w:rsidRDefault="00CD7331" w:rsidP="00CD7331">
      <w:pPr>
        <w:pStyle w:val="ListParagraph"/>
        <w:numPr>
          <w:ilvl w:val="0"/>
          <w:numId w:val="24"/>
        </w:numPr>
        <w:shd w:val="clear" w:color="auto" w:fill="FFFFFF"/>
        <w:spacing w:before="0" w:line="276" w:lineRule="auto"/>
        <w:rPr>
          <w:rFonts w:ascii="Times New Roman" w:hAnsi="Times New Roman"/>
          <w:sz w:val="24"/>
          <w:szCs w:val="24"/>
        </w:rPr>
      </w:pPr>
      <w:r w:rsidRPr="00692AF5">
        <w:rPr>
          <w:rFonts w:ascii="Times New Roman" w:hAnsi="Times New Roman"/>
          <w:sz w:val="24"/>
          <w:szCs w:val="24"/>
        </w:rPr>
        <w:t>To assess the influence of strategic brand positioning on the performance of the KRA in Nairobi County</w:t>
      </w:r>
    </w:p>
    <w:p w14:paraId="2D9CDBC9" w14:textId="77777777" w:rsidR="00CD7331" w:rsidRPr="00692AF5" w:rsidRDefault="00CD7331" w:rsidP="00CD7331">
      <w:pPr>
        <w:pStyle w:val="ListParagraph"/>
        <w:numPr>
          <w:ilvl w:val="0"/>
          <w:numId w:val="24"/>
        </w:numPr>
        <w:shd w:val="clear" w:color="auto" w:fill="FFFFFF"/>
        <w:spacing w:before="0" w:line="276" w:lineRule="auto"/>
        <w:rPr>
          <w:rFonts w:ascii="Times New Roman" w:hAnsi="Times New Roman"/>
          <w:sz w:val="24"/>
          <w:szCs w:val="24"/>
        </w:rPr>
      </w:pPr>
      <w:r w:rsidRPr="00692AF5">
        <w:rPr>
          <w:rFonts w:ascii="Times New Roman" w:hAnsi="Times New Roman"/>
          <w:sz w:val="24"/>
          <w:szCs w:val="24"/>
        </w:rPr>
        <w:t>To evaluate the effect of technological integration as a strategic response on the performance of the KRA in Nairobi County.</w:t>
      </w:r>
    </w:p>
    <w:p w14:paraId="03DEEE1C" w14:textId="75A88622" w:rsidR="002A562C" w:rsidRPr="00692AF5" w:rsidRDefault="00CD7331" w:rsidP="00CD7331">
      <w:pPr>
        <w:pStyle w:val="ListParagraph"/>
        <w:numPr>
          <w:ilvl w:val="0"/>
          <w:numId w:val="24"/>
        </w:numPr>
        <w:shd w:val="clear" w:color="auto" w:fill="FFFFFF"/>
        <w:spacing w:before="0" w:line="276" w:lineRule="auto"/>
        <w:rPr>
          <w:rFonts w:ascii="Times New Roman" w:hAnsi="Times New Roman"/>
          <w:sz w:val="24"/>
          <w:szCs w:val="24"/>
        </w:rPr>
      </w:pPr>
      <w:r w:rsidRPr="00692AF5">
        <w:rPr>
          <w:rFonts w:ascii="Times New Roman" w:hAnsi="Times New Roman"/>
          <w:sz w:val="24"/>
          <w:szCs w:val="24"/>
        </w:rPr>
        <w:t>To analyze the effect of data-driven decision-making on the performance of the KRA in Nairobi County</w:t>
      </w:r>
    </w:p>
    <w:p w14:paraId="5B4CDBFD" w14:textId="77777777" w:rsidR="007B03EC" w:rsidRDefault="007B03EC" w:rsidP="00055D83">
      <w:pPr>
        <w:pStyle w:val="ListParagraph"/>
        <w:autoSpaceDE w:val="0"/>
        <w:autoSpaceDN w:val="0"/>
        <w:adjustRightInd w:val="0"/>
        <w:spacing w:before="480" w:after="240" w:line="240" w:lineRule="auto"/>
        <w:ind w:left="0"/>
        <w:rPr>
          <w:rFonts w:ascii="Times New Roman" w:hAnsi="Times New Roman"/>
          <w:b/>
          <w:color w:val="000000" w:themeColor="text1"/>
          <w:sz w:val="28"/>
          <w:szCs w:val="28"/>
          <w:lang w:val="en-GB"/>
        </w:rPr>
      </w:pPr>
    </w:p>
    <w:p w14:paraId="60555E06" w14:textId="6059422F" w:rsidR="00055D83" w:rsidRPr="00692AF5" w:rsidRDefault="00055D83" w:rsidP="00055D83">
      <w:pPr>
        <w:pStyle w:val="ListParagraph"/>
        <w:autoSpaceDE w:val="0"/>
        <w:autoSpaceDN w:val="0"/>
        <w:adjustRightInd w:val="0"/>
        <w:spacing w:before="480" w:after="240" w:line="240" w:lineRule="auto"/>
        <w:ind w:left="0"/>
        <w:rPr>
          <w:rFonts w:ascii="Times New Roman" w:hAnsi="Times New Roman"/>
          <w:b/>
          <w:color w:val="000000" w:themeColor="text1"/>
          <w:sz w:val="28"/>
          <w:szCs w:val="28"/>
          <w:lang w:val="en-GB"/>
        </w:rPr>
      </w:pPr>
      <w:r w:rsidRPr="00692AF5">
        <w:rPr>
          <w:rFonts w:ascii="Times New Roman" w:hAnsi="Times New Roman"/>
          <w:b/>
          <w:color w:val="000000" w:themeColor="text1"/>
          <w:sz w:val="28"/>
          <w:szCs w:val="28"/>
          <w:lang w:val="en-GB"/>
        </w:rPr>
        <w:t xml:space="preserve">2.0 LITERATURE REVIEW  </w:t>
      </w:r>
    </w:p>
    <w:p w14:paraId="18375864" w14:textId="56C40F05" w:rsidR="008B0097" w:rsidRPr="00692AF5" w:rsidRDefault="008B0097" w:rsidP="008B0097">
      <w:pPr>
        <w:spacing w:before="0" w:after="160" w:line="259" w:lineRule="auto"/>
        <w:rPr>
          <w:rFonts w:cs="Times New Roman"/>
          <w:b/>
          <w:bCs/>
          <w:i/>
          <w:color w:val="000000" w:themeColor="text1"/>
          <w:kern w:val="2"/>
          <w:szCs w:val="24"/>
          <w:lang w:val="en-GB"/>
        </w:rPr>
      </w:pPr>
      <w:r w:rsidRPr="00692AF5">
        <w:rPr>
          <w:rFonts w:cs="Times New Roman"/>
          <w:b/>
          <w:bCs/>
          <w:i/>
          <w:color w:val="000000" w:themeColor="text1"/>
          <w:kern w:val="2"/>
          <w:szCs w:val="24"/>
          <w:lang w:val="en-GB"/>
        </w:rPr>
        <w:t>Theoretical Literature</w:t>
      </w:r>
    </w:p>
    <w:p w14:paraId="0808D5BA" w14:textId="77777777" w:rsidR="00731F76" w:rsidRPr="00692AF5" w:rsidRDefault="00731F76" w:rsidP="00731F76">
      <w:pPr>
        <w:spacing w:before="0" w:after="160" w:line="259" w:lineRule="auto"/>
        <w:rPr>
          <w:rFonts w:cs="Times New Roman"/>
          <w:bCs/>
          <w:color w:val="000000" w:themeColor="text1"/>
          <w:kern w:val="2"/>
          <w:szCs w:val="24"/>
          <w:lang w:val="en-GB"/>
        </w:rPr>
      </w:pPr>
      <w:r w:rsidRPr="00692AF5">
        <w:rPr>
          <w:rFonts w:cs="Times New Roman"/>
          <w:bCs/>
          <w:color w:val="000000" w:themeColor="text1"/>
          <w:kern w:val="2"/>
          <w:szCs w:val="24"/>
          <w:lang w:val="en-GB"/>
        </w:rPr>
        <w:t>The theoretical review examines established theories that provide explanations and conceptual understanding of phenomena under investigation. This study is anchored on the Resource-Based View Theory and Davis’s Technology Acceptance Theory, which provide insights into organizational resources, technological adoption, and strategic performance.</w:t>
      </w:r>
    </w:p>
    <w:p w14:paraId="14EE276B" w14:textId="2B601C3F" w:rsidR="00731F76" w:rsidRPr="00692AF5" w:rsidRDefault="00731F76" w:rsidP="00731F76">
      <w:pPr>
        <w:spacing w:before="0" w:after="160" w:line="259" w:lineRule="auto"/>
        <w:rPr>
          <w:rFonts w:cs="Times New Roman"/>
          <w:bCs/>
          <w:color w:val="000000" w:themeColor="text1"/>
          <w:kern w:val="2"/>
          <w:szCs w:val="24"/>
          <w:lang w:val="en-GB"/>
        </w:rPr>
      </w:pPr>
      <w:r w:rsidRPr="00692AF5">
        <w:rPr>
          <w:rFonts w:cs="Times New Roman"/>
          <w:bCs/>
          <w:color w:val="000000" w:themeColor="text1"/>
          <w:kern w:val="2"/>
          <w:szCs w:val="24"/>
          <w:lang w:val="en-GB"/>
        </w:rPr>
        <w:t>The Resource-Based View (RBV) Theory, developed by Wernefelt (1984), argues that sustainable competitive advantage is achieved through possession of resources that are valuable, rare, difficult to imitate, and non-substitutable. Edwards (2014) emphasizes that organizational resources are essential determinants of superior performance. The theory views resources as inputs that support production activities, including human, physical, organizational, and capital resources. It further highlights that firms must align their resource capabilities with environmental demands and strategic objectives to enhance competitiveness.</w:t>
      </w:r>
    </w:p>
    <w:p w14:paraId="40660449" w14:textId="261529A0" w:rsidR="00731F76" w:rsidRPr="00692AF5" w:rsidRDefault="00731F76" w:rsidP="00731F76">
      <w:pPr>
        <w:spacing w:before="0" w:after="160" w:line="259" w:lineRule="auto"/>
        <w:rPr>
          <w:rFonts w:cs="Times New Roman"/>
          <w:bCs/>
          <w:color w:val="000000" w:themeColor="text1"/>
          <w:kern w:val="2"/>
          <w:szCs w:val="24"/>
          <w:lang w:val="en-GB"/>
        </w:rPr>
      </w:pPr>
      <w:r w:rsidRPr="00692AF5">
        <w:rPr>
          <w:rFonts w:cs="Times New Roman"/>
          <w:bCs/>
          <w:color w:val="000000" w:themeColor="text1"/>
          <w:kern w:val="2"/>
          <w:szCs w:val="24"/>
          <w:lang w:val="en-GB"/>
        </w:rPr>
        <w:t>The theory is relevant to this study because it demonstrates how resource availability influences the adoption of strategic responses and implementation of policies aimed at improving service delivery (Pfeffer &amp; Salancik, 2003). Organizations achieve competitive development by strengthening competencies derived from their resource base, with firms possessing stronger resources being more likely to attain superior performance levels (Koumaditis et al., 2013). However, the theory has been criticized for limited managerial guidance and its assumption that organizational resources alone determine sustained competitiveness. Chambers (2015) notes that these limitations affect its applicability across diverse organizational contexts.</w:t>
      </w:r>
    </w:p>
    <w:p w14:paraId="54BA4445" w14:textId="14EAB538" w:rsidR="00731F76" w:rsidRPr="00692AF5" w:rsidRDefault="00731F76" w:rsidP="00731F76">
      <w:pPr>
        <w:spacing w:before="0" w:after="160" w:line="259" w:lineRule="auto"/>
        <w:rPr>
          <w:rFonts w:cs="Times New Roman"/>
          <w:bCs/>
          <w:color w:val="000000" w:themeColor="text1"/>
          <w:kern w:val="2"/>
          <w:szCs w:val="24"/>
          <w:lang w:val="en-GB"/>
        </w:rPr>
      </w:pPr>
      <w:r w:rsidRPr="00692AF5">
        <w:rPr>
          <w:rFonts w:cs="Times New Roman"/>
          <w:bCs/>
          <w:color w:val="000000" w:themeColor="text1"/>
          <w:kern w:val="2"/>
          <w:szCs w:val="24"/>
          <w:lang w:val="en-GB"/>
        </w:rPr>
        <w:t>Davis’s Technology Acceptance Theory (1989) explains how individuals’ perceptions influence their acceptance and use of technology. The theory proposes that perceived usefulness and ease of use are key determinants of technology adoption. Bilgihan (2011) further notes that individuals adjust their beliefs and practices when faced with technological changes.</w:t>
      </w:r>
    </w:p>
    <w:p w14:paraId="0DBF4C0A" w14:textId="08D9ECDA" w:rsidR="002D6969" w:rsidRPr="00692AF5" w:rsidRDefault="00731F76" w:rsidP="00731F76">
      <w:pPr>
        <w:spacing w:before="0" w:after="160" w:line="259" w:lineRule="auto"/>
        <w:rPr>
          <w:rFonts w:cs="Times New Roman"/>
          <w:bCs/>
          <w:color w:val="000000" w:themeColor="text1"/>
          <w:kern w:val="2"/>
          <w:szCs w:val="24"/>
          <w:lang w:val="en-GB"/>
        </w:rPr>
      </w:pPr>
      <w:r w:rsidRPr="00692AF5">
        <w:rPr>
          <w:rFonts w:cs="Times New Roman"/>
          <w:bCs/>
          <w:color w:val="000000" w:themeColor="text1"/>
          <w:kern w:val="2"/>
          <w:szCs w:val="24"/>
          <w:lang w:val="en-GB"/>
        </w:rPr>
        <w:t xml:space="preserve">The theory supports this study by explaining how technological usefulness influences organizational change and information system adoption. Wekesa (2020) observes that perceived utility remains a critical factor affecting </w:t>
      </w:r>
      <w:r w:rsidRPr="00692AF5">
        <w:rPr>
          <w:rFonts w:cs="Times New Roman"/>
          <w:bCs/>
          <w:color w:val="000000" w:themeColor="text1"/>
          <w:kern w:val="2"/>
          <w:szCs w:val="24"/>
          <w:lang w:val="en-GB"/>
        </w:rPr>
        <w:lastRenderedPageBreak/>
        <w:t>technology acceptance and change management. However, the theory has limitations in measuring user behavior, particularly due to variations in personal attitudes, social influence, and subjective perceptions (Shan &amp; King, 2015).</w:t>
      </w:r>
    </w:p>
    <w:p w14:paraId="0236764D" w14:textId="19E3A4FA" w:rsidR="0025635B" w:rsidRPr="00692AF5" w:rsidRDefault="00E0554F" w:rsidP="0025635B">
      <w:pPr>
        <w:spacing w:before="0" w:after="160" w:line="259" w:lineRule="auto"/>
        <w:rPr>
          <w:rFonts w:cs="Times New Roman"/>
          <w:b/>
          <w:bCs/>
          <w:color w:val="000000" w:themeColor="text1"/>
          <w:sz w:val="28"/>
          <w:szCs w:val="28"/>
        </w:rPr>
      </w:pPr>
      <w:r w:rsidRPr="00692AF5">
        <w:rPr>
          <w:rFonts w:cs="Times New Roman"/>
          <w:b/>
          <w:bCs/>
          <w:color w:val="000000" w:themeColor="text1"/>
          <w:sz w:val="28"/>
          <w:szCs w:val="28"/>
        </w:rPr>
        <w:t xml:space="preserve">2.1 </w:t>
      </w:r>
      <w:r w:rsidR="00CB6E82" w:rsidRPr="00692AF5">
        <w:rPr>
          <w:rFonts w:cs="Times New Roman"/>
          <w:b/>
          <w:bCs/>
          <w:color w:val="000000" w:themeColor="text1"/>
          <w:sz w:val="28"/>
          <w:szCs w:val="28"/>
        </w:rPr>
        <w:t>Empirical Review</w:t>
      </w:r>
    </w:p>
    <w:p w14:paraId="39C55864" w14:textId="77777777" w:rsidR="00731F76" w:rsidRPr="00692AF5" w:rsidRDefault="00731F76" w:rsidP="00731F76">
      <w:pPr>
        <w:spacing w:before="0" w:after="160" w:line="259" w:lineRule="auto"/>
        <w:rPr>
          <w:rFonts w:cs="Times New Roman"/>
          <w:color w:val="000000" w:themeColor="text1"/>
          <w:szCs w:val="24"/>
        </w:rPr>
      </w:pPr>
      <w:r w:rsidRPr="00692AF5">
        <w:rPr>
          <w:rFonts w:cs="Times New Roman"/>
          <w:color w:val="000000" w:themeColor="text1"/>
          <w:szCs w:val="24"/>
        </w:rPr>
        <w:t>Previous empirical studies have established the relevance of customer-centric approaches in enhancing organizational performance across different sectors. Al Abdul Razzaq, Rafiki, and Hidayat (2019) examined customer relationship management (CRM) dimensions, including customer support, training orientation, customer orientation, and customer data management, among 167 employees in Kuwaiti telecommunications companies. Using correlation and regression analyses, the study established that management support, customer data, and information processing positively influenced organizational performance, while training orientation, customer orientation, and CRM integration had insignificant effects. However, the study was limited to telecommunications firms in Kuwait, creating a contextual gap that requires investigation within public institutions.</w:t>
      </w:r>
    </w:p>
    <w:p w14:paraId="4D034C1A" w14:textId="77777777" w:rsidR="00731F76" w:rsidRPr="00692AF5" w:rsidRDefault="00731F76" w:rsidP="00731F76">
      <w:pPr>
        <w:spacing w:before="0" w:after="160" w:line="259" w:lineRule="auto"/>
        <w:rPr>
          <w:rFonts w:cs="Times New Roman"/>
          <w:color w:val="000000" w:themeColor="text1"/>
          <w:szCs w:val="24"/>
        </w:rPr>
      </w:pPr>
      <w:r w:rsidRPr="00692AF5">
        <w:rPr>
          <w:rFonts w:cs="Times New Roman"/>
          <w:color w:val="000000" w:themeColor="text1"/>
          <w:szCs w:val="24"/>
        </w:rPr>
        <w:t>Similarly, Lebdaoui and Chetioui (2020) investigated the relationship between CRM, service quality, and organizational performance in conventional and Islamic banks in Morocco. Using data collected from 388 bank managers and analysed through Partial Least Squares Structural Equation Modelling (PLS-SEM), the study revealed that service quality mediates the relationship between CRM practices and organizational performance. Although the findings confirmed the positive contribution of CRM practices, the study identified the need for further examination of contextual factors influencing CRM effectiveness in different institutional environments.</w:t>
      </w:r>
    </w:p>
    <w:p w14:paraId="0767CF20" w14:textId="77777777" w:rsidR="00731F76" w:rsidRPr="00692AF5" w:rsidRDefault="00731F76" w:rsidP="00731F76">
      <w:pPr>
        <w:spacing w:before="0" w:after="160" w:line="259" w:lineRule="auto"/>
        <w:rPr>
          <w:rFonts w:cs="Times New Roman"/>
          <w:color w:val="000000" w:themeColor="text1"/>
          <w:szCs w:val="24"/>
        </w:rPr>
      </w:pPr>
      <w:r w:rsidRPr="00692AF5">
        <w:rPr>
          <w:rFonts w:cs="Times New Roman"/>
          <w:color w:val="000000" w:themeColor="text1"/>
          <w:szCs w:val="24"/>
        </w:rPr>
        <w:t>Ullah, Iqbal, and Shams (2020) explored the influence of CRM adoption on organizational performance and the moderating role of technological turbulence. Based on data from 277 employees, correlation and regression analyses showed that CRM adoption improves customer satisfaction, which subsequently enhances organizational performance. However, technological instability negatively influenced this relationship, highlighting the importance of examining moderating factors when evaluating customer-centric strategies.</w:t>
      </w:r>
    </w:p>
    <w:p w14:paraId="70270F44" w14:textId="77777777" w:rsidR="00731F76" w:rsidRPr="00692AF5" w:rsidRDefault="00731F76" w:rsidP="00731F76">
      <w:pPr>
        <w:spacing w:before="0" w:after="160" w:line="259" w:lineRule="auto"/>
        <w:rPr>
          <w:rFonts w:cs="Times New Roman"/>
          <w:color w:val="000000" w:themeColor="text1"/>
          <w:szCs w:val="24"/>
        </w:rPr>
      </w:pPr>
      <w:r w:rsidRPr="00692AF5">
        <w:rPr>
          <w:rFonts w:cs="Times New Roman"/>
          <w:color w:val="000000" w:themeColor="text1"/>
          <w:szCs w:val="24"/>
        </w:rPr>
        <w:t>Lovemore et al. (2023) assessed the role of customer retention strategies and ICT in improving service quality and performance among Zimbabwean retail firms. Findings from 280 employees indicated that ICT partially strengthens the relationship between customer retention strategies, service quality, and organizational performance. Nevertheless, the study focused on private retail organizations, leaving a gap regarding customer-centric approaches within public sector institutions.</w:t>
      </w:r>
    </w:p>
    <w:p w14:paraId="7A6B4229" w14:textId="77777777" w:rsidR="00731F76" w:rsidRPr="00692AF5" w:rsidRDefault="00731F76" w:rsidP="00731F76">
      <w:pPr>
        <w:spacing w:before="0" w:after="160" w:line="259" w:lineRule="auto"/>
        <w:rPr>
          <w:rFonts w:cs="Times New Roman"/>
          <w:color w:val="000000" w:themeColor="text1"/>
          <w:szCs w:val="24"/>
        </w:rPr>
      </w:pPr>
      <w:r w:rsidRPr="00692AF5">
        <w:rPr>
          <w:rFonts w:cs="Times New Roman"/>
          <w:color w:val="000000" w:themeColor="text1"/>
          <w:szCs w:val="24"/>
        </w:rPr>
        <w:t>Dah et al. (2023) examined customer orientation, CRM organization, customer satisfaction, and hotel financial performance in Ghana. Using a cross-sectional survey among hotels, the study established a positive relationship between customer orientation and customer satisfaction but found that CRM organization and customer satisfaction did not significantly influence financial performance. This suggests the need for further research on customer-centric strategies within other institutional contexts.</w:t>
      </w:r>
    </w:p>
    <w:p w14:paraId="554B6A34" w14:textId="77777777" w:rsidR="00731F76" w:rsidRPr="00692AF5" w:rsidRDefault="00731F76" w:rsidP="00731F76">
      <w:pPr>
        <w:spacing w:before="0" w:after="160" w:line="259" w:lineRule="auto"/>
        <w:rPr>
          <w:rFonts w:cs="Times New Roman"/>
          <w:color w:val="000000" w:themeColor="text1"/>
          <w:szCs w:val="24"/>
        </w:rPr>
      </w:pPr>
      <w:r w:rsidRPr="00692AF5">
        <w:rPr>
          <w:rFonts w:cs="Times New Roman"/>
          <w:color w:val="000000" w:themeColor="text1"/>
          <w:szCs w:val="24"/>
        </w:rPr>
        <w:t>Jagdish et al. (2020) proposed customer service repositioning as a strategy for transforming customer support functions from cost centres into value-generating units. The study emphasized customer loyalty, customer-centric culture, and employee capability development as critical elements for improving competitiveness. However, limited empirical validation of the proposed framework remains a major gap. Christian Nedu (2020) further demonstrated that customer-centricity enhances innovation and organizational performance, although the study focused on Nigerian firms and did not sufficiently explore internal organizational factors influencing customer-centric practices. The current study addresses these gaps by examining customer-centric approaches within a public institutional setting.</w:t>
      </w:r>
    </w:p>
    <w:p w14:paraId="37EEB413" w14:textId="77777777" w:rsidR="00731F76" w:rsidRPr="00692AF5" w:rsidRDefault="00731F76" w:rsidP="00731F76">
      <w:pPr>
        <w:spacing w:before="0" w:after="160" w:line="259" w:lineRule="auto"/>
        <w:rPr>
          <w:rFonts w:cs="Times New Roman"/>
          <w:color w:val="000000" w:themeColor="text1"/>
          <w:szCs w:val="24"/>
        </w:rPr>
      </w:pPr>
      <w:r w:rsidRPr="00692AF5">
        <w:rPr>
          <w:rFonts w:cs="Times New Roman"/>
          <w:color w:val="000000" w:themeColor="text1"/>
          <w:szCs w:val="24"/>
        </w:rPr>
        <w:t xml:space="preserve">Research demonstrates that strategic brand positioning contributes significantly to organizational performance by enhancing customer recognition, loyalty, and competitive advantage. Streimikien and Ahmed (2021) established </w:t>
      </w:r>
      <w:r w:rsidRPr="00692AF5">
        <w:rPr>
          <w:rFonts w:cs="Times New Roman"/>
          <w:color w:val="000000" w:themeColor="text1"/>
          <w:szCs w:val="24"/>
        </w:rPr>
        <w:lastRenderedPageBreak/>
        <w:t>that strong brand reputation improves global business performance by creating consistent brand identity and strengthening customer perceptions. Wesley (2014) similarly found that corporate brand management practices, expertise, and market orientation positively influence brand performance among SMEs operating in business-to-business environments.</w:t>
      </w:r>
    </w:p>
    <w:p w14:paraId="33C0DDE8" w14:textId="77777777" w:rsidR="00731F76" w:rsidRPr="00692AF5" w:rsidRDefault="00731F76" w:rsidP="00731F76">
      <w:pPr>
        <w:spacing w:before="0" w:after="160" w:line="259" w:lineRule="auto"/>
        <w:rPr>
          <w:rFonts w:cs="Times New Roman"/>
          <w:color w:val="000000" w:themeColor="text1"/>
          <w:szCs w:val="24"/>
        </w:rPr>
      </w:pPr>
      <w:r w:rsidRPr="00692AF5">
        <w:rPr>
          <w:rFonts w:cs="Times New Roman"/>
          <w:color w:val="000000" w:themeColor="text1"/>
          <w:szCs w:val="24"/>
        </w:rPr>
        <w:t>Wang, Kandampully, and Shi (2006) revealed that brand repositioning may negatively influence consumer perceptions of loyalty when changes conflict with established brand identity. Hassain (2007) further demonstrated that brand identification, product quality, and price significantly influence consumer purchasing decisions. These findings emphasize the importance of maintaining a clear and consistent brand position.</w:t>
      </w:r>
    </w:p>
    <w:p w14:paraId="7323BC0E" w14:textId="77777777" w:rsidR="00731F76" w:rsidRPr="00692AF5" w:rsidRDefault="00731F76" w:rsidP="00731F76">
      <w:pPr>
        <w:spacing w:before="0" w:after="160" w:line="259" w:lineRule="auto"/>
        <w:rPr>
          <w:rFonts w:cs="Times New Roman"/>
          <w:color w:val="000000" w:themeColor="text1"/>
          <w:szCs w:val="24"/>
        </w:rPr>
      </w:pPr>
      <w:r w:rsidRPr="00692AF5">
        <w:rPr>
          <w:rFonts w:cs="Times New Roman"/>
          <w:color w:val="000000" w:themeColor="text1"/>
          <w:szCs w:val="24"/>
        </w:rPr>
        <w:t>Kim and Kim (2022) found that customer-based brand equity dimensions, including perceived quality, brand loyalty, and brand image, positively influence financial performance in hospitality organizations. Similarly, Grashuis (2018), using data from 707 marketing cooperatives in the United States, confirmed that brand equity contributes positively to financial outcomes through improved sales performance.</w:t>
      </w:r>
    </w:p>
    <w:p w14:paraId="3858AE53" w14:textId="77777777" w:rsidR="00731F76" w:rsidRPr="00692AF5" w:rsidRDefault="00731F76" w:rsidP="00731F76">
      <w:pPr>
        <w:spacing w:before="0" w:after="160" w:line="259" w:lineRule="auto"/>
        <w:rPr>
          <w:rFonts w:cs="Times New Roman"/>
          <w:color w:val="000000" w:themeColor="text1"/>
          <w:szCs w:val="24"/>
        </w:rPr>
      </w:pPr>
      <w:r w:rsidRPr="00692AF5">
        <w:rPr>
          <w:rFonts w:cs="Times New Roman"/>
          <w:color w:val="000000" w:themeColor="text1"/>
          <w:szCs w:val="24"/>
        </w:rPr>
        <w:t>Agostini et al. (2015) examined 133 Italian SMEs and established a positive relationship between corporate trademarks, marketing investment, and sales performance. In Kenya, Mandila (2018) found that brand equity significantly influences sales performance among red meat processing companies, particularly through brand name, symbols, slogans, and corporate colours. Ali (2019) further confirmed that effective brand management enhances product differentiation and organizational performance among pharmaceutical firms in Kenya. Wambua (2021) also established that brand awareness, perceived quality, brand associations, and loyalty significantly influence financial performance among Kenyan banks. However, limited research has examined strategic brand positioning within public institutions, creating a contextual gap.</w:t>
      </w:r>
    </w:p>
    <w:p w14:paraId="352918DA" w14:textId="77777777" w:rsidR="00731F76" w:rsidRPr="00692AF5" w:rsidRDefault="00731F76" w:rsidP="00731F76">
      <w:pPr>
        <w:spacing w:before="0" w:after="160" w:line="259" w:lineRule="auto"/>
        <w:rPr>
          <w:rFonts w:cs="Times New Roman"/>
          <w:color w:val="000000" w:themeColor="text1"/>
          <w:szCs w:val="24"/>
        </w:rPr>
      </w:pPr>
      <w:r w:rsidRPr="00692AF5">
        <w:rPr>
          <w:rFonts w:cs="Times New Roman"/>
          <w:color w:val="000000" w:themeColor="text1"/>
          <w:szCs w:val="24"/>
        </w:rPr>
        <w:t>Empirical evidence indicates that technological integration enhances productivity, efficiency, and organizational performance. Basant et al. (2018) found that ICT adoption positively influences business growth among manufacturing firms in Brazil and India, with benefits increasing when supported by effective management practices. Kwon and Stoneman (2019) similarly established that IT integration improves firm output, although technological benefits may decline when issues such as employee skills and education are overlooked.</w:t>
      </w:r>
    </w:p>
    <w:p w14:paraId="375CFEEF" w14:textId="77777777" w:rsidR="00731F76" w:rsidRPr="00692AF5" w:rsidRDefault="00731F76" w:rsidP="00731F76">
      <w:pPr>
        <w:spacing w:before="0" w:after="160" w:line="259" w:lineRule="auto"/>
        <w:rPr>
          <w:rFonts w:cs="Times New Roman"/>
          <w:color w:val="000000" w:themeColor="text1"/>
          <w:szCs w:val="24"/>
        </w:rPr>
      </w:pPr>
      <w:r w:rsidRPr="00692AF5">
        <w:rPr>
          <w:rFonts w:cs="Times New Roman"/>
          <w:color w:val="000000" w:themeColor="text1"/>
          <w:szCs w:val="24"/>
        </w:rPr>
        <w:t>Abri and Mahmoudzadeh (2015) and Ghorbanzad and Beig (2012) demonstrated that IT significantly improves productivity and business growth among Iranian firms, although their foreign contexts limit applicability to Kenyan organizations. Rezaei et al. (2014) established that IT improves human resource efficiency through enhanced motivation, creativity, innovation, and service quality.</w:t>
      </w:r>
    </w:p>
    <w:p w14:paraId="5748D38A" w14:textId="77777777" w:rsidR="00731F76" w:rsidRPr="00692AF5" w:rsidRDefault="00731F76" w:rsidP="00731F76">
      <w:pPr>
        <w:spacing w:before="0" w:after="160" w:line="259" w:lineRule="auto"/>
        <w:rPr>
          <w:rFonts w:cs="Times New Roman"/>
          <w:color w:val="000000" w:themeColor="text1"/>
          <w:szCs w:val="24"/>
        </w:rPr>
      </w:pPr>
      <w:r w:rsidRPr="00692AF5">
        <w:rPr>
          <w:rFonts w:cs="Times New Roman"/>
          <w:color w:val="000000" w:themeColor="text1"/>
          <w:szCs w:val="24"/>
        </w:rPr>
        <w:t>Appiahene, Missah, and Najim (2019) found that IT positively influences banking efficiency in Ghana, while Niri (2017) highlighted that inadequate technological systems and insufficient employee training negatively affect productivity. In Kenya, Gakuubi (2018) established that IT infrastructure, enterprise resource planning, and tracking technologies enhance logistics efficiency. Zehir, Muceldili, and Akyuz (2020) further confirmed that effective IT investment management improves organizational effectiveness. Palvalin, Lönnqvist, and Vuolle (2023) demonstrated that ICT reduces non-value-adding activities and improves employee productivity. Mutuku and Nyaribo (2021) similarly found that IT influences employee development in Kenyan banks. However, further research is required to establish how technological integration affects performance in public sector organizations.</w:t>
      </w:r>
    </w:p>
    <w:p w14:paraId="1D1D8BAF" w14:textId="77777777" w:rsidR="00731F76" w:rsidRPr="00692AF5" w:rsidRDefault="00731F76" w:rsidP="00731F76">
      <w:pPr>
        <w:spacing w:before="0" w:after="160" w:line="259" w:lineRule="auto"/>
        <w:rPr>
          <w:rFonts w:cs="Times New Roman"/>
          <w:color w:val="000000" w:themeColor="text1"/>
          <w:szCs w:val="24"/>
        </w:rPr>
      </w:pPr>
      <w:r w:rsidRPr="00692AF5">
        <w:rPr>
          <w:rFonts w:cs="Times New Roman"/>
          <w:color w:val="000000" w:themeColor="text1"/>
          <w:szCs w:val="24"/>
        </w:rPr>
        <w:t>Data-driven decision-making has increasingly been recognized as a strategic capability for improving organizational performance. Gunasekaran et al. (2017) examined Big Data Analytics (BDA) adoption among Indian firms and established that connectivity, information sharing, and top management commitment enhance BDA integration, which positively influences organizational performance.</w:t>
      </w:r>
    </w:p>
    <w:p w14:paraId="212095AA" w14:textId="77777777" w:rsidR="00731F76" w:rsidRPr="00692AF5" w:rsidRDefault="00731F76" w:rsidP="00731F76">
      <w:pPr>
        <w:spacing w:before="0" w:after="160" w:line="259" w:lineRule="auto"/>
        <w:rPr>
          <w:rFonts w:cs="Times New Roman"/>
          <w:color w:val="000000" w:themeColor="text1"/>
          <w:szCs w:val="24"/>
        </w:rPr>
      </w:pPr>
      <w:r w:rsidRPr="00692AF5">
        <w:rPr>
          <w:rFonts w:cs="Times New Roman"/>
          <w:color w:val="000000" w:themeColor="text1"/>
          <w:szCs w:val="24"/>
        </w:rPr>
        <w:lastRenderedPageBreak/>
        <w:t>Seetha et al. (2018) found that analytics, data science, Internet of Things (IoT), supplier evaluation, and demand management improve supply chain efficiency. Mugane (2019) investigated BDA adoption among Kenyan banks and fintech firms and established that analytics supports operational management, evidence-based decision-making, and customer service improvement. However, challenges such as poor data quality and legacy system integration limit effective adoption.</w:t>
      </w:r>
    </w:p>
    <w:p w14:paraId="7A67400B" w14:textId="5EA280AF" w:rsidR="00AF0AC2" w:rsidRPr="00692AF5" w:rsidRDefault="00731F76" w:rsidP="00731F76">
      <w:pPr>
        <w:spacing w:before="0" w:after="160" w:line="259" w:lineRule="auto"/>
        <w:rPr>
          <w:rFonts w:cs="Times New Roman"/>
          <w:color w:val="000000" w:themeColor="text1"/>
          <w:szCs w:val="24"/>
        </w:rPr>
      </w:pPr>
      <w:r w:rsidRPr="00692AF5">
        <w:rPr>
          <w:rFonts w:cs="Times New Roman"/>
          <w:color w:val="000000" w:themeColor="text1"/>
          <w:szCs w:val="24"/>
        </w:rPr>
        <w:t>Karuga (2019) revealed that organizational size, management support, competitiveness, compatibility with existing systems, and data availability influence BDA adoption among Kenyan telecommunications firms. Similarly, Kibe et al. (2020) found a positive relationship between BDA adoption and organizational performance in Kenyan universities, particularly regarding productivity, innovation, and efficiency. These studies demonstrate the importance of data-driven capabilities, although limited evidence exists regarding their contribution to performance within public institutions.</w:t>
      </w:r>
    </w:p>
    <w:p w14:paraId="35BCEF5F" w14:textId="7127907E" w:rsidR="00055D83" w:rsidRPr="00692AF5" w:rsidRDefault="00055D83" w:rsidP="002C6F25">
      <w:pPr>
        <w:spacing w:line="240" w:lineRule="auto"/>
        <w:rPr>
          <w:rFonts w:cs="Times New Roman"/>
          <w:b/>
          <w:bCs/>
          <w:color w:val="000000" w:themeColor="text1"/>
          <w:sz w:val="28"/>
          <w:szCs w:val="28"/>
        </w:rPr>
      </w:pPr>
      <w:r w:rsidRPr="00692AF5">
        <w:rPr>
          <w:rFonts w:cs="Times New Roman"/>
          <w:b/>
          <w:bCs/>
          <w:color w:val="000000" w:themeColor="text1"/>
          <w:sz w:val="28"/>
          <w:szCs w:val="28"/>
        </w:rPr>
        <w:t>3.0 RESEARCH METHODOLOGY</w:t>
      </w:r>
    </w:p>
    <w:p w14:paraId="70711228"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According to Muathe (2010), a research design provides a clear and comprehensive description of the characteristics and behaviours of a particular subject or population. Descriptive research is primarily concerned with measuring data trends, comparing variables, verifying existing conditions, conducting studies at different points in time, and identifying respondent characteristics (Kothari, 2004). This approach enabled the researcher to observe and collect data without interfering with cause-and-effect relationships. As a result, the study produced an accurate and objective representation of the prevailing conditions at the Kenya Revenue Authority (KRA).</w:t>
      </w:r>
    </w:p>
    <w:p w14:paraId="711425CD"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A population refers to a group of individuals or objects that share at least one common characteristic (Kothari, 2004). Muathe (2010) defines a target population as the entire group of individuals with specific characteristics from which researchers draw conclusions and generalisations. The study was conducted at the Kenya Revenue Authority Headquarters located on Haile Selassie Avenue in Nairobi, Kenya.</w:t>
      </w:r>
    </w:p>
    <w:p w14:paraId="2CFB1D03"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The study population comprised approximately 4,633 KRA employees across various departments based on the 2023 report. The target population, however, consisted of 180 departmental employees, including 64 top-level staff and 116 middle-level staff drawn from three key departments. These respondents were selected due to their decision-making roles and operational responsibilities, which made them suitable for providing relevant and reliable data. Senior managers are responsible for organisational direction and decision-making, while middle-level managers oversee implementation and operational execution, making them appropriate respondents for this study (KRA, 2023).</w:t>
      </w:r>
    </w:p>
    <w:p w14:paraId="3894D987" w14:textId="58F88365" w:rsidR="00E32139" w:rsidRPr="00692AF5" w:rsidRDefault="00E32139" w:rsidP="00E32139">
      <w:pPr>
        <w:spacing w:after="160" w:line="259" w:lineRule="auto"/>
        <w:rPr>
          <w:rFonts w:cs="Times New Roman"/>
          <w:color w:val="000000" w:themeColor="text1"/>
          <w:szCs w:val="24"/>
        </w:rPr>
      </w:pPr>
      <w:r w:rsidRPr="00692AF5">
        <w:rPr>
          <w:rFonts w:cs="Times New Roman"/>
          <w:b/>
          <w:bCs/>
          <w:color w:val="000000" w:themeColor="text1"/>
          <w:szCs w:val="24"/>
        </w:rPr>
        <w:t>Table 1: Distribution of Target Population</w:t>
      </w:r>
    </w:p>
    <w:tbl>
      <w:tblPr>
        <w:tblStyle w:val="TableGrid1"/>
        <w:tblW w:w="0" w:type="auto"/>
        <w:tblLook w:val="04A0" w:firstRow="1" w:lastRow="0" w:firstColumn="1" w:lastColumn="0" w:noHBand="0" w:noVBand="1"/>
      </w:tblPr>
      <w:tblGrid>
        <w:gridCol w:w="3255"/>
        <w:gridCol w:w="1070"/>
        <w:gridCol w:w="816"/>
      </w:tblGrid>
      <w:tr w:rsidR="00E32139" w:rsidRPr="00692AF5" w14:paraId="76D219B6" w14:textId="77777777" w:rsidTr="00E32139">
        <w:tc>
          <w:tcPr>
            <w:tcW w:w="0" w:type="auto"/>
            <w:hideMark/>
          </w:tcPr>
          <w:p w14:paraId="4169D6ED" w14:textId="77777777" w:rsidR="00E32139" w:rsidRPr="00692AF5" w:rsidRDefault="00E32139" w:rsidP="00E32139">
            <w:pPr>
              <w:spacing w:after="160" w:line="259" w:lineRule="auto"/>
              <w:rPr>
                <w:rFonts w:cs="Times New Roman"/>
                <w:b/>
                <w:bCs/>
                <w:color w:val="000000" w:themeColor="text1"/>
                <w:szCs w:val="24"/>
              </w:rPr>
            </w:pPr>
            <w:r w:rsidRPr="00692AF5">
              <w:rPr>
                <w:rFonts w:cs="Times New Roman"/>
                <w:b/>
                <w:bCs/>
                <w:color w:val="000000" w:themeColor="text1"/>
                <w:szCs w:val="24"/>
              </w:rPr>
              <w:t>Category</w:t>
            </w:r>
          </w:p>
        </w:tc>
        <w:tc>
          <w:tcPr>
            <w:tcW w:w="0" w:type="auto"/>
            <w:hideMark/>
          </w:tcPr>
          <w:p w14:paraId="1467157F" w14:textId="77777777" w:rsidR="00E32139" w:rsidRPr="00692AF5" w:rsidRDefault="00E32139" w:rsidP="00E32139">
            <w:pPr>
              <w:spacing w:after="160" w:line="259" w:lineRule="auto"/>
              <w:rPr>
                <w:rFonts w:cs="Times New Roman"/>
                <w:b/>
                <w:bCs/>
                <w:color w:val="000000" w:themeColor="text1"/>
                <w:szCs w:val="24"/>
              </w:rPr>
            </w:pPr>
            <w:r w:rsidRPr="00692AF5">
              <w:rPr>
                <w:rFonts w:cs="Times New Roman"/>
                <w:b/>
                <w:bCs/>
                <w:color w:val="000000" w:themeColor="text1"/>
                <w:szCs w:val="24"/>
              </w:rPr>
              <w:t>Number</w:t>
            </w:r>
          </w:p>
        </w:tc>
        <w:tc>
          <w:tcPr>
            <w:tcW w:w="0" w:type="auto"/>
            <w:hideMark/>
          </w:tcPr>
          <w:p w14:paraId="51B062FB" w14:textId="77777777" w:rsidR="00E32139" w:rsidRPr="00692AF5" w:rsidRDefault="00E32139" w:rsidP="00E32139">
            <w:pPr>
              <w:spacing w:after="160" w:line="259" w:lineRule="auto"/>
              <w:rPr>
                <w:rFonts w:cs="Times New Roman"/>
                <w:b/>
                <w:bCs/>
                <w:color w:val="000000" w:themeColor="text1"/>
                <w:szCs w:val="24"/>
              </w:rPr>
            </w:pPr>
            <w:r w:rsidRPr="00692AF5">
              <w:rPr>
                <w:rFonts w:cs="Times New Roman"/>
                <w:b/>
                <w:bCs/>
                <w:color w:val="000000" w:themeColor="text1"/>
                <w:szCs w:val="24"/>
              </w:rPr>
              <w:t>%</w:t>
            </w:r>
          </w:p>
        </w:tc>
      </w:tr>
      <w:tr w:rsidR="00E32139" w:rsidRPr="00692AF5" w14:paraId="37DEE90E" w14:textId="77777777" w:rsidTr="00E32139">
        <w:tc>
          <w:tcPr>
            <w:tcW w:w="0" w:type="auto"/>
            <w:hideMark/>
          </w:tcPr>
          <w:p w14:paraId="753155D9"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Top departmental staff</w:t>
            </w:r>
          </w:p>
        </w:tc>
        <w:tc>
          <w:tcPr>
            <w:tcW w:w="0" w:type="auto"/>
            <w:hideMark/>
          </w:tcPr>
          <w:p w14:paraId="00B7540E"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64</w:t>
            </w:r>
          </w:p>
        </w:tc>
        <w:tc>
          <w:tcPr>
            <w:tcW w:w="0" w:type="auto"/>
            <w:hideMark/>
          </w:tcPr>
          <w:p w14:paraId="1420580F"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35%</w:t>
            </w:r>
          </w:p>
        </w:tc>
      </w:tr>
      <w:tr w:rsidR="00E32139" w:rsidRPr="00692AF5" w14:paraId="45A7B91B" w14:textId="77777777" w:rsidTr="00E32139">
        <w:tc>
          <w:tcPr>
            <w:tcW w:w="0" w:type="auto"/>
            <w:hideMark/>
          </w:tcPr>
          <w:p w14:paraId="7D9F8680"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Middle-level departmental staff</w:t>
            </w:r>
          </w:p>
        </w:tc>
        <w:tc>
          <w:tcPr>
            <w:tcW w:w="0" w:type="auto"/>
            <w:hideMark/>
          </w:tcPr>
          <w:p w14:paraId="6BF7DEDF"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116</w:t>
            </w:r>
          </w:p>
        </w:tc>
        <w:tc>
          <w:tcPr>
            <w:tcW w:w="0" w:type="auto"/>
            <w:hideMark/>
          </w:tcPr>
          <w:p w14:paraId="1F2E1350"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65%</w:t>
            </w:r>
          </w:p>
        </w:tc>
      </w:tr>
      <w:tr w:rsidR="00E32139" w:rsidRPr="00692AF5" w14:paraId="2BD871AC" w14:textId="77777777" w:rsidTr="00E32139">
        <w:tc>
          <w:tcPr>
            <w:tcW w:w="0" w:type="auto"/>
            <w:hideMark/>
          </w:tcPr>
          <w:p w14:paraId="4E7520DE" w14:textId="77777777" w:rsidR="00E32139" w:rsidRPr="00692AF5" w:rsidRDefault="00E32139" w:rsidP="00E32139">
            <w:pPr>
              <w:spacing w:after="160" w:line="259" w:lineRule="auto"/>
              <w:rPr>
                <w:rFonts w:cs="Times New Roman"/>
                <w:color w:val="000000" w:themeColor="text1"/>
                <w:szCs w:val="24"/>
              </w:rPr>
            </w:pPr>
            <w:r w:rsidRPr="00692AF5">
              <w:rPr>
                <w:rFonts w:cs="Times New Roman"/>
                <w:b/>
                <w:bCs/>
                <w:color w:val="000000" w:themeColor="text1"/>
                <w:szCs w:val="24"/>
              </w:rPr>
              <w:t>Total</w:t>
            </w:r>
          </w:p>
        </w:tc>
        <w:tc>
          <w:tcPr>
            <w:tcW w:w="0" w:type="auto"/>
            <w:hideMark/>
          </w:tcPr>
          <w:p w14:paraId="7E7AB93D" w14:textId="77777777" w:rsidR="00E32139" w:rsidRPr="00692AF5" w:rsidRDefault="00E32139" w:rsidP="00E32139">
            <w:pPr>
              <w:spacing w:after="160" w:line="259" w:lineRule="auto"/>
              <w:rPr>
                <w:rFonts w:cs="Times New Roman"/>
                <w:color w:val="000000" w:themeColor="text1"/>
                <w:szCs w:val="24"/>
              </w:rPr>
            </w:pPr>
            <w:r w:rsidRPr="00692AF5">
              <w:rPr>
                <w:rFonts w:cs="Times New Roman"/>
                <w:b/>
                <w:bCs/>
                <w:color w:val="000000" w:themeColor="text1"/>
                <w:szCs w:val="24"/>
              </w:rPr>
              <w:t>180</w:t>
            </w:r>
          </w:p>
        </w:tc>
        <w:tc>
          <w:tcPr>
            <w:tcW w:w="0" w:type="auto"/>
            <w:hideMark/>
          </w:tcPr>
          <w:p w14:paraId="45215C23" w14:textId="77777777" w:rsidR="00E32139" w:rsidRPr="00692AF5" w:rsidRDefault="00E32139" w:rsidP="00E32139">
            <w:pPr>
              <w:spacing w:after="160" w:line="259" w:lineRule="auto"/>
              <w:rPr>
                <w:rFonts w:cs="Times New Roman"/>
                <w:color w:val="000000" w:themeColor="text1"/>
                <w:szCs w:val="24"/>
              </w:rPr>
            </w:pPr>
            <w:r w:rsidRPr="00692AF5">
              <w:rPr>
                <w:rFonts w:cs="Times New Roman"/>
                <w:b/>
                <w:bCs/>
                <w:color w:val="000000" w:themeColor="text1"/>
                <w:szCs w:val="24"/>
              </w:rPr>
              <w:t>100%</w:t>
            </w:r>
          </w:p>
        </w:tc>
      </w:tr>
    </w:tbl>
    <w:p w14:paraId="298DADD9"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Source: KRA (2023)</w:t>
      </w:r>
    </w:p>
    <w:p w14:paraId="02E1CF48"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lastRenderedPageBreak/>
        <w:t>Sampling refers to the process of selecting a subset of a population to represent the entire group in a study (Andrew et al., 2019). It enables researchers to draw manageable samples that allow for generalisation of findings to the wider population (Leedy &amp; Ormrod, 2015).</w:t>
      </w:r>
    </w:p>
    <w:p w14:paraId="2BD9A7A4"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This study adopted a census approach, whereby all 180 targeted employees were included in the study. A census involves collecting data from every unit in the target population rather than selecting a sample (Kothari, 2004). This approach was appropriate due to the relatively small population size and the need for comprehensive and accurate data. It also eliminated sampling bias and ensured that all relevant perspectives from the three main departments—Strategy, Innovation, and Risk Management (DTD &amp; CBCD), and Corporate Support Services Division (CSSD)—were captured.</w:t>
      </w:r>
    </w:p>
    <w:p w14:paraId="5801180B" w14:textId="2B86E5B8" w:rsidR="00E32139" w:rsidRPr="00692AF5" w:rsidRDefault="00E32139" w:rsidP="00E32139">
      <w:pPr>
        <w:spacing w:after="160" w:line="259" w:lineRule="auto"/>
        <w:rPr>
          <w:rFonts w:cs="Times New Roman"/>
          <w:color w:val="000000" w:themeColor="text1"/>
          <w:szCs w:val="24"/>
        </w:rPr>
      </w:pPr>
      <w:r w:rsidRPr="00692AF5">
        <w:rPr>
          <w:rFonts w:cs="Times New Roman"/>
          <w:b/>
          <w:bCs/>
          <w:color w:val="000000" w:themeColor="text1"/>
          <w:szCs w:val="24"/>
        </w:rPr>
        <w:t>Table 2: Distribution of Sample Size</w:t>
      </w:r>
    </w:p>
    <w:tbl>
      <w:tblPr>
        <w:tblStyle w:val="TableGrid1"/>
        <w:tblW w:w="0" w:type="auto"/>
        <w:tblLook w:val="04A0" w:firstRow="1" w:lastRow="0" w:firstColumn="1" w:lastColumn="0" w:noHBand="0" w:noVBand="1"/>
      </w:tblPr>
      <w:tblGrid>
        <w:gridCol w:w="3255"/>
        <w:gridCol w:w="1337"/>
        <w:gridCol w:w="1410"/>
        <w:gridCol w:w="836"/>
      </w:tblGrid>
      <w:tr w:rsidR="00E32139" w:rsidRPr="00692AF5" w14:paraId="70EB1BCF" w14:textId="77777777" w:rsidTr="00E32139">
        <w:tc>
          <w:tcPr>
            <w:tcW w:w="0" w:type="auto"/>
            <w:hideMark/>
          </w:tcPr>
          <w:p w14:paraId="3D044A31" w14:textId="77777777" w:rsidR="00E32139" w:rsidRPr="00692AF5" w:rsidRDefault="00E32139" w:rsidP="00E32139">
            <w:pPr>
              <w:spacing w:after="160" w:line="259" w:lineRule="auto"/>
              <w:rPr>
                <w:rFonts w:cs="Times New Roman"/>
                <w:b/>
                <w:bCs/>
                <w:color w:val="000000" w:themeColor="text1"/>
                <w:szCs w:val="24"/>
              </w:rPr>
            </w:pPr>
            <w:r w:rsidRPr="00692AF5">
              <w:rPr>
                <w:rFonts w:cs="Times New Roman"/>
                <w:b/>
                <w:bCs/>
                <w:color w:val="000000" w:themeColor="text1"/>
                <w:szCs w:val="24"/>
              </w:rPr>
              <w:t>Category</w:t>
            </w:r>
          </w:p>
        </w:tc>
        <w:tc>
          <w:tcPr>
            <w:tcW w:w="0" w:type="auto"/>
            <w:hideMark/>
          </w:tcPr>
          <w:p w14:paraId="689F1EBA" w14:textId="77777777" w:rsidR="00E32139" w:rsidRPr="00692AF5" w:rsidRDefault="00E32139" w:rsidP="00E32139">
            <w:pPr>
              <w:spacing w:after="160" w:line="259" w:lineRule="auto"/>
              <w:rPr>
                <w:rFonts w:cs="Times New Roman"/>
                <w:b/>
                <w:bCs/>
                <w:color w:val="000000" w:themeColor="text1"/>
                <w:szCs w:val="24"/>
              </w:rPr>
            </w:pPr>
            <w:r w:rsidRPr="00692AF5">
              <w:rPr>
                <w:rFonts w:cs="Times New Roman"/>
                <w:b/>
                <w:bCs/>
                <w:color w:val="000000" w:themeColor="text1"/>
                <w:szCs w:val="24"/>
              </w:rPr>
              <w:t>Population</w:t>
            </w:r>
          </w:p>
        </w:tc>
        <w:tc>
          <w:tcPr>
            <w:tcW w:w="0" w:type="auto"/>
            <w:hideMark/>
          </w:tcPr>
          <w:p w14:paraId="3B6AB91C" w14:textId="77777777" w:rsidR="00E32139" w:rsidRPr="00692AF5" w:rsidRDefault="00E32139" w:rsidP="00E32139">
            <w:pPr>
              <w:spacing w:after="160" w:line="259" w:lineRule="auto"/>
              <w:rPr>
                <w:rFonts w:cs="Times New Roman"/>
                <w:b/>
                <w:bCs/>
                <w:color w:val="000000" w:themeColor="text1"/>
                <w:szCs w:val="24"/>
              </w:rPr>
            </w:pPr>
            <w:r w:rsidRPr="00692AF5">
              <w:rPr>
                <w:rFonts w:cs="Times New Roman"/>
                <w:b/>
                <w:bCs/>
                <w:color w:val="000000" w:themeColor="text1"/>
                <w:szCs w:val="24"/>
              </w:rPr>
              <w:t>Sample size</w:t>
            </w:r>
          </w:p>
        </w:tc>
        <w:tc>
          <w:tcPr>
            <w:tcW w:w="0" w:type="auto"/>
            <w:hideMark/>
          </w:tcPr>
          <w:p w14:paraId="084C4476" w14:textId="77777777" w:rsidR="00E32139" w:rsidRPr="00692AF5" w:rsidRDefault="00E32139" w:rsidP="00E32139">
            <w:pPr>
              <w:spacing w:after="160" w:line="259" w:lineRule="auto"/>
              <w:rPr>
                <w:rFonts w:cs="Times New Roman"/>
                <w:b/>
                <w:bCs/>
                <w:color w:val="000000" w:themeColor="text1"/>
                <w:szCs w:val="24"/>
              </w:rPr>
            </w:pPr>
            <w:r w:rsidRPr="00692AF5">
              <w:rPr>
                <w:rFonts w:cs="Times New Roman"/>
                <w:b/>
                <w:bCs/>
                <w:color w:val="000000" w:themeColor="text1"/>
                <w:szCs w:val="24"/>
              </w:rPr>
              <w:t>%</w:t>
            </w:r>
          </w:p>
        </w:tc>
      </w:tr>
      <w:tr w:rsidR="00E32139" w:rsidRPr="00692AF5" w14:paraId="3BADA8D9" w14:textId="77777777" w:rsidTr="00E32139">
        <w:tc>
          <w:tcPr>
            <w:tcW w:w="0" w:type="auto"/>
            <w:hideMark/>
          </w:tcPr>
          <w:p w14:paraId="0696D634"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Top departmental staff</w:t>
            </w:r>
          </w:p>
        </w:tc>
        <w:tc>
          <w:tcPr>
            <w:tcW w:w="0" w:type="auto"/>
            <w:hideMark/>
          </w:tcPr>
          <w:p w14:paraId="63A4420F"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64</w:t>
            </w:r>
          </w:p>
        </w:tc>
        <w:tc>
          <w:tcPr>
            <w:tcW w:w="0" w:type="auto"/>
            <w:hideMark/>
          </w:tcPr>
          <w:p w14:paraId="2F8729FE"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32</w:t>
            </w:r>
          </w:p>
        </w:tc>
        <w:tc>
          <w:tcPr>
            <w:tcW w:w="0" w:type="auto"/>
            <w:hideMark/>
          </w:tcPr>
          <w:p w14:paraId="6F62C85E"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35.5%</w:t>
            </w:r>
          </w:p>
        </w:tc>
      </w:tr>
      <w:tr w:rsidR="00E32139" w:rsidRPr="00692AF5" w14:paraId="4586442D" w14:textId="77777777" w:rsidTr="00E32139">
        <w:tc>
          <w:tcPr>
            <w:tcW w:w="0" w:type="auto"/>
            <w:hideMark/>
          </w:tcPr>
          <w:p w14:paraId="1033597D"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Middle-level departmental staff</w:t>
            </w:r>
          </w:p>
        </w:tc>
        <w:tc>
          <w:tcPr>
            <w:tcW w:w="0" w:type="auto"/>
            <w:hideMark/>
          </w:tcPr>
          <w:p w14:paraId="1CFCBCEC"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116</w:t>
            </w:r>
          </w:p>
        </w:tc>
        <w:tc>
          <w:tcPr>
            <w:tcW w:w="0" w:type="auto"/>
            <w:hideMark/>
          </w:tcPr>
          <w:p w14:paraId="26E8592A"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58</w:t>
            </w:r>
          </w:p>
        </w:tc>
        <w:tc>
          <w:tcPr>
            <w:tcW w:w="0" w:type="auto"/>
            <w:hideMark/>
          </w:tcPr>
          <w:p w14:paraId="3AB17946"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64.4%</w:t>
            </w:r>
          </w:p>
        </w:tc>
      </w:tr>
      <w:tr w:rsidR="00E32139" w:rsidRPr="00692AF5" w14:paraId="2B7502FD" w14:textId="77777777" w:rsidTr="00E32139">
        <w:tc>
          <w:tcPr>
            <w:tcW w:w="0" w:type="auto"/>
            <w:hideMark/>
          </w:tcPr>
          <w:p w14:paraId="4AF252B5" w14:textId="77777777" w:rsidR="00E32139" w:rsidRPr="00692AF5" w:rsidRDefault="00E32139" w:rsidP="00E32139">
            <w:pPr>
              <w:spacing w:after="160" w:line="259" w:lineRule="auto"/>
              <w:rPr>
                <w:rFonts w:cs="Times New Roman"/>
                <w:color w:val="000000" w:themeColor="text1"/>
                <w:szCs w:val="24"/>
              </w:rPr>
            </w:pPr>
            <w:r w:rsidRPr="00692AF5">
              <w:rPr>
                <w:rFonts w:cs="Times New Roman"/>
                <w:b/>
                <w:bCs/>
                <w:color w:val="000000" w:themeColor="text1"/>
                <w:szCs w:val="24"/>
              </w:rPr>
              <w:t>Total</w:t>
            </w:r>
          </w:p>
        </w:tc>
        <w:tc>
          <w:tcPr>
            <w:tcW w:w="0" w:type="auto"/>
            <w:hideMark/>
          </w:tcPr>
          <w:p w14:paraId="4D5BB3DC" w14:textId="77777777" w:rsidR="00E32139" w:rsidRPr="00692AF5" w:rsidRDefault="00E32139" w:rsidP="00E32139">
            <w:pPr>
              <w:spacing w:after="160" w:line="259" w:lineRule="auto"/>
              <w:rPr>
                <w:rFonts w:cs="Times New Roman"/>
                <w:color w:val="000000" w:themeColor="text1"/>
                <w:szCs w:val="24"/>
              </w:rPr>
            </w:pPr>
            <w:r w:rsidRPr="00692AF5">
              <w:rPr>
                <w:rFonts w:cs="Times New Roman"/>
                <w:b/>
                <w:bCs/>
                <w:color w:val="000000" w:themeColor="text1"/>
                <w:szCs w:val="24"/>
              </w:rPr>
              <w:t>180</w:t>
            </w:r>
          </w:p>
        </w:tc>
        <w:tc>
          <w:tcPr>
            <w:tcW w:w="0" w:type="auto"/>
            <w:hideMark/>
          </w:tcPr>
          <w:p w14:paraId="520FCB0C" w14:textId="77777777" w:rsidR="00E32139" w:rsidRPr="00692AF5" w:rsidRDefault="00E32139" w:rsidP="00E32139">
            <w:pPr>
              <w:spacing w:after="160" w:line="259" w:lineRule="auto"/>
              <w:rPr>
                <w:rFonts w:cs="Times New Roman"/>
                <w:color w:val="000000" w:themeColor="text1"/>
                <w:szCs w:val="24"/>
              </w:rPr>
            </w:pPr>
            <w:r w:rsidRPr="00692AF5">
              <w:rPr>
                <w:rFonts w:cs="Times New Roman"/>
                <w:b/>
                <w:bCs/>
                <w:color w:val="000000" w:themeColor="text1"/>
                <w:szCs w:val="24"/>
              </w:rPr>
              <w:t>90</w:t>
            </w:r>
          </w:p>
        </w:tc>
        <w:tc>
          <w:tcPr>
            <w:tcW w:w="0" w:type="auto"/>
            <w:hideMark/>
          </w:tcPr>
          <w:p w14:paraId="42ED7A2E" w14:textId="77777777" w:rsidR="00E32139" w:rsidRPr="00692AF5" w:rsidRDefault="00E32139" w:rsidP="00E32139">
            <w:pPr>
              <w:spacing w:after="160" w:line="259" w:lineRule="auto"/>
              <w:rPr>
                <w:rFonts w:cs="Times New Roman"/>
                <w:color w:val="000000" w:themeColor="text1"/>
                <w:szCs w:val="24"/>
              </w:rPr>
            </w:pPr>
            <w:r w:rsidRPr="00692AF5">
              <w:rPr>
                <w:rFonts w:cs="Times New Roman"/>
                <w:b/>
                <w:bCs/>
                <w:color w:val="000000" w:themeColor="text1"/>
                <w:szCs w:val="24"/>
              </w:rPr>
              <w:t>100%</w:t>
            </w:r>
          </w:p>
        </w:tc>
      </w:tr>
    </w:tbl>
    <w:p w14:paraId="43007A4D"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Source: Author (2024)</w:t>
      </w:r>
    </w:p>
    <w:p w14:paraId="0FA701A8"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Data collection instruments are selected based on the nature of the data and research design, with emphasis on accuracy and reliability (Muathe, 2010). Proper selection of instruments helps reduce errors and ensures alignment with research objectives (Mugenda &amp; Mugenda, 2003). This study used structured questionnaires to collect primary data. The questionnaires included both open-ended and closed-ended questions, with closed-ended items providing measurable data for quantitative analysis.</w:t>
      </w:r>
    </w:p>
    <w:p w14:paraId="14F74707" w14:textId="029DACE8"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The questionnaire was developed after reviewing relevant literature to identify key constructs related to strategic r</w:t>
      </w:r>
      <w:r w:rsidR="003B1974">
        <w:rPr>
          <w:rFonts w:cs="Times New Roman"/>
          <w:color w:val="000000" w:themeColor="text1"/>
          <w:szCs w:val="24"/>
        </w:rPr>
        <w:t>esponses and organiz</w:t>
      </w:r>
      <w:r w:rsidRPr="00692AF5">
        <w:rPr>
          <w:rFonts w:cs="Times New Roman"/>
          <w:color w:val="000000" w:themeColor="text1"/>
          <w:szCs w:val="24"/>
        </w:rPr>
        <w:t>ational performance. Krosnick (2018) emphasises that well-structured questionnaires enhance validity and reliability by ensuring alignment with research objectives. The questionnaire was divided into six sections: general information; customer-centric strategies; brand awareness; adoption of modern technology;</w:t>
      </w:r>
      <w:r w:rsidR="003B1974">
        <w:rPr>
          <w:rFonts w:cs="Times New Roman"/>
          <w:color w:val="000000" w:themeColor="text1"/>
          <w:szCs w:val="24"/>
        </w:rPr>
        <w:t xml:space="preserve"> big data analytics; and organiz</w:t>
      </w:r>
      <w:r w:rsidRPr="00692AF5">
        <w:rPr>
          <w:rFonts w:cs="Times New Roman"/>
          <w:color w:val="000000" w:themeColor="text1"/>
          <w:szCs w:val="24"/>
        </w:rPr>
        <w:t>ational performance.</w:t>
      </w:r>
    </w:p>
    <w:p w14:paraId="77495A0E"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Pilot testing was conducted before the main study to improve the reliability and effectiveness of the research instrument (Kothari, 2004). According to Mugenda and Mugenda (2003), 10% of the target population was used, resulting in 18 respondents for the pilot study. The pilot test helped identify potential errors and improve clarity in the research instrument. Respondents involved in the pilot study were excluded from the final analysis to avoid bias.</w:t>
      </w:r>
    </w:p>
    <w:p w14:paraId="22F7ABC5"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Validity refers to the extent to which a research instrument measures what it is intended to measure (Muathe, 2019). Construct validity was ensured by aligning questionnaire items with theoretical constructs. Content validity was assessed through expert review by the supervisor and industry specialists. Feedback from the pilot study was used to refine the instrument, ensuring clarity, accuracy, and generalisability of results.</w:t>
      </w:r>
    </w:p>
    <w:p w14:paraId="240D6773"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lastRenderedPageBreak/>
        <w:t>Reliability refers to the consistency of a research instrument in producing stable results under similar conditions. Internal consistency was assessed using Cronbach’s Alpha, where a coefficient of 0.7 or above was considered acceptable for reliability.</w:t>
      </w:r>
    </w:p>
    <w:p w14:paraId="7656FADF"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Before data collection, approval letters were obtained from Kenyatta University, NACOSTI, and KRA. Respondents were provided with questionnaires containing clear instructions for both closed and open-ended questions. The procedure ensured higher response rates and improved data quality.</w:t>
      </w:r>
    </w:p>
    <w:p w14:paraId="062BD33F"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Data analysis involves interpreting collected data to identify patterns and trends (Muathe, 2010). After data collection, responses were edited, coded, classified, and analysed. Quantitative data were analysed using means, frequencies, and standard deviations, while qualitative data were described using thematic narrative analysis.</w:t>
      </w:r>
    </w:p>
    <w:p w14:paraId="5A53C119"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Descriptive statistics were used to summarise relationships between strategic responses and organisational performance, while inferential statistics, including correlation and multiple regression analysis, were applied to test relationships among variables. The model used was:</w:t>
      </w:r>
    </w:p>
    <w:p w14:paraId="5A23C92B" w14:textId="77777777" w:rsidR="00E32139" w:rsidRPr="00692AF5" w:rsidRDefault="00E32139" w:rsidP="00E32139">
      <w:pPr>
        <w:spacing w:after="160" w:line="259" w:lineRule="auto"/>
        <w:jc w:val="left"/>
        <w:rPr>
          <w:rFonts w:cs="Times New Roman"/>
          <w:color w:val="000000" w:themeColor="text1"/>
          <w:szCs w:val="24"/>
        </w:rPr>
      </w:pPr>
      <w:r w:rsidRPr="00692AF5">
        <w:rPr>
          <w:rFonts w:cs="Times New Roman"/>
          <w:color w:val="000000" w:themeColor="text1"/>
          <w:szCs w:val="24"/>
        </w:rPr>
        <w:t>Y = β0 + β1X1 + β2X2 + β3X3 + β4X4 + ε</w:t>
      </w:r>
    </w:p>
    <w:p w14:paraId="29E95329" w14:textId="77777777" w:rsidR="00E32139" w:rsidRPr="00692AF5" w:rsidRDefault="00E32139" w:rsidP="00E32139">
      <w:pPr>
        <w:spacing w:after="160" w:line="259" w:lineRule="auto"/>
        <w:jc w:val="left"/>
        <w:rPr>
          <w:rFonts w:cs="Times New Roman"/>
          <w:color w:val="000000" w:themeColor="text1"/>
          <w:szCs w:val="24"/>
        </w:rPr>
      </w:pPr>
      <w:r w:rsidRPr="00692AF5">
        <w:rPr>
          <w:rFonts w:cs="Times New Roman"/>
          <w:color w:val="000000" w:themeColor="text1"/>
          <w:szCs w:val="24"/>
        </w:rPr>
        <w:t>Where:</w:t>
      </w:r>
      <w:r w:rsidRPr="00692AF5">
        <w:rPr>
          <w:rFonts w:cs="Times New Roman"/>
          <w:color w:val="000000" w:themeColor="text1"/>
          <w:szCs w:val="24"/>
        </w:rPr>
        <w:br/>
        <w:t>Y = Organisational performance</w:t>
      </w:r>
      <w:r w:rsidRPr="00692AF5">
        <w:rPr>
          <w:rFonts w:cs="Times New Roman"/>
          <w:color w:val="000000" w:themeColor="text1"/>
          <w:szCs w:val="24"/>
        </w:rPr>
        <w:br/>
        <w:t>X1 = Customer-Centric Approaches</w:t>
      </w:r>
      <w:r w:rsidRPr="00692AF5">
        <w:rPr>
          <w:rFonts w:cs="Times New Roman"/>
          <w:color w:val="000000" w:themeColor="text1"/>
          <w:szCs w:val="24"/>
        </w:rPr>
        <w:br/>
        <w:t>X2 = Brand Awareness Efforts</w:t>
      </w:r>
      <w:r w:rsidRPr="00692AF5">
        <w:rPr>
          <w:rFonts w:cs="Times New Roman"/>
          <w:color w:val="000000" w:themeColor="text1"/>
          <w:szCs w:val="24"/>
        </w:rPr>
        <w:br/>
        <w:t>X3 = Adoption of Modern Technology</w:t>
      </w:r>
      <w:r w:rsidRPr="00692AF5">
        <w:rPr>
          <w:rFonts w:cs="Times New Roman"/>
          <w:color w:val="000000" w:themeColor="text1"/>
          <w:szCs w:val="24"/>
        </w:rPr>
        <w:br/>
        <w:t>X4 = Big Data Analytics</w:t>
      </w:r>
      <w:r w:rsidRPr="00692AF5">
        <w:rPr>
          <w:rFonts w:cs="Times New Roman"/>
          <w:color w:val="000000" w:themeColor="text1"/>
          <w:szCs w:val="24"/>
        </w:rPr>
        <w:br/>
        <w:t>β = Coefficients</w:t>
      </w:r>
      <w:r w:rsidRPr="00692AF5">
        <w:rPr>
          <w:rFonts w:cs="Times New Roman"/>
          <w:color w:val="000000" w:themeColor="text1"/>
          <w:szCs w:val="24"/>
        </w:rPr>
        <w:br/>
        <w:t>ε = Error term</w:t>
      </w:r>
    </w:p>
    <w:p w14:paraId="565CBB96" w14:textId="77777777" w:rsidR="00E32139" w:rsidRPr="00692AF5" w:rsidRDefault="00E32139" w:rsidP="00E32139">
      <w:pPr>
        <w:spacing w:after="160" w:line="259" w:lineRule="auto"/>
        <w:rPr>
          <w:rFonts w:cs="Times New Roman"/>
          <w:color w:val="000000" w:themeColor="text1"/>
          <w:szCs w:val="24"/>
        </w:rPr>
      </w:pPr>
      <w:r w:rsidRPr="00692AF5">
        <w:rPr>
          <w:rFonts w:cs="Times New Roman"/>
          <w:color w:val="000000" w:themeColor="text1"/>
          <w:szCs w:val="24"/>
        </w:rPr>
        <w:t>Ethical considerations guided the entire research process. Necessary approvals were obtained from Kenyatta University, NACOSTI, and KRA before data collection. Participation was voluntary, and respondents were not required to disclose their names, ensuring confidentiality and anonymity throughout the study.</w:t>
      </w:r>
    </w:p>
    <w:p w14:paraId="7C961926" w14:textId="4293C8C4" w:rsidR="00B55CEF" w:rsidRPr="00692AF5" w:rsidRDefault="00B55CEF">
      <w:pPr>
        <w:spacing w:before="0" w:after="160" w:line="259" w:lineRule="auto"/>
        <w:jc w:val="left"/>
        <w:rPr>
          <w:b/>
          <w:bCs/>
          <w:color w:val="000000" w:themeColor="text1"/>
          <w:sz w:val="28"/>
          <w:szCs w:val="24"/>
        </w:rPr>
      </w:pPr>
    </w:p>
    <w:p w14:paraId="14C2E9C9" w14:textId="41B94B9A" w:rsidR="00055D83" w:rsidRPr="00692AF5" w:rsidRDefault="002B2D3C" w:rsidP="002B2D3C">
      <w:pPr>
        <w:rPr>
          <w:b/>
          <w:bCs/>
          <w:color w:val="000000" w:themeColor="text1"/>
          <w:sz w:val="28"/>
          <w:szCs w:val="24"/>
        </w:rPr>
      </w:pPr>
      <w:r w:rsidRPr="00692AF5">
        <w:rPr>
          <w:b/>
          <w:bCs/>
          <w:color w:val="000000" w:themeColor="text1"/>
          <w:sz w:val="28"/>
          <w:szCs w:val="24"/>
        </w:rPr>
        <w:t xml:space="preserve">4.0 </w:t>
      </w:r>
      <w:r w:rsidR="00055D83" w:rsidRPr="00692AF5">
        <w:rPr>
          <w:b/>
          <w:bCs/>
          <w:color w:val="000000" w:themeColor="text1"/>
          <w:sz w:val="28"/>
          <w:szCs w:val="24"/>
        </w:rPr>
        <w:t>RESULTS AND DISCUSSION</w:t>
      </w:r>
    </w:p>
    <w:p w14:paraId="35E4007D" w14:textId="518C41F8" w:rsidR="00096C2E" w:rsidRPr="00692AF5" w:rsidRDefault="00096C2E" w:rsidP="00096C2E">
      <w:pPr>
        <w:shd w:val="clear" w:color="auto" w:fill="FFFFFF"/>
        <w:spacing w:before="0" w:line="240" w:lineRule="auto"/>
        <w:rPr>
          <w:rFonts w:eastAsia="Times New Roman" w:cs="Times New Roman"/>
          <w:b/>
          <w:bCs/>
          <w:color w:val="auto"/>
          <w14:ligatures w14:val="none"/>
        </w:rPr>
      </w:pPr>
      <w:r w:rsidRPr="00692AF5">
        <w:rPr>
          <w:rFonts w:eastAsia="Times New Roman" w:cs="Times New Roman"/>
          <w:b/>
          <w:bCs/>
          <w:color w:val="auto"/>
          <w14:ligatures w14:val="none"/>
        </w:rPr>
        <w:t xml:space="preserve">Response Rate </w:t>
      </w:r>
    </w:p>
    <w:p w14:paraId="06F390E8" w14:textId="13B9D8F6" w:rsidR="00096C2E" w:rsidRPr="00692AF5" w:rsidRDefault="00E32139" w:rsidP="00096C2E">
      <w:pPr>
        <w:shd w:val="clear" w:color="auto" w:fill="FFFFFF"/>
        <w:spacing w:line="240" w:lineRule="auto"/>
        <w:rPr>
          <w:rFonts w:eastAsia="Times New Roman" w:cs="Times New Roman"/>
          <w:color w:val="auto"/>
          <w:szCs w:val="24"/>
          <w14:ligatures w14:val="none"/>
        </w:rPr>
      </w:pPr>
      <w:r w:rsidRPr="00692AF5">
        <w:rPr>
          <w:rFonts w:eastAsia="Times New Roman" w:cs="Times New Roman"/>
          <w:color w:val="auto"/>
          <w:szCs w:val="24"/>
          <w14:ligatures w14:val="none"/>
        </w:rPr>
        <w:t>A total of 90 questionnaires were distributed to respondents at the Kenya Revenue Authority headquarters in Nairobi. Of these, 77 were fully completed and returned, representing a response rate of 86%, while 13 (14%) were not returned. This response rate was considered adequate for analysis and reporting. According to Mugenda and Mugenda (2003), response rates of 50% are adequate, 60% good, and 70% and above excellent in social science research. Therefore, the 86% rate was sufficiently high to support valid conclusions on the impact of strategic response on Kenya Revenue Authority performance.</w:t>
      </w:r>
    </w:p>
    <w:p w14:paraId="11B4385D" w14:textId="77777777" w:rsidR="00E32139" w:rsidRPr="00692AF5" w:rsidRDefault="00E32139" w:rsidP="00E32139">
      <w:pPr>
        <w:rPr>
          <w:color w:val="000000" w:themeColor="text1"/>
        </w:rPr>
      </w:pPr>
      <w:r w:rsidRPr="00692AF5">
        <w:rPr>
          <w:noProof/>
          <w:color w:val="000000" w:themeColor="text1"/>
          <w:lang w:val="en-GB" w:eastAsia="en-GB"/>
        </w:rPr>
        <w:lastRenderedPageBreak/>
        <w:drawing>
          <wp:inline distT="0" distB="0" distL="0" distR="0" wp14:anchorId="4C3BC92A" wp14:editId="2CA1315E">
            <wp:extent cx="5915025" cy="2743200"/>
            <wp:effectExtent l="0" t="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9E2F75D" w14:textId="500FAE15" w:rsidR="00E32139" w:rsidRPr="00692AF5" w:rsidRDefault="00E32139" w:rsidP="00E32139">
      <w:pPr>
        <w:pStyle w:val="Heading2"/>
        <w:spacing w:before="0" w:line="240" w:lineRule="auto"/>
        <w:rPr>
          <w:color w:val="000000" w:themeColor="text1"/>
        </w:rPr>
      </w:pPr>
      <w:bookmarkStart w:id="3" w:name="_Toc207923087"/>
      <w:r w:rsidRPr="00692AF5">
        <w:rPr>
          <w:color w:val="000000" w:themeColor="text1"/>
        </w:rPr>
        <w:t>Figure 1: Response Rate</w:t>
      </w:r>
      <w:bookmarkEnd w:id="3"/>
    </w:p>
    <w:p w14:paraId="233891BD" w14:textId="77777777" w:rsidR="00E32139" w:rsidRPr="00692AF5" w:rsidRDefault="00E32139" w:rsidP="00E32139">
      <w:pPr>
        <w:spacing w:line="240" w:lineRule="auto"/>
        <w:rPr>
          <w:color w:val="000000" w:themeColor="text1"/>
        </w:rPr>
      </w:pPr>
      <w:r w:rsidRPr="00692AF5">
        <w:rPr>
          <w:color w:val="000000" w:themeColor="text1"/>
        </w:rPr>
        <w:t>Source: Researcher (2025)</w:t>
      </w:r>
    </w:p>
    <w:p w14:paraId="308F5C8A" w14:textId="77777777" w:rsidR="00E32139" w:rsidRPr="00692AF5" w:rsidRDefault="00E32139" w:rsidP="00096C2E">
      <w:pPr>
        <w:shd w:val="clear" w:color="auto" w:fill="FFFFFF"/>
        <w:spacing w:line="240" w:lineRule="auto"/>
        <w:rPr>
          <w:rFonts w:eastAsia="Times New Roman" w:cs="Times New Roman"/>
          <w:b/>
          <w:bCs/>
          <w:color w:val="auto"/>
          <w:szCs w:val="24"/>
          <w14:ligatures w14:val="none"/>
        </w:rPr>
      </w:pPr>
    </w:p>
    <w:p w14:paraId="6E6C3321" w14:textId="77777777" w:rsidR="003B03A5" w:rsidRPr="00343006" w:rsidRDefault="003B03A5" w:rsidP="003B03A5">
      <w:pPr>
        <w:spacing w:before="0" w:after="160" w:line="240" w:lineRule="auto"/>
        <w:rPr>
          <w:rFonts w:cs="Times New Roman"/>
          <w:b/>
          <w:bCs/>
          <w:sz w:val="20"/>
          <w:szCs w:val="20"/>
          <w:highlight w:val="yellow"/>
        </w:rPr>
      </w:pPr>
      <w:r w:rsidRPr="00343006">
        <w:rPr>
          <w:rFonts w:cs="Times New Roman"/>
          <w:b/>
          <w:bCs/>
          <w:sz w:val="20"/>
          <w:szCs w:val="20"/>
          <w:highlight w:val="yellow"/>
        </w:rPr>
        <w:t>Inferential Analysis</w:t>
      </w:r>
    </w:p>
    <w:p w14:paraId="47F27572" w14:textId="77777777" w:rsidR="003B03A5" w:rsidRPr="00343006" w:rsidRDefault="003B03A5" w:rsidP="003B03A5">
      <w:pPr>
        <w:spacing w:before="0" w:after="160" w:line="240" w:lineRule="auto"/>
        <w:rPr>
          <w:rFonts w:cs="Times New Roman"/>
          <w:sz w:val="20"/>
          <w:szCs w:val="20"/>
          <w:highlight w:val="yellow"/>
        </w:rPr>
      </w:pPr>
      <w:r w:rsidRPr="00343006">
        <w:rPr>
          <w:rFonts w:cs="Times New Roman"/>
          <w:sz w:val="20"/>
          <w:szCs w:val="20"/>
          <w:highlight w:val="yellow"/>
        </w:rPr>
        <w:t>Inferential analysis is used to draw conclusions about a population based on sample data, establish relationships among variables, and test hypotheses. It enhances the credibility of research findings by minimizing bias and estimating the probability that observed outcomes occurred by chance. In this study, inferential analysis was applied to examine the relationship between customer-centric approaches, strategic brand positioning, technological integration, data-driven decision-making, and organizational performance at the Kenya Revenue Authority (KRA). The analysis includes correlation and regression results, which are interpreted in relation to organizational performance.</w:t>
      </w:r>
    </w:p>
    <w:p w14:paraId="3B90708E" w14:textId="77777777" w:rsidR="003B03A5" w:rsidRPr="00343006" w:rsidRDefault="003B03A5" w:rsidP="003B03A5">
      <w:pPr>
        <w:spacing w:before="0" w:after="160" w:line="240" w:lineRule="auto"/>
        <w:rPr>
          <w:rFonts w:cs="Times New Roman"/>
          <w:b/>
          <w:bCs/>
          <w:sz w:val="20"/>
          <w:szCs w:val="20"/>
          <w:highlight w:val="yellow"/>
        </w:rPr>
      </w:pPr>
      <w:r w:rsidRPr="00343006">
        <w:rPr>
          <w:rFonts w:cs="Times New Roman"/>
          <w:b/>
          <w:bCs/>
          <w:sz w:val="20"/>
          <w:szCs w:val="20"/>
          <w:highlight w:val="yellow"/>
        </w:rPr>
        <w:t>Correlation Analysis</w:t>
      </w:r>
    </w:p>
    <w:p w14:paraId="2F3ABEC5" w14:textId="77777777" w:rsidR="003B03A5" w:rsidRPr="00343006" w:rsidRDefault="003B03A5" w:rsidP="003B03A5">
      <w:pPr>
        <w:spacing w:before="0" w:after="160" w:line="240" w:lineRule="auto"/>
        <w:rPr>
          <w:rFonts w:cs="Times New Roman"/>
          <w:sz w:val="20"/>
          <w:szCs w:val="20"/>
          <w:highlight w:val="yellow"/>
        </w:rPr>
      </w:pPr>
      <w:r w:rsidRPr="00343006">
        <w:rPr>
          <w:rFonts w:cs="Times New Roman"/>
          <w:sz w:val="20"/>
          <w:szCs w:val="20"/>
          <w:highlight w:val="yellow"/>
        </w:rPr>
        <w:t>Correlation analysis was conducted to determine the strength and direction of the relationships between the study variables: customer-centric approaches, strategic brand positioning, technological integration, data-driven decision-making, and organizational performance at KRA.</w:t>
      </w:r>
    </w:p>
    <w:p w14:paraId="7BB55478" w14:textId="4C00ACBD" w:rsidR="003B03A5" w:rsidRPr="00343006" w:rsidRDefault="003B03A5" w:rsidP="003B03A5">
      <w:pPr>
        <w:spacing w:before="0" w:after="160" w:line="240" w:lineRule="auto"/>
        <w:rPr>
          <w:rFonts w:cs="Times New Roman"/>
          <w:b/>
          <w:bCs/>
          <w:sz w:val="20"/>
          <w:szCs w:val="20"/>
          <w:highlight w:val="yellow"/>
        </w:rPr>
      </w:pPr>
      <w:r w:rsidRPr="00343006">
        <w:rPr>
          <w:rFonts w:cs="Times New Roman"/>
          <w:b/>
          <w:bCs/>
          <w:sz w:val="20"/>
          <w:szCs w:val="20"/>
          <w:highlight w:val="yellow"/>
        </w:rPr>
        <w:t>Table</w:t>
      </w:r>
      <w:r w:rsidR="003A1E48" w:rsidRPr="00343006">
        <w:rPr>
          <w:rFonts w:cs="Times New Roman"/>
          <w:b/>
          <w:bCs/>
          <w:sz w:val="20"/>
          <w:szCs w:val="20"/>
          <w:highlight w:val="yellow"/>
        </w:rPr>
        <w:t xml:space="preserve"> 3</w:t>
      </w:r>
      <w:r w:rsidRPr="00343006">
        <w:rPr>
          <w:rFonts w:cs="Times New Roman"/>
          <w:b/>
          <w:bCs/>
          <w:sz w:val="20"/>
          <w:szCs w:val="20"/>
          <w:highlight w:val="yellow"/>
        </w:rPr>
        <w:t>: Correlations</w:t>
      </w:r>
    </w:p>
    <w:tbl>
      <w:tblPr>
        <w:tblStyle w:val="TableGrid"/>
        <w:tblW w:w="0" w:type="auto"/>
        <w:tblLook w:val="04A0" w:firstRow="1" w:lastRow="0" w:firstColumn="1" w:lastColumn="0" w:noHBand="0" w:noVBand="1"/>
      </w:tblPr>
      <w:tblGrid>
        <w:gridCol w:w="1908"/>
        <w:gridCol w:w="1883"/>
        <w:gridCol w:w="1738"/>
        <w:gridCol w:w="1813"/>
        <w:gridCol w:w="1707"/>
        <w:gridCol w:w="1971"/>
      </w:tblGrid>
      <w:tr w:rsidR="003B03A5" w:rsidRPr="00343006" w14:paraId="1C593E0F" w14:textId="77777777" w:rsidTr="004A0591">
        <w:tc>
          <w:tcPr>
            <w:tcW w:w="0" w:type="auto"/>
            <w:hideMark/>
          </w:tcPr>
          <w:p w14:paraId="767675AE" w14:textId="77777777" w:rsidR="003B03A5" w:rsidRPr="00343006" w:rsidRDefault="003B03A5" w:rsidP="004A0591">
            <w:pPr>
              <w:spacing w:after="160" w:line="240" w:lineRule="auto"/>
              <w:rPr>
                <w:rFonts w:cs="Times New Roman"/>
                <w:sz w:val="20"/>
                <w:szCs w:val="20"/>
                <w:highlight w:val="yellow"/>
              </w:rPr>
            </w:pPr>
          </w:p>
        </w:tc>
        <w:tc>
          <w:tcPr>
            <w:tcW w:w="0" w:type="auto"/>
            <w:hideMark/>
          </w:tcPr>
          <w:p w14:paraId="398D783E" w14:textId="77777777" w:rsidR="003B03A5" w:rsidRPr="00343006" w:rsidRDefault="003B03A5" w:rsidP="004A0591">
            <w:pPr>
              <w:spacing w:after="160" w:line="240" w:lineRule="auto"/>
              <w:rPr>
                <w:rFonts w:cs="Times New Roman"/>
                <w:b/>
                <w:bCs/>
                <w:sz w:val="20"/>
                <w:szCs w:val="20"/>
                <w:highlight w:val="yellow"/>
              </w:rPr>
            </w:pPr>
            <w:r w:rsidRPr="00343006">
              <w:rPr>
                <w:rFonts w:cs="Times New Roman"/>
                <w:b/>
                <w:bCs/>
                <w:sz w:val="20"/>
                <w:szCs w:val="20"/>
                <w:highlight w:val="yellow"/>
              </w:rPr>
              <w:t>Customer-Centric Approaches</w:t>
            </w:r>
          </w:p>
        </w:tc>
        <w:tc>
          <w:tcPr>
            <w:tcW w:w="0" w:type="auto"/>
            <w:hideMark/>
          </w:tcPr>
          <w:p w14:paraId="034AA8E3" w14:textId="77777777" w:rsidR="003B03A5" w:rsidRPr="00343006" w:rsidRDefault="003B03A5" w:rsidP="004A0591">
            <w:pPr>
              <w:spacing w:after="160" w:line="240" w:lineRule="auto"/>
              <w:rPr>
                <w:rFonts w:cs="Times New Roman"/>
                <w:b/>
                <w:bCs/>
                <w:sz w:val="20"/>
                <w:szCs w:val="20"/>
                <w:highlight w:val="yellow"/>
              </w:rPr>
            </w:pPr>
            <w:r w:rsidRPr="00343006">
              <w:rPr>
                <w:rFonts w:cs="Times New Roman"/>
                <w:b/>
                <w:bCs/>
                <w:sz w:val="20"/>
                <w:szCs w:val="20"/>
                <w:highlight w:val="yellow"/>
              </w:rPr>
              <w:t>Strategic Brand Positioning</w:t>
            </w:r>
          </w:p>
        </w:tc>
        <w:tc>
          <w:tcPr>
            <w:tcW w:w="0" w:type="auto"/>
            <w:hideMark/>
          </w:tcPr>
          <w:p w14:paraId="623DAF14" w14:textId="77777777" w:rsidR="003B03A5" w:rsidRPr="00343006" w:rsidRDefault="003B03A5" w:rsidP="004A0591">
            <w:pPr>
              <w:spacing w:after="160" w:line="240" w:lineRule="auto"/>
              <w:rPr>
                <w:rFonts w:cs="Times New Roman"/>
                <w:b/>
                <w:bCs/>
                <w:sz w:val="20"/>
                <w:szCs w:val="20"/>
                <w:highlight w:val="yellow"/>
              </w:rPr>
            </w:pPr>
            <w:r w:rsidRPr="00343006">
              <w:rPr>
                <w:rFonts w:cs="Times New Roman"/>
                <w:b/>
                <w:bCs/>
                <w:sz w:val="20"/>
                <w:szCs w:val="20"/>
                <w:highlight w:val="yellow"/>
              </w:rPr>
              <w:t>Technological Integration</w:t>
            </w:r>
          </w:p>
        </w:tc>
        <w:tc>
          <w:tcPr>
            <w:tcW w:w="0" w:type="auto"/>
            <w:hideMark/>
          </w:tcPr>
          <w:p w14:paraId="73728F52" w14:textId="77777777" w:rsidR="003B03A5" w:rsidRPr="00343006" w:rsidRDefault="003B03A5" w:rsidP="004A0591">
            <w:pPr>
              <w:spacing w:after="160" w:line="240" w:lineRule="auto"/>
              <w:rPr>
                <w:rFonts w:cs="Times New Roman"/>
                <w:b/>
                <w:bCs/>
                <w:sz w:val="20"/>
                <w:szCs w:val="20"/>
                <w:highlight w:val="yellow"/>
              </w:rPr>
            </w:pPr>
            <w:r w:rsidRPr="00343006">
              <w:rPr>
                <w:rFonts w:cs="Times New Roman"/>
                <w:b/>
                <w:bCs/>
                <w:sz w:val="20"/>
                <w:szCs w:val="20"/>
                <w:highlight w:val="yellow"/>
              </w:rPr>
              <w:t>Data-driven Decision-Making</w:t>
            </w:r>
          </w:p>
        </w:tc>
        <w:tc>
          <w:tcPr>
            <w:tcW w:w="0" w:type="auto"/>
            <w:hideMark/>
          </w:tcPr>
          <w:p w14:paraId="0CF133B4" w14:textId="77777777" w:rsidR="003B03A5" w:rsidRPr="00343006" w:rsidRDefault="003B03A5" w:rsidP="004A0591">
            <w:pPr>
              <w:spacing w:after="160" w:line="240" w:lineRule="auto"/>
              <w:rPr>
                <w:rFonts w:cs="Times New Roman"/>
                <w:b/>
                <w:bCs/>
                <w:sz w:val="20"/>
                <w:szCs w:val="20"/>
                <w:highlight w:val="yellow"/>
              </w:rPr>
            </w:pPr>
            <w:r w:rsidRPr="00343006">
              <w:rPr>
                <w:rFonts w:cs="Times New Roman"/>
                <w:b/>
                <w:bCs/>
                <w:sz w:val="20"/>
                <w:szCs w:val="20"/>
                <w:highlight w:val="yellow"/>
              </w:rPr>
              <w:t>Organizational Performance</w:t>
            </w:r>
          </w:p>
        </w:tc>
      </w:tr>
      <w:tr w:rsidR="003B03A5" w:rsidRPr="00343006" w14:paraId="7FDD380C" w14:textId="77777777" w:rsidTr="004A0591">
        <w:tc>
          <w:tcPr>
            <w:tcW w:w="0" w:type="auto"/>
            <w:hideMark/>
          </w:tcPr>
          <w:p w14:paraId="26AE8BBC"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Customer-Centric Approaches</w:t>
            </w:r>
          </w:p>
        </w:tc>
        <w:tc>
          <w:tcPr>
            <w:tcW w:w="0" w:type="auto"/>
            <w:hideMark/>
          </w:tcPr>
          <w:p w14:paraId="11336D50"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Pearson Correlation 1</w:t>
            </w:r>
          </w:p>
        </w:tc>
        <w:tc>
          <w:tcPr>
            <w:tcW w:w="0" w:type="auto"/>
            <w:hideMark/>
          </w:tcPr>
          <w:p w14:paraId="7CF54A82" w14:textId="77777777" w:rsidR="003B03A5" w:rsidRPr="00343006" w:rsidRDefault="003B03A5" w:rsidP="004A0591">
            <w:pPr>
              <w:spacing w:after="160" w:line="240" w:lineRule="auto"/>
              <w:rPr>
                <w:rFonts w:cs="Times New Roman"/>
                <w:sz w:val="20"/>
                <w:szCs w:val="20"/>
                <w:highlight w:val="yellow"/>
              </w:rPr>
            </w:pPr>
          </w:p>
        </w:tc>
        <w:tc>
          <w:tcPr>
            <w:tcW w:w="0" w:type="auto"/>
            <w:hideMark/>
          </w:tcPr>
          <w:p w14:paraId="6938631F" w14:textId="77777777" w:rsidR="003B03A5" w:rsidRPr="00343006" w:rsidRDefault="003B03A5" w:rsidP="004A0591">
            <w:pPr>
              <w:spacing w:after="160" w:line="240" w:lineRule="auto"/>
              <w:rPr>
                <w:rFonts w:cs="Times New Roman"/>
                <w:sz w:val="20"/>
                <w:szCs w:val="20"/>
                <w:highlight w:val="yellow"/>
              </w:rPr>
            </w:pPr>
          </w:p>
        </w:tc>
        <w:tc>
          <w:tcPr>
            <w:tcW w:w="0" w:type="auto"/>
            <w:hideMark/>
          </w:tcPr>
          <w:p w14:paraId="333F8CE1" w14:textId="77777777" w:rsidR="003B03A5" w:rsidRPr="00343006" w:rsidRDefault="003B03A5" w:rsidP="004A0591">
            <w:pPr>
              <w:spacing w:after="160" w:line="240" w:lineRule="auto"/>
              <w:rPr>
                <w:rFonts w:cs="Times New Roman"/>
                <w:sz w:val="20"/>
                <w:szCs w:val="20"/>
                <w:highlight w:val="yellow"/>
              </w:rPr>
            </w:pPr>
          </w:p>
        </w:tc>
        <w:tc>
          <w:tcPr>
            <w:tcW w:w="0" w:type="auto"/>
            <w:hideMark/>
          </w:tcPr>
          <w:p w14:paraId="280C6DCE" w14:textId="77777777" w:rsidR="003B03A5" w:rsidRPr="00343006" w:rsidRDefault="003B03A5" w:rsidP="004A0591">
            <w:pPr>
              <w:spacing w:after="160" w:line="240" w:lineRule="auto"/>
              <w:rPr>
                <w:rFonts w:cs="Times New Roman"/>
                <w:sz w:val="20"/>
                <w:szCs w:val="20"/>
                <w:highlight w:val="yellow"/>
              </w:rPr>
            </w:pPr>
          </w:p>
        </w:tc>
      </w:tr>
      <w:tr w:rsidR="003B03A5" w:rsidRPr="00343006" w14:paraId="67DB3FF8" w14:textId="77777777" w:rsidTr="004A0591">
        <w:tc>
          <w:tcPr>
            <w:tcW w:w="0" w:type="auto"/>
            <w:hideMark/>
          </w:tcPr>
          <w:p w14:paraId="64BC17BF" w14:textId="77777777" w:rsidR="003B03A5" w:rsidRPr="00343006" w:rsidRDefault="003B03A5" w:rsidP="004A0591">
            <w:pPr>
              <w:spacing w:after="160" w:line="240" w:lineRule="auto"/>
              <w:rPr>
                <w:rFonts w:cs="Times New Roman"/>
                <w:sz w:val="20"/>
                <w:szCs w:val="20"/>
                <w:highlight w:val="yellow"/>
              </w:rPr>
            </w:pPr>
          </w:p>
        </w:tc>
        <w:tc>
          <w:tcPr>
            <w:tcW w:w="0" w:type="auto"/>
            <w:hideMark/>
          </w:tcPr>
          <w:p w14:paraId="1EE7F01A"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Sig. (2-tailed)</w:t>
            </w:r>
          </w:p>
        </w:tc>
        <w:tc>
          <w:tcPr>
            <w:tcW w:w="0" w:type="auto"/>
            <w:hideMark/>
          </w:tcPr>
          <w:p w14:paraId="42F2D6A2" w14:textId="77777777" w:rsidR="003B03A5" w:rsidRPr="00343006" w:rsidRDefault="003B03A5" w:rsidP="004A0591">
            <w:pPr>
              <w:spacing w:after="160" w:line="240" w:lineRule="auto"/>
              <w:rPr>
                <w:rFonts w:cs="Times New Roman"/>
                <w:sz w:val="20"/>
                <w:szCs w:val="20"/>
                <w:highlight w:val="yellow"/>
              </w:rPr>
            </w:pPr>
          </w:p>
        </w:tc>
        <w:tc>
          <w:tcPr>
            <w:tcW w:w="0" w:type="auto"/>
            <w:hideMark/>
          </w:tcPr>
          <w:p w14:paraId="7920DFBD" w14:textId="77777777" w:rsidR="003B03A5" w:rsidRPr="00343006" w:rsidRDefault="003B03A5" w:rsidP="004A0591">
            <w:pPr>
              <w:spacing w:after="160" w:line="240" w:lineRule="auto"/>
              <w:rPr>
                <w:rFonts w:cs="Times New Roman"/>
                <w:sz w:val="20"/>
                <w:szCs w:val="20"/>
                <w:highlight w:val="yellow"/>
              </w:rPr>
            </w:pPr>
          </w:p>
        </w:tc>
        <w:tc>
          <w:tcPr>
            <w:tcW w:w="0" w:type="auto"/>
            <w:hideMark/>
          </w:tcPr>
          <w:p w14:paraId="7D343C29" w14:textId="77777777" w:rsidR="003B03A5" w:rsidRPr="00343006" w:rsidRDefault="003B03A5" w:rsidP="004A0591">
            <w:pPr>
              <w:spacing w:after="160" w:line="240" w:lineRule="auto"/>
              <w:rPr>
                <w:rFonts w:cs="Times New Roman"/>
                <w:sz w:val="20"/>
                <w:szCs w:val="20"/>
                <w:highlight w:val="yellow"/>
              </w:rPr>
            </w:pPr>
          </w:p>
        </w:tc>
        <w:tc>
          <w:tcPr>
            <w:tcW w:w="0" w:type="auto"/>
            <w:hideMark/>
          </w:tcPr>
          <w:p w14:paraId="57F4DD51" w14:textId="77777777" w:rsidR="003B03A5" w:rsidRPr="00343006" w:rsidRDefault="003B03A5" w:rsidP="004A0591">
            <w:pPr>
              <w:spacing w:after="160" w:line="240" w:lineRule="auto"/>
              <w:rPr>
                <w:rFonts w:cs="Times New Roman"/>
                <w:sz w:val="20"/>
                <w:szCs w:val="20"/>
                <w:highlight w:val="yellow"/>
              </w:rPr>
            </w:pPr>
          </w:p>
        </w:tc>
      </w:tr>
      <w:tr w:rsidR="003B03A5" w:rsidRPr="00343006" w14:paraId="6E772F71" w14:textId="77777777" w:rsidTr="004A0591">
        <w:tc>
          <w:tcPr>
            <w:tcW w:w="0" w:type="auto"/>
            <w:hideMark/>
          </w:tcPr>
          <w:p w14:paraId="6131FB3D"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Strategic Brand Positioning</w:t>
            </w:r>
          </w:p>
        </w:tc>
        <w:tc>
          <w:tcPr>
            <w:tcW w:w="0" w:type="auto"/>
            <w:hideMark/>
          </w:tcPr>
          <w:p w14:paraId="55802D73"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Pearson Correlation .251*</w:t>
            </w:r>
          </w:p>
        </w:tc>
        <w:tc>
          <w:tcPr>
            <w:tcW w:w="0" w:type="auto"/>
            <w:hideMark/>
          </w:tcPr>
          <w:p w14:paraId="315C69E6"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1</w:t>
            </w:r>
          </w:p>
        </w:tc>
        <w:tc>
          <w:tcPr>
            <w:tcW w:w="0" w:type="auto"/>
            <w:hideMark/>
          </w:tcPr>
          <w:p w14:paraId="41575D38" w14:textId="77777777" w:rsidR="003B03A5" w:rsidRPr="00343006" w:rsidRDefault="003B03A5" w:rsidP="004A0591">
            <w:pPr>
              <w:spacing w:after="160" w:line="240" w:lineRule="auto"/>
              <w:rPr>
                <w:rFonts w:cs="Times New Roman"/>
                <w:sz w:val="20"/>
                <w:szCs w:val="20"/>
                <w:highlight w:val="yellow"/>
              </w:rPr>
            </w:pPr>
          </w:p>
        </w:tc>
        <w:tc>
          <w:tcPr>
            <w:tcW w:w="0" w:type="auto"/>
            <w:hideMark/>
          </w:tcPr>
          <w:p w14:paraId="4F9FFDD1" w14:textId="77777777" w:rsidR="003B03A5" w:rsidRPr="00343006" w:rsidRDefault="003B03A5" w:rsidP="004A0591">
            <w:pPr>
              <w:spacing w:after="160" w:line="240" w:lineRule="auto"/>
              <w:rPr>
                <w:rFonts w:cs="Times New Roman"/>
                <w:sz w:val="20"/>
                <w:szCs w:val="20"/>
                <w:highlight w:val="yellow"/>
              </w:rPr>
            </w:pPr>
          </w:p>
        </w:tc>
        <w:tc>
          <w:tcPr>
            <w:tcW w:w="0" w:type="auto"/>
            <w:hideMark/>
          </w:tcPr>
          <w:p w14:paraId="47D917E9" w14:textId="77777777" w:rsidR="003B03A5" w:rsidRPr="00343006" w:rsidRDefault="003B03A5" w:rsidP="004A0591">
            <w:pPr>
              <w:spacing w:after="160" w:line="240" w:lineRule="auto"/>
              <w:rPr>
                <w:rFonts w:cs="Times New Roman"/>
                <w:sz w:val="20"/>
                <w:szCs w:val="20"/>
                <w:highlight w:val="yellow"/>
              </w:rPr>
            </w:pPr>
          </w:p>
        </w:tc>
      </w:tr>
      <w:tr w:rsidR="003B03A5" w:rsidRPr="00343006" w14:paraId="0981E159" w14:textId="77777777" w:rsidTr="004A0591">
        <w:tc>
          <w:tcPr>
            <w:tcW w:w="0" w:type="auto"/>
            <w:hideMark/>
          </w:tcPr>
          <w:p w14:paraId="6D63EE2B" w14:textId="77777777" w:rsidR="003B03A5" w:rsidRPr="00343006" w:rsidRDefault="003B03A5" w:rsidP="004A0591">
            <w:pPr>
              <w:spacing w:after="160" w:line="240" w:lineRule="auto"/>
              <w:rPr>
                <w:rFonts w:cs="Times New Roman"/>
                <w:sz w:val="20"/>
                <w:szCs w:val="20"/>
                <w:highlight w:val="yellow"/>
              </w:rPr>
            </w:pPr>
          </w:p>
        </w:tc>
        <w:tc>
          <w:tcPr>
            <w:tcW w:w="0" w:type="auto"/>
            <w:hideMark/>
          </w:tcPr>
          <w:p w14:paraId="2DB4EC05"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Sig. (2-tailed) .128</w:t>
            </w:r>
          </w:p>
        </w:tc>
        <w:tc>
          <w:tcPr>
            <w:tcW w:w="0" w:type="auto"/>
            <w:hideMark/>
          </w:tcPr>
          <w:p w14:paraId="10CF5429" w14:textId="77777777" w:rsidR="003B03A5" w:rsidRPr="00343006" w:rsidRDefault="003B03A5" w:rsidP="004A0591">
            <w:pPr>
              <w:spacing w:after="160" w:line="240" w:lineRule="auto"/>
              <w:rPr>
                <w:rFonts w:cs="Times New Roman"/>
                <w:sz w:val="20"/>
                <w:szCs w:val="20"/>
                <w:highlight w:val="yellow"/>
              </w:rPr>
            </w:pPr>
          </w:p>
        </w:tc>
        <w:tc>
          <w:tcPr>
            <w:tcW w:w="0" w:type="auto"/>
            <w:hideMark/>
          </w:tcPr>
          <w:p w14:paraId="7CDC6249" w14:textId="77777777" w:rsidR="003B03A5" w:rsidRPr="00343006" w:rsidRDefault="003B03A5" w:rsidP="004A0591">
            <w:pPr>
              <w:spacing w:after="160" w:line="240" w:lineRule="auto"/>
              <w:rPr>
                <w:rFonts w:cs="Times New Roman"/>
                <w:sz w:val="20"/>
                <w:szCs w:val="20"/>
                <w:highlight w:val="yellow"/>
              </w:rPr>
            </w:pPr>
          </w:p>
        </w:tc>
        <w:tc>
          <w:tcPr>
            <w:tcW w:w="0" w:type="auto"/>
            <w:hideMark/>
          </w:tcPr>
          <w:p w14:paraId="2DB38FF8" w14:textId="77777777" w:rsidR="003B03A5" w:rsidRPr="00343006" w:rsidRDefault="003B03A5" w:rsidP="004A0591">
            <w:pPr>
              <w:spacing w:after="160" w:line="240" w:lineRule="auto"/>
              <w:rPr>
                <w:rFonts w:cs="Times New Roman"/>
                <w:sz w:val="20"/>
                <w:szCs w:val="20"/>
                <w:highlight w:val="yellow"/>
              </w:rPr>
            </w:pPr>
          </w:p>
        </w:tc>
        <w:tc>
          <w:tcPr>
            <w:tcW w:w="0" w:type="auto"/>
            <w:hideMark/>
          </w:tcPr>
          <w:p w14:paraId="5CA6E3E6" w14:textId="77777777" w:rsidR="003B03A5" w:rsidRPr="00343006" w:rsidRDefault="003B03A5" w:rsidP="004A0591">
            <w:pPr>
              <w:spacing w:after="160" w:line="240" w:lineRule="auto"/>
              <w:rPr>
                <w:rFonts w:cs="Times New Roman"/>
                <w:sz w:val="20"/>
                <w:szCs w:val="20"/>
                <w:highlight w:val="yellow"/>
              </w:rPr>
            </w:pPr>
          </w:p>
        </w:tc>
      </w:tr>
      <w:tr w:rsidR="003B03A5" w:rsidRPr="00343006" w14:paraId="315397F5" w14:textId="77777777" w:rsidTr="004A0591">
        <w:tc>
          <w:tcPr>
            <w:tcW w:w="0" w:type="auto"/>
            <w:hideMark/>
          </w:tcPr>
          <w:p w14:paraId="56AED14C"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lastRenderedPageBreak/>
              <w:t>Technological Integration</w:t>
            </w:r>
          </w:p>
        </w:tc>
        <w:tc>
          <w:tcPr>
            <w:tcW w:w="0" w:type="auto"/>
            <w:hideMark/>
          </w:tcPr>
          <w:p w14:paraId="0BA032C5"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Pearson Correlation .345**</w:t>
            </w:r>
          </w:p>
        </w:tc>
        <w:tc>
          <w:tcPr>
            <w:tcW w:w="0" w:type="auto"/>
            <w:hideMark/>
          </w:tcPr>
          <w:p w14:paraId="1BC86119"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-.026</w:t>
            </w:r>
          </w:p>
        </w:tc>
        <w:tc>
          <w:tcPr>
            <w:tcW w:w="0" w:type="auto"/>
            <w:hideMark/>
          </w:tcPr>
          <w:p w14:paraId="7141B207"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1</w:t>
            </w:r>
          </w:p>
        </w:tc>
        <w:tc>
          <w:tcPr>
            <w:tcW w:w="0" w:type="auto"/>
            <w:hideMark/>
          </w:tcPr>
          <w:p w14:paraId="0057AE5C" w14:textId="77777777" w:rsidR="003B03A5" w:rsidRPr="00343006" w:rsidRDefault="003B03A5" w:rsidP="004A0591">
            <w:pPr>
              <w:spacing w:after="160" w:line="240" w:lineRule="auto"/>
              <w:rPr>
                <w:rFonts w:cs="Times New Roman"/>
                <w:sz w:val="20"/>
                <w:szCs w:val="20"/>
                <w:highlight w:val="yellow"/>
              </w:rPr>
            </w:pPr>
          </w:p>
        </w:tc>
        <w:tc>
          <w:tcPr>
            <w:tcW w:w="0" w:type="auto"/>
            <w:hideMark/>
          </w:tcPr>
          <w:p w14:paraId="3EC89D9E" w14:textId="77777777" w:rsidR="003B03A5" w:rsidRPr="00343006" w:rsidRDefault="003B03A5" w:rsidP="004A0591">
            <w:pPr>
              <w:spacing w:after="160" w:line="240" w:lineRule="auto"/>
              <w:rPr>
                <w:rFonts w:cs="Times New Roman"/>
                <w:sz w:val="20"/>
                <w:szCs w:val="20"/>
                <w:highlight w:val="yellow"/>
              </w:rPr>
            </w:pPr>
          </w:p>
        </w:tc>
      </w:tr>
      <w:tr w:rsidR="003B03A5" w:rsidRPr="00343006" w14:paraId="18F8D65A" w14:textId="77777777" w:rsidTr="004A0591">
        <w:tc>
          <w:tcPr>
            <w:tcW w:w="0" w:type="auto"/>
            <w:hideMark/>
          </w:tcPr>
          <w:p w14:paraId="6EF966E5" w14:textId="77777777" w:rsidR="003B03A5" w:rsidRPr="00343006" w:rsidRDefault="003B03A5" w:rsidP="004A0591">
            <w:pPr>
              <w:spacing w:after="160" w:line="240" w:lineRule="auto"/>
              <w:rPr>
                <w:rFonts w:cs="Times New Roman"/>
                <w:sz w:val="20"/>
                <w:szCs w:val="20"/>
                <w:highlight w:val="yellow"/>
              </w:rPr>
            </w:pPr>
          </w:p>
        </w:tc>
        <w:tc>
          <w:tcPr>
            <w:tcW w:w="0" w:type="auto"/>
            <w:hideMark/>
          </w:tcPr>
          <w:p w14:paraId="70ED57AC"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Sig. (2-tailed) .302</w:t>
            </w:r>
          </w:p>
        </w:tc>
        <w:tc>
          <w:tcPr>
            <w:tcW w:w="0" w:type="auto"/>
            <w:hideMark/>
          </w:tcPr>
          <w:p w14:paraId="5C4964AF"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.820</w:t>
            </w:r>
          </w:p>
        </w:tc>
        <w:tc>
          <w:tcPr>
            <w:tcW w:w="0" w:type="auto"/>
            <w:hideMark/>
          </w:tcPr>
          <w:p w14:paraId="06A86984" w14:textId="77777777" w:rsidR="003B03A5" w:rsidRPr="00343006" w:rsidRDefault="003B03A5" w:rsidP="004A0591">
            <w:pPr>
              <w:spacing w:after="160" w:line="240" w:lineRule="auto"/>
              <w:rPr>
                <w:rFonts w:cs="Times New Roman"/>
                <w:sz w:val="20"/>
                <w:szCs w:val="20"/>
                <w:highlight w:val="yellow"/>
              </w:rPr>
            </w:pPr>
          </w:p>
        </w:tc>
        <w:tc>
          <w:tcPr>
            <w:tcW w:w="0" w:type="auto"/>
            <w:hideMark/>
          </w:tcPr>
          <w:p w14:paraId="05E49B90" w14:textId="77777777" w:rsidR="003B03A5" w:rsidRPr="00343006" w:rsidRDefault="003B03A5" w:rsidP="004A0591">
            <w:pPr>
              <w:spacing w:after="160" w:line="240" w:lineRule="auto"/>
              <w:rPr>
                <w:rFonts w:cs="Times New Roman"/>
                <w:sz w:val="20"/>
                <w:szCs w:val="20"/>
                <w:highlight w:val="yellow"/>
              </w:rPr>
            </w:pPr>
          </w:p>
        </w:tc>
        <w:tc>
          <w:tcPr>
            <w:tcW w:w="0" w:type="auto"/>
            <w:hideMark/>
          </w:tcPr>
          <w:p w14:paraId="2E30960A" w14:textId="77777777" w:rsidR="003B03A5" w:rsidRPr="00343006" w:rsidRDefault="003B03A5" w:rsidP="004A0591">
            <w:pPr>
              <w:spacing w:after="160" w:line="240" w:lineRule="auto"/>
              <w:rPr>
                <w:rFonts w:cs="Times New Roman"/>
                <w:sz w:val="20"/>
                <w:szCs w:val="20"/>
                <w:highlight w:val="yellow"/>
              </w:rPr>
            </w:pPr>
          </w:p>
        </w:tc>
      </w:tr>
      <w:tr w:rsidR="003B03A5" w:rsidRPr="00343006" w14:paraId="686D0F7C" w14:textId="77777777" w:rsidTr="004A0591">
        <w:tc>
          <w:tcPr>
            <w:tcW w:w="0" w:type="auto"/>
            <w:hideMark/>
          </w:tcPr>
          <w:p w14:paraId="1D43F092"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Data-driven Decision-Making</w:t>
            </w:r>
          </w:p>
        </w:tc>
        <w:tc>
          <w:tcPr>
            <w:tcW w:w="0" w:type="auto"/>
            <w:hideMark/>
          </w:tcPr>
          <w:p w14:paraId="5270DB84"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Pearson Correlation .297**</w:t>
            </w:r>
          </w:p>
        </w:tc>
        <w:tc>
          <w:tcPr>
            <w:tcW w:w="0" w:type="auto"/>
            <w:hideMark/>
          </w:tcPr>
          <w:p w14:paraId="4EA245EC"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-.063</w:t>
            </w:r>
          </w:p>
        </w:tc>
        <w:tc>
          <w:tcPr>
            <w:tcW w:w="0" w:type="auto"/>
            <w:hideMark/>
          </w:tcPr>
          <w:p w14:paraId="426148F3"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.981**</w:t>
            </w:r>
          </w:p>
        </w:tc>
        <w:tc>
          <w:tcPr>
            <w:tcW w:w="0" w:type="auto"/>
            <w:hideMark/>
          </w:tcPr>
          <w:p w14:paraId="2938606E"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1</w:t>
            </w:r>
          </w:p>
        </w:tc>
        <w:tc>
          <w:tcPr>
            <w:tcW w:w="0" w:type="auto"/>
            <w:hideMark/>
          </w:tcPr>
          <w:p w14:paraId="72D820BE" w14:textId="77777777" w:rsidR="003B03A5" w:rsidRPr="00343006" w:rsidRDefault="003B03A5" w:rsidP="004A0591">
            <w:pPr>
              <w:spacing w:after="160" w:line="240" w:lineRule="auto"/>
              <w:rPr>
                <w:rFonts w:cs="Times New Roman"/>
                <w:sz w:val="20"/>
                <w:szCs w:val="20"/>
                <w:highlight w:val="yellow"/>
              </w:rPr>
            </w:pPr>
          </w:p>
        </w:tc>
      </w:tr>
      <w:tr w:rsidR="003B03A5" w:rsidRPr="00343006" w14:paraId="59CB1550" w14:textId="77777777" w:rsidTr="004A0591">
        <w:tc>
          <w:tcPr>
            <w:tcW w:w="0" w:type="auto"/>
            <w:hideMark/>
          </w:tcPr>
          <w:p w14:paraId="3AF7E8A1" w14:textId="77777777" w:rsidR="003B03A5" w:rsidRPr="00343006" w:rsidRDefault="003B03A5" w:rsidP="004A0591">
            <w:pPr>
              <w:spacing w:after="160" w:line="240" w:lineRule="auto"/>
              <w:rPr>
                <w:rFonts w:cs="Times New Roman"/>
                <w:sz w:val="20"/>
                <w:szCs w:val="20"/>
                <w:highlight w:val="yellow"/>
              </w:rPr>
            </w:pPr>
          </w:p>
        </w:tc>
        <w:tc>
          <w:tcPr>
            <w:tcW w:w="0" w:type="auto"/>
            <w:hideMark/>
          </w:tcPr>
          <w:p w14:paraId="53A4477F"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Sig. (2-tailed) .109</w:t>
            </w:r>
          </w:p>
        </w:tc>
        <w:tc>
          <w:tcPr>
            <w:tcW w:w="0" w:type="auto"/>
            <w:hideMark/>
          </w:tcPr>
          <w:p w14:paraId="6057B943"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.589</w:t>
            </w:r>
          </w:p>
        </w:tc>
        <w:tc>
          <w:tcPr>
            <w:tcW w:w="0" w:type="auto"/>
            <w:hideMark/>
          </w:tcPr>
          <w:p w14:paraId="206B2F49"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.200</w:t>
            </w:r>
          </w:p>
        </w:tc>
        <w:tc>
          <w:tcPr>
            <w:tcW w:w="0" w:type="auto"/>
            <w:hideMark/>
          </w:tcPr>
          <w:p w14:paraId="4B01C53B" w14:textId="77777777" w:rsidR="003B03A5" w:rsidRPr="00343006" w:rsidRDefault="003B03A5" w:rsidP="004A0591">
            <w:pPr>
              <w:spacing w:after="160" w:line="240" w:lineRule="auto"/>
              <w:rPr>
                <w:rFonts w:cs="Times New Roman"/>
                <w:sz w:val="20"/>
                <w:szCs w:val="20"/>
                <w:highlight w:val="yellow"/>
              </w:rPr>
            </w:pPr>
          </w:p>
        </w:tc>
        <w:tc>
          <w:tcPr>
            <w:tcW w:w="0" w:type="auto"/>
            <w:hideMark/>
          </w:tcPr>
          <w:p w14:paraId="1DF84DBD" w14:textId="77777777" w:rsidR="003B03A5" w:rsidRPr="00343006" w:rsidRDefault="003B03A5" w:rsidP="004A0591">
            <w:pPr>
              <w:spacing w:after="160" w:line="240" w:lineRule="auto"/>
              <w:rPr>
                <w:rFonts w:cs="Times New Roman"/>
                <w:sz w:val="20"/>
                <w:szCs w:val="20"/>
                <w:highlight w:val="yellow"/>
              </w:rPr>
            </w:pPr>
          </w:p>
        </w:tc>
      </w:tr>
      <w:tr w:rsidR="003B03A5" w:rsidRPr="00343006" w14:paraId="41394368" w14:textId="77777777" w:rsidTr="004A0591">
        <w:tc>
          <w:tcPr>
            <w:tcW w:w="0" w:type="auto"/>
            <w:hideMark/>
          </w:tcPr>
          <w:p w14:paraId="5EFD8D1B"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Organizational Performance</w:t>
            </w:r>
          </w:p>
        </w:tc>
        <w:tc>
          <w:tcPr>
            <w:tcW w:w="0" w:type="auto"/>
            <w:hideMark/>
          </w:tcPr>
          <w:p w14:paraId="401B25FE"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Pearson Correlation .507**</w:t>
            </w:r>
          </w:p>
        </w:tc>
        <w:tc>
          <w:tcPr>
            <w:tcW w:w="0" w:type="auto"/>
            <w:hideMark/>
          </w:tcPr>
          <w:p w14:paraId="6C8D4B4D"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.525**</w:t>
            </w:r>
          </w:p>
        </w:tc>
        <w:tc>
          <w:tcPr>
            <w:tcW w:w="0" w:type="auto"/>
            <w:hideMark/>
          </w:tcPr>
          <w:p w14:paraId="038EB480"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.664**</w:t>
            </w:r>
          </w:p>
        </w:tc>
        <w:tc>
          <w:tcPr>
            <w:tcW w:w="0" w:type="auto"/>
            <w:hideMark/>
          </w:tcPr>
          <w:p w14:paraId="14AF38CB"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.654**</w:t>
            </w:r>
          </w:p>
        </w:tc>
        <w:tc>
          <w:tcPr>
            <w:tcW w:w="0" w:type="auto"/>
            <w:hideMark/>
          </w:tcPr>
          <w:p w14:paraId="21227041"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1</w:t>
            </w:r>
          </w:p>
        </w:tc>
      </w:tr>
      <w:tr w:rsidR="003B03A5" w:rsidRPr="00343006" w14:paraId="47A7C5F7" w14:textId="77777777" w:rsidTr="004A0591">
        <w:tc>
          <w:tcPr>
            <w:tcW w:w="0" w:type="auto"/>
            <w:hideMark/>
          </w:tcPr>
          <w:p w14:paraId="4CDBC5CC" w14:textId="77777777" w:rsidR="003B03A5" w:rsidRPr="00343006" w:rsidRDefault="003B03A5" w:rsidP="004A0591">
            <w:pPr>
              <w:spacing w:after="160" w:line="240" w:lineRule="auto"/>
              <w:rPr>
                <w:rFonts w:cs="Times New Roman"/>
                <w:sz w:val="20"/>
                <w:szCs w:val="20"/>
                <w:highlight w:val="yellow"/>
              </w:rPr>
            </w:pPr>
          </w:p>
        </w:tc>
        <w:tc>
          <w:tcPr>
            <w:tcW w:w="0" w:type="auto"/>
            <w:hideMark/>
          </w:tcPr>
          <w:p w14:paraId="263FF4DC"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Sig. (2-tailed) .000</w:t>
            </w:r>
          </w:p>
        </w:tc>
        <w:tc>
          <w:tcPr>
            <w:tcW w:w="0" w:type="auto"/>
            <w:hideMark/>
          </w:tcPr>
          <w:p w14:paraId="7EA155EA"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.000</w:t>
            </w:r>
          </w:p>
        </w:tc>
        <w:tc>
          <w:tcPr>
            <w:tcW w:w="0" w:type="auto"/>
            <w:hideMark/>
          </w:tcPr>
          <w:p w14:paraId="0E69E27B"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.000</w:t>
            </w:r>
          </w:p>
        </w:tc>
        <w:tc>
          <w:tcPr>
            <w:tcW w:w="0" w:type="auto"/>
            <w:hideMark/>
          </w:tcPr>
          <w:p w14:paraId="0F222E87"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.000</w:t>
            </w:r>
          </w:p>
        </w:tc>
        <w:tc>
          <w:tcPr>
            <w:tcW w:w="0" w:type="auto"/>
            <w:hideMark/>
          </w:tcPr>
          <w:p w14:paraId="2D5F9A1B" w14:textId="77777777" w:rsidR="003B03A5" w:rsidRPr="00343006" w:rsidRDefault="003B03A5" w:rsidP="004A0591">
            <w:pPr>
              <w:spacing w:after="160" w:line="240" w:lineRule="auto"/>
              <w:rPr>
                <w:rFonts w:cs="Times New Roman"/>
                <w:sz w:val="20"/>
                <w:szCs w:val="20"/>
                <w:highlight w:val="yellow"/>
              </w:rPr>
            </w:pPr>
          </w:p>
        </w:tc>
      </w:tr>
    </w:tbl>
    <w:p w14:paraId="0A626B80" w14:textId="77777777" w:rsidR="003B03A5" w:rsidRPr="00343006" w:rsidRDefault="003B03A5" w:rsidP="003B03A5">
      <w:pPr>
        <w:spacing w:before="0" w:after="160" w:line="240" w:lineRule="auto"/>
        <w:rPr>
          <w:rFonts w:cs="Times New Roman"/>
          <w:sz w:val="20"/>
          <w:szCs w:val="20"/>
          <w:highlight w:val="yellow"/>
        </w:rPr>
      </w:pPr>
      <w:r w:rsidRPr="00343006">
        <w:rPr>
          <w:rFonts w:cs="Times New Roman"/>
          <w:i/>
          <w:iCs/>
          <w:sz w:val="20"/>
          <w:szCs w:val="20"/>
          <w:highlight w:val="yellow"/>
        </w:rPr>
        <w:t>Source: Researcher (2025)</w:t>
      </w:r>
    </w:p>
    <w:p w14:paraId="7CC2CE03" w14:textId="77777777" w:rsidR="003B03A5" w:rsidRPr="00343006" w:rsidRDefault="003B03A5" w:rsidP="003B03A5">
      <w:pPr>
        <w:spacing w:before="0" w:after="160" w:line="240" w:lineRule="auto"/>
        <w:rPr>
          <w:rFonts w:cs="Times New Roman"/>
          <w:sz w:val="20"/>
          <w:szCs w:val="20"/>
          <w:highlight w:val="yellow"/>
        </w:rPr>
      </w:pPr>
      <w:r w:rsidRPr="00343006">
        <w:rPr>
          <w:rFonts w:cs="Times New Roman"/>
          <w:sz w:val="20"/>
          <w:szCs w:val="20"/>
          <w:highlight w:val="yellow"/>
        </w:rPr>
        <w:t>The findings indicate that all four independent variables are positively associated with organizational performance at KRA. Customer-centric approaches show a strong positive relationship with performance (r = 0.507, p = 0.000), implying that responsiveness to taxpayer needs significantly enhances service quality and institutional effectiveness.</w:t>
      </w:r>
    </w:p>
    <w:p w14:paraId="586631FD" w14:textId="77777777" w:rsidR="003B03A5" w:rsidRPr="00343006" w:rsidRDefault="003B03A5" w:rsidP="003B03A5">
      <w:pPr>
        <w:spacing w:before="0" w:after="160" w:line="240" w:lineRule="auto"/>
        <w:rPr>
          <w:rFonts w:cs="Times New Roman"/>
          <w:sz w:val="20"/>
          <w:szCs w:val="20"/>
          <w:highlight w:val="yellow"/>
        </w:rPr>
      </w:pPr>
      <w:r w:rsidRPr="00343006">
        <w:rPr>
          <w:rFonts w:cs="Times New Roman"/>
          <w:sz w:val="20"/>
          <w:szCs w:val="20"/>
          <w:highlight w:val="yellow"/>
        </w:rPr>
        <w:t>Strategic brand positioning also demonstrates a strong positive relationship with performance (r = 0.525, p = 0.000), suggesting that a well-established institutional image improves stakeholder trust and operational outcomes.</w:t>
      </w:r>
    </w:p>
    <w:p w14:paraId="63989C23" w14:textId="77777777" w:rsidR="003B03A5" w:rsidRPr="00343006" w:rsidRDefault="003B03A5" w:rsidP="003B03A5">
      <w:pPr>
        <w:spacing w:before="0" w:after="160" w:line="240" w:lineRule="auto"/>
        <w:rPr>
          <w:rFonts w:cs="Times New Roman"/>
          <w:sz w:val="20"/>
          <w:szCs w:val="20"/>
          <w:highlight w:val="yellow"/>
        </w:rPr>
      </w:pPr>
      <w:r w:rsidRPr="00343006">
        <w:rPr>
          <w:rFonts w:cs="Times New Roman"/>
          <w:sz w:val="20"/>
          <w:szCs w:val="20"/>
          <w:highlight w:val="yellow"/>
        </w:rPr>
        <w:t>Technological integration exhibits the strongest correlation with performance (r = 0.664, p = 0.000), highlighting the importance of digital systems and automation in improving efficiency, compliance, and service delivery.</w:t>
      </w:r>
    </w:p>
    <w:p w14:paraId="70AAD3C3" w14:textId="77777777" w:rsidR="003B03A5" w:rsidRPr="00343006" w:rsidRDefault="003B03A5" w:rsidP="003B03A5">
      <w:pPr>
        <w:spacing w:before="0" w:after="160" w:line="240" w:lineRule="auto"/>
        <w:rPr>
          <w:rFonts w:cs="Times New Roman"/>
          <w:sz w:val="20"/>
          <w:szCs w:val="20"/>
          <w:highlight w:val="yellow"/>
        </w:rPr>
      </w:pPr>
      <w:r w:rsidRPr="00343006">
        <w:rPr>
          <w:rFonts w:cs="Times New Roman"/>
          <w:sz w:val="20"/>
          <w:szCs w:val="20"/>
          <w:highlight w:val="yellow"/>
        </w:rPr>
        <w:t>Similarly, data-driven decision-making shows a strong positive correlation with performance (r = 0.654, p = 0.000), indicating that evidence-based management and analytics significantly contribute to improved organizational outcomes.</w:t>
      </w:r>
    </w:p>
    <w:p w14:paraId="648AD301" w14:textId="77777777" w:rsidR="003B03A5" w:rsidRPr="00343006" w:rsidRDefault="003B03A5" w:rsidP="003B03A5">
      <w:pPr>
        <w:spacing w:before="0" w:after="160" w:line="240" w:lineRule="auto"/>
        <w:rPr>
          <w:rFonts w:cs="Times New Roman"/>
          <w:sz w:val="20"/>
          <w:szCs w:val="20"/>
          <w:highlight w:val="yellow"/>
        </w:rPr>
      </w:pPr>
      <w:r w:rsidRPr="00343006">
        <w:rPr>
          <w:rFonts w:cs="Times New Roman"/>
          <w:sz w:val="20"/>
          <w:szCs w:val="20"/>
          <w:highlight w:val="yellow"/>
        </w:rPr>
        <w:t>Additionally, inter-variable relationships indicate a particularly strong correlation between technological integration and data-driven decision-making (r = 0.981), suggesting that the two constructs are highly interdependent in influencing performance outcomes. However, weaker correlations among some variables, such as customer-centric approaches and technological integration, suggest that certain strategies may operate independently rather than synergistically.</w:t>
      </w:r>
    </w:p>
    <w:p w14:paraId="3CCDAE3F" w14:textId="77777777" w:rsidR="003B03A5" w:rsidRPr="00343006" w:rsidRDefault="003B03A5" w:rsidP="003B03A5">
      <w:pPr>
        <w:spacing w:before="0" w:after="160" w:line="240" w:lineRule="auto"/>
        <w:rPr>
          <w:rFonts w:cs="Times New Roman"/>
          <w:sz w:val="20"/>
          <w:szCs w:val="20"/>
          <w:highlight w:val="yellow"/>
        </w:rPr>
      </w:pPr>
      <w:r w:rsidRPr="00343006">
        <w:rPr>
          <w:rFonts w:cs="Times New Roman"/>
          <w:sz w:val="20"/>
          <w:szCs w:val="20"/>
          <w:highlight w:val="yellow"/>
        </w:rPr>
        <w:t>Overall, the results confirm that all four constructs positively influence organizational performance, with technology and data use emerging as the most influential drivers.</w:t>
      </w:r>
    </w:p>
    <w:p w14:paraId="39A27B68" w14:textId="77777777" w:rsidR="003B03A5" w:rsidRPr="00343006" w:rsidRDefault="003B03A5" w:rsidP="003B03A5">
      <w:pPr>
        <w:spacing w:before="0" w:after="160" w:line="240" w:lineRule="auto"/>
        <w:rPr>
          <w:rFonts w:cs="Times New Roman"/>
          <w:b/>
          <w:bCs/>
          <w:sz w:val="20"/>
          <w:szCs w:val="20"/>
          <w:highlight w:val="yellow"/>
        </w:rPr>
      </w:pPr>
      <w:r w:rsidRPr="00343006">
        <w:rPr>
          <w:rFonts w:cs="Times New Roman"/>
          <w:b/>
          <w:bCs/>
          <w:sz w:val="20"/>
          <w:szCs w:val="20"/>
          <w:highlight w:val="yellow"/>
        </w:rPr>
        <w:t>Regression Analysis</w:t>
      </w:r>
    </w:p>
    <w:p w14:paraId="29651A6D" w14:textId="77777777" w:rsidR="003B03A5" w:rsidRPr="00343006" w:rsidRDefault="003B03A5" w:rsidP="003B03A5">
      <w:pPr>
        <w:spacing w:before="0" w:after="160" w:line="240" w:lineRule="auto"/>
        <w:rPr>
          <w:rFonts w:cs="Times New Roman"/>
          <w:sz w:val="20"/>
          <w:szCs w:val="20"/>
          <w:highlight w:val="yellow"/>
        </w:rPr>
      </w:pPr>
      <w:r w:rsidRPr="00343006">
        <w:rPr>
          <w:rFonts w:cs="Times New Roman"/>
          <w:sz w:val="20"/>
          <w:szCs w:val="20"/>
          <w:highlight w:val="yellow"/>
        </w:rPr>
        <w:t>Regression analysis was conducted to determine the predictive power of customer-centric approaches, strategic brand positioning, technological integration, and data-driven decision-making on organizational performance at KRA. This analysis also identifies the relative contribution of each predictor to overall performance outcomes.</w:t>
      </w:r>
    </w:p>
    <w:p w14:paraId="1079F275" w14:textId="77777777" w:rsidR="007B468C" w:rsidRPr="00343006" w:rsidRDefault="007B468C" w:rsidP="003B03A5">
      <w:pPr>
        <w:spacing w:before="0" w:after="160" w:line="240" w:lineRule="auto"/>
        <w:rPr>
          <w:rFonts w:cs="Times New Roman"/>
          <w:sz w:val="20"/>
          <w:szCs w:val="20"/>
          <w:highlight w:val="yellow"/>
        </w:rPr>
      </w:pPr>
    </w:p>
    <w:p w14:paraId="26B392AD" w14:textId="16CF34C7" w:rsidR="003B03A5" w:rsidRPr="00343006" w:rsidRDefault="003B03A5" w:rsidP="003B03A5">
      <w:pPr>
        <w:spacing w:before="0" w:after="160" w:line="240" w:lineRule="auto"/>
        <w:rPr>
          <w:rFonts w:cs="Times New Roman"/>
          <w:b/>
          <w:bCs/>
          <w:sz w:val="20"/>
          <w:szCs w:val="20"/>
          <w:highlight w:val="yellow"/>
        </w:rPr>
      </w:pPr>
      <w:r w:rsidRPr="00343006">
        <w:rPr>
          <w:rFonts w:cs="Times New Roman"/>
          <w:b/>
          <w:bCs/>
          <w:sz w:val="20"/>
          <w:szCs w:val="20"/>
          <w:highlight w:val="yellow"/>
        </w:rPr>
        <w:t>Table</w:t>
      </w:r>
      <w:r w:rsidR="003A1E48" w:rsidRPr="00343006">
        <w:rPr>
          <w:rFonts w:cs="Times New Roman"/>
          <w:b/>
          <w:bCs/>
          <w:sz w:val="20"/>
          <w:szCs w:val="20"/>
          <w:highlight w:val="yellow"/>
        </w:rPr>
        <w:t xml:space="preserve"> 4</w:t>
      </w:r>
      <w:r w:rsidRPr="00343006">
        <w:rPr>
          <w:rFonts w:cs="Times New Roman"/>
          <w:b/>
          <w:bCs/>
          <w:sz w:val="20"/>
          <w:szCs w:val="20"/>
          <w:highlight w:val="yellow"/>
        </w:rPr>
        <w:t xml:space="preserve"> Model Summary</w:t>
      </w:r>
    </w:p>
    <w:tbl>
      <w:tblPr>
        <w:tblStyle w:val="TableGrid"/>
        <w:tblW w:w="0" w:type="auto"/>
        <w:tblLook w:val="04A0" w:firstRow="1" w:lastRow="0" w:firstColumn="1" w:lastColumn="0" w:noHBand="0" w:noVBand="1"/>
      </w:tblPr>
      <w:tblGrid>
        <w:gridCol w:w="761"/>
        <w:gridCol w:w="655"/>
        <w:gridCol w:w="566"/>
        <w:gridCol w:w="1249"/>
        <w:gridCol w:w="2444"/>
      </w:tblGrid>
      <w:tr w:rsidR="003B03A5" w:rsidRPr="00343006" w14:paraId="4EC0EDC1" w14:textId="77777777" w:rsidTr="004A0591">
        <w:tc>
          <w:tcPr>
            <w:tcW w:w="0" w:type="auto"/>
            <w:hideMark/>
          </w:tcPr>
          <w:p w14:paraId="520ED0D6" w14:textId="77777777" w:rsidR="003B03A5" w:rsidRPr="00343006" w:rsidRDefault="003B03A5" w:rsidP="004A0591">
            <w:pPr>
              <w:spacing w:after="160" w:line="240" w:lineRule="auto"/>
              <w:rPr>
                <w:rFonts w:cs="Times New Roman"/>
                <w:b/>
                <w:bCs/>
                <w:sz w:val="20"/>
                <w:szCs w:val="20"/>
                <w:highlight w:val="yellow"/>
              </w:rPr>
            </w:pPr>
            <w:r w:rsidRPr="00343006">
              <w:rPr>
                <w:rFonts w:cs="Times New Roman"/>
                <w:b/>
                <w:bCs/>
                <w:sz w:val="20"/>
                <w:szCs w:val="20"/>
                <w:highlight w:val="yellow"/>
              </w:rPr>
              <w:t>Model</w:t>
            </w:r>
          </w:p>
        </w:tc>
        <w:tc>
          <w:tcPr>
            <w:tcW w:w="0" w:type="auto"/>
            <w:hideMark/>
          </w:tcPr>
          <w:p w14:paraId="1D6E815A" w14:textId="77777777" w:rsidR="003B03A5" w:rsidRPr="00343006" w:rsidRDefault="003B03A5" w:rsidP="004A0591">
            <w:pPr>
              <w:spacing w:after="160" w:line="240" w:lineRule="auto"/>
              <w:rPr>
                <w:rFonts w:cs="Times New Roman"/>
                <w:b/>
                <w:bCs/>
                <w:sz w:val="20"/>
                <w:szCs w:val="20"/>
                <w:highlight w:val="yellow"/>
              </w:rPr>
            </w:pPr>
            <w:r w:rsidRPr="00343006">
              <w:rPr>
                <w:rFonts w:cs="Times New Roman"/>
                <w:b/>
                <w:bCs/>
                <w:sz w:val="20"/>
                <w:szCs w:val="20"/>
                <w:highlight w:val="yellow"/>
              </w:rPr>
              <w:t>R</w:t>
            </w:r>
          </w:p>
        </w:tc>
        <w:tc>
          <w:tcPr>
            <w:tcW w:w="0" w:type="auto"/>
            <w:hideMark/>
          </w:tcPr>
          <w:p w14:paraId="33652AD8" w14:textId="77777777" w:rsidR="003B03A5" w:rsidRPr="00343006" w:rsidRDefault="003B03A5" w:rsidP="004A0591">
            <w:pPr>
              <w:spacing w:after="160" w:line="240" w:lineRule="auto"/>
              <w:rPr>
                <w:rFonts w:cs="Times New Roman"/>
                <w:b/>
                <w:bCs/>
                <w:sz w:val="20"/>
                <w:szCs w:val="20"/>
                <w:highlight w:val="yellow"/>
              </w:rPr>
            </w:pPr>
            <w:r w:rsidRPr="00343006">
              <w:rPr>
                <w:rFonts w:cs="Times New Roman"/>
                <w:b/>
                <w:bCs/>
                <w:sz w:val="20"/>
                <w:szCs w:val="20"/>
                <w:highlight w:val="yellow"/>
              </w:rPr>
              <w:t>R²</w:t>
            </w:r>
          </w:p>
        </w:tc>
        <w:tc>
          <w:tcPr>
            <w:tcW w:w="0" w:type="auto"/>
            <w:hideMark/>
          </w:tcPr>
          <w:p w14:paraId="4B296F71" w14:textId="77777777" w:rsidR="003B03A5" w:rsidRPr="00343006" w:rsidRDefault="003B03A5" w:rsidP="004A0591">
            <w:pPr>
              <w:spacing w:after="160" w:line="240" w:lineRule="auto"/>
              <w:rPr>
                <w:rFonts w:cs="Times New Roman"/>
                <w:b/>
                <w:bCs/>
                <w:sz w:val="20"/>
                <w:szCs w:val="20"/>
                <w:highlight w:val="yellow"/>
              </w:rPr>
            </w:pPr>
            <w:r w:rsidRPr="00343006">
              <w:rPr>
                <w:rFonts w:cs="Times New Roman"/>
                <w:b/>
                <w:bCs/>
                <w:sz w:val="20"/>
                <w:szCs w:val="20"/>
                <w:highlight w:val="yellow"/>
              </w:rPr>
              <w:t>Adjusted R²</w:t>
            </w:r>
          </w:p>
        </w:tc>
        <w:tc>
          <w:tcPr>
            <w:tcW w:w="0" w:type="auto"/>
            <w:hideMark/>
          </w:tcPr>
          <w:p w14:paraId="0FA52D20" w14:textId="77777777" w:rsidR="003B03A5" w:rsidRPr="00343006" w:rsidRDefault="003B03A5" w:rsidP="004A0591">
            <w:pPr>
              <w:spacing w:after="160" w:line="240" w:lineRule="auto"/>
              <w:rPr>
                <w:rFonts w:cs="Times New Roman"/>
                <w:b/>
                <w:bCs/>
                <w:sz w:val="20"/>
                <w:szCs w:val="20"/>
                <w:highlight w:val="yellow"/>
              </w:rPr>
            </w:pPr>
            <w:r w:rsidRPr="00343006">
              <w:rPr>
                <w:rFonts w:cs="Times New Roman"/>
                <w:b/>
                <w:bCs/>
                <w:sz w:val="20"/>
                <w:szCs w:val="20"/>
                <w:highlight w:val="yellow"/>
              </w:rPr>
              <w:t>Std. Error of the Estimate</w:t>
            </w:r>
          </w:p>
        </w:tc>
      </w:tr>
      <w:tr w:rsidR="003B03A5" w:rsidRPr="00343006" w14:paraId="7C2C2F7F" w14:textId="77777777" w:rsidTr="004A0591">
        <w:tc>
          <w:tcPr>
            <w:tcW w:w="0" w:type="auto"/>
            <w:hideMark/>
          </w:tcPr>
          <w:p w14:paraId="5A6DE9BE"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1</w:t>
            </w:r>
          </w:p>
        </w:tc>
        <w:tc>
          <w:tcPr>
            <w:tcW w:w="0" w:type="auto"/>
            <w:hideMark/>
          </w:tcPr>
          <w:p w14:paraId="45ACF5B1"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.884a</w:t>
            </w:r>
          </w:p>
        </w:tc>
        <w:tc>
          <w:tcPr>
            <w:tcW w:w="0" w:type="auto"/>
            <w:hideMark/>
          </w:tcPr>
          <w:p w14:paraId="175A4EB6"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.781</w:t>
            </w:r>
          </w:p>
        </w:tc>
        <w:tc>
          <w:tcPr>
            <w:tcW w:w="0" w:type="auto"/>
            <w:hideMark/>
          </w:tcPr>
          <w:p w14:paraId="7E8A5390"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.769</w:t>
            </w:r>
          </w:p>
        </w:tc>
        <w:tc>
          <w:tcPr>
            <w:tcW w:w="0" w:type="auto"/>
            <w:hideMark/>
          </w:tcPr>
          <w:p w14:paraId="1BB4A50A"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1.60515</w:t>
            </w:r>
          </w:p>
        </w:tc>
      </w:tr>
    </w:tbl>
    <w:p w14:paraId="46270430" w14:textId="77777777" w:rsidR="003B03A5" w:rsidRPr="00343006" w:rsidRDefault="003B03A5" w:rsidP="003B03A5">
      <w:pPr>
        <w:spacing w:before="0" w:after="160" w:line="240" w:lineRule="auto"/>
        <w:rPr>
          <w:rFonts w:cs="Times New Roman"/>
          <w:sz w:val="20"/>
          <w:szCs w:val="20"/>
          <w:highlight w:val="yellow"/>
        </w:rPr>
      </w:pPr>
      <w:r w:rsidRPr="00343006">
        <w:rPr>
          <w:rFonts w:cs="Times New Roman"/>
          <w:i/>
          <w:iCs/>
          <w:sz w:val="20"/>
          <w:szCs w:val="20"/>
          <w:highlight w:val="yellow"/>
        </w:rPr>
        <w:t>Predictors: (Constant), Customer-Centric Approaches, Strategic Brand Positioning, Technological Integration, Data-Driven Decision-Making</w:t>
      </w:r>
      <w:r w:rsidRPr="00343006">
        <w:rPr>
          <w:rFonts w:cs="Times New Roman"/>
          <w:sz w:val="20"/>
          <w:szCs w:val="20"/>
          <w:highlight w:val="yellow"/>
        </w:rPr>
        <w:br/>
      </w:r>
      <w:r w:rsidRPr="00343006">
        <w:rPr>
          <w:rFonts w:cs="Times New Roman"/>
          <w:i/>
          <w:iCs/>
          <w:sz w:val="20"/>
          <w:szCs w:val="20"/>
          <w:highlight w:val="yellow"/>
        </w:rPr>
        <w:t>Source: Researcher (2025)</w:t>
      </w:r>
    </w:p>
    <w:p w14:paraId="61D87263" w14:textId="77777777" w:rsidR="003B03A5" w:rsidRPr="00343006" w:rsidRDefault="003B03A5" w:rsidP="003B03A5">
      <w:pPr>
        <w:spacing w:before="0" w:after="160" w:line="240" w:lineRule="auto"/>
        <w:rPr>
          <w:rFonts w:cs="Times New Roman"/>
          <w:sz w:val="20"/>
          <w:szCs w:val="20"/>
          <w:highlight w:val="yellow"/>
        </w:rPr>
      </w:pPr>
      <w:r w:rsidRPr="00343006">
        <w:rPr>
          <w:rFonts w:cs="Times New Roman"/>
          <w:sz w:val="20"/>
          <w:szCs w:val="20"/>
          <w:highlight w:val="yellow"/>
        </w:rPr>
        <w:lastRenderedPageBreak/>
        <w:t>The model summary indicates a strong predictive relationship between the independent variables and organizational performance. The R value of 0.884 suggests a strong combined correlation between predictors and the dependent variable. The R² value of 0.781 implies that 78.1% of the variation in organizational performance at KRA is explained by the four predictors.</w:t>
      </w:r>
    </w:p>
    <w:p w14:paraId="47A92EB5" w14:textId="77777777" w:rsidR="003B03A5" w:rsidRPr="00343006" w:rsidRDefault="003B03A5" w:rsidP="003B03A5">
      <w:pPr>
        <w:spacing w:before="0" w:after="160" w:line="240" w:lineRule="auto"/>
        <w:rPr>
          <w:rFonts w:cs="Times New Roman"/>
          <w:sz w:val="20"/>
          <w:szCs w:val="20"/>
          <w:highlight w:val="yellow"/>
        </w:rPr>
      </w:pPr>
      <w:r w:rsidRPr="00343006">
        <w:rPr>
          <w:rFonts w:cs="Times New Roman"/>
          <w:sz w:val="20"/>
          <w:szCs w:val="20"/>
          <w:highlight w:val="yellow"/>
        </w:rPr>
        <w:t>The adjusted R² value of 0.769 confirms the robustness of the model after accounting for the number of predictors. This implies that the selected variables provide a strong explanatory framework for understanding performance variation within KRA. The remaining 21.9% of variation may be attributed to other external factors such as government policy, economic conditions, or workforce capacity.</w:t>
      </w:r>
    </w:p>
    <w:p w14:paraId="4071C16D" w14:textId="76B68483" w:rsidR="003B03A5" w:rsidRPr="00343006" w:rsidRDefault="003B03A5" w:rsidP="003B03A5">
      <w:pPr>
        <w:spacing w:before="0" w:after="160" w:line="240" w:lineRule="auto"/>
        <w:rPr>
          <w:rFonts w:cs="Times New Roman"/>
          <w:b/>
          <w:bCs/>
          <w:sz w:val="20"/>
          <w:szCs w:val="20"/>
          <w:highlight w:val="yellow"/>
        </w:rPr>
      </w:pPr>
      <w:r w:rsidRPr="00343006">
        <w:rPr>
          <w:rFonts w:cs="Times New Roman"/>
          <w:b/>
          <w:bCs/>
          <w:sz w:val="20"/>
          <w:szCs w:val="20"/>
          <w:highlight w:val="yellow"/>
        </w:rPr>
        <w:t>Table</w:t>
      </w:r>
      <w:r w:rsidR="003A1E48" w:rsidRPr="00343006">
        <w:rPr>
          <w:rFonts w:cs="Times New Roman"/>
          <w:b/>
          <w:bCs/>
          <w:sz w:val="20"/>
          <w:szCs w:val="20"/>
          <w:highlight w:val="yellow"/>
        </w:rPr>
        <w:t xml:space="preserve"> 5</w:t>
      </w:r>
      <w:r w:rsidRPr="00343006">
        <w:rPr>
          <w:rFonts w:cs="Times New Roman"/>
          <w:b/>
          <w:bCs/>
          <w:sz w:val="20"/>
          <w:szCs w:val="20"/>
          <w:highlight w:val="yellow"/>
        </w:rPr>
        <w:t xml:space="preserve"> ANOVA</w:t>
      </w:r>
    </w:p>
    <w:tbl>
      <w:tblPr>
        <w:tblStyle w:val="TableGrid"/>
        <w:tblW w:w="0" w:type="auto"/>
        <w:tblLook w:val="04A0" w:firstRow="1" w:lastRow="0" w:firstColumn="1" w:lastColumn="0" w:noHBand="0" w:noVBand="1"/>
      </w:tblPr>
      <w:tblGrid>
        <w:gridCol w:w="1105"/>
        <w:gridCol w:w="1561"/>
        <w:gridCol w:w="416"/>
        <w:gridCol w:w="1366"/>
        <w:gridCol w:w="766"/>
        <w:gridCol w:w="666"/>
      </w:tblGrid>
      <w:tr w:rsidR="003B03A5" w:rsidRPr="00343006" w14:paraId="25064093" w14:textId="77777777" w:rsidTr="004A0591">
        <w:tc>
          <w:tcPr>
            <w:tcW w:w="0" w:type="auto"/>
            <w:hideMark/>
          </w:tcPr>
          <w:p w14:paraId="67164D1C" w14:textId="77777777" w:rsidR="003B03A5" w:rsidRPr="00343006" w:rsidRDefault="003B03A5" w:rsidP="004A0591">
            <w:pPr>
              <w:spacing w:after="160" w:line="240" w:lineRule="auto"/>
              <w:rPr>
                <w:rFonts w:cs="Times New Roman"/>
                <w:b/>
                <w:bCs/>
                <w:sz w:val="20"/>
                <w:szCs w:val="20"/>
                <w:highlight w:val="yellow"/>
              </w:rPr>
            </w:pPr>
            <w:r w:rsidRPr="00343006">
              <w:rPr>
                <w:rFonts w:cs="Times New Roman"/>
                <w:b/>
                <w:bCs/>
                <w:sz w:val="20"/>
                <w:szCs w:val="20"/>
                <w:highlight w:val="yellow"/>
              </w:rPr>
              <w:t>Model</w:t>
            </w:r>
          </w:p>
        </w:tc>
        <w:tc>
          <w:tcPr>
            <w:tcW w:w="0" w:type="auto"/>
            <w:hideMark/>
          </w:tcPr>
          <w:p w14:paraId="5D991532" w14:textId="77777777" w:rsidR="003B03A5" w:rsidRPr="00343006" w:rsidRDefault="003B03A5" w:rsidP="004A0591">
            <w:pPr>
              <w:spacing w:after="160" w:line="240" w:lineRule="auto"/>
              <w:rPr>
                <w:rFonts w:cs="Times New Roman"/>
                <w:b/>
                <w:bCs/>
                <w:sz w:val="20"/>
                <w:szCs w:val="20"/>
                <w:highlight w:val="yellow"/>
              </w:rPr>
            </w:pPr>
            <w:r w:rsidRPr="00343006">
              <w:rPr>
                <w:rFonts w:cs="Times New Roman"/>
                <w:b/>
                <w:bCs/>
                <w:sz w:val="20"/>
                <w:szCs w:val="20"/>
                <w:highlight w:val="yellow"/>
              </w:rPr>
              <w:t>Sum of Squares</w:t>
            </w:r>
          </w:p>
        </w:tc>
        <w:tc>
          <w:tcPr>
            <w:tcW w:w="0" w:type="auto"/>
            <w:hideMark/>
          </w:tcPr>
          <w:p w14:paraId="54CEF9D4" w14:textId="77777777" w:rsidR="003B03A5" w:rsidRPr="00343006" w:rsidRDefault="003B03A5" w:rsidP="004A0591">
            <w:pPr>
              <w:spacing w:after="160" w:line="240" w:lineRule="auto"/>
              <w:rPr>
                <w:rFonts w:cs="Times New Roman"/>
                <w:b/>
                <w:bCs/>
                <w:sz w:val="20"/>
                <w:szCs w:val="20"/>
                <w:highlight w:val="yellow"/>
              </w:rPr>
            </w:pPr>
            <w:r w:rsidRPr="00343006">
              <w:rPr>
                <w:rFonts w:cs="Times New Roman"/>
                <w:b/>
                <w:bCs/>
                <w:sz w:val="20"/>
                <w:szCs w:val="20"/>
                <w:highlight w:val="yellow"/>
              </w:rPr>
              <w:t>df</w:t>
            </w:r>
          </w:p>
        </w:tc>
        <w:tc>
          <w:tcPr>
            <w:tcW w:w="0" w:type="auto"/>
            <w:hideMark/>
          </w:tcPr>
          <w:p w14:paraId="23530B9D" w14:textId="77777777" w:rsidR="003B03A5" w:rsidRPr="00343006" w:rsidRDefault="003B03A5" w:rsidP="004A0591">
            <w:pPr>
              <w:spacing w:after="160" w:line="240" w:lineRule="auto"/>
              <w:rPr>
                <w:rFonts w:cs="Times New Roman"/>
                <w:b/>
                <w:bCs/>
                <w:sz w:val="20"/>
                <w:szCs w:val="20"/>
                <w:highlight w:val="yellow"/>
              </w:rPr>
            </w:pPr>
            <w:r w:rsidRPr="00343006">
              <w:rPr>
                <w:rFonts w:cs="Times New Roman"/>
                <w:b/>
                <w:bCs/>
                <w:sz w:val="20"/>
                <w:szCs w:val="20"/>
                <w:highlight w:val="yellow"/>
              </w:rPr>
              <w:t>Mean Square</w:t>
            </w:r>
          </w:p>
        </w:tc>
        <w:tc>
          <w:tcPr>
            <w:tcW w:w="0" w:type="auto"/>
            <w:hideMark/>
          </w:tcPr>
          <w:p w14:paraId="43F15875" w14:textId="77777777" w:rsidR="003B03A5" w:rsidRPr="00343006" w:rsidRDefault="003B03A5" w:rsidP="004A0591">
            <w:pPr>
              <w:spacing w:after="160" w:line="240" w:lineRule="auto"/>
              <w:rPr>
                <w:rFonts w:cs="Times New Roman"/>
                <w:b/>
                <w:bCs/>
                <w:sz w:val="20"/>
                <w:szCs w:val="20"/>
                <w:highlight w:val="yellow"/>
              </w:rPr>
            </w:pPr>
            <w:r w:rsidRPr="00343006">
              <w:rPr>
                <w:rFonts w:cs="Times New Roman"/>
                <w:b/>
                <w:bCs/>
                <w:sz w:val="20"/>
                <w:szCs w:val="20"/>
                <w:highlight w:val="yellow"/>
              </w:rPr>
              <w:t>F</w:t>
            </w:r>
          </w:p>
        </w:tc>
        <w:tc>
          <w:tcPr>
            <w:tcW w:w="0" w:type="auto"/>
            <w:hideMark/>
          </w:tcPr>
          <w:p w14:paraId="1CDB52DA" w14:textId="77777777" w:rsidR="003B03A5" w:rsidRPr="00343006" w:rsidRDefault="003B03A5" w:rsidP="004A0591">
            <w:pPr>
              <w:spacing w:after="160" w:line="240" w:lineRule="auto"/>
              <w:rPr>
                <w:rFonts w:cs="Times New Roman"/>
                <w:b/>
                <w:bCs/>
                <w:sz w:val="20"/>
                <w:szCs w:val="20"/>
                <w:highlight w:val="yellow"/>
              </w:rPr>
            </w:pPr>
            <w:r w:rsidRPr="00343006">
              <w:rPr>
                <w:rFonts w:cs="Times New Roman"/>
                <w:b/>
                <w:bCs/>
                <w:sz w:val="20"/>
                <w:szCs w:val="20"/>
                <w:highlight w:val="yellow"/>
              </w:rPr>
              <w:t>Sig.</w:t>
            </w:r>
          </w:p>
        </w:tc>
      </w:tr>
      <w:tr w:rsidR="003B03A5" w:rsidRPr="00343006" w14:paraId="348711FC" w14:textId="77777777" w:rsidTr="004A0591">
        <w:tc>
          <w:tcPr>
            <w:tcW w:w="0" w:type="auto"/>
            <w:hideMark/>
          </w:tcPr>
          <w:p w14:paraId="7BE816E6"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Regression</w:t>
            </w:r>
          </w:p>
        </w:tc>
        <w:tc>
          <w:tcPr>
            <w:tcW w:w="0" w:type="auto"/>
            <w:hideMark/>
          </w:tcPr>
          <w:p w14:paraId="11C36B0C"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661.296</w:t>
            </w:r>
          </w:p>
        </w:tc>
        <w:tc>
          <w:tcPr>
            <w:tcW w:w="0" w:type="auto"/>
            <w:hideMark/>
          </w:tcPr>
          <w:p w14:paraId="10EE57A5"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4</w:t>
            </w:r>
          </w:p>
        </w:tc>
        <w:tc>
          <w:tcPr>
            <w:tcW w:w="0" w:type="auto"/>
            <w:hideMark/>
          </w:tcPr>
          <w:p w14:paraId="22A515D5"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165.324</w:t>
            </w:r>
          </w:p>
        </w:tc>
        <w:tc>
          <w:tcPr>
            <w:tcW w:w="0" w:type="auto"/>
            <w:hideMark/>
          </w:tcPr>
          <w:p w14:paraId="32434B65"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64.166</w:t>
            </w:r>
          </w:p>
        </w:tc>
        <w:tc>
          <w:tcPr>
            <w:tcW w:w="0" w:type="auto"/>
            <w:hideMark/>
          </w:tcPr>
          <w:p w14:paraId="5AB03250"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.000b</w:t>
            </w:r>
          </w:p>
        </w:tc>
      </w:tr>
      <w:tr w:rsidR="003B03A5" w:rsidRPr="00343006" w14:paraId="1EC64B91" w14:textId="77777777" w:rsidTr="004A0591">
        <w:tc>
          <w:tcPr>
            <w:tcW w:w="0" w:type="auto"/>
            <w:hideMark/>
          </w:tcPr>
          <w:p w14:paraId="3CC9D21B"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Residual</w:t>
            </w:r>
          </w:p>
        </w:tc>
        <w:tc>
          <w:tcPr>
            <w:tcW w:w="0" w:type="auto"/>
            <w:hideMark/>
          </w:tcPr>
          <w:p w14:paraId="258E1C51"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185.509</w:t>
            </w:r>
          </w:p>
        </w:tc>
        <w:tc>
          <w:tcPr>
            <w:tcW w:w="0" w:type="auto"/>
            <w:hideMark/>
          </w:tcPr>
          <w:p w14:paraId="57E12657"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72</w:t>
            </w:r>
          </w:p>
        </w:tc>
        <w:tc>
          <w:tcPr>
            <w:tcW w:w="0" w:type="auto"/>
            <w:hideMark/>
          </w:tcPr>
          <w:p w14:paraId="7388CC6A"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2.577</w:t>
            </w:r>
          </w:p>
        </w:tc>
        <w:tc>
          <w:tcPr>
            <w:tcW w:w="0" w:type="auto"/>
            <w:hideMark/>
          </w:tcPr>
          <w:p w14:paraId="62170587" w14:textId="77777777" w:rsidR="003B03A5" w:rsidRPr="00343006" w:rsidRDefault="003B03A5" w:rsidP="004A0591">
            <w:pPr>
              <w:spacing w:after="160" w:line="240" w:lineRule="auto"/>
              <w:rPr>
                <w:rFonts w:cs="Times New Roman"/>
                <w:sz w:val="20"/>
                <w:szCs w:val="20"/>
                <w:highlight w:val="yellow"/>
              </w:rPr>
            </w:pPr>
          </w:p>
        </w:tc>
        <w:tc>
          <w:tcPr>
            <w:tcW w:w="0" w:type="auto"/>
            <w:hideMark/>
          </w:tcPr>
          <w:p w14:paraId="283BF22C" w14:textId="77777777" w:rsidR="003B03A5" w:rsidRPr="00343006" w:rsidRDefault="003B03A5" w:rsidP="004A0591">
            <w:pPr>
              <w:spacing w:after="160" w:line="240" w:lineRule="auto"/>
              <w:rPr>
                <w:rFonts w:cs="Times New Roman"/>
                <w:sz w:val="20"/>
                <w:szCs w:val="20"/>
                <w:highlight w:val="yellow"/>
              </w:rPr>
            </w:pPr>
          </w:p>
        </w:tc>
      </w:tr>
      <w:tr w:rsidR="003B03A5" w:rsidRPr="00343006" w14:paraId="2AC23E67" w14:textId="77777777" w:rsidTr="004A0591">
        <w:tc>
          <w:tcPr>
            <w:tcW w:w="0" w:type="auto"/>
            <w:hideMark/>
          </w:tcPr>
          <w:p w14:paraId="384DBB64"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Total</w:t>
            </w:r>
          </w:p>
        </w:tc>
        <w:tc>
          <w:tcPr>
            <w:tcW w:w="0" w:type="auto"/>
            <w:hideMark/>
          </w:tcPr>
          <w:p w14:paraId="191AAA45"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846.805</w:t>
            </w:r>
          </w:p>
        </w:tc>
        <w:tc>
          <w:tcPr>
            <w:tcW w:w="0" w:type="auto"/>
            <w:hideMark/>
          </w:tcPr>
          <w:p w14:paraId="2F02E2B9"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76</w:t>
            </w:r>
          </w:p>
        </w:tc>
        <w:tc>
          <w:tcPr>
            <w:tcW w:w="0" w:type="auto"/>
            <w:hideMark/>
          </w:tcPr>
          <w:p w14:paraId="1CC09BE4" w14:textId="77777777" w:rsidR="003B03A5" w:rsidRPr="00343006" w:rsidRDefault="003B03A5" w:rsidP="004A0591">
            <w:pPr>
              <w:spacing w:after="160" w:line="240" w:lineRule="auto"/>
              <w:rPr>
                <w:rFonts w:cs="Times New Roman"/>
                <w:sz w:val="20"/>
                <w:szCs w:val="20"/>
                <w:highlight w:val="yellow"/>
              </w:rPr>
            </w:pPr>
          </w:p>
        </w:tc>
        <w:tc>
          <w:tcPr>
            <w:tcW w:w="0" w:type="auto"/>
            <w:hideMark/>
          </w:tcPr>
          <w:p w14:paraId="242934A6" w14:textId="77777777" w:rsidR="003B03A5" w:rsidRPr="00343006" w:rsidRDefault="003B03A5" w:rsidP="004A0591">
            <w:pPr>
              <w:spacing w:after="160" w:line="240" w:lineRule="auto"/>
              <w:rPr>
                <w:rFonts w:cs="Times New Roman"/>
                <w:sz w:val="20"/>
                <w:szCs w:val="20"/>
                <w:highlight w:val="yellow"/>
              </w:rPr>
            </w:pPr>
          </w:p>
        </w:tc>
        <w:tc>
          <w:tcPr>
            <w:tcW w:w="0" w:type="auto"/>
            <w:hideMark/>
          </w:tcPr>
          <w:p w14:paraId="5BD58E55" w14:textId="77777777" w:rsidR="003B03A5" w:rsidRPr="00343006" w:rsidRDefault="003B03A5" w:rsidP="004A0591">
            <w:pPr>
              <w:spacing w:after="160" w:line="240" w:lineRule="auto"/>
              <w:rPr>
                <w:rFonts w:cs="Times New Roman"/>
                <w:sz w:val="20"/>
                <w:szCs w:val="20"/>
                <w:highlight w:val="yellow"/>
              </w:rPr>
            </w:pPr>
          </w:p>
        </w:tc>
      </w:tr>
    </w:tbl>
    <w:p w14:paraId="78E0C1FE" w14:textId="77777777" w:rsidR="003B03A5" w:rsidRPr="00343006" w:rsidRDefault="003B03A5" w:rsidP="003B03A5">
      <w:pPr>
        <w:spacing w:before="0" w:after="160" w:line="240" w:lineRule="auto"/>
        <w:rPr>
          <w:rFonts w:cs="Times New Roman"/>
          <w:sz w:val="20"/>
          <w:szCs w:val="20"/>
          <w:highlight w:val="yellow"/>
        </w:rPr>
      </w:pPr>
      <w:r w:rsidRPr="00343006">
        <w:rPr>
          <w:rFonts w:cs="Times New Roman"/>
          <w:i/>
          <w:iCs/>
          <w:sz w:val="20"/>
          <w:szCs w:val="20"/>
          <w:highlight w:val="yellow"/>
        </w:rPr>
        <w:t>Dependent Variable: Organizational Performance</w:t>
      </w:r>
      <w:r w:rsidRPr="00343006">
        <w:rPr>
          <w:rFonts w:cs="Times New Roman"/>
          <w:sz w:val="20"/>
          <w:szCs w:val="20"/>
          <w:highlight w:val="yellow"/>
        </w:rPr>
        <w:br/>
      </w:r>
      <w:r w:rsidRPr="00343006">
        <w:rPr>
          <w:rFonts w:cs="Times New Roman"/>
          <w:i/>
          <w:iCs/>
          <w:sz w:val="20"/>
          <w:szCs w:val="20"/>
          <w:highlight w:val="yellow"/>
        </w:rPr>
        <w:t>Predictors: Customer-Centric Approaches, Strategic Brand Positioning, Technological Integration, Data-Driven Decision-Making</w:t>
      </w:r>
      <w:r w:rsidRPr="00343006">
        <w:rPr>
          <w:rFonts w:cs="Times New Roman"/>
          <w:sz w:val="20"/>
          <w:szCs w:val="20"/>
          <w:highlight w:val="yellow"/>
        </w:rPr>
        <w:br/>
      </w:r>
      <w:r w:rsidRPr="00343006">
        <w:rPr>
          <w:rFonts w:cs="Times New Roman"/>
          <w:i/>
          <w:iCs/>
          <w:sz w:val="20"/>
          <w:szCs w:val="20"/>
          <w:highlight w:val="yellow"/>
        </w:rPr>
        <w:t>Source: Researcher (2025)</w:t>
      </w:r>
    </w:p>
    <w:p w14:paraId="617F1F8A" w14:textId="77777777" w:rsidR="003B03A5" w:rsidRPr="00343006" w:rsidRDefault="003B03A5" w:rsidP="003B03A5">
      <w:pPr>
        <w:spacing w:before="0" w:after="160" w:line="240" w:lineRule="auto"/>
        <w:rPr>
          <w:rFonts w:cs="Times New Roman"/>
          <w:sz w:val="20"/>
          <w:szCs w:val="20"/>
          <w:highlight w:val="yellow"/>
        </w:rPr>
      </w:pPr>
      <w:r w:rsidRPr="00343006">
        <w:rPr>
          <w:rFonts w:cs="Times New Roman"/>
          <w:sz w:val="20"/>
          <w:szCs w:val="20"/>
          <w:highlight w:val="yellow"/>
        </w:rPr>
        <w:t>The ANOVA results show that the regression model is statistically significant (F = 64.166, p = 0.000). This confirms that the independent variables, when combined, significantly influence organizational performance at KRA. The model is therefore a good fit for explaining variations in performance, and the predictors are jointly important determinants of institutional effectiveness.</w:t>
      </w:r>
    </w:p>
    <w:p w14:paraId="64E9CB1F" w14:textId="5306908C" w:rsidR="003B03A5" w:rsidRPr="00343006" w:rsidRDefault="003B03A5" w:rsidP="003B03A5">
      <w:pPr>
        <w:spacing w:before="0" w:after="160" w:line="240" w:lineRule="auto"/>
        <w:rPr>
          <w:rFonts w:cs="Times New Roman"/>
          <w:b/>
          <w:bCs/>
          <w:sz w:val="20"/>
          <w:szCs w:val="20"/>
          <w:highlight w:val="yellow"/>
        </w:rPr>
      </w:pPr>
      <w:r w:rsidRPr="00343006">
        <w:rPr>
          <w:rFonts w:cs="Times New Roman"/>
          <w:b/>
          <w:bCs/>
          <w:sz w:val="20"/>
          <w:szCs w:val="20"/>
          <w:highlight w:val="yellow"/>
        </w:rPr>
        <w:t xml:space="preserve">Table </w:t>
      </w:r>
      <w:r w:rsidR="003A1E48" w:rsidRPr="00343006">
        <w:rPr>
          <w:rFonts w:cs="Times New Roman"/>
          <w:b/>
          <w:bCs/>
          <w:sz w:val="20"/>
          <w:szCs w:val="20"/>
          <w:highlight w:val="yellow"/>
        </w:rPr>
        <w:t>6</w:t>
      </w:r>
      <w:r w:rsidRPr="00343006">
        <w:rPr>
          <w:rFonts w:cs="Times New Roman"/>
          <w:b/>
          <w:bCs/>
          <w:sz w:val="20"/>
          <w:szCs w:val="20"/>
          <w:highlight w:val="yellow"/>
        </w:rPr>
        <w:t xml:space="preserve"> Coefficients</w:t>
      </w:r>
    </w:p>
    <w:tbl>
      <w:tblPr>
        <w:tblStyle w:val="TableGrid"/>
        <w:tblW w:w="0" w:type="auto"/>
        <w:tblLook w:val="04A0" w:firstRow="1" w:lastRow="0" w:firstColumn="1" w:lastColumn="0" w:noHBand="0" w:noVBand="1"/>
      </w:tblPr>
      <w:tblGrid>
        <w:gridCol w:w="2666"/>
        <w:gridCol w:w="2961"/>
        <w:gridCol w:w="1105"/>
        <w:gridCol w:w="2994"/>
        <w:gridCol w:w="666"/>
        <w:gridCol w:w="566"/>
      </w:tblGrid>
      <w:tr w:rsidR="003B03A5" w:rsidRPr="00343006" w14:paraId="1D8DAFD5" w14:textId="77777777" w:rsidTr="004A0591">
        <w:tc>
          <w:tcPr>
            <w:tcW w:w="0" w:type="auto"/>
            <w:hideMark/>
          </w:tcPr>
          <w:p w14:paraId="782243DE" w14:textId="77777777" w:rsidR="003B03A5" w:rsidRPr="00343006" w:rsidRDefault="003B03A5" w:rsidP="004A0591">
            <w:pPr>
              <w:spacing w:after="160" w:line="240" w:lineRule="auto"/>
              <w:rPr>
                <w:rFonts w:cs="Times New Roman"/>
                <w:b/>
                <w:bCs/>
                <w:sz w:val="20"/>
                <w:szCs w:val="20"/>
                <w:highlight w:val="yellow"/>
              </w:rPr>
            </w:pPr>
            <w:r w:rsidRPr="00343006">
              <w:rPr>
                <w:rFonts w:cs="Times New Roman"/>
                <w:b/>
                <w:bCs/>
                <w:sz w:val="20"/>
                <w:szCs w:val="20"/>
                <w:highlight w:val="yellow"/>
              </w:rPr>
              <w:t>Model</w:t>
            </w:r>
          </w:p>
        </w:tc>
        <w:tc>
          <w:tcPr>
            <w:tcW w:w="0" w:type="auto"/>
            <w:hideMark/>
          </w:tcPr>
          <w:p w14:paraId="55929328" w14:textId="77777777" w:rsidR="003B03A5" w:rsidRPr="00343006" w:rsidRDefault="003B03A5" w:rsidP="004A0591">
            <w:pPr>
              <w:spacing w:after="160" w:line="240" w:lineRule="auto"/>
              <w:rPr>
                <w:rFonts w:cs="Times New Roman"/>
                <w:b/>
                <w:bCs/>
                <w:sz w:val="20"/>
                <w:szCs w:val="20"/>
                <w:highlight w:val="yellow"/>
              </w:rPr>
            </w:pPr>
            <w:r w:rsidRPr="00343006">
              <w:rPr>
                <w:rFonts w:cs="Times New Roman"/>
                <w:b/>
                <w:bCs/>
                <w:sz w:val="20"/>
                <w:szCs w:val="20"/>
                <w:highlight w:val="yellow"/>
              </w:rPr>
              <w:t>Unstandardized Coefficients (B)</w:t>
            </w:r>
          </w:p>
        </w:tc>
        <w:tc>
          <w:tcPr>
            <w:tcW w:w="0" w:type="auto"/>
            <w:hideMark/>
          </w:tcPr>
          <w:p w14:paraId="73245AF1" w14:textId="77777777" w:rsidR="003B03A5" w:rsidRPr="00343006" w:rsidRDefault="003B03A5" w:rsidP="004A0591">
            <w:pPr>
              <w:spacing w:after="160" w:line="240" w:lineRule="auto"/>
              <w:rPr>
                <w:rFonts w:cs="Times New Roman"/>
                <w:b/>
                <w:bCs/>
                <w:sz w:val="20"/>
                <w:szCs w:val="20"/>
                <w:highlight w:val="yellow"/>
              </w:rPr>
            </w:pPr>
            <w:r w:rsidRPr="00343006">
              <w:rPr>
                <w:rFonts w:cs="Times New Roman"/>
                <w:b/>
                <w:bCs/>
                <w:sz w:val="20"/>
                <w:szCs w:val="20"/>
                <w:highlight w:val="yellow"/>
              </w:rPr>
              <w:t>Std. Error</w:t>
            </w:r>
          </w:p>
        </w:tc>
        <w:tc>
          <w:tcPr>
            <w:tcW w:w="0" w:type="auto"/>
            <w:hideMark/>
          </w:tcPr>
          <w:p w14:paraId="54C1C197" w14:textId="77777777" w:rsidR="003B03A5" w:rsidRPr="00343006" w:rsidRDefault="003B03A5" w:rsidP="004A0591">
            <w:pPr>
              <w:spacing w:after="160" w:line="240" w:lineRule="auto"/>
              <w:rPr>
                <w:rFonts w:cs="Times New Roman"/>
                <w:b/>
                <w:bCs/>
                <w:sz w:val="20"/>
                <w:szCs w:val="20"/>
                <w:highlight w:val="yellow"/>
              </w:rPr>
            </w:pPr>
            <w:r w:rsidRPr="00343006">
              <w:rPr>
                <w:rFonts w:cs="Times New Roman"/>
                <w:b/>
                <w:bCs/>
                <w:sz w:val="20"/>
                <w:szCs w:val="20"/>
                <w:highlight w:val="yellow"/>
              </w:rPr>
              <w:t>Standardized Coefficients (Beta)</w:t>
            </w:r>
          </w:p>
        </w:tc>
        <w:tc>
          <w:tcPr>
            <w:tcW w:w="0" w:type="auto"/>
            <w:hideMark/>
          </w:tcPr>
          <w:p w14:paraId="282CA961" w14:textId="77777777" w:rsidR="003B03A5" w:rsidRPr="00343006" w:rsidRDefault="003B03A5" w:rsidP="004A0591">
            <w:pPr>
              <w:spacing w:after="160" w:line="240" w:lineRule="auto"/>
              <w:rPr>
                <w:rFonts w:cs="Times New Roman"/>
                <w:b/>
                <w:bCs/>
                <w:sz w:val="20"/>
                <w:szCs w:val="20"/>
                <w:highlight w:val="yellow"/>
              </w:rPr>
            </w:pPr>
            <w:r w:rsidRPr="00343006">
              <w:rPr>
                <w:rFonts w:cs="Times New Roman"/>
                <w:b/>
                <w:bCs/>
                <w:sz w:val="20"/>
                <w:szCs w:val="20"/>
                <w:highlight w:val="yellow"/>
              </w:rPr>
              <w:t>t</w:t>
            </w:r>
          </w:p>
        </w:tc>
        <w:tc>
          <w:tcPr>
            <w:tcW w:w="0" w:type="auto"/>
            <w:hideMark/>
          </w:tcPr>
          <w:p w14:paraId="546ABAD0" w14:textId="77777777" w:rsidR="003B03A5" w:rsidRPr="00343006" w:rsidRDefault="003B03A5" w:rsidP="004A0591">
            <w:pPr>
              <w:spacing w:after="160" w:line="240" w:lineRule="auto"/>
              <w:rPr>
                <w:rFonts w:cs="Times New Roman"/>
                <w:b/>
                <w:bCs/>
                <w:sz w:val="20"/>
                <w:szCs w:val="20"/>
                <w:highlight w:val="yellow"/>
              </w:rPr>
            </w:pPr>
            <w:r w:rsidRPr="00343006">
              <w:rPr>
                <w:rFonts w:cs="Times New Roman"/>
                <w:b/>
                <w:bCs/>
                <w:sz w:val="20"/>
                <w:szCs w:val="20"/>
                <w:highlight w:val="yellow"/>
              </w:rPr>
              <w:t>Sig.</w:t>
            </w:r>
          </w:p>
        </w:tc>
      </w:tr>
      <w:tr w:rsidR="003B03A5" w:rsidRPr="00343006" w14:paraId="475AF702" w14:textId="77777777" w:rsidTr="004A0591">
        <w:tc>
          <w:tcPr>
            <w:tcW w:w="0" w:type="auto"/>
            <w:hideMark/>
          </w:tcPr>
          <w:p w14:paraId="5F9F31EE"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(Constant)</w:t>
            </w:r>
          </w:p>
        </w:tc>
        <w:tc>
          <w:tcPr>
            <w:tcW w:w="0" w:type="auto"/>
            <w:hideMark/>
          </w:tcPr>
          <w:p w14:paraId="794B5019"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13.003</w:t>
            </w:r>
          </w:p>
        </w:tc>
        <w:tc>
          <w:tcPr>
            <w:tcW w:w="0" w:type="auto"/>
            <w:hideMark/>
          </w:tcPr>
          <w:p w14:paraId="594CCAB6"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3.437</w:t>
            </w:r>
          </w:p>
        </w:tc>
        <w:tc>
          <w:tcPr>
            <w:tcW w:w="0" w:type="auto"/>
            <w:hideMark/>
          </w:tcPr>
          <w:p w14:paraId="72099D3A" w14:textId="77777777" w:rsidR="003B03A5" w:rsidRPr="00343006" w:rsidRDefault="003B03A5" w:rsidP="004A0591">
            <w:pPr>
              <w:spacing w:after="160" w:line="240" w:lineRule="auto"/>
              <w:rPr>
                <w:rFonts w:cs="Times New Roman"/>
                <w:sz w:val="20"/>
                <w:szCs w:val="20"/>
                <w:highlight w:val="yellow"/>
              </w:rPr>
            </w:pPr>
          </w:p>
        </w:tc>
        <w:tc>
          <w:tcPr>
            <w:tcW w:w="0" w:type="auto"/>
            <w:hideMark/>
          </w:tcPr>
          <w:p w14:paraId="75E1B699"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3.783</w:t>
            </w:r>
          </w:p>
        </w:tc>
        <w:tc>
          <w:tcPr>
            <w:tcW w:w="0" w:type="auto"/>
            <w:hideMark/>
          </w:tcPr>
          <w:p w14:paraId="6F270796"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.000</w:t>
            </w:r>
          </w:p>
        </w:tc>
      </w:tr>
      <w:tr w:rsidR="003B03A5" w:rsidRPr="00343006" w14:paraId="293DEE63" w14:textId="77777777" w:rsidTr="004A0591">
        <w:tc>
          <w:tcPr>
            <w:tcW w:w="0" w:type="auto"/>
            <w:hideMark/>
          </w:tcPr>
          <w:p w14:paraId="07C2E8C3"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Customer-Centric Approaches</w:t>
            </w:r>
          </w:p>
        </w:tc>
        <w:tc>
          <w:tcPr>
            <w:tcW w:w="0" w:type="auto"/>
            <w:hideMark/>
          </w:tcPr>
          <w:p w14:paraId="5B683CEE"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.662</w:t>
            </w:r>
          </w:p>
        </w:tc>
        <w:tc>
          <w:tcPr>
            <w:tcW w:w="0" w:type="auto"/>
            <w:hideMark/>
          </w:tcPr>
          <w:p w14:paraId="48F66A3A"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.206</w:t>
            </w:r>
          </w:p>
        </w:tc>
        <w:tc>
          <w:tcPr>
            <w:tcW w:w="0" w:type="auto"/>
            <w:hideMark/>
          </w:tcPr>
          <w:p w14:paraId="3055FEE6"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.200</w:t>
            </w:r>
          </w:p>
        </w:tc>
        <w:tc>
          <w:tcPr>
            <w:tcW w:w="0" w:type="auto"/>
            <w:hideMark/>
          </w:tcPr>
          <w:p w14:paraId="6E20907F"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3.218</w:t>
            </w:r>
          </w:p>
        </w:tc>
        <w:tc>
          <w:tcPr>
            <w:tcW w:w="0" w:type="auto"/>
            <w:hideMark/>
          </w:tcPr>
          <w:p w14:paraId="72545B42"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.002</w:t>
            </w:r>
          </w:p>
        </w:tc>
      </w:tr>
      <w:tr w:rsidR="003B03A5" w:rsidRPr="00343006" w14:paraId="0639D769" w14:textId="77777777" w:rsidTr="004A0591">
        <w:tc>
          <w:tcPr>
            <w:tcW w:w="0" w:type="auto"/>
            <w:hideMark/>
          </w:tcPr>
          <w:p w14:paraId="47EF05BC"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Strategic Brand Positioning</w:t>
            </w:r>
          </w:p>
        </w:tc>
        <w:tc>
          <w:tcPr>
            <w:tcW w:w="0" w:type="auto"/>
            <w:hideMark/>
          </w:tcPr>
          <w:p w14:paraId="37BBD8DC"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1.240</w:t>
            </w:r>
          </w:p>
        </w:tc>
        <w:tc>
          <w:tcPr>
            <w:tcW w:w="0" w:type="auto"/>
            <w:hideMark/>
          </w:tcPr>
          <w:p w14:paraId="3C7B486A"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.138</w:t>
            </w:r>
          </w:p>
        </w:tc>
        <w:tc>
          <w:tcPr>
            <w:tcW w:w="0" w:type="auto"/>
            <w:hideMark/>
          </w:tcPr>
          <w:p w14:paraId="6095D1D6"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.520</w:t>
            </w:r>
          </w:p>
        </w:tc>
        <w:tc>
          <w:tcPr>
            <w:tcW w:w="0" w:type="auto"/>
            <w:hideMark/>
          </w:tcPr>
          <w:p w14:paraId="6E9FFBF2"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8.977</w:t>
            </w:r>
          </w:p>
        </w:tc>
        <w:tc>
          <w:tcPr>
            <w:tcW w:w="0" w:type="auto"/>
            <w:hideMark/>
          </w:tcPr>
          <w:p w14:paraId="0A9160C3"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.000</w:t>
            </w:r>
          </w:p>
        </w:tc>
      </w:tr>
      <w:tr w:rsidR="003B03A5" w:rsidRPr="00343006" w14:paraId="3FEBBF0A" w14:textId="77777777" w:rsidTr="004A0591">
        <w:tc>
          <w:tcPr>
            <w:tcW w:w="0" w:type="auto"/>
            <w:hideMark/>
          </w:tcPr>
          <w:p w14:paraId="74097DF4"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Technological Integration</w:t>
            </w:r>
          </w:p>
        </w:tc>
        <w:tc>
          <w:tcPr>
            <w:tcW w:w="0" w:type="auto"/>
            <w:hideMark/>
          </w:tcPr>
          <w:p w14:paraId="2B31FD4B"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-.312</w:t>
            </w:r>
          </w:p>
        </w:tc>
        <w:tc>
          <w:tcPr>
            <w:tcW w:w="0" w:type="auto"/>
            <w:hideMark/>
          </w:tcPr>
          <w:p w14:paraId="37CEDF44"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.500</w:t>
            </w:r>
          </w:p>
        </w:tc>
        <w:tc>
          <w:tcPr>
            <w:tcW w:w="0" w:type="auto"/>
            <w:hideMark/>
          </w:tcPr>
          <w:p w14:paraId="16581650"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-.187</w:t>
            </w:r>
          </w:p>
        </w:tc>
        <w:tc>
          <w:tcPr>
            <w:tcW w:w="0" w:type="auto"/>
            <w:hideMark/>
          </w:tcPr>
          <w:p w14:paraId="4C5CB009"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-.623</w:t>
            </w:r>
          </w:p>
        </w:tc>
        <w:tc>
          <w:tcPr>
            <w:tcW w:w="0" w:type="auto"/>
            <w:hideMark/>
          </w:tcPr>
          <w:p w14:paraId="1ADA3339"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.535</w:t>
            </w:r>
          </w:p>
        </w:tc>
      </w:tr>
      <w:tr w:rsidR="003B03A5" w:rsidRPr="00343006" w14:paraId="5BE1E175" w14:textId="77777777" w:rsidTr="004A0591">
        <w:tc>
          <w:tcPr>
            <w:tcW w:w="0" w:type="auto"/>
            <w:hideMark/>
          </w:tcPr>
          <w:p w14:paraId="520CB85A"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Data-Driven Decision-Making</w:t>
            </w:r>
          </w:p>
        </w:tc>
        <w:tc>
          <w:tcPr>
            <w:tcW w:w="0" w:type="auto"/>
            <w:hideMark/>
          </w:tcPr>
          <w:p w14:paraId="4D0926BE"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1.399</w:t>
            </w:r>
          </w:p>
        </w:tc>
        <w:tc>
          <w:tcPr>
            <w:tcW w:w="0" w:type="auto"/>
            <w:hideMark/>
          </w:tcPr>
          <w:p w14:paraId="73201CE3"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.511</w:t>
            </w:r>
          </w:p>
        </w:tc>
        <w:tc>
          <w:tcPr>
            <w:tcW w:w="0" w:type="auto"/>
            <w:hideMark/>
          </w:tcPr>
          <w:p w14:paraId="320136D0"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.811</w:t>
            </w:r>
          </w:p>
        </w:tc>
        <w:tc>
          <w:tcPr>
            <w:tcW w:w="0" w:type="auto"/>
            <w:hideMark/>
          </w:tcPr>
          <w:p w14:paraId="73A09743"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2.738</w:t>
            </w:r>
          </w:p>
        </w:tc>
        <w:tc>
          <w:tcPr>
            <w:tcW w:w="0" w:type="auto"/>
            <w:hideMark/>
          </w:tcPr>
          <w:p w14:paraId="72D7CD0A" w14:textId="77777777" w:rsidR="003B03A5" w:rsidRPr="00343006" w:rsidRDefault="003B03A5" w:rsidP="004A0591">
            <w:pPr>
              <w:spacing w:after="160" w:line="240" w:lineRule="auto"/>
              <w:rPr>
                <w:rFonts w:cs="Times New Roman"/>
                <w:sz w:val="20"/>
                <w:szCs w:val="20"/>
                <w:highlight w:val="yellow"/>
              </w:rPr>
            </w:pPr>
            <w:r w:rsidRPr="00343006">
              <w:rPr>
                <w:rFonts w:cs="Times New Roman"/>
                <w:sz w:val="20"/>
                <w:szCs w:val="20"/>
                <w:highlight w:val="yellow"/>
              </w:rPr>
              <w:t>.008</w:t>
            </w:r>
          </w:p>
        </w:tc>
      </w:tr>
    </w:tbl>
    <w:p w14:paraId="039323D8" w14:textId="77777777" w:rsidR="003B03A5" w:rsidRPr="00343006" w:rsidRDefault="003B03A5" w:rsidP="003B03A5">
      <w:pPr>
        <w:spacing w:before="0" w:after="160" w:line="240" w:lineRule="auto"/>
        <w:rPr>
          <w:rFonts w:cs="Times New Roman"/>
          <w:sz w:val="20"/>
          <w:szCs w:val="20"/>
          <w:highlight w:val="yellow"/>
        </w:rPr>
      </w:pPr>
      <w:r w:rsidRPr="00343006">
        <w:rPr>
          <w:rFonts w:cs="Times New Roman"/>
          <w:i/>
          <w:iCs/>
          <w:sz w:val="20"/>
          <w:szCs w:val="20"/>
          <w:highlight w:val="yellow"/>
        </w:rPr>
        <w:t>Dependent Variable: Organizational Performance</w:t>
      </w:r>
      <w:r w:rsidRPr="00343006">
        <w:rPr>
          <w:rFonts w:cs="Times New Roman"/>
          <w:sz w:val="20"/>
          <w:szCs w:val="20"/>
          <w:highlight w:val="yellow"/>
        </w:rPr>
        <w:br/>
      </w:r>
      <w:r w:rsidRPr="00343006">
        <w:rPr>
          <w:rFonts w:cs="Times New Roman"/>
          <w:i/>
          <w:iCs/>
          <w:sz w:val="20"/>
          <w:szCs w:val="20"/>
          <w:highlight w:val="yellow"/>
        </w:rPr>
        <w:t>Source: Researcher (2025)</w:t>
      </w:r>
    </w:p>
    <w:p w14:paraId="3ED2BCE2" w14:textId="77777777" w:rsidR="003B03A5" w:rsidRPr="00343006" w:rsidRDefault="003B03A5" w:rsidP="003B03A5">
      <w:pPr>
        <w:spacing w:before="0" w:after="160" w:line="240" w:lineRule="auto"/>
        <w:rPr>
          <w:rFonts w:cs="Times New Roman"/>
          <w:sz w:val="20"/>
          <w:szCs w:val="20"/>
          <w:highlight w:val="yellow"/>
        </w:rPr>
      </w:pPr>
      <w:r w:rsidRPr="00343006">
        <w:rPr>
          <w:rFonts w:cs="Times New Roman"/>
          <w:sz w:val="20"/>
          <w:szCs w:val="20"/>
          <w:highlight w:val="yellow"/>
        </w:rPr>
        <w:t>The regression coefficients reveal varying effects of the predictors on organizational performance.</w:t>
      </w:r>
    </w:p>
    <w:p w14:paraId="35A4F269" w14:textId="77777777" w:rsidR="003B03A5" w:rsidRPr="00343006" w:rsidRDefault="003B03A5" w:rsidP="003B03A5">
      <w:pPr>
        <w:spacing w:before="0" w:after="160" w:line="240" w:lineRule="auto"/>
        <w:rPr>
          <w:rFonts w:cs="Times New Roman"/>
          <w:sz w:val="20"/>
          <w:szCs w:val="20"/>
          <w:highlight w:val="yellow"/>
        </w:rPr>
      </w:pPr>
      <w:r w:rsidRPr="00343006">
        <w:rPr>
          <w:rFonts w:cs="Times New Roman"/>
          <w:sz w:val="20"/>
          <w:szCs w:val="20"/>
          <w:highlight w:val="yellow"/>
        </w:rPr>
        <w:t>Customer-centric approaches have a positive and statistically significant effect on performance (B = 0.662, p = 0.002). This indicates that improvements in customer-focused strategies enhance organizational outcomes. These findings align with Ullah, Iqbal, and Shams (2020), who established that customer relationship management improves organizational performance, although its effectiveness depends on implementation quality and contextual factors.</w:t>
      </w:r>
    </w:p>
    <w:p w14:paraId="13F4647D" w14:textId="77777777" w:rsidR="003B03A5" w:rsidRPr="00343006" w:rsidRDefault="003B03A5" w:rsidP="003B03A5">
      <w:pPr>
        <w:spacing w:before="0" w:after="160" w:line="240" w:lineRule="auto"/>
        <w:rPr>
          <w:rFonts w:cs="Times New Roman"/>
          <w:sz w:val="20"/>
          <w:szCs w:val="20"/>
          <w:highlight w:val="yellow"/>
        </w:rPr>
      </w:pPr>
      <w:r w:rsidRPr="00343006">
        <w:rPr>
          <w:rFonts w:cs="Times New Roman"/>
          <w:sz w:val="20"/>
          <w:szCs w:val="20"/>
          <w:highlight w:val="yellow"/>
        </w:rPr>
        <w:t>Strategic brand positioning has a strong positive and significant effect (B = 1.240, p = 0.000). This implies that effective branding enhances institutional credibility, stakeholder trust, and compliance levels. This supports findings by Kim and Kim (2022) and Mandila (2018), who established that strong brand equity improves organizational performance and market outcomes.</w:t>
      </w:r>
    </w:p>
    <w:p w14:paraId="21BFC7AF" w14:textId="77777777" w:rsidR="003B03A5" w:rsidRPr="00343006" w:rsidRDefault="003B03A5" w:rsidP="003B03A5">
      <w:pPr>
        <w:spacing w:before="0" w:after="160" w:line="240" w:lineRule="auto"/>
        <w:rPr>
          <w:rFonts w:cs="Times New Roman"/>
          <w:sz w:val="20"/>
          <w:szCs w:val="20"/>
          <w:highlight w:val="yellow"/>
        </w:rPr>
      </w:pPr>
      <w:r w:rsidRPr="00343006">
        <w:rPr>
          <w:rFonts w:cs="Times New Roman"/>
          <w:sz w:val="20"/>
          <w:szCs w:val="20"/>
          <w:highlight w:val="yellow"/>
        </w:rPr>
        <w:lastRenderedPageBreak/>
        <w:t>Technological integration, however, shows a negative and statistically insignificant effect (B = -0.312, p = 0.535). This suggests that although technology adoption exists, it does not significantly improve performance at KRA. This contradicts studies such as Abri and Mahmoudzadeh (2015) and Gakuubi (2018), which found positive impacts of technology on productivity. The result may indicate challenges such as system inefficiencies, inadequate training, or poor integration with legacy systems.</w:t>
      </w:r>
    </w:p>
    <w:p w14:paraId="555C47DC" w14:textId="77777777" w:rsidR="003B03A5" w:rsidRPr="00343006" w:rsidRDefault="003B03A5" w:rsidP="003B03A5">
      <w:pPr>
        <w:spacing w:before="0" w:after="160" w:line="240" w:lineRule="auto"/>
        <w:rPr>
          <w:rFonts w:cs="Times New Roman"/>
          <w:sz w:val="20"/>
          <w:szCs w:val="20"/>
          <w:highlight w:val="yellow"/>
        </w:rPr>
      </w:pPr>
      <w:r w:rsidRPr="00343006">
        <w:rPr>
          <w:rFonts w:cs="Times New Roman"/>
          <w:sz w:val="20"/>
          <w:szCs w:val="20"/>
          <w:highlight w:val="yellow"/>
        </w:rPr>
        <w:t>Data-driven decision-making has a strong positive and significant effect (B = 1.399, p = 0.008), indicating that analytics and evidence-based decision-making significantly enhance performance. This aligns with Gunasekaran et al. (2017) and Kibe et al. (2020), who emphasized that data analytics improves productivity, competitiveness, and organizational efficiency. At KRA, this enhances tax compliance monitoring, fraud detection, and policy formulation.</w:t>
      </w:r>
    </w:p>
    <w:p w14:paraId="503DA11B" w14:textId="77777777" w:rsidR="003B03A5" w:rsidRPr="00343006" w:rsidRDefault="003B03A5" w:rsidP="003B03A5">
      <w:pPr>
        <w:spacing w:before="0" w:after="160" w:line="240" w:lineRule="auto"/>
        <w:rPr>
          <w:rFonts w:cs="Times New Roman"/>
          <w:sz w:val="20"/>
          <w:szCs w:val="20"/>
          <w:highlight w:val="yellow"/>
        </w:rPr>
      </w:pPr>
      <w:r w:rsidRPr="00343006">
        <w:rPr>
          <w:rFonts w:cs="Times New Roman"/>
          <w:sz w:val="20"/>
          <w:szCs w:val="20"/>
          <w:highlight w:val="yellow"/>
        </w:rPr>
        <w:t>However, challenges such as data quality issues and limited technical capacity may constrain full benefits, as noted by Karuga (2019). Despite these limitations, evidence strongly supports the importance of data-driven practices in improving performance in public sector institutions.</w:t>
      </w:r>
    </w:p>
    <w:p w14:paraId="5134BD71" w14:textId="00EBBADC" w:rsidR="00B3455A" w:rsidRPr="00343006" w:rsidRDefault="00B3455A" w:rsidP="00B3455A">
      <w:pPr>
        <w:shd w:val="clear" w:color="auto" w:fill="FFFFFF"/>
        <w:spacing w:line="240" w:lineRule="auto"/>
        <w:rPr>
          <w:rFonts w:eastAsia="Times New Roman" w:cs="Times New Roman"/>
          <w:color w:val="auto"/>
          <w:szCs w:val="24"/>
          <w:highlight w:val="yellow"/>
          <w14:ligatures w14:val="none"/>
        </w:rPr>
      </w:pPr>
    </w:p>
    <w:p w14:paraId="359E84B3" w14:textId="0E82A427" w:rsidR="00055D83" w:rsidRPr="00343006" w:rsidRDefault="00055D83" w:rsidP="00055D83">
      <w:pPr>
        <w:shd w:val="clear" w:color="auto" w:fill="FFFFFF"/>
        <w:spacing w:line="240" w:lineRule="auto"/>
        <w:rPr>
          <w:rFonts w:eastAsia="Times New Roman" w:cs="Times New Roman"/>
          <w:b/>
          <w:bCs/>
          <w:color w:val="000000" w:themeColor="text1"/>
          <w:sz w:val="28"/>
          <w:szCs w:val="28"/>
          <w:highlight w:val="yellow"/>
        </w:rPr>
      </w:pPr>
      <w:r w:rsidRPr="00343006">
        <w:rPr>
          <w:rFonts w:eastAsia="Times New Roman" w:cs="Times New Roman"/>
          <w:b/>
          <w:bCs/>
          <w:color w:val="000000" w:themeColor="text1"/>
          <w:sz w:val="28"/>
          <w:szCs w:val="28"/>
          <w:highlight w:val="yellow"/>
        </w:rPr>
        <w:t xml:space="preserve">5.0 CONCLUSIONS </w:t>
      </w:r>
    </w:p>
    <w:p w14:paraId="66B2072A" w14:textId="77777777" w:rsidR="003B03A5" w:rsidRPr="00343006" w:rsidRDefault="003B03A5" w:rsidP="003B03A5">
      <w:pPr>
        <w:spacing w:line="240" w:lineRule="auto"/>
        <w:rPr>
          <w:rFonts w:cs="Times New Roman"/>
          <w:color w:val="000000" w:themeColor="text1"/>
          <w:szCs w:val="24"/>
          <w:highlight w:val="yellow"/>
        </w:rPr>
      </w:pPr>
      <w:r w:rsidRPr="00343006">
        <w:rPr>
          <w:rFonts w:cs="Times New Roman"/>
          <w:color w:val="000000" w:themeColor="text1"/>
          <w:szCs w:val="24"/>
          <w:highlight w:val="yellow"/>
        </w:rPr>
        <w:t>The study concludes that customer-centric strategies have a positive and significant effect on organizational performance. Increased focus on customer interaction, feedback mechanisms, and responsive service delivery enhances compliance, trust, and operational efficiency within the Kenya Revenue Authority (KRA). However, the long-term effectiveness of customer-centricity depends on the quality of implementation and the broader organizational environment in which it is applied.</w:t>
      </w:r>
    </w:p>
    <w:p w14:paraId="12A93E6E" w14:textId="77777777" w:rsidR="003B03A5" w:rsidRPr="00343006" w:rsidRDefault="003B03A5" w:rsidP="003B03A5">
      <w:pPr>
        <w:spacing w:line="240" w:lineRule="auto"/>
        <w:rPr>
          <w:rFonts w:cs="Times New Roman"/>
          <w:color w:val="000000" w:themeColor="text1"/>
          <w:szCs w:val="24"/>
          <w:highlight w:val="yellow"/>
        </w:rPr>
      </w:pPr>
      <w:r w:rsidRPr="00343006">
        <w:rPr>
          <w:rFonts w:cs="Times New Roman"/>
          <w:color w:val="000000" w:themeColor="text1"/>
          <w:szCs w:val="24"/>
          <w:highlight w:val="yellow"/>
        </w:rPr>
        <w:t>Strategic brand positioning emerged as the most influential factor, showing a strong positive and statistically significant relationship with performance. Effective branding enhances institutional credibility, legitimacy, and taxpayer trust, thereby promoting voluntary compliance. This indicates that brand positioning functions not only as a communication tool but also as a strategic driver of organizational effectiveness and stakeholder confidence.</w:t>
      </w:r>
    </w:p>
    <w:p w14:paraId="25A9D7BD" w14:textId="77777777" w:rsidR="003B03A5" w:rsidRPr="00343006" w:rsidRDefault="003B03A5" w:rsidP="003B03A5">
      <w:pPr>
        <w:spacing w:line="240" w:lineRule="auto"/>
        <w:rPr>
          <w:rFonts w:cs="Times New Roman"/>
          <w:color w:val="000000" w:themeColor="text1"/>
          <w:szCs w:val="24"/>
          <w:highlight w:val="yellow"/>
        </w:rPr>
      </w:pPr>
      <w:r w:rsidRPr="00343006">
        <w:rPr>
          <w:rFonts w:cs="Times New Roman"/>
          <w:color w:val="000000" w:themeColor="text1"/>
          <w:szCs w:val="24"/>
          <w:highlight w:val="yellow"/>
        </w:rPr>
        <w:t>In contrast, technological integration showed a negative but statistically insignificant effect on performance. Despite investments in systems such as iTax, automation, and fraud detection tools, expected performance gains were not fully realized. This suggests that technology alone is insufficient and its impact depends on organizational readiness, human capacity, and supporting infrastructure.</w:t>
      </w:r>
    </w:p>
    <w:p w14:paraId="50F0BC2F" w14:textId="74952377" w:rsidR="00A27439" w:rsidRPr="00343006" w:rsidRDefault="003B03A5" w:rsidP="003B03A5">
      <w:pPr>
        <w:spacing w:line="240" w:lineRule="auto"/>
        <w:rPr>
          <w:rFonts w:cs="Times New Roman"/>
          <w:color w:val="000000" w:themeColor="text1"/>
          <w:szCs w:val="24"/>
          <w:highlight w:val="yellow"/>
        </w:rPr>
      </w:pPr>
      <w:r w:rsidRPr="00343006">
        <w:rPr>
          <w:rFonts w:cs="Times New Roman"/>
          <w:color w:val="000000" w:themeColor="text1"/>
          <w:szCs w:val="24"/>
          <w:highlight w:val="yellow"/>
        </w:rPr>
        <w:t>Finally, data analytics integration demonstrated a positive and significant effect on performance. It improves compliance monitoring, revenue forecasting, and evidence-based decision-making, although its effectiveness may be limited by data quality and system integration challenges.</w:t>
      </w:r>
      <w:r w:rsidR="00E05059" w:rsidRPr="00343006">
        <w:rPr>
          <w:rFonts w:cs="Times New Roman"/>
          <w:color w:val="000000" w:themeColor="text1"/>
          <w:szCs w:val="24"/>
          <w:highlight w:val="yellow"/>
        </w:rPr>
        <w:t xml:space="preserve"> </w:t>
      </w:r>
    </w:p>
    <w:p w14:paraId="750144BF" w14:textId="7E52FE3F" w:rsidR="00055D83" w:rsidRPr="00343006" w:rsidRDefault="00055D83" w:rsidP="00D26C8B">
      <w:pPr>
        <w:spacing w:line="240" w:lineRule="auto"/>
        <w:rPr>
          <w:rFonts w:cs="Times New Roman"/>
          <w:b/>
          <w:bCs/>
          <w:color w:val="000000" w:themeColor="text1"/>
          <w:sz w:val="28"/>
          <w:szCs w:val="28"/>
          <w:highlight w:val="yellow"/>
        </w:rPr>
      </w:pPr>
      <w:r w:rsidRPr="00343006">
        <w:rPr>
          <w:rFonts w:cs="Times New Roman"/>
          <w:b/>
          <w:bCs/>
          <w:color w:val="000000" w:themeColor="text1"/>
          <w:sz w:val="28"/>
          <w:szCs w:val="28"/>
          <w:highlight w:val="yellow"/>
        </w:rPr>
        <w:t>6.0 RECOMMENDATIONS</w:t>
      </w:r>
    </w:p>
    <w:p w14:paraId="7A0C0471" w14:textId="77777777" w:rsidR="001618DC" w:rsidRPr="00343006" w:rsidRDefault="001618DC" w:rsidP="001618DC">
      <w:pPr>
        <w:spacing w:before="0" w:after="160" w:line="259" w:lineRule="auto"/>
        <w:rPr>
          <w:highlight w:val="yellow"/>
        </w:rPr>
      </w:pPr>
      <w:r w:rsidRPr="00343006">
        <w:rPr>
          <w:highlight w:val="yellow"/>
        </w:rPr>
        <w:t>The study recommends that the Kenya Revenue Authority (KRA) should strengthen customer-focused practices by institutionalizing feedback systems, enhancing taxpayer education, and improving customer care services to boost satisfaction, voluntary compliance, and trust in revenue collection processes. In addition, KRA should adopt a proactive customer relationship management approach that continuously monitors and improves service delivery in line with evolving taxpayer needs.</w:t>
      </w:r>
    </w:p>
    <w:p w14:paraId="3A134A61" w14:textId="77777777" w:rsidR="001618DC" w:rsidRPr="00343006" w:rsidRDefault="001618DC" w:rsidP="001618DC">
      <w:pPr>
        <w:spacing w:before="0" w:after="160" w:line="259" w:lineRule="auto"/>
        <w:rPr>
          <w:highlight w:val="yellow"/>
        </w:rPr>
      </w:pPr>
    </w:p>
    <w:p w14:paraId="1119314D" w14:textId="77777777" w:rsidR="001618DC" w:rsidRPr="00343006" w:rsidRDefault="001618DC" w:rsidP="001618DC">
      <w:pPr>
        <w:spacing w:before="0" w:after="160" w:line="259" w:lineRule="auto"/>
        <w:rPr>
          <w:highlight w:val="yellow"/>
        </w:rPr>
      </w:pPr>
      <w:r w:rsidRPr="00343006">
        <w:rPr>
          <w:highlight w:val="yellow"/>
        </w:rPr>
        <w:t>On strategic brand positioning, KRA is advised to invest in building a strong and consistent brand identity that reflects integrity, fairness, and reliability. Public confidence can be enhanced through targeted awareness campaigns emphasizing transparency and accountability in tax administration. Collaboration with stakeholders such as professional bodies, business associations, and civil society is also recommended to strengthen institutional credibility and brand equity.</w:t>
      </w:r>
    </w:p>
    <w:p w14:paraId="0E850415" w14:textId="77777777" w:rsidR="001618DC" w:rsidRPr="00343006" w:rsidRDefault="001618DC" w:rsidP="001618DC">
      <w:pPr>
        <w:spacing w:before="0" w:after="160" w:line="259" w:lineRule="auto"/>
        <w:rPr>
          <w:highlight w:val="yellow"/>
        </w:rPr>
      </w:pPr>
    </w:p>
    <w:p w14:paraId="38ACF2C4" w14:textId="43BF0E3C" w:rsidR="007A56B8" w:rsidRPr="00692AF5" w:rsidRDefault="001618DC" w:rsidP="001618DC">
      <w:pPr>
        <w:spacing w:before="0" w:after="160" w:line="259" w:lineRule="auto"/>
      </w:pPr>
      <w:r w:rsidRPr="00343006">
        <w:rPr>
          <w:highlight w:val="yellow"/>
        </w:rPr>
        <w:t>Regarding technological integration, KRA should upgrade systems to address downtime, usability challenges, and capacity gaps through infrastructure investment, staff training, and adaptive technologies. A phased implementation approach with continuous user support is necessary. For data-driven d</w:t>
      </w:r>
      <w:bookmarkStart w:id="4" w:name="_GoBack"/>
      <w:bookmarkEnd w:id="4"/>
      <w:r w:rsidRPr="00343006">
        <w:rPr>
          <w:highlight w:val="yellow"/>
        </w:rPr>
        <w:t>ecision-making, the Authority should enhance analytics capacity, improve data quality, train staff, and establish centralized data governance to improve consistency, efficiency, and accuracy in decision-making processes.</w:t>
      </w:r>
      <w:r w:rsidR="00343006">
        <w:t xml:space="preserve"> </w:t>
      </w:r>
      <w:r w:rsidR="00343006" w:rsidRPr="00343006">
        <w:rPr>
          <w:color w:val="FF0000"/>
        </w:rPr>
        <w:t>Please check font size</w:t>
      </w:r>
    </w:p>
    <w:p w14:paraId="261D6F8B" w14:textId="524CFBB8" w:rsidR="00A31614" w:rsidRPr="00692AF5" w:rsidRDefault="00A31614" w:rsidP="001618DC">
      <w:pPr>
        <w:spacing w:before="0" w:after="160" w:line="259" w:lineRule="auto"/>
        <w:rPr>
          <w:rFonts w:eastAsia="Times New Roman" w:cs="Times New Roman"/>
          <w:b/>
          <w:bCs/>
          <w:color w:val="000000" w:themeColor="text1"/>
          <w:sz w:val="28"/>
          <w:szCs w:val="28"/>
        </w:rPr>
      </w:pPr>
    </w:p>
    <w:p w14:paraId="637316D1" w14:textId="77777777" w:rsidR="00A31614" w:rsidRPr="00692AF5" w:rsidRDefault="00A31614" w:rsidP="00A31614">
      <w:pPr>
        <w:outlineLvl w:val="0"/>
        <w:rPr>
          <w:rFonts w:ascii="Arial" w:hAnsi="Arial" w:cs="Arial"/>
        </w:rPr>
      </w:pPr>
      <w:r w:rsidRPr="00692AF5">
        <w:rPr>
          <w:rFonts w:ascii="Arial" w:hAnsi="Arial" w:cs="Arial"/>
          <w:b/>
          <w:bCs/>
        </w:rPr>
        <w:t>COMPETING INTERESTS DISCLAIMER:</w:t>
      </w:r>
    </w:p>
    <w:p w14:paraId="6E61929D" w14:textId="31573471" w:rsidR="00A31614" w:rsidRDefault="00A31614" w:rsidP="007B468C">
      <w:r w:rsidRPr="00692AF5">
        <w:t>Authors have declared that they have no known competing financial interests OR non-financial interests OR personal relationships that could have appeared to influence the work reported in this paper.</w:t>
      </w:r>
    </w:p>
    <w:p w14:paraId="5A202687" w14:textId="2912289E" w:rsidR="00B55CEF" w:rsidRPr="00692AF5" w:rsidRDefault="00055D83" w:rsidP="002151BA">
      <w:pPr>
        <w:shd w:val="clear" w:color="auto" w:fill="FFFFFF"/>
        <w:spacing w:line="240" w:lineRule="auto"/>
        <w:rPr>
          <w:rFonts w:eastAsia="Times New Roman" w:cs="Times New Roman"/>
          <w:b/>
          <w:bCs/>
          <w:color w:val="000000" w:themeColor="text1"/>
          <w:sz w:val="28"/>
          <w:szCs w:val="28"/>
        </w:rPr>
      </w:pPr>
      <w:r w:rsidRPr="00692AF5">
        <w:rPr>
          <w:rFonts w:eastAsia="Times New Roman" w:cs="Times New Roman"/>
          <w:b/>
          <w:bCs/>
          <w:color w:val="000000" w:themeColor="text1"/>
          <w:sz w:val="28"/>
          <w:szCs w:val="28"/>
        </w:rPr>
        <w:t>REFERENCES</w:t>
      </w:r>
    </w:p>
    <w:p w14:paraId="29AC9212" w14:textId="77777777" w:rsidR="001618DC" w:rsidRPr="00692AF5" w:rsidRDefault="001618DC" w:rsidP="003A1E48">
      <w:pPr>
        <w:spacing w:line="240" w:lineRule="auto"/>
        <w:ind w:left="720" w:hanging="720"/>
        <w:rPr>
          <w:color w:val="000000" w:themeColor="text1"/>
        </w:rPr>
      </w:pPr>
      <w:r w:rsidRPr="00692AF5">
        <w:rPr>
          <w:color w:val="000000" w:themeColor="text1"/>
        </w:rPr>
        <w:t xml:space="preserve">Agostini, L., Filippini, R., &amp; Nosella, A. (2015). Brand‐building efforts and their association with SME sales performance. </w:t>
      </w:r>
      <w:r w:rsidRPr="00692AF5">
        <w:rPr>
          <w:i/>
          <w:color w:val="000000" w:themeColor="text1"/>
        </w:rPr>
        <w:t>Journal of Small Business Management,</w:t>
      </w:r>
      <w:r w:rsidRPr="00692AF5">
        <w:rPr>
          <w:color w:val="000000" w:themeColor="text1"/>
        </w:rPr>
        <w:t xml:space="preserve"> 53.</w:t>
      </w:r>
    </w:p>
    <w:p w14:paraId="5C6C897D" w14:textId="77777777" w:rsidR="001618DC" w:rsidRPr="00692AF5" w:rsidRDefault="001618DC" w:rsidP="003A1E48">
      <w:pPr>
        <w:spacing w:line="240" w:lineRule="auto"/>
        <w:ind w:left="720" w:hanging="720"/>
        <w:rPr>
          <w:color w:val="000000" w:themeColor="text1"/>
        </w:rPr>
      </w:pPr>
      <w:r w:rsidRPr="00692AF5">
        <w:rPr>
          <w:color w:val="000000" w:themeColor="text1"/>
        </w:rPr>
        <w:t xml:space="preserve">Akhter, S. H., &amp; Barcellos, P. F. (2021) Competitive Threats Strategic Response and Performance of Brazilian B2B </w:t>
      </w:r>
      <w:r w:rsidRPr="00692AF5">
        <w:rPr>
          <w:i/>
          <w:color w:val="000000" w:themeColor="text1"/>
        </w:rPr>
        <w:t>Firms Management Decision</w:t>
      </w:r>
      <w:r w:rsidRPr="00692AF5">
        <w:rPr>
          <w:color w:val="000000" w:themeColor="text1"/>
        </w:rPr>
        <w:t>.51 (8): 1628-1642.</w:t>
      </w:r>
    </w:p>
    <w:p w14:paraId="4AE36F27" w14:textId="77777777" w:rsidR="001618DC" w:rsidRPr="00692AF5" w:rsidRDefault="001618DC" w:rsidP="003A1E48">
      <w:pPr>
        <w:spacing w:line="240" w:lineRule="auto"/>
        <w:ind w:left="720" w:hanging="720"/>
        <w:rPr>
          <w:color w:val="000000" w:themeColor="text1"/>
        </w:rPr>
      </w:pPr>
      <w:r w:rsidRPr="00692AF5">
        <w:rPr>
          <w:color w:val="000000" w:themeColor="text1"/>
        </w:rPr>
        <w:t xml:space="preserve">Ali, I. M. (2019). </w:t>
      </w:r>
      <w:r w:rsidRPr="00692AF5">
        <w:rPr>
          <w:i/>
          <w:color w:val="000000" w:themeColor="text1"/>
        </w:rPr>
        <w:t xml:space="preserve">Corporate Brand Equity and Firm Performance in the Pharmaceutical Industry in Kenya </w:t>
      </w:r>
      <w:r w:rsidRPr="00692AF5">
        <w:rPr>
          <w:color w:val="000000" w:themeColor="text1"/>
        </w:rPr>
        <w:t>(Graduate dissertation, University of Nairobi).</w:t>
      </w:r>
    </w:p>
    <w:p w14:paraId="122C16D8" w14:textId="77777777" w:rsidR="001618DC" w:rsidRPr="00692AF5" w:rsidRDefault="001618DC" w:rsidP="003A1E48">
      <w:pPr>
        <w:spacing w:line="240" w:lineRule="auto"/>
        <w:ind w:left="720" w:hanging="720"/>
        <w:rPr>
          <w:color w:val="000000" w:themeColor="text1"/>
        </w:rPr>
      </w:pPr>
      <w:r w:rsidRPr="00692AF5">
        <w:rPr>
          <w:color w:val="000000" w:themeColor="text1"/>
        </w:rPr>
        <w:t xml:space="preserve">Alshammari, M., A., Pavlovic, M., &amp; Qaied, A. A. (2016).Chaos Theory in Strategic Research. </w:t>
      </w:r>
      <w:r w:rsidRPr="00692AF5">
        <w:rPr>
          <w:i/>
          <w:color w:val="000000" w:themeColor="text1"/>
        </w:rPr>
        <w:t>American Journal of Business Management</w:t>
      </w:r>
      <w:r w:rsidRPr="00692AF5">
        <w:rPr>
          <w:color w:val="000000" w:themeColor="text1"/>
        </w:rPr>
        <w:t xml:space="preserve"> 5 (1): 1-13.</w:t>
      </w:r>
    </w:p>
    <w:p w14:paraId="4075109F" w14:textId="77777777" w:rsidR="001618DC" w:rsidRPr="00692AF5" w:rsidRDefault="001618DC" w:rsidP="003A1E48">
      <w:pPr>
        <w:spacing w:line="240" w:lineRule="auto"/>
        <w:ind w:left="720" w:hanging="720"/>
        <w:rPr>
          <w:color w:val="000000" w:themeColor="text1"/>
        </w:rPr>
      </w:pPr>
      <w:r w:rsidRPr="00692AF5">
        <w:rPr>
          <w:color w:val="000000" w:themeColor="text1"/>
        </w:rPr>
        <w:t>Aosa, E. (1992). An empirical investigation of aspects of strategy formulation and implementation within large, private manufacturing companies in Kenya</w:t>
      </w:r>
      <w:r w:rsidRPr="00692AF5">
        <w:rPr>
          <w:i/>
          <w:color w:val="000000" w:themeColor="text1"/>
        </w:rPr>
        <w:t xml:space="preserve">. Unpublished Doctoral Thesis, </w:t>
      </w:r>
      <w:r w:rsidRPr="00692AF5">
        <w:rPr>
          <w:color w:val="000000" w:themeColor="text1"/>
        </w:rPr>
        <w:t>University of Strathclyde, Scotland.</w:t>
      </w:r>
    </w:p>
    <w:p w14:paraId="660B676C" w14:textId="77777777" w:rsidR="001618DC" w:rsidRPr="00692AF5" w:rsidRDefault="001618DC" w:rsidP="003A1E48">
      <w:pPr>
        <w:spacing w:line="240" w:lineRule="auto"/>
        <w:ind w:left="720" w:hanging="720"/>
        <w:rPr>
          <w:rFonts w:cs="Times New Roman"/>
          <w:color w:val="000000" w:themeColor="text1"/>
          <w:szCs w:val="24"/>
        </w:rPr>
      </w:pPr>
      <w:r w:rsidRPr="00692AF5">
        <w:rPr>
          <w:rFonts w:cs="Times New Roman"/>
          <w:color w:val="000000" w:themeColor="text1"/>
          <w:szCs w:val="24"/>
        </w:rPr>
        <w:t>Braun, Müller, M., &amp; Moritz, C. (2017). Guiding or following the crowd? Strategic communication as reputational and regulatory strategy. </w:t>
      </w:r>
      <w:r w:rsidRPr="00692AF5">
        <w:rPr>
          <w:rFonts w:cs="Times New Roman"/>
          <w:i/>
          <w:iCs/>
          <w:color w:val="000000" w:themeColor="text1"/>
          <w:szCs w:val="24"/>
        </w:rPr>
        <w:t>Journal of Public Administration Research and Theory</w:t>
      </w:r>
      <w:r w:rsidRPr="00692AF5">
        <w:rPr>
          <w:rFonts w:cs="Times New Roman"/>
          <w:color w:val="000000" w:themeColor="text1"/>
          <w:szCs w:val="24"/>
        </w:rPr>
        <w:t>, </w:t>
      </w:r>
      <w:r w:rsidRPr="00692AF5">
        <w:rPr>
          <w:rFonts w:cs="Times New Roman"/>
          <w:i/>
          <w:iCs/>
          <w:color w:val="000000" w:themeColor="text1"/>
          <w:szCs w:val="24"/>
        </w:rPr>
        <w:t>31</w:t>
      </w:r>
      <w:r w:rsidRPr="00692AF5">
        <w:rPr>
          <w:rFonts w:cs="Times New Roman"/>
          <w:color w:val="000000" w:themeColor="text1"/>
          <w:szCs w:val="24"/>
        </w:rPr>
        <w:t>(4), 670-686.</w:t>
      </w:r>
    </w:p>
    <w:p w14:paraId="5E8B74E5" w14:textId="77777777" w:rsidR="001618DC" w:rsidRPr="00692AF5" w:rsidRDefault="001618DC" w:rsidP="003A1E48">
      <w:pPr>
        <w:spacing w:line="240" w:lineRule="auto"/>
        <w:ind w:left="720" w:hanging="720"/>
        <w:rPr>
          <w:color w:val="000000" w:themeColor="text1"/>
        </w:rPr>
      </w:pPr>
      <w:r w:rsidRPr="00692AF5">
        <w:rPr>
          <w:color w:val="000000" w:themeColor="text1"/>
        </w:rPr>
        <w:t xml:space="preserve">Damilola, O. W., Adekunle, A. M., Fatai, A. L., Ola, A. O., &amp; Oloruntoyin, R. R. (2015). Impact of Strategic Management on Competitive Advantage and Organizational Performance: Evidence from Nigerian Bottling Company. </w:t>
      </w:r>
      <w:r w:rsidRPr="00692AF5">
        <w:rPr>
          <w:i/>
          <w:color w:val="000000" w:themeColor="text1"/>
        </w:rPr>
        <w:t>Journal of Policy and development Studies</w:t>
      </w:r>
      <w:r w:rsidRPr="00692AF5">
        <w:rPr>
          <w:color w:val="000000" w:themeColor="text1"/>
        </w:rPr>
        <w:t>. 9 (2): 185-198.</w:t>
      </w:r>
    </w:p>
    <w:p w14:paraId="27106D27" w14:textId="77777777" w:rsidR="001618DC" w:rsidRPr="00692AF5" w:rsidRDefault="001618DC" w:rsidP="003A1E48">
      <w:pPr>
        <w:spacing w:line="240" w:lineRule="auto"/>
        <w:ind w:left="720" w:hanging="720"/>
        <w:rPr>
          <w:color w:val="000000" w:themeColor="text1"/>
        </w:rPr>
      </w:pPr>
      <w:r w:rsidRPr="00692AF5">
        <w:rPr>
          <w:color w:val="000000" w:themeColor="text1"/>
        </w:rPr>
        <w:t>Gakuubi, D. K. (2018). The Impact Of Information Communication Technology On Organizational Performance: A Case of Nairobi Bottlers Logistics Operation’s (Doctoral dissertation, United States International University-Africa).</w:t>
      </w:r>
    </w:p>
    <w:p w14:paraId="3C384397" w14:textId="77777777" w:rsidR="001618DC" w:rsidRPr="00692AF5" w:rsidRDefault="001618DC" w:rsidP="003A1E48">
      <w:pPr>
        <w:spacing w:line="240" w:lineRule="auto"/>
        <w:ind w:left="720" w:hanging="720"/>
        <w:rPr>
          <w:color w:val="000000" w:themeColor="text1"/>
        </w:rPr>
      </w:pPr>
      <w:r w:rsidRPr="00692AF5">
        <w:rPr>
          <w:color w:val="000000" w:themeColor="text1"/>
        </w:rPr>
        <w:t xml:space="preserve">Goldsmith, S., &amp; Mechling, J. (2008). </w:t>
      </w:r>
      <w:r w:rsidRPr="00692AF5">
        <w:rPr>
          <w:i/>
          <w:color w:val="000000" w:themeColor="text1"/>
        </w:rPr>
        <w:t>Turbulence, Innovations and Leadership: Adapting to Change in the 21st Century.</w:t>
      </w:r>
      <w:r w:rsidRPr="00692AF5">
        <w:rPr>
          <w:color w:val="000000" w:themeColor="text1"/>
        </w:rPr>
        <w:t xml:space="preserve"> Harvard Kennedy School, J. F. Kennedy School of Government.</w:t>
      </w:r>
    </w:p>
    <w:p w14:paraId="5585CA33" w14:textId="77777777" w:rsidR="001618DC" w:rsidRPr="00692AF5" w:rsidRDefault="001618DC" w:rsidP="003A1E48">
      <w:pPr>
        <w:spacing w:line="240" w:lineRule="auto"/>
        <w:ind w:left="720" w:hanging="720"/>
        <w:rPr>
          <w:color w:val="000000" w:themeColor="text1"/>
        </w:rPr>
      </w:pPr>
      <w:r w:rsidRPr="00692AF5">
        <w:rPr>
          <w:color w:val="000000" w:themeColor="text1"/>
        </w:rPr>
        <w:lastRenderedPageBreak/>
        <w:t xml:space="preserve">Grashuis, J. (2019). The impact of brand equity on the financial performance of marketing cooperatives. </w:t>
      </w:r>
      <w:r w:rsidRPr="00692AF5">
        <w:rPr>
          <w:i/>
          <w:color w:val="000000" w:themeColor="text1"/>
        </w:rPr>
        <w:t>Agribusiness,</w:t>
      </w:r>
      <w:r w:rsidRPr="00692AF5">
        <w:rPr>
          <w:color w:val="000000" w:themeColor="text1"/>
        </w:rPr>
        <w:t xml:space="preserve"> 35(2), 234-248.</w:t>
      </w:r>
    </w:p>
    <w:p w14:paraId="08AAF846" w14:textId="77777777" w:rsidR="001618DC" w:rsidRPr="00692AF5" w:rsidRDefault="001618DC" w:rsidP="003A1E48">
      <w:pPr>
        <w:spacing w:line="240" w:lineRule="auto"/>
        <w:ind w:left="720" w:hanging="720"/>
        <w:rPr>
          <w:color w:val="000000" w:themeColor="text1"/>
        </w:rPr>
      </w:pPr>
      <w:r w:rsidRPr="00692AF5">
        <w:rPr>
          <w:color w:val="000000" w:themeColor="text1"/>
        </w:rPr>
        <w:t xml:space="preserve">Gunasekaran, A., Papadopoulos, T., Dubey, R, Wamba, S., F., Childe, S., J., Hazen, B., &amp; Akter, S. (2017). Big data and predictive analytics for supply chain and organizational performance. </w:t>
      </w:r>
      <w:r w:rsidRPr="00692AF5">
        <w:rPr>
          <w:i/>
          <w:color w:val="000000" w:themeColor="text1"/>
        </w:rPr>
        <w:t>Journal of Business Research,</w:t>
      </w:r>
      <w:r w:rsidRPr="00692AF5">
        <w:rPr>
          <w:color w:val="000000" w:themeColor="text1"/>
        </w:rPr>
        <w:t xml:space="preserve"> 70, 308-317</w:t>
      </w:r>
    </w:p>
    <w:p w14:paraId="22033E91" w14:textId="77777777" w:rsidR="001618DC" w:rsidRPr="00692AF5" w:rsidRDefault="001618DC" w:rsidP="003A1E48">
      <w:pPr>
        <w:spacing w:line="240" w:lineRule="auto"/>
        <w:ind w:left="720" w:hanging="720"/>
        <w:rPr>
          <w:rFonts w:cs="Times New Roman"/>
          <w:color w:val="000000" w:themeColor="text1"/>
          <w:szCs w:val="24"/>
        </w:rPr>
      </w:pPr>
      <w:r w:rsidRPr="00692AF5">
        <w:rPr>
          <w:rFonts w:cs="Times New Roman"/>
          <w:color w:val="000000" w:themeColor="text1"/>
          <w:szCs w:val="24"/>
        </w:rPr>
        <w:t>Hambrick, D. C., &amp; Snow, C. C. (1977, August). A Contextual Model of Strategic Decision Making in Organizations. In </w:t>
      </w:r>
      <w:r w:rsidRPr="00692AF5">
        <w:rPr>
          <w:rFonts w:cs="Times New Roman"/>
          <w:i/>
          <w:iCs/>
          <w:color w:val="000000" w:themeColor="text1"/>
          <w:szCs w:val="24"/>
        </w:rPr>
        <w:t>Academy of management proceedings</w:t>
      </w:r>
      <w:r w:rsidRPr="00692AF5">
        <w:rPr>
          <w:rFonts w:cs="Times New Roman"/>
          <w:color w:val="000000" w:themeColor="text1"/>
          <w:szCs w:val="24"/>
        </w:rPr>
        <w:t> (Vol. 1977, No. 1, pp. 109-112). Briarcliff Manor, NY 10510: Academy of Management.</w:t>
      </w:r>
    </w:p>
    <w:p w14:paraId="71840FCC" w14:textId="77777777" w:rsidR="001618DC" w:rsidRPr="00692AF5" w:rsidRDefault="001618DC" w:rsidP="003A1E48">
      <w:pPr>
        <w:spacing w:line="240" w:lineRule="auto"/>
        <w:ind w:left="720" w:hanging="720"/>
        <w:rPr>
          <w:color w:val="000000" w:themeColor="text1"/>
        </w:rPr>
      </w:pPr>
      <w:r w:rsidRPr="00692AF5">
        <w:rPr>
          <w:color w:val="000000" w:themeColor="text1"/>
        </w:rPr>
        <w:t xml:space="preserve">Hassain, G. (2007). </w:t>
      </w:r>
      <w:r w:rsidRPr="00692AF5">
        <w:rPr>
          <w:i/>
          <w:color w:val="000000" w:themeColor="text1"/>
        </w:rPr>
        <w:t>Growing brands through sponsorship: An empirical investigation of brand image transfer in a sponsorship alliance</w:t>
      </w:r>
      <w:r w:rsidRPr="00692AF5">
        <w:rPr>
          <w:color w:val="000000" w:themeColor="text1"/>
        </w:rPr>
        <w:t>. Chicago: NTC.</w:t>
      </w:r>
    </w:p>
    <w:p w14:paraId="725EFE1E" w14:textId="77777777" w:rsidR="001618DC" w:rsidRPr="00692AF5" w:rsidRDefault="001618DC" w:rsidP="003A1E48">
      <w:pPr>
        <w:spacing w:line="240" w:lineRule="auto"/>
        <w:ind w:left="720" w:hanging="720"/>
        <w:rPr>
          <w:color w:val="000000" w:themeColor="text1"/>
        </w:rPr>
      </w:pPr>
      <w:r w:rsidRPr="00692AF5">
        <w:rPr>
          <w:color w:val="000000" w:themeColor="text1"/>
        </w:rPr>
        <w:t xml:space="preserve">Johnson, G., Scholes, K., &amp; Wittington, R. (2009). </w:t>
      </w:r>
      <w:r w:rsidRPr="00692AF5">
        <w:rPr>
          <w:i/>
          <w:color w:val="000000" w:themeColor="text1"/>
        </w:rPr>
        <w:t>Fundamentals of Strategy</w:t>
      </w:r>
      <w:r w:rsidRPr="00692AF5">
        <w:rPr>
          <w:color w:val="000000" w:themeColor="text1"/>
        </w:rPr>
        <w:t>. Financial Times, Prentice Hall.</w:t>
      </w:r>
    </w:p>
    <w:p w14:paraId="4147AC3A" w14:textId="77777777" w:rsidR="001618DC" w:rsidRPr="00692AF5" w:rsidRDefault="001618DC" w:rsidP="003A1E48">
      <w:pPr>
        <w:spacing w:line="240" w:lineRule="auto"/>
        <w:ind w:left="720" w:hanging="720"/>
        <w:rPr>
          <w:rFonts w:cs="Times New Roman"/>
          <w:color w:val="000000" w:themeColor="text1"/>
          <w:szCs w:val="24"/>
        </w:rPr>
      </w:pPr>
      <w:r w:rsidRPr="00692AF5">
        <w:rPr>
          <w:rFonts w:cs="Times New Roman"/>
          <w:color w:val="000000" w:themeColor="text1"/>
          <w:szCs w:val="24"/>
        </w:rPr>
        <w:t>Karaenke, P., Schiffer, M., &amp; Waldherr, S. (2021). The Customer is Always Right: Customer-Centered Pooling for Ride-Hailing Systems. </w:t>
      </w:r>
      <w:r w:rsidRPr="00692AF5">
        <w:rPr>
          <w:rFonts w:cs="Times New Roman"/>
          <w:i/>
          <w:iCs/>
          <w:color w:val="000000" w:themeColor="text1"/>
          <w:szCs w:val="24"/>
        </w:rPr>
        <w:t>arXiv preprint arXiv:2107.01161</w:t>
      </w:r>
      <w:r w:rsidRPr="00692AF5">
        <w:rPr>
          <w:rFonts w:cs="Times New Roman"/>
          <w:color w:val="000000" w:themeColor="text1"/>
          <w:szCs w:val="24"/>
        </w:rPr>
        <w:t>.</w:t>
      </w:r>
    </w:p>
    <w:p w14:paraId="75A6F320" w14:textId="77777777" w:rsidR="001618DC" w:rsidRPr="00692AF5" w:rsidRDefault="001618DC" w:rsidP="003A1E48">
      <w:pPr>
        <w:spacing w:line="240" w:lineRule="auto"/>
        <w:ind w:left="720" w:hanging="720"/>
        <w:rPr>
          <w:color w:val="000000" w:themeColor="text1"/>
        </w:rPr>
      </w:pPr>
      <w:r w:rsidRPr="00692AF5">
        <w:rPr>
          <w:color w:val="000000" w:themeColor="text1"/>
        </w:rPr>
        <w:t xml:space="preserve">Karuga, E.W. (2019). </w:t>
      </w:r>
      <w:r w:rsidRPr="00692AF5">
        <w:rPr>
          <w:i/>
          <w:color w:val="000000" w:themeColor="text1"/>
        </w:rPr>
        <w:t>Adoption of big data analytics to drive decision maki</w:t>
      </w:r>
      <w:r w:rsidRPr="00692AF5">
        <w:rPr>
          <w:color w:val="000000" w:themeColor="text1"/>
        </w:rPr>
        <w:t>ng. Unpublished MBA research paper. University of Nairobi.</w:t>
      </w:r>
    </w:p>
    <w:p w14:paraId="20CA0C76" w14:textId="77777777" w:rsidR="001618DC" w:rsidRPr="00692AF5" w:rsidRDefault="001618DC" w:rsidP="003A1E48">
      <w:pPr>
        <w:spacing w:line="240" w:lineRule="auto"/>
        <w:ind w:left="720" w:hanging="720"/>
        <w:rPr>
          <w:rFonts w:cs="Times New Roman"/>
          <w:color w:val="000000" w:themeColor="text1"/>
          <w:szCs w:val="24"/>
        </w:rPr>
      </w:pPr>
      <w:r w:rsidRPr="00692AF5">
        <w:rPr>
          <w:rFonts w:cs="Times New Roman"/>
          <w:color w:val="000000" w:themeColor="text1"/>
          <w:szCs w:val="24"/>
        </w:rPr>
        <w:t>Kheyley, I. A., &amp; Ragui, M. (2018). Strategic Leadership Involvement and Strategy Implementation Among Parastatals in Kenya. </w:t>
      </w:r>
      <w:r w:rsidRPr="00692AF5">
        <w:rPr>
          <w:rFonts w:cs="Times New Roman"/>
          <w:i/>
          <w:iCs/>
          <w:color w:val="000000" w:themeColor="text1"/>
          <w:szCs w:val="24"/>
        </w:rPr>
        <w:t>European Journal of Business and Strategic Management</w:t>
      </w:r>
      <w:r w:rsidRPr="00692AF5">
        <w:rPr>
          <w:rFonts w:cs="Times New Roman"/>
          <w:color w:val="000000" w:themeColor="text1"/>
          <w:szCs w:val="24"/>
        </w:rPr>
        <w:t>, </w:t>
      </w:r>
      <w:r w:rsidRPr="00692AF5">
        <w:rPr>
          <w:rFonts w:cs="Times New Roman"/>
          <w:i/>
          <w:iCs/>
          <w:color w:val="000000" w:themeColor="text1"/>
          <w:szCs w:val="24"/>
        </w:rPr>
        <w:t>3</w:t>
      </w:r>
      <w:r w:rsidRPr="00692AF5">
        <w:rPr>
          <w:rFonts w:cs="Times New Roman"/>
          <w:color w:val="000000" w:themeColor="text1"/>
          <w:szCs w:val="24"/>
        </w:rPr>
        <w:t>(5), 39-62.</w:t>
      </w:r>
    </w:p>
    <w:p w14:paraId="024CCBD6" w14:textId="77777777" w:rsidR="001618DC" w:rsidRPr="00692AF5" w:rsidRDefault="001618DC" w:rsidP="003A1E48">
      <w:pPr>
        <w:spacing w:line="240" w:lineRule="auto"/>
        <w:ind w:left="720" w:hanging="720"/>
        <w:rPr>
          <w:color w:val="000000" w:themeColor="text1"/>
        </w:rPr>
      </w:pPr>
      <w:r w:rsidRPr="00692AF5">
        <w:rPr>
          <w:color w:val="000000" w:themeColor="text1"/>
        </w:rPr>
        <w:t>Kibe, L.W., Kwanya, T. &amp; Owano, A. (2020). Relationship between big data analytics and organisational performance of the Technical University of Kenya and Strathmore University in Kenya.</w:t>
      </w:r>
      <w:r w:rsidRPr="00692AF5">
        <w:rPr>
          <w:i/>
          <w:color w:val="000000" w:themeColor="text1"/>
        </w:rPr>
        <w:t xml:space="preserve"> Global Knowledge, Memory and Communication,</w:t>
      </w:r>
      <w:r w:rsidRPr="00692AF5">
        <w:rPr>
          <w:color w:val="000000" w:themeColor="text1"/>
        </w:rPr>
        <w:t xml:space="preserve"> 2514-9342</w:t>
      </w:r>
    </w:p>
    <w:p w14:paraId="5734705C" w14:textId="77777777" w:rsidR="001618DC" w:rsidRPr="00692AF5" w:rsidRDefault="001618DC" w:rsidP="003A1E48">
      <w:pPr>
        <w:spacing w:line="240" w:lineRule="auto"/>
        <w:ind w:left="720" w:hanging="720"/>
        <w:rPr>
          <w:color w:val="000000" w:themeColor="text1"/>
        </w:rPr>
      </w:pPr>
      <w:r w:rsidRPr="00692AF5">
        <w:rPr>
          <w:color w:val="000000" w:themeColor="text1"/>
        </w:rPr>
        <w:t xml:space="preserve">Kim, H. B., &amp; Kim, W. G. (2005). The relationship between brand equity and firms’ performance in luxury hotels and chain restaurants. </w:t>
      </w:r>
      <w:r w:rsidRPr="00692AF5">
        <w:rPr>
          <w:i/>
          <w:color w:val="000000" w:themeColor="text1"/>
        </w:rPr>
        <w:t>Tourism management,</w:t>
      </w:r>
      <w:r w:rsidRPr="00692AF5">
        <w:rPr>
          <w:color w:val="000000" w:themeColor="text1"/>
        </w:rPr>
        <w:t xml:space="preserve"> 26(4). </w:t>
      </w:r>
    </w:p>
    <w:p w14:paraId="11C76C4B" w14:textId="77777777" w:rsidR="001618DC" w:rsidRPr="00692AF5" w:rsidRDefault="001618DC" w:rsidP="003A1E48">
      <w:pPr>
        <w:spacing w:line="240" w:lineRule="auto"/>
        <w:ind w:left="720" w:hanging="720"/>
        <w:rPr>
          <w:color w:val="000000" w:themeColor="text1"/>
        </w:rPr>
      </w:pPr>
      <w:r w:rsidRPr="00692AF5">
        <w:rPr>
          <w:color w:val="000000" w:themeColor="text1"/>
        </w:rPr>
        <w:t xml:space="preserve">Mandila, K. L. (2018). </w:t>
      </w:r>
      <w:r w:rsidRPr="00692AF5">
        <w:rPr>
          <w:i/>
          <w:color w:val="000000" w:themeColor="text1"/>
        </w:rPr>
        <w:t xml:space="preserve">Brand Equity and Sales Performance of Red Meat Brands in Kenya </w:t>
      </w:r>
      <w:r w:rsidRPr="00692AF5">
        <w:rPr>
          <w:color w:val="000000" w:themeColor="text1"/>
        </w:rPr>
        <w:t>(Doctoral dissertation, University of Nairobi).</w:t>
      </w:r>
    </w:p>
    <w:p w14:paraId="2A922ED2" w14:textId="77777777" w:rsidR="001618DC" w:rsidRPr="00692AF5" w:rsidRDefault="001618DC" w:rsidP="003A1E48">
      <w:pPr>
        <w:spacing w:line="240" w:lineRule="auto"/>
        <w:ind w:left="720" w:hanging="720"/>
        <w:rPr>
          <w:rFonts w:cs="Times New Roman"/>
          <w:color w:val="000000" w:themeColor="text1"/>
          <w:szCs w:val="24"/>
        </w:rPr>
      </w:pPr>
      <w:r w:rsidRPr="00692AF5">
        <w:rPr>
          <w:rFonts w:cs="Times New Roman"/>
          <w:color w:val="000000" w:themeColor="text1"/>
          <w:szCs w:val="24"/>
        </w:rPr>
        <w:t>Mokhtar, M., Shaaban, M. F., Zeineldin, H., &amp; El-Saadany, E. F. (2021). A customer-centered smart charging strategy considering virtual charging system. </w:t>
      </w:r>
      <w:r w:rsidRPr="00692AF5">
        <w:rPr>
          <w:rFonts w:cs="Times New Roman"/>
          <w:i/>
          <w:iCs/>
          <w:color w:val="000000" w:themeColor="text1"/>
          <w:szCs w:val="24"/>
        </w:rPr>
        <w:t>IEEE Access</w:t>
      </w:r>
      <w:r w:rsidRPr="00692AF5">
        <w:rPr>
          <w:rFonts w:cs="Times New Roman"/>
          <w:color w:val="000000" w:themeColor="text1"/>
          <w:szCs w:val="24"/>
        </w:rPr>
        <w:t>, </w:t>
      </w:r>
      <w:r w:rsidRPr="00692AF5">
        <w:rPr>
          <w:rFonts w:cs="Times New Roman"/>
          <w:i/>
          <w:iCs/>
          <w:color w:val="000000" w:themeColor="text1"/>
          <w:szCs w:val="24"/>
        </w:rPr>
        <w:t>9</w:t>
      </w:r>
      <w:r w:rsidRPr="00692AF5">
        <w:rPr>
          <w:rFonts w:cs="Times New Roman"/>
          <w:color w:val="000000" w:themeColor="text1"/>
          <w:szCs w:val="24"/>
        </w:rPr>
        <w:t>, 117993-118004.</w:t>
      </w:r>
    </w:p>
    <w:p w14:paraId="451B0342" w14:textId="77777777" w:rsidR="001618DC" w:rsidRPr="00692AF5" w:rsidRDefault="001618DC" w:rsidP="003A1E48">
      <w:pPr>
        <w:spacing w:line="240" w:lineRule="auto"/>
        <w:ind w:left="720" w:hanging="720"/>
        <w:rPr>
          <w:color w:val="000000" w:themeColor="text1"/>
        </w:rPr>
      </w:pPr>
      <w:r w:rsidRPr="00692AF5">
        <w:rPr>
          <w:color w:val="000000" w:themeColor="text1"/>
        </w:rPr>
        <w:t xml:space="preserve">Mugane, G.M. (2019). </w:t>
      </w:r>
      <w:r w:rsidRPr="00692AF5">
        <w:rPr>
          <w:i/>
          <w:color w:val="000000" w:themeColor="text1"/>
        </w:rPr>
        <w:t>Big data analytics and competitive advantage of commercial banks and fintech companies in Kenya.</w:t>
      </w:r>
      <w:r w:rsidRPr="00692AF5">
        <w:rPr>
          <w:color w:val="000000" w:themeColor="text1"/>
        </w:rPr>
        <w:t xml:space="preserve"> Unpublished MBA research paper. University of Nairobi.</w:t>
      </w:r>
    </w:p>
    <w:p w14:paraId="3858D411" w14:textId="77777777" w:rsidR="001618DC" w:rsidRPr="00692AF5" w:rsidRDefault="001618DC" w:rsidP="003A1E48">
      <w:pPr>
        <w:spacing w:line="240" w:lineRule="auto"/>
        <w:ind w:left="720" w:hanging="720"/>
        <w:rPr>
          <w:rFonts w:cs="Times New Roman"/>
          <w:color w:val="000000" w:themeColor="text1"/>
          <w:szCs w:val="24"/>
        </w:rPr>
      </w:pPr>
      <w:r w:rsidRPr="00692AF5">
        <w:rPr>
          <w:rFonts w:cs="Times New Roman"/>
          <w:color w:val="000000" w:themeColor="text1"/>
          <w:szCs w:val="24"/>
        </w:rPr>
        <w:t>Mukaye Manyu, S. (2018). Effects Of Kenya’s Narok Huduma Center On Quality Of Service Delivery.</w:t>
      </w:r>
    </w:p>
    <w:p w14:paraId="42CC68E4" w14:textId="77777777" w:rsidR="001618DC" w:rsidRPr="00692AF5" w:rsidRDefault="001618DC" w:rsidP="003A1E48">
      <w:pPr>
        <w:spacing w:line="240" w:lineRule="auto"/>
        <w:ind w:left="720" w:hanging="720"/>
        <w:rPr>
          <w:rFonts w:cs="Times New Roman"/>
          <w:color w:val="000000" w:themeColor="text1"/>
          <w:szCs w:val="24"/>
        </w:rPr>
      </w:pPr>
      <w:r w:rsidRPr="00692AF5">
        <w:rPr>
          <w:rFonts w:cs="Times New Roman"/>
          <w:color w:val="000000" w:themeColor="text1"/>
          <w:szCs w:val="24"/>
        </w:rPr>
        <w:t>Munyao, S. M. (2021). Effects of Strategic Leadership on the Performance of Africa Inland Church Theological Training Institutions in Kenya. </w:t>
      </w:r>
      <w:r w:rsidRPr="00692AF5">
        <w:rPr>
          <w:rFonts w:cs="Times New Roman"/>
          <w:i/>
          <w:iCs/>
          <w:color w:val="000000" w:themeColor="text1"/>
          <w:szCs w:val="24"/>
        </w:rPr>
        <w:t>Effects of Strategic Leadership on the Performance of Africa Inland Church Theological Training Institutions in Kenya</w:t>
      </w:r>
      <w:r w:rsidRPr="00692AF5">
        <w:rPr>
          <w:rFonts w:cs="Times New Roman"/>
          <w:color w:val="000000" w:themeColor="text1"/>
          <w:szCs w:val="24"/>
        </w:rPr>
        <w:t>, </w:t>
      </w:r>
      <w:r w:rsidRPr="00692AF5">
        <w:rPr>
          <w:rFonts w:cs="Times New Roman"/>
          <w:i/>
          <w:iCs/>
          <w:color w:val="000000" w:themeColor="text1"/>
          <w:szCs w:val="24"/>
        </w:rPr>
        <w:t>77</w:t>
      </w:r>
      <w:r w:rsidRPr="00692AF5">
        <w:rPr>
          <w:rFonts w:cs="Times New Roman"/>
          <w:color w:val="000000" w:themeColor="text1"/>
          <w:szCs w:val="24"/>
        </w:rPr>
        <w:t>(1), 9-9.</w:t>
      </w:r>
    </w:p>
    <w:p w14:paraId="36E0CF11" w14:textId="77777777" w:rsidR="001618DC" w:rsidRPr="00692AF5" w:rsidRDefault="001618DC" w:rsidP="003A1E48">
      <w:pPr>
        <w:spacing w:line="240" w:lineRule="auto"/>
        <w:ind w:left="720" w:hanging="720"/>
        <w:rPr>
          <w:color w:val="000000" w:themeColor="text1"/>
        </w:rPr>
      </w:pPr>
      <w:r w:rsidRPr="00692AF5">
        <w:rPr>
          <w:color w:val="000000" w:themeColor="text1"/>
        </w:rPr>
        <w:t xml:space="preserve">Mutuku, M. N., &amp; Nyaribo, W. M. (2021). Effect of Information Technology on Employee Growth in Selected Banks in Kenya. Review of Contemporary Business. </w:t>
      </w:r>
      <w:r w:rsidRPr="00692AF5">
        <w:rPr>
          <w:i/>
          <w:color w:val="000000" w:themeColor="text1"/>
        </w:rPr>
        <w:t>Research,</w:t>
      </w:r>
      <w:r w:rsidRPr="00692AF5">
        <w:rPr>
          <w:color w:val="000000" w:themeColor="text1"/>
        </w:rPr>
        <w:t xml:space="preserve"> 4(1), 49-57</w:t>
      </w:r>
    </w:p>
    <w:p w14:paraId="697489A7" w14:textId="77777777" w:rsidR="001618DC" w:rsidRPr="00692AF5" w:rsidRDefault="001618DC" w:rsidP="003A1E48">
      <w:pPr>
        <w:spacing w:line="240" w:lineRule="auto"/>
        <w:ind w:left="720" w:hanging="720"/>
        <w:rPr>
          <w:rFonts w:cs="Times New Roman"/>
          <w:color w:val="000000" w:themeColor="text1"/>
          <w:szCs w:val="24"/>
        </w:rPr>
      </w:pPr>
      <w:r w:rsidRPr="00692AF5">
        <w:rPr>
          <w:rFonts w:cs="Times New Roman"/>
          <w:color w:val="000000" w:themeColor="text1"/>
          <w:szCs w:val="24"/>
        </w:rPr>
        <w:t>Mwangi, E. W. (2021). </w:t>
      </w:r>
      <w:r w:rsidRPr="00692AF5">
        <w:rPr>
          <w:rFonts w:cs="Times New Roman"/>
          <w:i/>
          <w:iCs/>
          <w:color w:val="000000" w:themeColor="text1"/>
          <w:szCs w:val="24"/>
        </w:rPr>
        <w:t>Enhancing Electronic Government Services in Public Organizations in Kenya: Case of Huduma Postal City Square in Nairobi</w:t>
      </w:r>
      <w:r w:rsidRPr="00692AF5">
        <w:rPr>
          <w:rFonts w:cs="Times New Roman"/>
          <w:color w:val="000000" w:themeColor="text1"/>
          <w:szCs w:val="24"/>
        </w:rPr>
        <w:t> (Doctoral dissertation, University of Nairobi).</w:t>
      </w:r>
    </w:p>
    <w:p w14:paraId="36D1BAA3" w14:textId="77777777" w:rsidR="001618DC" w:rsidRPr="00692AF5" w:rsidRDefault="001618DC" w:rsidP="003A1E48">
      <w:pPr>
        <w:spacing w:line="240" w:lineRule="auto"/>
        <w:ind w:left="720" w:hanging="720"/>
        <w:rPr>
          <w:rFonts w:cs="Times New Roman"/>
          <w:color w:val="000000" w:themeColor="text1"/>
          <w:szCs w:val="24"/>
        </w:rPr>
      </w:pPr>
      <w:r w:rsidRPr="00692AF5">
        <w:rPr>
          <w:rFonts w:cs="Times New Roman"/>
          <w:color w:val="000000" w:themeColor="text1"/>
          <w:szCs w:val="24"/>
        </w:rPr>
        <w:lastRenderedPageBreak/>
        <w:t>Ndunda, A. M. (2021). </w:t>
      </w:r>
      <w:r w:rsidRPr="00692AF5">
        <w:rPr>
          <w:rFonts w:cs="Times New Roman"/>
          <w:i/>
          <w:iCs/>
          <w:color w:val="000000" w:themeColor="text1"/>
          <w:szCs w:val="24"/>
        </w:rPr>
        <w:t>The Nexus between Customer Relationship Management Strategy and Customer Loyalty in The Star Rated Hotels in Kenya</w:t>
      </w:r>
      <w:r w:rsidRPr="00692AF5">
        <w:rPr>
          <w:rFonts w:cs="Times New Roman"/>
          <w:color w:val="000000" w:themeColor="text1"/>
          <w:szCs w:val="24"/>
        </w:rPr>
        <w:t> (Doctoral dissertation, KeMU).</w:t>
      </w:r>
    </w:p>
    <w:p w14:paraId="26F1D96E" w14:textId="77777777" w:rsidR="001618DC" w:rsidRPr="00692AF5" w:rsidRDefault="001618DC" w:rsidP="003A1E48">
      <w:pPr>
        <w:spacing w:line="240" w:lineRule="auto"/>
        <w:ind w:left="720" w:hanging="720"/>
        <w:rPr>
          <w:color w:val="000000" w:themeColor="text1"/>
        </w:rPr>
      </w:pPr>
      <w:r w:rsidRPr="00692AF5">
        <w:rPr>
          <w:color w:val="000000" w:themeColor="text1"/>
        </w:rPr>
        <w:t xml:space="preserve">Palvalin, M., Lönnqvist, A., &amp; Vuolle, M. (2023). Analysing the impacts of ICT on knowledge work growth. </w:t>
      </w:r>
      <w:r w:rsidRPr="00692AF5">
        <w:rPr>
          <w:i/>
          <w:color w:val="000000" w:themeColor="text1"/>
        </w:rPr>
        <w:t>Journal of Knowledge Management</w:t>
      </w:r>
      <w:r w:rsidRPr="00692AF5">
        <w:rPr>
          <w:color w:val="000000" w:themeColor="text1"/>
        </w:rPr>
        <w:t>, 17(4), 545-557.</w:t>
      </w:r>
    </w:p>
    <w:p w14:paraId="272F1F1D" w14:textId="77777777" w:rsidR="001618DC" w:rsidRPr="00692AF5" w:rsidRDefault="001618DC" w:rsidP="003A1E48">
      <w:pPr>
        <w:spacing w:line="240" w:lineRule="auto"/>
        <w:ind w:left="720" w:hanging="720"/>
        <w:rPr>
          <w:rFonts w:cs="Times New Roman"/>
          <w:color w:val="000000" w:themeColor="text1"/>
          <w:szCs w:val="24"/>
        </w:rPr>
      </w:pPr>
      <w:r w:rsidRPr="00692AF5">
        <w:rPr>
          <w:rFonts w:cs="Times New Roman"/>
          <w:color w:val="000000" w:themeColor="text1"/>
          <w:szCs w:val="24"/>
        </w:rPr>
        <w:t>Salkind, N. J. (2017). </w:t>
      </w:r>
      <w:r w:rsidRPr="00692AF5">
        <w:rPr>
          <w:rFonts w:cs="Times New Roman"/>
          <w:i/>
          <w:iCs/>
          <w:color w:val="000000" w:themeColor="text1"/>
          <w:szCs w:val="24"/>
        </w:rPr>
        <w:t>Tests &amp; measurement for people who (think they) hate tests &amp; measurement</w:t>
      </w:r>
      <w:r w:rsidRPr="00692AF5">
        <w:rPr>
          <w:rFonts w:cs="Times New Roman"/>
          <w:color w:val="000000" w:themeColor="text1"/>
          <w:szCs w:val="24"/>
        </w:rPr>
        <w:t>. Sage Publications.</w:t>
      </w:r>
    </w:p>
    <w:p w14:paraId="55C96051" w14:textId="77777777" w:rsidR="001618DC" w:rsidRPr="00692AF5" w:rsidRDefault="001618DC" w:rsidP="003A1E48">
      <w:pPr>
        <w:spacing w:line="240" w:lineRule="auto"/>
        <w:ind w:left="720" w:hanging="720"/>
        <w:rPr>
          <w:color w:val="000000" w:themeColor="text1"/>
        </w:rPr>
      </w:pPr>
      <w:r w:rsidRPr="00692AF5">
        <w:rPr>
          <w:color w:val="000000" w:themeColor="text1"/>
        </w:rPr>
        <w:t>Seetha, R., Patwa, N., Niranjan, I., Ranjan, U., Moorthy, K., &amp; Mehta, A. (2018). Impact of big data on supply chain management</w:t>
      </w:r>
      <w:r w:rsidRPr="00692AF5">
        <w:rPr>
          <w:i/>
          <w:color w:val="000000" w:themeColor="text1"/>
        </w:rPr>
        <w:t>. International Journal of Logistics Research and Applications,</w:t>
      </w:r>
      <w:r w:rsidRPr="00692AF5">
        <w:rPr>
          <w:color w:val="000000" w:themeColor="text1"/>
        </w:rPr>
        <w:t xml:space="preserve"> 21:6, 579-596.</w:t>
      </w:r>
    </w:p>
    <w:p w14:paraId="2980F9E4" w14:textId="77777777" w:rsidR="001618DC" w:rsidRPr="00692AF5" w:rsidRDefault="001618DC" w:rsidP="003A1E48">
      <w:pPr>
        <w:spacing w:line="240" w:lineRule="auto"/>
        <w:ind w:left="720" w:hanging="720"/>
        <w:rPr>
          <w:rFonts w:cs="Times New Roman"/>
          <w:color w:val="000000" w:themeColor="text1"/>
          <w:szCs w:val="24"/>
        </w:rPr>
      </w:pPr>
      <w:r w:rsidRPr="00692AF5">
        <w:rPr>
          <w:rFonts w:cs="Times New Roman"/>
          <w:color w:val="000000" w:themeColor="text1"/>
          <w:szCs w:val="24"/>
        </w:rPr>
        <w:t xml:space="preserve">Stenard, B. S, (2022). Commercialization strategies: Cooperation versus competition. </w:t>
      </w:r>
      <w:r w:rsidRPr="00692AF5">
        <w:rPr>
          <w:rFonts w:cs="Times New Roman"/>
          <w:i/>
          <w:color w:val="000000" w:themeColor="text1"/>
          <w:szCs w:val="24"/>
        </w:rPr>
        <w:t>In Technological Innovation: Generating Economic Results</w:t>
      </w:r>
      <w:r w:rsidRPr="00692AF5">
        <w:rPr>
          <w:rFonts w:cs="Times New Roman"/>
          <w:color w:val="000000" w:themeColor="text1"/>
          <w:szCs w:val="24"/>
        </w:rPr>
        <w:t xml:space="preserve"> (Vol. 26, pp. 289-308). Emerald Group Publishing Limited.</w:t>
      </w:r>
    </w:p>
    <w:p w14:paraId="53FF59F9" w14:textId="77777777" w:rsidR="001618DC" w:rsidRPr="00692AF5" w:rsidRDefault="001618DC" w:rsidP="003A1E48">
      <w:pPr>
        <w:spacing w:line="240" w:lineRule="auto"/>
        <w:ind w:left="720" w:hanging="720"/>
        <w:rPr>
          <w:color w:val="000000" w:themeColor="text1"/>
        </w:rPr>
      </w:pPr>
      <w:r w:rsidRPr="00692AF5">
        <w:rPr>
          <w:color w:val="000000" w:themeColor="text1"/>
        </w:rPr>
        <w:t xml:space="preserve">Štreimikienė, D., &amp; Ahmed, R. R. (2021). Corporate social responsibility and brand management: evidence from Carroll’s pyramid and triple bottom line approaches. </w:t>
      </w:r>
      <w:r w:rsidRPr="00692AF5">
        <w:rPr>
          <w:i/>
          <w:color w:val="000000" w:themeColor="text1"/>
        </w:rPr>
        <w:t xml:space="preserve">Technological and Economic Development of Economy, </w:t>
      </w:r>
      <w:r w:rsidRPr="00692AF5">
        <w:rPr>
          <w:color w:val="000000" w:themeColor="text1"/>
        </w:rPr>
        <w:t>27(4), 852-875.</w:t>
      </w:r>
    </w:p>
    <w:p w14:paraId="062B7D80" w14:textId="77777777" w:rsidR="001618DC" w:rsidRPr="00692AF5" w:rsidRDefault="001618DC" w:rsidP="003A1E48">
      <w:pPr>
        <w:spacing w:line="240" w:lineRule="auto"/>
        <w:ind w:left="720" w:hanging="720"/>
        <w:rPr>
          <w:rFonts w:cs="Times New Roman"/>
          <w:color w:val="000000" w:themeColor="text1"/>
          <w:szCs w:val="24"/>
        </w:rPr>
      </w:pPr>
      <w:r w:rsidRPr="00692AF5">
        <w:rPr>
          <w:rFonts w:cs="Times New Roman"/>
          <w:color w:val="000000" w:themeColor="text1"/>
          <w:szCs w:val="24"/>
        </w:rPr>
        <w:t>Tarus, J., &amp; Ndeto, C. (2021). Effect of strategic procurement on the performance of parastatals in Kenya. </w:t>
      </w:r>
      <w:r w:rsidRPr="00692AF5">
        <w:rPr>
          <w:rFonts w:cs="Times New Roman"/>
          <w:i/>
          <w:iCs/>
          <w:color w:val="000000" w:themeColor="text1"/>
          <w:szCs w:val="24"/>
        </w:rPr>
        <w:t>International Research Journal of Business and Strategic Management</w:t>
      </w:r>
      <w:r w:rsidRPr="00692AF5">
        <w:rPr>
          <w:rFonts w:cs="Times New Roman"/>
          <w:color w:val="000000" w:themeColor="text1"/>
          <w:szCs w:val="24"/>
        </w:rPr>
        <w:t>, </w:t>
      </w:r>
      <w:r w:rsidRPr="00692AF5">
        <w:rPr>
          <w:rFonts w:cs="Times New Roman"/>
          <w:i/>
          <w:iCs/>
          <w:color w:val="000000" w:themeColor="text1"/>
          <w:szCs w:val="24"/>
        </w:rPr>
        <w:t>2</w:t>
      </w:r>
      <w:r w:rsidRPr="00692AF5">
        <w:rPr>
          <w:rFonts w:cs="Times New Roman"/>
          <w:color w:val="000000" w:themeColor="text1"/>
          <w:szCs w:val="24"/>
        </w:rPr>
        <w:t>(2).</w:t>
      </w:r>
    </w:p>
    <w:p w14:paraId="4D7A5B62" w14:textId="77777777" w:rsidR="001618DC" w:rsidRPr="00692AF5" w:rsidRDefault="001618DC" w:rsidP="003A1E48">
      <w:pPr>
        <w:spacing w:line="240" w:lineRule="auto"/>
        <w:ind w:left="720" w:hanging="720"/>
        <w:rPr>
          <w:color w:val="000000" w:themeColor="text1"/>
        </w:rPr>
      </w:pPr>
      <w:r w:rsidRPr="00692AF5">
        <w:rPr>
          <w:color w:val="000000" w:themeColor="text1"/>
        </w:rPr>
        <w:t xml:space="preserve">Wambua, D. I. (2021). </w:t>
      </w:r>
      <w:r w:rsidRPr="00692AF5">
        <w:rPr>
          <w:i/>
          <w:color w:val="000000" w:themeColor="text1"/>
        </w:rPr>
        <w:t>Consumer Based Brand Equity and Financial Performance: A Study of the Commercial Banks in Kenya</w:t>
      </w:r>
      <w:r w:rsidRPr="00692AF5">
        <w:rPr>
          <w:color w:val="000000" w:themeColor="text1"/>
        </w:rPr>
        <w:t xml:space="preserve"> (Graduate Dissertation, University of Nairobi).</w:t>
      </w:r>
    </w:p>
    <w:p w14:paraId="6A10AE2B" w14:textId="77777777" w:rsidR="001618DC" w:rsidRPr="00692AF5" w:rsidRDefault="001618DC" w:rsidP="003A1E48">
      <w:pPr>
        <w:spacing w:line="240" w:lineRule="auto"/>
        <w:ind w:left="720" w:hanging="720"/>
        <w:rPr>
          <w:color w:val="000000" w:themeColor="text1"/>
        </w:rPr>
      </w:pPr>
      <w:r w:rsidRPr="00692AF5">
        <w:rPr>
          <w:color w:val="000000" w:themeColor="text1"/>
        </w:rPr>
        <w:t xml:space="preserve">Wang, Y., Kandampully, J. A., Lo, H. P., &amp; Shi, G. (2006). The roles of brand equity and corporate reputation in CRM: a Chinese study. </w:t>
      </w:r>
      <w:r w:rsidRPr="00692AF5">
        <w:rPr>
          <w:i/>
          <w:color w:val="000000" w:themeColor="text1"/>
        </w:rPr>
        <w:t>Corporate Reputation Review</w:t>
      </w:r>
      <w:r w:rsidRPr="00692AF5">
        <w:rPr>
          <w:color w:val="000000" w:themeColor="text1"/>
        </w:rPr>
        <w:t>, 9(3), 179-197.</w:t>
      </w:r>
    </w:p>
    <w:p w14:paraId="5CECF4F1" w14:textId="1CF69338" w:rsidR="00390D07" w:rsidRPr="009A40CE" w:rsidRDefault="001618DC" w:rsidP="003A1E48">
      <w:pPr>
        <w:spacing w:after="240" w:line="240" w:lineRule="auto"/>
        <w:ind w:left="720" w:hanging="720"/>
        <w:rPr>
          <w:rFonts w:cs="Times New Roman"/>
          <w:color w:val="222222"/>
          <w:szCs w:val="24"/>
          <w:shd w:val="clear" w:color="auto" w:fill="FFFFFF"/>
        </w:rPr>
      </w:pPr>
      <w:r w:rsidRPr="00692AF5">
        <w:rPr>
          <w:color w:val="000000" w:themeColor="text1"/>
        </w:rPr>
        <w:t xml:space="preserve">Zehir, C., Muceldili, B., &amp; Akyuz, B. (2020). The impact of information technology investments on firm performance in national and multinational companies, </w:t>
      </w:r>
      <w:r w:rsidRPr="00692AF5">
        <w:rPr>
          <w:i/>
          <w:color w:val="000000" w:themeColor="text1"/>
        </w:rPr>
        <w:t>Journal of Global Strategic Management</w:t>
      </w:r>
      <w:r w:rsidRPr="00692AF5">
        <w:rPr>
          <w:color w:val="000000" w:themeColor="text1"/>
        </w:rPr>
        <w:t>, vol,4 DOI: 10.20460/JGSM.2010415846</w:t>
      </w:r>
    </w:p>
    <w:sectPr w:rsidR="00390D07" w:rsidRPr="009A40CE" w:rsidSect="00055D83">
      <w:headerReference w:type="even" r:id="rId8"/>
      <w:headerReference w:type="default" r:id="rId9"/>
      <w:footerReference w:type="even" r:id="rId10"/>
      <w:footerReference w:type="default" r:id="rId11"/>
      <w:headerReference w:type="first" r:id="rId12"/>
      <w:footerReference w:type="first" r:id="rId13"/>
      <w:pgSz w:w="12240" w:h="15840" w:code="1"/>
      <w:pgMar w:top="1094" w:right="605" w:bottom="605" w:left="605" w:header="346" w:footer="40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0A8B4A" w14:textId="77777777" w:rsidR="00962026" w:rsidRDefault="00962026">
      <w:pPr>
        <w:spacing w:before="0" w:line="240" w:lineRule="auto"/>
      </w:pPr>
      <w:r>
        <w:separator/>
      </w:r>
    </w:p>
  </w:endnote>
  <w:endnote w:type="continuationSeparator" w:id="0">
    <w:p w14:paraId="35192C9F" w14:textId="77777777" w:rsidR="00962026" w:rsidRDefault="0096202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8714E3" w14:textId="44685476" w:rsidR="009E3D26" w:rsidRDefault="009E3D26">
    <w:pPr>
      <w:pStyle w:val="Footer"/>
    </w:pPr>
    <w:r>
      <w:rPr>
        <w:noProof/>
        <w:lang w:val="en-GB" w:eastAsia="en-GB"/>
      </w:rPr>
      <mc:AlternateContent>
        <mc:Choice Requires="wps">
          <w:drawing>
            <wp:anchor distT="0" distB="0" distL="0" distR="0" simplePos="0" relativeHeight="251659264" behindDoc="0" locked="0" layoutInCell="1" allowOverlap="1" wp14:anchorId="717D1372" wp14:editId="2F124E48">
              <wp:simplePos x="635" y="635"/>
              <wp:positionH relativeFrom="page">
                <wp:align>center</wp:align>
              </wp:positionH>
              <wp:positionV relativeFrom="page">
                <wp:align>bottom</wp:align>
              </wp:positionV>
              <wp:extent cx="938530" cy="635000"/>
              <wp:effectExtent l="0" t="0" r="13970" b="0"/>
              <wp:wrapNone/>
              <wp:docPr id="263647457" name="Text Box 2" descr="---Internal Use--- ">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938530" cy="635000"/>
                      </a:xfrm>
                      <a:prstGeom prst="rect">
                        <a:avLst/>
                      </a:prstGeom>
                      <a:noFill/>
                      <a:ln>
                        <a:noFill/>
                      </a:ln>
                    </wps:spPr>
                    <wps:txbx>
                      <w:txbxContent>
                        <w:p w14:paraId="5D8F1562" w14:textId="553438AD" w:rsidR="009E3D26" w:rsidRPr="009E3D26" w:rsidRDefault="009E3D26" w:rsidP="009E3D26">
                          <w:pPr>
                            <w:rPr>
                              <w:rFonts w:ascii="Arial" w:eastAsia="Arial" w:hAnsi="Arial" w:cs="Arial"/>
                              <w:noProof/>
                              <w:sz w:val="20"/>
                              <w:szCs w:val="20"/>
                            </w:rPr>
                          </w:pPr>
                          <w:r w:rsidRPr="009E3D26">
                            <w:rPr>
                              <w:rFonts w:ascii="Arial" w:eastAsia="Arial" w:hAnsi="Arial" w:cs="Arial"/>
                              <w:noProof/>
                              <w:sz w:val="20"/>
                              <w:szCs w:val="20"/>
                            </w:rPr>
                            <w:t xml:space="preserve">---Internal Use---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17D1372" id="_x0000_t202" coordsize="21600,21600" o:spt="202" path="m,l,21600r21600,l21600,xe">
              <v:stroke joinstyle="miter"/>
              <v:path gradientshapeok="t" o:connecttype="rect"/>
            </v:shapetype>
            <v:shape id="Text Box 2" o:spid="_x0000_s1026" type="#_x0000_t202" alt="---Internal Use--- " style="position:absolute;left:0;text-align:left;margin-left:0;margin-top:0;width:73.9pt;height:50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" filled="f" stroked="f">
              <v:textbox style="mso-fit-shape-to-text:t" inset="0,0,0,15pt">
                <w:txbxContent>
                  <w:p w14:paraId="5D8F1562" w14:textId="553438AD" w:rsidR="009E3D26" w:rsidRPr="009E3D26" w:rsidRDefault="009E3D26" w:rsidP="009E3D26">
                    <w:pPr>
                      <w:rPr>
                        <w:rFonts w:ascii="Arial" w:eastAsia="Arial" w:hAnsi="Arial" w:cs="Arial"/>
                        <w:noProof/>
                        <w:sz w:val="20"/>
                        <w:szCs w:val="20"/>
                      </w:rPr>
                    </w:pPr>
                    <w:r w:rsidRPr="009E3D26">
                      <w:rPr>
                        <w:rFonts w:ascii="Arial" w:eastAsia="Arial" w:hAnsi="Arial" w:cs="Arial"/>
                        <w:noProof/>
                        <w:sz w:val="20"/>
                        <w:szCs w:val="20"/>
                      </w:rPr>
                      <w:t xml:space="preserve">---Internal Use--- </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128D3" w14:textId="7D9E6AB6" w:rsidR="004A12F4" w:rsidRPr="008A0558" w:rsidRDefault="00962026">
    <w:pPr>
      <w:pStyle w:val="Footer"/>
      <w:jc w:val="center"/>
      <w:rPr>
        <w:sz w:val="20"/>
        <w:szCs w:val="18"/>
      </w:rPr>
    </w:pPr>
    <w:sdt>
      <w:sdtPr>
        <w:id w:val="-1882236679"/>
        <w:docPartObj>
          <w:docPartGallery w:val="Page Numbers (Bottom of Page)"/>
          <w:docPartUnique/>
        </w:docPartObj>
      </w:sdtPr>
      <w:sdtEndPr>
        <w:rPr>
          <w:noProof/>
          <w:sz w:val="20"/>
          <w:szCs w:val="18"/>
        </w:rPr>
      </w:sdtEndPr>
      <w:sdtContent>
        <w:r w:rsidR="00556C7C" w:rsidRPr="008A0558">
          <w:rPr>
            <w:sz w:val="20"/>
            <w:szCs w:val="18"/>
          </w:rPr>
          <w:fldChar w:fldCharType="begin"/>
        </w:r>
        <w:r w:rsidR="00556C7C" w:rsidRPr="008A0558">
          <w:rPr>
            <w:sz w:val="20"/>
            <w:szCs w:val="18"/>
          </w:rPr>
          <w:instrText xml:space="preserve"> PAGE   \* MERGEFORMAT </w:instrText>
        </w:r>
        <w:r w:rsidR="00556C7C" w:rsidRPr="008A0558">
          <w:rPr>
            <w:sz w:val="20"/>
            <w:szCs w:val="18"/>
          </w:rPr>
          <w:fldChar w:fldCharType="separate"/>
        </w:r>
        <w:r w:rsidR="00343006">
          <w:rPr>
            <w:noProof/>
            <w:sz w:val="20"/>
            <w:szCs w:val="18"/>
          </w:rPr>
          <w:t>14</w:t>
        </w:r>
        <w:r w:rsidR="00556C7C" w:rsidRPr="008A0558">
          <w:rPr>
            <w:noProof/>
            <w:sz w:val="20"/>
            <w:szCs w:val="18"/>
          </w:rPr>
          <w:fldChar w:fldCharType="end"/>
        </w:r>
      </w:sdtContent>
    </w:sdt>
  </w:p>
  <w:p w14:paraId="70E80D4D" w14:textId="77777777" w:rsidR="004A12F4" w:rsidRDefault="004A12F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3AAD0" w14:textId="7CA455B1" w:rsidR="009E3D26" w:rsidRDefault="009E3D26">
    <w:pPr>
      <w:pStyle w:val="Footer"/>
    </w:pPr>
    <w:r>
      <w:rPr>
        <w:noProof/>
        <w:lang w:val="en-GB" w:eastAsia="en-GB"/>
      </w:rPr>
      <mc:AlternateContent>
        <mc:Choice Requires="wps">
          <w:drawing>
            <wp:anchor distT="0" distB="0" distL="0" distR="0" simplePos="0" relativeHeight="251658240" behindDoc="0" locked="0" layoutInCell="1" allowOverlap="1" wp14:anchorId="47786DB9" wp14:editId="365A000E">
              <wp:simplePos x="635" y="635"/>
              <wp:positionH relativeFrom="page">
                <wp:align>center</wp:align>
              </wp:positionH>
              <wp:positionV relativeFrom="page">
                <wp:align>bottom</wp:align>
              </wp:positionV>
              <wp:extent cx="938530" cy="635000"/>
              <wp:effectExtent l="0" t="0" r="13970" b="0"/>
              <wp:wrapNone/>
              <wp:docPr id="1916076555" name="Text Box 1" descr="---Internal Use--- ">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938530" cy="635000"/>
                      </a:xfrm>
                      <a:prstGeom prst="rect">
                        <a:avLst/>
                      </a:prstGeom>
                      <a:noFill/>
                      <a:ln>
                        <a:noFill/>
                      </a:ln>
                    </wps:spPr>
                    <wps:txbx>
                      <w:txbxContent>
                        <w:p w14:paraId="1601DDE2" w14:textId="60A9E9C9" w:rsidR="009E3D26" w:rsidRPr="009E3D26" w:rsidRDefault="009E3D26" w:rsidP="009E3D26">
                          <w:pPr>
                            <w:rPr>
                              <w:rFonts w:ascii="Arial" w:eastAsia="Arial" w:hAnsi="Arial" w:cs="Arial"/>
                              <w:noProof/>
                              <w:sz w:val="20"/>
                              <w:szCs w:val="20"/>
                            </w:rPr>
                          </w:pPr>
                          <w:r w:rsidRPr="009E3D26">
                            <w:rPr>
                              <w:rFonts w:ascii="Arial" w:eastAsia="Arial" w:hAnsi="Arial" w:cs="Arial"/>
                              <w:noProof/>
                              <w:sz w:val="20"/>
                              <w:szCs w:val="20"/>
                            </w:rPr>
                            <w:t xml:space="preserve">---Internal Use---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7786DB9" id="_x0000_t202" coordsize="21600,21600" o:spt="202" path="m,l,21600r21600,l21600,xe">
              <v:stroke joinstyle="miter"/>
              <v:path gradientshapeok="t" o:connecttype="rect"/>
            </v:shapetype>
            <v:shape id="Text Box 1" o:spid="_x0000_s1027" type="#_x0000_t202" alt="---Internal Use--- " style="position:absolute;left:0;text-align:left;margin-left:0;margin-top:0;width:73.9pt;height:50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" filled="f" stroked="f">
              <v:textbox style="mso-fit-shape-to-text:t" inset="0,0,0,15pt">
                <w:txbxContent>
                  <w:p w14:paraId="1601DDE2" w14:textId="60A9E9C9" w:rsidR="009E3D26" w:rsidRPr="009E3D26" w:rsidRDefault="009E3D26" w:rsidP="009E3D26">
                    <w:pPr>
                      <w:rPr>
                        <w:rFonts w:ascii="Arial" w:eastAsia="Arial" w:hAnsi="Arial" w:cs="Arial"/>
                        <w:noProof/>
                        <w:sz w:val="20"/>
                        <w:szCs w:val="20"/>
                      </w:rPr>
                    </w:pPr>
                    <w:r w:rsidRPr="009E3D26">
                      <w:rPr>
                        <w:rFonts w:ascii="Arial" w:eastAsia="Arial" w:hAnsi="Arial" w:cs="Arial"/>
                        <w:noProof/>
                        <w:sz w:val="20"/>
                        <w:szCs w:val="20"/>
                      </w:rPr>
                      <w:t xml:space="preserve">---Internal Use--- </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7655AA" w14:textId="77777777" w:rsidR="00962026" w:rsidRDefault="00962026">
      <w:pPr>
        <w:spacing w:before="0" w:line="240" w:lineRule="auto"/>
      </w:pPr>
      <w:r>
        <w:separator/>
      </w:r>
    </w:p>
  </w:footnote>
  <w:footnote w:type="continuationSeparator" w:id="0">
    <w:p w14:paraId="0EC4A00A" w14:textId="77777777" w:rsidR="00962026" w:rsidRDefault="00962026">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759BF" w14:textId="6514E25B" w:rsidR="00B45984" w:rsidRDefault="00962026">
    <w:pPr>
      <w:pStyle w:val="Header"/>
    </w:pPr>
    <w:r>
      <w:rPr>
        <w:noProof/>
      </w:rPr>
      <w:pict w14:anchorId="47A6CD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815813" o:spid="_x0000_s2050" type="#_x0000_t136" style="position:absolute;left:0;text-align:left;margin-left:0;margin-top:0;width:699.8pt;height:77.7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02D2E" w14:textId="30929113" w:rsidR="00B45984" w:rsidRDefault="00962026">
    <w:pPr>
      <w:pStyle w:val="Header"/>
    </w:pPr>
    <w:r>
      <w:rPr>
        <w:noProof/>
      </w:rPr>
      <w:pict w14:anchorId="525F64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815814" o:spid="_x0000_s2051" type="#_x0000_t136" style="position:absolute;left:0;text-align:left;margin-left:0;margin-top:0;width:699.8pt;height:77.75pt;rotation:315;z-index:-25165107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512B3" w14:textId="0819F9DE" w:rsidR="00B45984" w:rsidRDefault="00962026">
    <w:pPr>
      <w:pStyle w:val="Header"/>
    </w:pPr>
    <w:r>
      <w:rPr>
        <w:noProof/>
      </w:rPr>
      <w:pict w14:anchorId="20B62E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815812" o:spid="_x0000_s2049" type="#_x0000_t136" style="position:absolute;left:0;text-align:left;margin-left:0;margin-top:0;width:699.8pt;height:77.7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687400"/>
    <w:multiLevelType w:val="hybridMultilevel"/>
    <w:tmpl w:val="07187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9566D1"/>
    <w:multiLevelType w:val="hybridMultilevel"/>
    <w:tmpl w:val="7BAE536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1B7C9E"/>
    <w:multiLevelType w:val="multilevel"/>
    <w:tmpl w:val="0C88FA22"/>
    <w:lvl w:ilvl="0">
      <w:start w:val="4"/>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114F32EA"/>
    <w:multiLevelType w:val="hybridMultilevel"/>
    <w:tmpl w:val="E7D68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601C5E"/>
    <w:multiLevelType w:val="hybridMultilevel"/>
    <w:tmpl w:val="F65823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3733DE"/>
    <w:multiLevelType w:val="hybridMultilevel"/>
    <w:tmpl w:val="1BD88FA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256848"/>
    <w:multiLevelType w:val="hybridMultilevel"/>
    <w:tmpl w:val="AD36A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8C196C"/>
    <w:multiLevelType w:val="hybridMultilevel"/>
    <w:tmpl w:val="E9F03D5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67493F"/>
    <w:multiLevelType w:val="hybridMultilevel"/>
    <w:tmpl w:val="646CF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4A1EAC"/>
    <w:multiLevelType w:val="hybridMultilevel"/>
    <w:tmpl w:val="A7EA6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EE5C35"/>
    <w:multiLevelType w:val="hybridMultilevel"/>
    <w:tmpl w:val="4A0AC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B47B39"/>
    <w:multiLevelType w:val="hybridMultilevel"/>
    <w:tmpl w:val="0D0A84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FD2ADC"/>
    <w:multiLevelType w:val="hybridMultilevel"/>
    <w:tmpl w:val="390E27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2D3349"/>
    <w:multiLevelType w:val="hybridMultilevel"/>
    <w:tmpl w:val="7B7E25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D46DE2"/>
    <w:multiLevelType w:val="hybridMultilevel"/>
    <w:tmpl w:val="C33094B4"/>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DD63F92"/>
    <w:multiLevelType w:val="hybridMultilevel"/>
    <w:tmpl w:val="0010C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8732FF"/>
    <w:multiLevelType w:val="multilevel"/>
    <w:tmpl w:val="568460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6CF67FC"/>
    <w:multiLevelType w:val="hybridMultilevel"/>
    <w:tmpl w:val="4922F102"/>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B8C22F9"/>
    <w:multiLevelType w:val="hybridMultilevel"/>
    <w:tmpl w:val="DDBAC8F8"/>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16B58F2"/>
    <w:multiLevelType w:val="multilevel"/>
    <w:tmpl w:val="EC12FE2E"/>
    <w:lvl w:ilvl="0">
      <w:start w:val="4"/>
      <w:numFmt w:val="decimal"/>
      <w:lvlText w:val="%1"/>
      <w:lvlJc w:val="left"/>
      <w:pPr>
        <w:ind w:left="375" w:hanging="375"/>
      </w:pPr>
      <w:rPr>
        <w:rFonts w:cs="SimSun" w:hint="default"/>
        <w:color w:val="000000"/>
        <w:sz w:val="24"/>
      </w:rPr>
    </w:lvl>
    <w:lvl w:ilvl="1">
      <w:start w:val="1"/>
      <w:numFmt w:val="decimal"/>
      <w:lvlText w:val="%1.%2"/>
      <w:lvlJc w:val="left"/>
      <w:pPr>
        <w:ind w:left="375" w:hanging="375"/>
      </w:pPr>
      <w:rPr>
        <w:rFonts w:cs="SimSun" w:hint="default"/>
        <w:color w:val="000000"/>
        <w:sz w:val="24"/>
      </w:rPr>
    </w:lvl>
    <w:lvl w:ilvl="2">
      <w:start w:val="1"/>
      <w:numFmt w:val="decimal"/>
      <w:lvlText w:val="%1.%2.%3"/>
      <w:lvlJc w:val="left"/>
      <w:pPr>
        <w:ind w:left="720" w:hanging="720"/>
      </w:pPr>
      <w:rPr>
        <w:rFonts w:cs="SimSun" w:hint="default"/>
        <w:color w:val="000000"/>
        <w:sz w:val="24"/>
      </w:rPr>
    </w:lvl>
    <w:lvl w:ilvl="3">
      <w:start w:val="1"/>
      <w:numFmt w:val="decimal"/>
      <w:lvlText w:val="%1.%2.%3.%4"/>
      <w:lvlJc w:val="left"/>
      <w:pPr>
        <w:ind w:left="720" w:hanging="720"/>
      </w:pPr>
      <w:rPr>
        <w:rFonts w:cs="SimSun" w:hint="default"/>
        <w:color w:val="000000"/>
        <w:sz w:val="24"/>
      </w:rPr>
    </w:lvl>
    <w:lvl w:ilvl="4">
      <w:start w:val="1"/>
      <w:numFmt w:val="decimal"/>
      <w:lvlText w:val="%1.%2.%3.%4.%5"/>
      <w:lvlJc w:val="left"/>
      <w:pPr>
        <w:ind w:left="1080" w:hanging="1080"/>
      </w:pPr>
      <w:rPr>
        <w:rFonts w:cs="SimSun" w:hint="default"/>
        <w:color w:val="000000"/>
        <w:sz w:val="24"/>
      </w:rPr>
    </w:lvl>
    <w:lvl w:ilvl="5">
      <w:start w:val="1"/>
      <w:numFmt w:val="decimal"/>
      <w:lvlText w:val="%1.%2.%3.%4.%5.%6"/>
      <w:lvlJc w:val="left"/>
      <w:pPr>
        <w:ind w:left="1080" w:hanging="1080"/>
      </w:pPr>
      <w:rPr>
        <w:rFonts w:cs="SimSun" w:hint="default"/>
        <w:color w:val="000000"/>
        <w:sz w:val="24"/>
      </w:rPr>
    </w:lvl>
    <w:lvl w:ilvl="6">
      <w:start w:val="1"/>
      <w:numFmt w:val="decimal"/>
      <w:lvlText w:val="%1.%2.%3.%4.%5.%6.%7"/>
      <w:lvlJc w:val="left"/>
      <w:pPr>
        <w:ind w:left="1440" w:hanging="1440"/>
      </w:pPr>
      <w:rPr>
        <w:rFonts w:cs="SimSun" w:hint="default"/>
        <w:color w:val="000000"/>
        <w:sz w:val="24"/>
      </w:rPr>
    </w:lvl>
    <w:lvl w:ilvl="7">
      <w:start w:val="1"/>
      <w:numFmt w:val="decimal"/>
      <w:lvlText w:val="%1.%2.%3.%4.%5.%6.%7.%8"/>
      <w:lvlJc w:val="left"/>
      <w:pPr>
        <w:ind w:left="1440" w:hanging="1440"/>
      </w:pPr>
      <w:rPr>
        <w:rFonts w:cs="SimSun" w:hint="default"/>
        <w:color w:val="000000"/>
        <w:sz w:val="24"/>
      </w:rPr>
    </w:lvl>
    <w:lvl w:ilvl="8">
      <w:start w:val="1"/>
      <w:numFmt w:val="decimal"/>
      <w:lvlText w:val="%1.%2.%3.%4.%5.%6.%7.%8.%9"/>
      <w:lvlJc w:val="left"/>
      <w:pPr>
        <w:ind w:left="1800" w:hanging="1800"/>
      </w:pPr>
      <w:rPr>
        <w:rFonts w:cs="SimSun" w:hint="default"/>
        <w:color w:val="000000"/>
        <w:sz w:val="24"/>
      </w:rPr>
    </w:lvl>
  </w:abstractNum>
  <w:abstractNum w:abstractNumId="21" w15:restartNumberingAfterBreak="0">
    <w:nsid w:val="790C191B"/>
    <w:multiLevelType w:val="hybridMultilevel"/>
    <w:tmpl w:val="06B00824"/>
    <w:lvl w:ilvl="0" w:tplc="F1BC3844">
      <w:start w:val="1"/>
      <w:numFmt w:val="lowerLetter"/>
      <w:lvlText w:val="%1."/>
      <w:lvlJc w:val="left"/>
      <w:pPr>
        <w:ind w:left="750" w:hanging="39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B72972"/>
    <w:multiLevelType w:val="hybridMultilevel"/>
    <w:tmpl w:val="4F306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C84D78"/>
    <w:multiLevelType w:val="multilevel"/>
    <w:tmpl w:val="C2EA0EBE"/>
    <w:lvl w:ilvl="0">
      <w:start w:val="4"/>
      <w:numFmt w:val="decimal"/>
      <w:lvlText w:val="%1"/>
      <w:lvlJc w:val="left"/>
      <w:pPr>
        <w:ind w:left="525" w:hanging="360"/>
      </w:pPr>
      <w:rPr>
        <w:rFonts w:hint="default"/>
        <w:lang w:val="en-US" w:eastAsia="en-US" w:bidi="ar-SA"/>
      </w:rPr>
    </w:lvl>
    <w:lvl w:ilvl="1">
      <w:start w:val="1"/>
      <w:numFmt w:val="decimal"/>
      <w:lvlText w:val="%1.%2"/>
      <w:lvlJc w:val="left"/>
      <w:pPr>
        <w:ind w:left="525" w:hanging="36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705" w:hanging="54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960" w:hanging="540"/>
      </w:pPr>
      <w:rPr>
        <w:rFonts w:hint="default"/>
        <w:lang w:val="en-US" w:eastAsia="en-US" w:bidi="ar-SA"/>
      </w:rPr>
    </w:lvl>
    <w:lvl w:ilvl="4">
      <w:numFmt w:val="bullet"/>
      <w:lvlText w:val="•"/>
      <w:lvlJc w:val="left"/>
      <w:pPr>
        <w:ind w:left="1090" w:hanging="540"/>
      </w:pPr>
      <w:rPr>
        <w:rFonts w:hint="default"/>
        <w:lang w:val="en-US" w:eastAsia="en-US" w:bidi="ar-SA"/>
      </w:rPr>
    </w:lvl>
    <w:lvl w:ilvl="5">
      <w:numFmt w:val="bullet"/>
      <w:lvlText w:val="•"/>
      <w:lvlJc w:val="left"/>
      <w:pPr>
        <w:ind w:left="1220" w:hanging="540"/>
      </w:pPr>
      <w:rPr>
        <w:rFonts w:hint="default"/>
        <w:lang w:val="en-US" w:eastAsia="en-US" w:bidi="ar-SA"/>
      </w:rPr>
    </w:lvl>
    <w:lvl w:ilvl="6">
      <w:numFmt w:val="bullet"/>
      <w:lvlText w:val="•"/>
      <w:lvlJc w:val="left"/>
      <w:pPr>
        <w:ind w:left="1351" w:hanging="540"/>
      </w:pPr>
      <w:rPr>
        <w:rFonts w:hint="default"/>
        <w:lang w:val="en-US" w:eastAsia="en-US" w:bidi="ar-SA"/>
      </w:rPr>
    </w:lvl>
    <w:lvl w:ilvl="7">
      <w:numFmt w:val="bullet"/>
      <w:lvlText w:val="•"/>
      <w:lvlJc w:val="left"/>
      <w:pPr>
        <w:ind w:left="1481" w:hanging="540"/>
      </w:pPr>
      <w:rPr>
        <w:rFonts w:hint="default"/>
        <w:lang w:val="en-US" w:eastAsia="en-US" w:bidi="ar-SA"/>
      </w:rPr>
    </w:lvl>
    <w:lvl w:ilvl="8">
      <w:numFmt w:val="bullet"/>
      <w:lvlText w:val="•"/>
      <w:lvlJc w:val="left"/>
      <w:pPr>
        <w:ind w:left="1611" w:hanging="540"/>
      </w:pPr>
      <w:rPr>
        <w:rFonts w:hint="default"/>
        <w:lang w:val="en-US" w:eastAsia="en-US" w:bidi="ar-SA"/>
      </w:rPr>
    </w:lvl>
  </w:abstractNum>
  <w:num w:numId="1">
    <w:abstractNumId w:val="4"/>
  </w:num>
  <w:num w:numId="2">
    <w:abstractNumId w:val="16"/>
  </w:num>
  <w:num w:numId="3">
    <w:abstractNumId w:val="23"/>
  </w:num>
  <w:num w:numId="4">
    <w:abstractNumId w:val="22"/>
  </w:num>
  <w:num w:numId="5">
    <w:abstractNumId w:val="17"/>
  </w:num>
  <w:num w:numId="6">
    <w:abstractNumId w:val="20"/>
  </w:num>
  <w:num w:numId="7">
    <w:abstractNumId w:val="3"/>
  </w:num>
  <w:num w:numId="8">
    <w:abstractNumId w:val="0"/>
  </w:num>
  <w:num w:numId="9">
    <w:abstractNumId w:val="12"/>
  </w:num>
  <w:num w:numId="10">
    <w:abstractNumId w:val="5"/>
  </w:num>
  <w:num w:numId="11">
    <w:abstractNumId w:val="1"/>
  </w:num>
  <w:num w:numId="12">
    <w:abstractNumId w:val="11"/>
  </w:num>
  <w:num w:numId="13">
    <w:abstractNumId w:val="14"/>
  </w:num>
  <w:num w:numId="14">
    <w:abstractNumId w:val="19"/>
  </w:num>
  <w:num w:numId="15">
    <w:abstractNumId w:val="2"/>
  </w:num>
  <w:num w:numId="16">
    <w:abstractNumId w:val="10"/>
  </w:num>
  <w:num w:numId="17">
    <w:abstractNumId w:val="7"/>
  </w:num>
  <w:num w:numId="18">
    <w:abstractNumId w:val="15"/>
  </w:num>
  <w:num w:numId="19">
    <w:abstractNumId w:val="13"/>
  </w:num>
  <w:num w:numId="20">
    <w:abstractNumId w:val="6"/>
  </w:num>
  <w:num w:numId="21">
    <w:abstractNumId w:val="8"/>
  </w:num>
  <w:num w:numId="22">
    <w:abstractNumId w:val="21"/>
  </w:num>
  <w:num w:numId="23">
    <w:abstractNumId w:val="9"/>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D83"/>
    <w:rsid w:val="00005286"/>
    <w:rsid w:val="00014726"/>
    <w:rsid w:val="0001490C"/>
    <w:rsid w:val="00036654"/>
    <w:rsid w:val="000410EC"/>
    <w:rsid w:val="000443AB"/>
    <w:rsid w:val="000446E8"/>
    <w:rsid w:val="00047D61"/>
    <w:rsid w:val="00055D83"/>
    <w:rsid w:val="000577EB"/>
    <w:rsid w:val="0006448B"/>
    <w:rsid w:val="00064933"/>
    <w:rsid w:val="000650BC"/>
    <w:rsid w:val="000661F9"/>
    <w:rsid w:val="00073097"/>
    <w:rsid w:val="000747C2"/>
    <w:rsid w:val="000750F8"/>
    <w:rsid w:val="00076BA5"/>
    <w:rsid w:val="000804D7"/>
    <w:rsid w:val="00082DAA"/>
    <w:rsid w:val="00087A1D"/>
    <w:rsid w:val="00096C2E"/>
    <w:rsid w:val="0009733F"/>
    <w:rsid w:val="000A3BD7"/>
    <w:rsid w:val="000A56D7"/>
    <w:rsid w:val="000A57EC"/>
    <w:rsid w:val="000A6884"/>
    <w:rsid w:val="000B496D"/>
    <w:rsid w:val="000C037E"/>
    <w:rsid w:val="000D075E"/>
    <w:rsid w:val="000D0F56"/>
    <w:rsid w:val="000D1B44"/>
    <w:rsid w:val="000D7152"/>
    <w:rsid w:val="000D7DAA"/>
    <w:rsid w:val="000E2349"/>
    <w:rsid w:val="000F4A65"/>
    <w:rsid w:val="00111B62"/>
    <w:rsid w:val="001163C7"/>
    <w:rsid w:val="00124253"/>
    <w:rsid w:val="00124CA1"/>
    <w:rsid w:val="00130874"/>
    <w:rsid w:val="00131EAA"/>
    <w:rsid w:val="001403AD"/>
    <w:rsid w:val="00142F60"/>
    <w:rsid w:val="001450C8"/>
    <w:rsid w:val="001452A3"/>
    <w:rsid w:val="00147E4C"/>
    <w:rsid w:val="00154669"/>
    <w:rsid w:val="001618DC"/>
    <w:rsid w:val="00162029"/>
    <w:rsid w:val="00167079"/>
    <w:rsid w:val="00167C75"/>
    <w:rsid w:val="0017796D"/>
    <w:rsid w:val="0018163F"/>
    <w:rsid w:val="0018246F"/>
    <w:rsid w:val="00185BCB"/>
    <w:rsid w:val="00185FFD"/>
    <w:rsid w:val="001938DE"/>
    <w:rsid w:val="001947AD"/>
    <w:rsid w:val="001A1E1C"/>
    <w:rsid w:val="001A5880"/>
    <w:rsid w:val="001C0412"/>
    <w:rsid w:val="001C35CA"/>
    <w:rsid w:val="001C4B7D"/>
    <w:rsid w:val="001D23A9"/>
    <w:rsid w:val="001D4A55"/>
    <w:rsid w:val="001D6A60"/>
    <w:rsid w:val="001E0043"/>
    <w:rsid w:val="001E052A"/>
    <w:rsid w:val="001E21F0"/>
    <w:rsid w:val="001E5289"/>
    <w:rsid w:val="001E649F"/>
    <w:rsid w:val="001F024F"/>
    <w:rsid w:val="001F27A6"/>
    <w:rsid w:val="001F2B0E"/>
    <w:rsid w:val="001F51C1"/>
    <w:rsid w:val="001F7468"/>
    <w:rsid w:val="00204AAD"/>
    <w:rsid w:val="0021142D"/>
    <w:rsid w:val="002151BA"/>
    <w:rsid w:val="0022048F"/>
    <w:rsid w:val="0022156B"/>
    <w:rsid w:val="00223099"/>
    <w:rsid w:val="00223A1A"/>
    <w:rsid w:val="0022500A"/>
    <w:rsid w:val="002254B1"/>
    <w:rsid w:val="00243C69"/>
    <w:rsid w:val="0024737A"/>
    <w:rsid w:val="0025131C"/>
    <w:rsid w:val="0025160E"/>
    <w:rsid w:val="0025635B"/>
    <w:rsid w:val="00260B2D"/>
    <w:rsid w:val="002645C1"/>
    <w:rsid w:val="00270AED"/>
    <w:rsid w:val="00271CF6"/>
    <w:rsid w:val="00274AC6"/>
    <w:rsid w:val="00276CE5"/>
    <w:rsid w:val="002779A5"/>
    <w:rsid w:val="002856C7"/>
    <w:rsid w:val="002859D4"/>
    <w:rsid w:val="002860AE"/>
    <w:rsid w:val="002A562C"/>
    <w:rsid w:val="002B2D3C"/>
    <w:rsid w:val="002B5578"/>
    <w:rsid w:val="002C2F8F"/>
    <w:rsid w:val="002C5E15"/>
    <w:rsid w:val="002C6F25"/>
    <w:rsid w:val="002C72A3"/>
    <w:rsid w:val="002D1CB2"/>
    <w:rsid w:val="002D32ED"/>
    <w:rsid w:val="002D4259"/>
    <w:rsid w:val="002D6969"/>
    <w:rsid w:val="002D7340"/>
    <w:rsid w:val="002E3874"/>
    <w:rsid w:val="002E784F"/>
    <w:rsid w:val="002F03DA"/>
    <w:rsid w:val="002F3573"/>
    <w:rsid w:val="00300BE0"/>
    <w:rsid w:val="00301FD6"/>
    <w:rsid w:val="003029F0"/>
    <w:rsid w:val="00311377"/>
    <w:rsid w:val="00311DFA"/>
    <w:rsid w:val="003128C6"/>
    <w:rsid w:val="003131D7"/>
    <w:rsid w:val="003140FD"/>
    <w:rsid w:val="00323D68"/>
    <w:rsid w:val="00324548"/>
    <w:rsid w:val="0033028F"/>
    <w:rsid w:val="0033151D"/>
    <w:rsid w:val="00336C6D"/>
    <w:rsid w:val="00337145"/>
    <w:rsid w:val="0034183D"/>
    <w:rsid w:val="00342FD9"/>
    <w:rsid w:val="00343006"/>
    <w:rsid w:val="00343363"/>
    <w:rsid w:val="00344733"/>
    <w:rsid w:val="003522D0"/>
    <w:rsid w:val="003607E2"/>
    <w:rsid w:val="0036344E"/>
    <w:rsid w:val="00370F8B"/>
    <w:rsid w:val="00371FF9"/>
    <w:rsid w:val="00372DCB"/>
    <w:rsid w:val="00374FD9"/>
    <w:rsid w:val="00376BF4"/>
    <w:rsid w:val="0038103F"/>
    <w:rsid w:val="003851AE"/>
    <w:rsid w:val="003853CB"/>
    <w:rsid w:val="00390D07"/>
    <w:rsid w:val="003A1E48"/>
    <w:rsid w:val="003A2387"/>
    <w:rsid w:val="003B03A5"/>
    <w:rsid w:val="003B1974"/>
    <w:rsid w:val="003C4227"/>
    <w:rsid w:val="003C581F"/>
    <w:rsid w:val="003C59BB"/>
    <w:rsid w:val="003C7107"/>
    <w:rsid w:val="003D2541"/>
    <w:rsid w:val="003D39AB"/>
    <w:rsid w:val="003D4D6F"/>
    <w:rsid w:val="003D4FD6"/>
    <w:rsid w:val="003D7198"/>
    <w:rsid w:val="003E0D69"/>
    <w:rsid w:val="003E0FAD"/>
    <w:rsid w:val="003E21E7"/>
    <w:rsid w:val="003E38F0"/>
    <w:rsid w:val="003E7E33"/>
    <w:rsid w:val="003F01AE"/>
    <w:rsid w:val="003F72A0"/>
    <w:rsid w:val="00406845"/>
    <w:rsid w:val="004071F4"/>
    <w:rsid w:val="00407977"/>
    <w:rsid w:val="0041566F"/>
    <w:rsid w:val="00415ABE"/>
    <w:rsid w:val="004165B3"/>
    <w:rsid w:val="00416E73"/>
    <w:rsid w:val="00421CF2"/>
    <w:rsid w:val="0042251A"/>
    <w:rsid w:val="004261F9"/>
    <w:rsid w:val="00426201"/>
    <w:rsid w:val="00426617"/>
    <w:rsid w:val="00426CDB"/>
    <w:rsid w:val="00437393"/>
    <w:rsid w:val="00440EF7"/>
    <w:rsid w:val="00451ECC"/>
    <w:rsid w:val="00462C20"/>
    <w:rsid w:val="004737A8"/>
    <w:rsid w:val="00483FB5"/>
    <w:rsid w:val="004916BB"/>
    <w:rsid w:val="004963A4"/>
    <w:rsid w:val="00496991"/>
    <w:rsid w:val="004A12F4"/>
    <w:rsid w:val="004A3F7C"/>
    <w:rsid w:val="004A5357"/>
    <w:rsid w:val="004A5AA0"/>
    <w:rsid w:val="004B7C71"/>
    <w:rsid w:val="004C3121"/>
    <w:rsid w:val="004C41F7"/>
    <w:rsid w:val="004C4596"/>
    <w:rsid w:val="004C7D5D"/>
    <w:rsid w:val="004D0812"/>
    <w:rsid w:val="004D081D"/>
    <w:rsid w:val="004D5CCD"/>
    <w:rsid w:val="004D7EEF"/>
    <w:rsid w:val="004E3D2D"/>
    <w:rsid w:val="004E4A2C"/>
    <w:rsid w:val="004F5A5D"/>
    <w:rsid w:val="00500683"/>
    <w:rsid w:val="00505972"/>
    <w:rsid w:val="00511FA2"/>
    <w:rsid w:val="0051495F"/>
    <w:rsid w:val="00526412"/>
    <w:rsid w:val="0052667E"/>
    <w:rsid w:val="00533290"/>
    <w:rsid w:val="005417F4"/>
    <w:rsid w:val="0054398C"/>
    <w:rsid w:val="0054478E"/>
    <w:rsid w:val="00546369"/>
    <w:rsid w:val="00556C7C"/>
    <w:rsid w:val="00561737"/>
    <w:rsid w:val="00563CE7"/>
    <w:rsid w:val="00563F35"/>
    <w:rsid w:val="005666F9"/>
    <w:rsid w:val="005713C2"/>
    <w:rsid w:val="00571717"/>
    <w:rsid w:val="00571F99"/>
    <w:rsid w:val="005740B5"/>
    <w:rsid w:val="00575F00"/>
    <w:rsid w:val="00580F0A"/>
    <w:rsid w:val="00591DBD"/>
    <w:rsid w:val="005926C9"/>
    <w:rsid w:val="00594F68"/>
    <w:rsid w:val="005B04D7"/>
    <w:rsid w:val="005B0558"/>
    <w:rsid w:val="005D3FE1"/>
    <w:rsid w:val="005D72F4"/>
    <w:rsid w:val="005E386E"/>
    <w:rsid w:val="005E3D2C"/>
    <w:rsid w:val="005F19B0"/>
    <w:rsid w:val="005F1DA5"/>
    <w:rsid w:val="005F2F50"/>
    <w:rsid w:val="0060683F"/>
    <w:rsid w:val="00610BEF"/>
    <w:rsid w:val="0061111A"/>
    <w:rsid w:val="00615B2D"/>
    <w:rsid w:val="00616E93"/>
    <w:rsid w:val="006177C4"/>
    <w:rsid w:val="006211E5"/>
    <w:rsid w:val="00622E5D"/>
    <w:rsid w:val="00623C02"/>
    <w:rsid w:val="00632E53"/>
    <w:rsid w:val="00652189"/>
    <w:rsid w:val="0065654C"/>
    <w:rsid w:val="00661AAF"/>
    <w:rsid w:val="006633DF"/>
    <w:rsid w:val="00675C16"/>
    <w:rsid w:val="006826A1"/>
    <w:rsid w:val="00683F32"/>
    <w:rsid w:val="00685965"/>
    <w:rsid w:val="0068692A"/>
    <w:rsid w:val="00692AF5"/>
    <w:rsid w:val="006A0520"/>
    <w:rsid w:val="006B1220"/>
    <w:rsid w:val="006B3C88"/>
    <w:rsid w:val="006B4626"/>
    <w:rsid w:val="006B5A8E"/>
    <w:rsid w:val="006B5CA2"/>
    <w:rsid w:val="006C3DFD"/>
    <w:rsid w:val="006C41A9"/>
    <w:rsid w:val="006C4D79"/>
    <w:rsid w:val="006D16E8"/>
    <w:rsid w:val="006E1D74"/>
    <w:rsid w:val="006E3F3F"/>
    <w:rsid w:val="006E526B"/>
    <w:rsid w:val="0070085D"/>
    <w:rsid w:val="00714562"/>
    <w:rsid w:val="00715AA2"/>
    <w:rsid w:val="0071731F"/>
    <w:rsid w:val="007173FC"/>
    <w:rsid w:val="007205CE"/>
    <w:rsid w:val="00722A32"/>
    <w:rsid w:val="00723B81"/>
    <w:rsid w:val="007313ED"/>
    <w:rsid w:val="00731F76"/>
    <w:rsid w:val="00750F50"/>
    <w:rsid w:val="0075698D"/>
    <w:rsid w:val="0076188C"/>
    <w:rsid w:val="00762807"/>
    <w:rsid w:val="007656A9"/>
    <w:rsid w:val="0077042C"/>
    <w:rsid w:val="00772A04"/>
    <w:rsid w:val="00774F84"/>
    <w:rsid w:val="007769D0"/>
    <w:rsid w:val="00777615"/>
    <w:rsid w:val="0078324B"/>
    <w:rsid w:val="007846B3"/>
    <w:rsid w:val="00784B96"/>
    <w:rsid w:val="00785F6F"/>
    <w:rsid w:val="00790BF9"/>
    <w:rsid w:val="00795B86"/>
    <w:rsid w:val="00797B58"/>
    <w:rsid w:val="007A0442"/>
    <w:rsid w:val="007A2567"/>
    <w:rsid w:val="007A48D9"/>
    <w:rsid w:val="007A56B8"/>
    <w:rsid w:val="007A602B"/>
    <w:rsid w:val="007A6B64"/>
    <w:rsid w:val="007A7328"/>
    <w:rsid w:val="007A784F"/>
    <w:rsid w:val="007A7BFC"/>
    <w:rsid w:val="007B03EC"/>
    <w:rsid w:val="007B468C"/>
    <w:rsid w:val="007B75C6"/>
    <w:rsid w:val="007C3182"/>
    <w:rsid w:val="007C6929"/>
    <w:rsid w:val="007D08AC"/>
    <w:rsid w:val="007D4F35"/>
    <w:rsid w:val="007E3458"/>
    <w:rsid w:val="007E5A6C"/>
    <w:rsid w:val="007F1318"/>
    <w:rsid w:val="007F4F3C"/>
    <w:rsid w:val="008003E7"/>
    <w:rsid w:val="0081762C"/>
    <w:rsid w:val="008209F0"/>
    <w:rsid w:val="00822A7E"/>
    <w:rsid w:val="008263C5"/>
    <w:rsid w:val="008456FF"/>
    <w:rsid w:val="00854FF7"/>
    <w:rsid w:val="00857BF9"/>
    <w:rsid w:val="00860F17"/>
    <w:rsid w:val="00863107"/>
    <w:rsid w:val="00870B4E"/>
    <w:rsid w:val="008718EE"/>
    <w:rsid w:val="00872612"/>
    <w:rsid w:val="00876501"/>
    <w:rsid w:val="00880213"/>
    <w:rsid w:val="00895281"/>
    <w:rsid w:val="008A5E87"/>
    <w:rsid w:val="008B0097"/>
    <w:rsid w:val="008B4F87"/>
    <w:rsid w:val="008B511B"/>
    <w:rsid w:val="008B630B"/>
    <w:rsid w:val="008B7836"/>
    <w:rsid w:val="008B7D65"/>
    <w:rsid w:val="008C0186"/>
    <w:rsid w:val="008C2098"/>
    <w:rsid w:val="008D0E99"/>
    <w:rsid w:val="008D43EA"/>
    <w:rsid w:val="008E2312"/>
    <w:rsid w:val="008E4DDA"/>
    <w:rsid w:val="008E5566"/>
    <w:rsid w:val="008F4E62"/>
    <w:rsid w:val="00906288"/>
    <w:rsid w:val="00912F66"/>
    <w:rsid w:val="009179CC"/>
    <w:rsid w:val="0092006B"/>
    <w:rsid w:val="00925466"/>
    <w:rsid w:val="0092720B"/>
    <w:rsid w:val="00933567"/>
    <w:rsid w:val="00935ABF"/>
    <w:rsid w:val="00945F70"/>
    <w:rsid w:val="00960F01"/>
    <w:rsid w:val="00961903"/>
    <w:rsid w:val="00962026"/>
    <w:rsid w:val="00963A57"/>
    <w:rsid w:val="00973355"/>
    <w:rsid w:val="009841F2"/>
    <w:rsid w:val="00984917"/>
    <w:rsid w:val="00993BED"/>
    <w:rsid w:val="009963FB"/>
    <w:rsid w:val="009A067C"/>
    <w:rsid w:val="009A1D5D"/>
    <w:rsid w:val="009A2D28"/>
    <w:rsid w:val="009B17C5"/>
    <w:rsid w:val="009B2CE5"/>
    <w:rsid w:val="009B3203"/>
    <w:rsid w:val="009B38E7"/>
    <w:rsid w:val="009B434B"/>
    <w:rsid w:val="009B7DE4"/>
    <w:rsid w:val="009C0C7F"/>
    <w:rsid w:val="009C11BB"/>
    <w:rsid w:val="009D5CE2"/>
    <w:rsid w:val="009E0B92"/>
    <w:rsid w:val="009E0CF9"/>
    <w:rsid w:val="009E3D26"/>
    <w:rsid w:val="009E40E7"/>
    <w:rsid w:val="009E457F"/>
    <w:rsid w:val="009E6944"/>
    <w:rsid w:val="009E783A"/>
    <w:rsid w:val="009F3871"/>
    <w:rsid w:val="009F5632"/>
    <w:rsid w:val="009F6D2D"/>
    <w:rsid w:val="00A00A05"/>
    <w:rsid w:val="00A0120F"/>
    <w:rsid w:val="00A01B25"/>
    <w:rsid w:val="00A01E19"/>
    <w:rsid w:val="00A15B6B"/>
    <w:rsid w:val="00A22EB7"/>
    <w:rsid w:val="00A27439"/>
    <w:rsid w:val="00A31119"/>
    <w:rsid w:val="00A31614"/>
    <w:rsid w:val="00A40F08"/>
    <w:rsid w:val="00A42FF3"/>
    <w:rsid w:val="00A52C12"/>
    <w:rsid w:val="00A57832"/>
    <w:rsid w:val="00A616A9"/>
    <w:rsid w:val="00A6679B"/>
    <w:rsid w:val="00A67F40"/>
    <w:rsid w:val="00A73EDF"/>
    <w:rsid w:val="00A75341"/>
    <w:rsid w:val="00A81F27"/>
    <w:rsid w:val="00A82DFB"/>
    <w:rsid w:val="00A85593"/>
    <w:rsid w:val="00A85B82"/>
    <w:rsid w:val="00A91ACF"/>
    <w:rsid w:val="00A91C98"/>
    <w:rsid w:val="00A9253F"/>
    <w:rsid w:val="00A94D23"/>
    <w:rsid w:val="00A9586C"/>
    <w:rsid w:val="00A96A1E"/>
    <w:rsid w:val="00AC0D69"/>
    <w:rsid w:val="00AC2144"/>
    <w:rsid w:val="00AD0959"/>
    <w:rsid w:val="00AD4106"/>
    <w:rsid w:val="00AD50D3"/>
    <w:rsid w:val="00AD6429"/>
    <w:rsid w:val="00AE3911"/>
    <w:rsid w:val="00AE4AA5"/>
    <w:rsid w:val="00AE69E8"/>
    <w:rsid w:val="00AF0AC2"/>
    <w:rsid w:val="00AF253B"/>
    <w:rsid w:val="00AF38F9"/>
    <w:rsid w:val="00AF46F3"/>
    <w:rsid w:val="00B00FCB"/>
    <w:rsid w:val="00B03327"/>
    <w:rsid w:val="00B04E6C"/>
    <w:rsid w:val="00B05A71"/>
    <w:rsid w:val="00B108BB"/>
    <w:rsid w:val="00B14085"/>
    <w:rsid w:val="00B14EAC"/>
    <w:rsid w:val="00B2188D"/>
    <w:rsid w:val="00B22173"/>
    <w:rsid w:val="00B26084"/>
    <w:rsid w:val="00B3455A"/>
    <w:rsid w:val="00B3762C"/>
    <w:rsid w:val="00B40B7A"/>
    <w:rsid w:val="00B40DD3"/>
    <w:rsid w:val="00B423E1"/>
    <w:rsid w:val="00B449E1"/>
    <w:rsid w:val="00B44AE3"/>
    <w:rsid w:val="00B44B78"/>
    <w:rsid w:val="00B45984"/>
    <w:rsid w:val="00B52DF3"/>
    <w:rsid w:val="00B55CEF"/>
    <w:rsid w:val="00B55DC9"/>
    <w:rsid w:val="00B6094B"/>
    <w:rsid w:val="00B67158"/>
    <w:rsid w:val="00B717D1"/>
    <w:rsid w:val="00B836B4"/>
    <w:rsid w:val="00B85E42"/>
    <w:rsid w:val="00B87A83"/>
    <w:rsid w:val="00B93488"/>
    <w:rsid w:val="00B9497F"/>
    <w:rsid w:val="00BA58DB"/>
    <w:rsid w:val="00BA790C"/>
    <w:rsid w:val="00BB1899"/>
    <w:rsid w:val="00BB3A83"/>
    <w:rsid w:val="00BC2524"/>
    <w:rsid w:val="00BC6A0A"/>
    <w:rsid w:val="00BC7830"/>
    <w:rsid w:val="00BD0E33"/>
    <w:rsid w:val="00BD15A0"/>
    <w:rsid w:val="00BD64EB"/>
    <w:rsid w:val="00BD7BE1"/>
    <w:rsid w:val="00BE1869"/>
    <w:rsid w:val="00BE24E1"/>
    <w:rsid w:val="00BF3C23"/>
    <w:rsid w:val="00BF6F97"/>
    <w:rsid w:val="00C01423"/>
    <w:rsid w:val="00C0320B"/>
    <w:rsid w:val="00C03297"/>
    <w:rsid w:val="00C053F5"/>
    <w:rsid w:val="00C06731"/>
    <w:rsid w:val="00C10FCA"/>
    <w:rsid w:val="00C1335A"/>
    <w:rsid w:val="00C21D61"/>
    <w:rsid w:val="00C237CE"/>
    <w:rsid w:val="00C2401C"/>
    <w:rsid w:val="00C25488"/>
    <w:rsid w:val="00C32AB8"/>
    <w:rsid w:val="00C4118B"/>
    <w:rsid w:val="00C54577"/>
    <w:rsid w:val="00C67694"/>
    <w:rsid w:val="00C864EE"/>
    <w:rsid w:val="00C9348C"/>
    <w:rsid w:val="00C937F1"/>
    <w:rsid w:val="00C95979"/>
    <w:rsid w:val="00CA2418"/>
    <w:rsid w:val="00CA37C0"/>
    <w:rsid w:val="00CA6BD4"/>
    <w:rsid w:val="00CB6E82"/>
    <w:rsid w:val="00CD4379"/>
    <w:rsid w:val="00CD7331"/>
    <w:rsid w:val="00CE0AFF"/>
    <w:rsid w:val="00CE4C91"/>
    <w:rsid w:val="00CF7125"/>
    <w:rsid w:val="00CF7422"/>
    <w:rsid w:val="00D14A47"/>
    <w:rsid w:val="00D15E77"/>
    <w:rsid w:val="00D16476"/>
    <w:rsid w:val="00D20B1E"/>
    <w:rsid w:val="00D21679"/>
    <w:rsid w:val="00D242AA"/>
    <w:rsid w:val="00D257C4"/>
    <w:rsid w:val="00D257F6"/>
    <w:rsid w:val="00D26C8B"/>
    <w:rsid w:val="00D309F6"/>
    <w:rsid w:val="00D35C0E"/>
    <w:rsid w:val="00D36322"/>
    <w:rsid w:val="00D54CAA"/>
    <w:rsid w:val="00D56393"/>
    <w:rsid w:val="00D56DAA"/>
    <w:rsid w:val="00D656A4"/>
    <w:rsid w:val="00D665A0"/>
    <w:rsid w:val="00D73F27"/>
    <w:rsid w:val="00D74259"/>
    <w:rsid w:val="00D7477F"/>
    <w:rsid w:val="00D7785F"/>
    <w:rsid w:val="00D86D39"/>
    <w:rsid w:val="00D916BC"/>
    <w:rsid w:val="00D94638"/>
    <w:rsid w:val="00DA0813"/>
    <w:rsid w:val="00DB266B"/>
    <w:rsid w:val="00DB408B"/>
    <w:rsid w:val="00DC20F2"/>
    <w:rsid w:val="00DC3B66"/>
    <w:rsid w:val="00DC406B"/>
    <w:rsid w:val="00DC4076"/>
    <w:rsid w:val="00DC411F"/>
    <w:rsid w:val="00DD21C0"/>
    <w:rsid w:val="00DE2430"/>
    <w:rsid w:val="00DE5974"/>
    <w:rsid w:val="00DE6047"/>
    <w:rsid w:val="00DF126E"/>
    <w:rsid w:val="00E05059"/>
    <w:rsid w:val="00E0554F"/>
    <w:rsid w:val="00E07021"/>
    <w:rsid w:val="00E1065F"/>
    <w:rsid w:val="00E1453F"/>
    <w:rsid w:val="00E160F3"/>
    <w:rsid w:val="00E17890"/>
    <w:rsid w:val="00E22B03"/>
    <w:rsid w:val="00E22FC8"/>
    <w:rsid w:val="00E236F2"/>
    <w:rsid w:val="00E24AB2"/>
    <w:rsid w:val="00E270A8"/>
    <w:rsid w:val="00E31A3E"/>
    <w:rsid w:val="00E32139"/>
    <w:rsid w:val="00E3230A"/>
    <w:rsid w:val="00E3709F"/>
    <w:rsid w:val="00E41E2F"/>
    <w:rsid w:val="00E448DE"/>
    <w:rsid w:val="00E468EC"/>
    <w:rsid w:val="00E5141C"/>
    <w:rsid w:val="00E54B24"/>
    <w:rsid w:val="00E550A5"/>
    <w:rsid w:val="00E57ADC"/>
    <w:rsid w:val="00E60AE6"/>
    <w:rsid w:val="00E63B72"/>
    <w:rsid w:val="00E63DD0"/>
    <w:rsid w:val="00E65193"/>
    <w:rsid w:val="00E70601"/>
    <w:rsid w:val="00E728DB"/>
    <w:rsid w:val="00E730D7"/>
    <w:rsid w:val="00E737F5"/>
    <w:rsid w:val="00E73E17"/>
    <w:rsid w:val="00E75DCB"/>
    <w:rsid w:val="00E77E87"/>
    <w:rsid w:val="00E819C7"/>
    <w:rsid w:val="00E85394"/>
    <w:rsid w:val="00E85589"/>
    <w:rsid w:val="00E87A78"/>
    <w:rsid w:val="00E95BE7"/>
    <w:rsid w:val="00E95FB3"/>
    <w:rsid w:val="00EA355D"/>
    <w:rsid w:val="00EA6B12"/>
    <w:rsid w:val="00EA7AE3"/>
    <w:rsid w:val="00EC58C5"/>
    <w:rsid w:val="00ED008A"/>
    <w:rsid w:val="00EE0214"/>
    <w:rsid w:val="00F00D01"/>
    <w:rsid w:val="00F01BA4"/>
    <w:rsid w:val="00F02225"/>
    <w:rsid w:val="00F05D67"/>
    <w:rsid w:val="00F111A2"/>
    <w:rsid w:val="00F12B27"/>
    <w:rsid w:val="00F13287"/>
    <w:rsid w:val="00F14915"/>
    <w:rsid w:val="00F16858"/>
    <w:rsid w:val="00F23691"/>
    <w:rsid w:val="00F3363A"/>
    <w:rsid w:val="00F341B9"/>
    <w:rsid w:val="00F42712"/>
    <w:rsid w:val="00F42A52"/>
    <w:rsid w:val="00F42B0A"/>
    <w:rsid w:val="00F46BA3"/>
    <w:rsid w:val="00F61F6F"/>
    <w:rsid w:val="00F6655B"/>
    <w:rsid w:val="00F74A68"/>
    <w:rsid w:val="00F74BD5"/>
    <w:rsid w:val="00F857CA"/>
    <w:rsid w:val="00F926C6"/>
    <w:rsid w:val="00F933EE"/>
    <w:rsid w:val="00F93EB9"/>
    <w:rsid w:val="00FA3A0A"/>
    <w:rsid w:val="00FA74EF"/>
    <w:rsid w:val="00FB2E0F"/>
    <w:rsid w:val="00FB3030"/>
    <w:rsid w:val="00FB4E25"/>
    <w:rsid w:val="00FC2372"/>
    <w:rsid w:val="00FC34D0"/>
    <w:rsid w:val="00FC4A1C"/>
    <w:rsid w:val="00FD3DAC"/>
    <w:rsid w:val="00FD4A02"/>
    <w:rsid w:val="00FE1FD7"/>
    <w:rsid w:val="00FE5B93"/>
    <w:rsid w:val="00FE6B26"/>
    <w:rsid w:val="00FE7703"/>
    <w:rsid w:val="00FF2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E660C7A"/>
  <w15:chartTrackingRefBased/>
  <w15:docId w15:val="{F58B4E4C-2E9A-4CEF-A397-9B648E9CC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6084"/>
    <w:pPr>
      <w:spacing w:before="240" w:after="0" w:line="480" w:lineRule="auto"/>
      <w:jc w:val="both"/>
    </w:pPr>
    <w:rPr>
      <w:rFonts w:ascii="Times New Roman" w:eastAsia="Calibri" w:hAnsi="Times New Roman" w:cs="SimSun"/>
      <w:color w:val="000000"/>
      <w:kern w:val="0"/>
      <w:sz w:val="24"/>
    </w:rPr>
  </w:style>
  <w:style w:type="paragraph" w:styleId="Heading1">
    <w:name w:val="heading 1"/>
    <w:basedOn w:val="Normal"/>
    <w:next w:val="Normal"/>
    <w:link w:val="Heading1Char"/>
    <w:autoRedefine/>
    <w:uiPriority w:val="9"/>
    <w:qFormat/>
    <w:rsid w:val="00B67158"/>
    <w:pPr>
      <w:keepNext/>
      <w:keepLines/>
      <w:spacing w:before="600" w:after="120" w:line="240" w:lineRule="auto"/>
      <w:outlineLvl w:val="0"/>
    </w:pPr>
    <w:rPr>
      <w:rFonts w:eastAsia="Times New Roman" w:cs="Times New Roman"/>
      <w:b/>
      <w:color w:val="000000" w:themeColor="text1"/>
      <w:kern w:val="2"/>
      <w:sz w:val="28"/>
      <w:szCs w:val="28"/>
      <w:u w:val="single"/>
    </w:rPr>
  </w:style>
  <w:style w:type="paragraph" w:styleId="Heading2">
    <w:name w:val="heading 2"/>
    <w:basedOn w:val="Normal"/>
    <w:next w:val="Normal"/>
    <w:link w:val="Heading2Char"/>
    <w:uiPriority w:val="9"/>
    <w:semiHidden/>
    <w:unhideWhenUsed/>
    <w:qFormat/>
    <w:rsid w:val="0060683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111A2"/>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3D719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55D83"/>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7158"/>
    <w:rPr>
      <w:rFonts w:ascii="Times New Roman" w:eastAsia="Times New Roman" w:hAnsi="Times New Roman" w:cs="Times New Roman"/>
      <w:b/>
      <w:color w:val="000000" w:themeColor="text1"/>
      <w:sz w:val="28"/>
      <w:szCs w:val="28"/>
      <w:u w:val="single"/>
    </w:rPr>
  </w:style>
  <w:style w:type="character" w:customStyle="1" w:styleId="Heading5Char">
    <w:name w:val="Heading 5 Char"/>
    <w:basedOn w:val="DefaultParagraphFont"/>
    <w:link w:val="Heading5"/>
    <w:uiPriority w:val="9"/>
    <w:rsid w:val="00055D83"/>
    <w:rPr>
      <w:rFonts w:asciiTheme="majorHAnsi" w:eastAsiaTheme="majorEastAsia" w:hAnsiTheme="majorHAnsi" w:cstheme="majorBidi"/>
      <w:color w:val="2F5496" w:themeColor="accent1" w:themeShade="BF"/>
      <w:kern w:val="0"/>
      <w:sz w:val="24"/>
    </w:rPr>
  </w:style>
  <w:style w:type="character" w:customStyle="1" w:styleId="ListParagraphChar">
    <w:name w:val="List Paragraph Char"/>
    <w:link w:val="ListParagraph"/>
    <w:uiPriority w:val="34"/>
    <w:rsid w:val="00055D83"/>
    <w:rPr>
      <w:rFonts w:ascii="Calibri" w:eastAsia="Calibri" w:hAnsi="Calibri" w:cs="Times New Roman"/>
    </w:rPr>
  </w:style>
  <w:style w:type="paragraph" w:styleId="ListParagraph">
    <w:name w:val="List Paragraph"/>
    <w:basedOn w:val="Normal"/>
    <w:link w:val="ListParagraphChar"/>
    <w:uiPriority w:val="34"/>
    <w:qFormat/>
    <w:rsid w:val="00055D83"/>
    <w:pPr>
      <w:spacing w:before="120" w:after="200"/>
      <w:ind w:left="720"/>
      <w:contextualSpacing/>
    </w:pPr>
    <w:rPr>
      <w:rFonts w:ascii="Calibri" w:hAnsi="Calibri" w:cs="Times New Roman"/>
      <w:color w:val="auto"/>
      <w:kern w:val="2"/>
      <w:sz w:val="22"/>
    </w:rPr>
  </w:style>
  <w:style w:type="paragraph" w:styleId="Footer">
    <w:name w:val="footer"/>
    <w:basedOn w:val="Normal"/>
    <w:link w:val="FooterChar"/>
    <w:uiPriority w:val="99"/>
    <w:unhideWhenUsed/>
    <w:rsid w:val="00055D83"/>
    <w:pPr>
      <w:tabs>
        <w:tab w:val="center" w:pos="4680"/>
        <w:tab w:val="right" w:pos="9360"/>
      </w:tabs>
      <w:spacing w:before="0" w:line="240" w:lineRule="auto"/>
    </w:pPr>
  </w:style>
  <w:style w:type="character" w:customStyle="1" w:styleId="FooterChar">
    <w:name w:val="Footer Char"/>
    <w:basedOn w:val="DefaultParagraphFont"/>
    <w:link w:val="Footer"/>
    <w:uiPriority w:val="99"/>
    <w:rsid w:val="00055D83"/>
    <w:rPr>
      <w:rFonts w:ascii="Times New Roman" w:eastAsia="Calibri" w:hAnsi="Times New Roman" w:cs="SimSun"/>
      <w:color w:val="000000"/>
      <w:kern w:val="0"/>
      <w:sz w:val="24"/>
    </w:rPr>
  </w:style>
  <w:style w:type="paragraph" w:styleId="BodyText">
    <w:name w:val="Body Text"/>
    <w:basedOn w:val="Normal"/>
    <w:link w:val="BodyTextChar"/>
    <w:uiPriority w:val="1"/>
    <w:qFormat/>
    <w:rsid w:val="00055D83"/>
    <w:pPr>
      <w:widowControl w:val="0"/>
      <w:autoSpaceDE w:val="0"/>
      <w:autoSpaceDN w:val="0"/>
      <w:spacing w:before="0" w:line="240" w:lineRule="auto"/>
      <w:jc w:val="left"/>
    </w:pPr>
    <w:rPr>
      <w:rFonts w:eastAsia="Times New Roman" w:cs="Times New Roman"/>
      <w:color w:val="auto"/>
      <w:szCs w:val="24"/>
      <w:lang w:val="en-GB"/>
      <w14:ligatures w14:val="none"/>
    </w:rPr>
  </w:style>
  <w:style w:type="character" w:customStyle="1" w:styleId="BodyTextChar">
    <w:name w:val="Body Text Char"/>
    <w:basedOn w:val="DefaultParagraphFont"/>
    <w:link w:val="BodyText"/>
    <w:uiPriority w:val="1"/>
    <w:rsid w:val="00055D83"/>
    <w:rPr>
      <w:rFonts w:ascii="Times New Roman" w:eastAsia="Times New Roman" w:hAnsi="Times New Roman" w:cs="Times New Roman"/>
      <w:kern w:val="0"/>
      <w:sz w:val="24"/>
      <w:szCs w:val="24"/>
      <w:lang w:val="en-GB"/>
      <w14:ligatures w14:val="none"/>
    </w:rPr>
  </w:style>
  <w:style w:type="paragraph" w:customStyle="1" w:styleId="Default">
    <w:name w:val="Default"/>
    <w:rsid w:val="00055D83"/>
    <w:pPr>
      <w:autoSpaceDE w:val="0"/>
      <w:autoSpaceDN w:val="0"/>
      <w:adjustRightInd w:val="0"/>
      <w:spacing w:after="0" w:line="240" w:lineRule="auto"/>
    </w:pPr>
    <w:rPr>
      <w:rFonts w:ascii="Times New Roman" w:hAnsi="Times New Roman" w:cs="Times New Roman"/>
      <w:color w:val="000000"/>
      <w:kern w:val="0"/>
      <w:sz w:val="24"/>
      <w:szCs w:val="24"/>
      <w:lang w:val="en-GB"/>
      <w14:ligatures w14:val="none"/>
    </w:rPr>
  </w:style>
  <w:style w:type="character" w:customStyle="1" w:styleId="apple-converted-space">
    <w:name w:val="apple-converted-space"/>
    <w:basedOn w:val="DefaultParagraphFont"/>
    <w:rsid w:val="007F1318"/>
  </w:style>
  <w:style w:type="paragraph" w:customStyle="1" w:styleId="TableParagraph">
    <w:name w:val="Table Paragraph"/>
    <w:basedOn w:val="Normal"/>
    <w:uiPriority w:val="1"/>
    <w:qFormat/>
    <w:rsid w:val="00A6679B"/>
    <w:pPr>
      <w:widowControl w:val="0"/>
      <w:autoSpaceDE w:val="0"/>
      <w:autoSpaceDN w:val="0"/>
      <w:spacing w:before="0" w:line="240" w:lineRule="auto"/>
      <w:jc w:val="left"/>
    </w:pPr>
    <w:rPr>
      <w:rFonts w:eastAsia="Times New Roman" w:cs="Times New Roman"/>
      <w:color w:val="auto"/>
      <w:sz w:val="22"/>
      <w14:ligatures w14:val="none"/>
    </w:rPr>
  </w:style>
  <w:style w:type="character" w:customStyle="1" w:styleId="Heading2Char">
    <w:name w:val="Heading 2 Char"/>
    <w:basedOn w:val="DefaultParagraphFont"/>
    <w:link w:val="Heading2"/>
    <w:uiPriority w:val="9"/>
    <w:semiHidden/>
    <w:rsid w:val="0060683F"/>
    <w:rPr>
      <w:rFonts w:asciiTheme="majorHAnsi" w:eastAsiaTheme="majorEastAsia" w:hAnsiTheme="majorHAnsi" w:cstheme="majorBidi"/>
      <w:color w:val="2F5496" w:themeColor="accent1" w:themeShade="BF"/>
      <w:kern w:val="0"/>
      <w:sz w:val="26"/>
      <w:szCs w:val="26"/>
    </w:rPr>
  </w:style>
  <w:style w:type="character" w:customStyle="1" w:styleId="Heading4Char">
    <w:name w:val="Heading 4 Char"/>
    <w:basedOn w:val="DefaultParagraphFont"/>
    <w:link w:val="Heading4"/>
    <w:uiPriority w:val="9"/>
    <w:semiHidden/>
    <w:rsid w:val="003D7198"/>
    <w:rPr>
      <w:rFonts w:asciiTheme="majorHAnsi" w:eastAsiaTheme="majorEastAsia" w:hAnsiTheme="majorHAnsi" w:cstheme="majorBidi"/>
      <w:i/>
      <w:iCs/>
      <w:color w:val="2F5496" w:themeColor="accent1" w:themeShade="BF"/>
      <w:kern w:val="0"/>
      <w:sz w:val="24"/>
    </w:rPr>
  </w:style>
  <w:style w:type="character" w:styleId="Emphasis">
    <w:name w:val="Emphasis"/>
    <w:qFormat/>
    <w:rsid w:val="00E1453F"/>
    <w:rPr>
      <w:i/>
      <w:iCs/>
    </w:rPr>
  </w:style>
  <w:style w:type="character" w:customStyle="1" w:styleId="Heading3Char">
    <w:name w:val="Heading 3 Char"/>
    <w:basedOn w:val="DefaultParagraphFont"/>
    <w:link w:val="Heading3"/>
    <w:uiPriority w:val="9"/>
    <w:qFormat/>
    <w:rsid w:val="00F111A2"/>
    <w:rPr>
      <w:rFonts w:asciiTheme="majorHAnsi" w:eastAsiaTheme="majorEastAsia" w:hAnsiTheme="majorHAnsi" w:cstheme="majorBidi"/>
      <w:color w:val="1F3763" w:themeColor="accent1" w:themeShade="7F"/>
      <w:kern w:val="0"/>
      <w:sz w:val="24"/>
      <w:szCs w:val="24"/>
    </w:rPr>
  </w:style>
  <w:style w:type="paragraph" w:styleId="NoSpacing">
    <w:name w:val="No Spacing"/>
    <w:uiPriority w:val="1"/>
    <w:qFormat/>
    <w:rsid w:val="00BB3A83"/>
    <w:pPr>
      <w:spacing w:after="0" w:line="240" w:lineRule="auto"/>
      <w:jc w:val="center"/>
    </w:pPr>
    <w:rPr>
      <w:rFonts w:ascii="Times New Roman" w:hAnsi="Times New Roman"/>
      <w:b/>
      <w:i/>
      <w:color w:val="000000" w:themeColor="text1"/>
      <w:kern w:val="0"/>
      <w:sz w:val="24"/>
      <w14:ligatures w14:val="none"/>
    </w:rPr>
  </w:style>
  <w:style w:type="table" w:styleId="TableGrid">
    <w:name w:val="Table Grid"/>
    <w:basedOn w:val="TableNormal"/>
    <w:uiPriority w:val="39"/>
    <w:qFormat/>
    <w:rsid w:val="00BB3A8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B3A83"/>
    <w:pPr>
      <w:spacing w:before="0" w:after="200" w:line="240" w:lineRule="auto"/>
    </w:pPr>
    <w:rPr>
      <w:rFonts w:eastAsia="Times New Roman" w:cs="Times New Roman"/>
      <w:b/>
      <w:bCs/>
      <w:color w:val="4472C4" w:themeColor="accent1"/>
      <w:sz w:val="18"/>
      <w:szCs w:val="18"/>
      <w14:ligatures w14:val="none"/>
    </w:rPr>
  </w:style>
  <w:style w:type="character" w:customStyle="1" w:styleId="markedcontent">
    <w:name w:val="markedcontent"/>
    <w:basedOn w:val="DefaultParagraphFont"/>
    <w:rsid w:val="002D7340"/>
  </w:style>
  <w:style w:type="paragraph" w:customStyle="1" w:styleId="Tables">
    <w:name w:val="Tables"/>
    <w:basedOn w:val="Normal"/>
    <w:link w:val="TablesChar"/>
    <w:qFormat/>
    <w:rsid w:val="00076BA5"/>
    <w:pPr>
      <w:spacing w:before="0" w:line="240" w:lineRule="auto"/>
      <w:jc w:val="left"/>
    </w:pPr>
    <w:rPr>
      <w:rFonts w:eastAsiaTheme="minorHAnsi" w:cs="Times New Roman"/>
      <w:b/>
      <w:color w:val="auto"/>
      <w:szCs w:val="24"/>
      <w14:ligatures w14:val="none"/>
    </w:rPr>
  </w:style>
  <w:style w:type="character" w:customStyle="1" w:styleId="TablesChar">
    <w:name w:val="Tables Char"/>
    <w:basedOn w:val="DefaultParagraphFont"/>
    <w:link w:val="Tables"/>
    <w:rsid w:val="00076BA5"/>
    <w:rPr>
      <w:rFonts w:ascii="Times New Roman" w:hAnsi="Times New Roman" w:cs="Times New Roman"/>
      <w:b/>
      <w:kern w:val="0"/>
      <w:sz w:val="24"/>
      <w:szCs w:val="24"/>
      <w14:ligatures w14:val="none"/>
    </w:rPr>
  </w:style>
  <w:style w:type="character" w:styleId="Hyperlink">
    <w:name w:val="Hyperlink"/>
    <w:basedOn w:val="DefaultParagraphFont"/>
    <w:uiPriority w:val="99"/>
    <w:unhideWhenUsed/>
    <w:rsid w:val="001E649F"/>
    <w:rPr>
      <w:color w:val="0563C1" w:themeColor="hyperlink"/>
      <w:u w:val="single"/>
    </w:rPr>
  </w:style>
  <w:style w:type="character" w:customStyle="1" w:styleId="UnresolvedMention1">
    <w:name w:val="Unresolved Mention1"/>
    <w:basedOn w:val="DefaultParagraphFont"/>
    <w:uiPriority w:val="99"/>
    <w:semiHidden/>
    <w:unhideWhenUsed/>
    <w:rsid w:val="001E649F"/>
    <w:rPr>
      <w:color w:val="605E5C"/>
      <w:shd w:val="clear" w:color="auto" w:fill="E1DFDD"/>
    </w:rPr>
  </w:style>
  <w:style w:type="paragraph" w:styleId="NormalWeb">
    <w:name w:val="Normal (Web)"/>
    <w:basedOn w:val="Normal"/>
    <w:uiPriority w:val="99"/>
    <w:unhideWhenUsed/>
    <w:rsid w:val="00D16476"/>
    <w:pPr>
      <w:spacing w:before="100" w:beforeAutospacing="1" w:after="100" w:afterAutospacing="1" w:line="240" w:lineRule="auto"/>
      <w:jc w:val="left"/>
    </w:pPr>
    <w:rPr>
      <w:rFonts w:eastAsia="Times New Roman" w:cs="Times New Roman"/>
      <w:color w:val="auto"/>
      <w:szCs w:val="24"/>
      <w14:ligatures w14:val="none"/>
    </w:rPr>
  </w:style>
  <w:style w:type="paragraph" w:customStyle="1" w:styleId="TABLES0">
    <w:name w:val="TABLES"/>
    <w:basedOn w:val="Normal"/>
    <w:qFormat/>
    <w:rsid w:val="00437393"/>
    <w:pPr>
      <w:spacing w:before="120" w:after="120"/>
    </w:pPr>
    <w:rPr>
      <w:rFonts w:cs="Times New Roman"/>
      <w:b/>
      <w:color w:val="auto"/>
      <w14:ligatures w14:val="none"/>
    </w:rPr>
  </w:style>
  <w:style w:type="table" w:styleId="PlainTable5">
    <w:name w:val="Plain Table 5"/>
    <w:basedOn w:val="TableNormal"/>
    <w:uiPriority w:val="45"/>
    <w:rsid w:val="00C053F5"/>
    <w:pPr>
      <w:spacing w:after="0" w:line="240" w:lineRule="auto"/>
      <w:jc w:val="both"/>
    </w:pPr>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ListofTables">
    <w:name w:val="List of Tables"/>
    <w:basedOn w:val="Caption"/>
    <w:next w:val="Caption"/>
    <w:qFormat/>
    <w:rsid w:val="00860F17"/>
    <w:pPr>
      <w:keepNext/>
      <w:jc w:val="left"/>
    </w:pPr>
    <w:rPr>
      <w:rFonts w:eastAsia="Calibri"/>
      <w:color w:val="auto"/>
      <w:kern w:val="2"/>
      <w:sz w:val="24"/>
      <w:szCs w:val="24"/>
      <w14:ligatures w14:val="standardContextual"/>
    </w:rPr>
  </w:style>
  <w:style w:type="character" w:customStyle="1" w:styleId="UnresolvedMention2">
    <w:name w:val="Unresolved Mention2"/>
    <w:basedOn w:val="DefaultParagraphFont"/>
    <w:uiPriority w:val="99"/>
    <w:semiHidden/>
    <w:unhideWhenUsed/>
    <w:rsid w:val="00790BF9"/>
    <w:rPr>
      <w:color w:val="605E5C"/>
      <w:shd w:val="clear" w:color="auto" w:fill="E1DFDD"/>
    </w:rPr>
  </w:style>
  <w:style w:type="character" w:styleId="Strong">
    <w:name w:val="Strong"/>
    <w:basedOn w:val="DefaultParagraphFont"/>
    <w:uiPriority w:val="22"/>
    <w:qFormat/>
    <w:rsid w:val="001F51C1"/>
    <w:rPr>
      <w:b/>
      <w:bCs/>
    </w:rPr>
  </w:style>
  <w:style w:type="table" w:customStyle="1" w:styleId="TableGrid1">
    <w:name w:val="Table Grid1"/>
    <w:basedOn w:val="TableNormal"/>
    <w:next w:val="TableGrid"/>
    <w:uiPriority w:val="39"/>
    <w:qFormat/>
    <w:rsid w:val="007E3458"/>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D916BC"/>
    <w:pPr>
      <w:widowControl w:val="0"/>
      <w:autoSpaceDE w:val="0"/>
      <w:autoSpaceDN w:val="0"/>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TableNormal"/>
    <w:uiPriority w:val="42"/>
    <w:rsid w:val="00D916BC"/>
    <w:pPr>
      <w:spacing w:after="0" w:line="240" w:lineRule="auto"/>
    </w:pPr>
    <w:rPr>
      <w:rFonts w:ascii="Calibri" w:eastAsia="Calibri" w:hAnsi="Calibri" w:cs="SimSun"/>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eGridLight">
    <w:name w:val="Grid Table Light"/>
    <w:basedOn w:val="TableNormal"/>
    <w:uiPriority w:val="40"/>
    <w:rsid w:val="00DC20F2"/>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3">
    <w:name w:val="Unresolved Mention3"/>
    <w:basedOn w:val="DefaultParagraphFont"/>
    <w:uiPriority w:val="99"/>
    <w:semiHidden/>
    <w:unhideWhenUsed/>
    <w:rsid w:val="009E3D26"/>
    <w:rPr>
      <w:color w:val="605E5C"/>
      <w:shd w:val="clear" w:color="auto" w:fill="E1DFDD"/>
    </w:rPr>
  </w:style>
  <w:style w:type="paragraph" w:styleId="Header">
    <w:name w:val="header"/>
    <w:basedOn w:val="Normal"/>
    <w:link w:val="HeaderChar"/>
    <w:uiPriority w:val="99"/>
    <w:unhideWhenUsed/>
    <w:rsid w:val="000F4A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0F4A65"/>
    <w:rPr>
      <w:rFonts w:ascii="Times New Roman" w:eastAsia="Calibri" w:hAnsi="Times New Roman" w:cs="SimSun"/>
      <w:color w:val="000000"/>
      <w:kern w:val="0"/>
      <w:sz w:val="24"/>
    </w:rPr>
  </w:style>
  <w:style w:type="character" w:customStyle="1" w:styleId="UnresolvedMention">
    <w:name w:val="Unresolved Mention"/>
    <w:basedOn w:val="DefaultParagraphFont"/>
    <w:uiPriority w:val="99"/>
    <w:semiHidden/>
    <w:unhideWhenUsed/>
    <w:rsid w:val="00B609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949357">
      <w:bodyDiv w:val="1"/>
      <w:marLeft w:val="0"/>
      <w:marRight w:val="0"/>
      <w:marTop w:val="0"/>
      <w:marBottom w:val="0"/>
      <w:divBdr>
        <w:top w:val="none" w:sz="0" w:space="0" w:color="auto"/>
        <w:left w:val="none" w:sz="0" w:space="0" w:color="auto"/>
        <w:bottom w:val="none" w:sz="0" w:space="0" w:color="auto"/>
        <w:right w:val="none" w:sz="0" w:space="0" w:color="auto"/>
      </w:divBdr>
    </w:div>
    <w:div w:id="340470004">
      <w:bodyDiv w:val="1"/>
      <w:marLeft w:val="0"/>
      <w:marRight w:val="0"/>
      <w:marTop w:val="0"/>
      <w:marBottom w:val="0"/>
      <w:divBdr>
        <w:top w:val="none" w:sz="0" w:space="0" w:color="auto"/>
        <w:left w:val="none" w:sz="0" w:space="0" w:color="auto"/>
        <w:bottom w:val="none" w:sz="0" w:space="0" w:color="auto"/>
        <w:right w:val="none" w:sz="0" w:space="0" w:color="auto"/>
      </w:divBdr>
    </w:div>
    <w:div w:id="385884447">
      <w:bodyDiv w:val="1"/>
      <w:marLeft w:val="0"/>
      <w:marRight w:val="0"/>
      <w:marTop w:val="0"/>
      <w:marBottom w:val="0"/>
      <w:divBdr>
        <w:top w:val="none" w:sz="0" w:space="0" w:color="auto"/>
        <w:left w:val="none" w:sz="0" w:space="0" w:color="auto"/>
        <w:bottom w:val="none" w:sz="0" w:space="0" w:color="auto"/>
        <w:right w:val="none" w:sz="0" w:space="0" w:color="auto"/>
      </w:divBdr>
    </w:div>
    <w:div w:id="566765604">
      <w:bodyDiv w:val="1"/>
      <w:marLeft w:val="0"/>
      <w:marRight w:val="0"/>
      <w:marTop w:val="0"/>
      <w:marBottom w:val="0"/>
      <w:divBdr>
        <w:top w:val="none" w:sz="0" w:space="0" w:color="auto"/>
        <w:left w:val="none" w:sz="0" w:space="0" w:color="auto"/>
        <w:bottom w:val="none" w:sz="0" w:space="0" w:color="auto"/>
        <w:right w:val="none" w:sz="0" w:space="0" w:color="auto"/>
      </w:divBdr>
    </w:div>
    <w:div w:id="583222418">
      <w:bodyDiv w:val="1"/>
      <w:marLeft w:val="0"/>
      <w:marRight w:val="0"/>
      <w:marTop w:val="0"/>
      <w:marBottom w:val="0"/>
      <w:divBdr>
        <w:top w:val="none" w:sz="0" w:space="0" w:color="auto"/>
        <w:left w:val="none" w:sz="0" w:space="0" w:color="auto"/>
        <w:bottom w:val="none" w:sz="0" w:space="0" w:color="auto"/>
        <w:right w:val="none" w:sz="0" w:space="0" w:color="auto"/>
      </w:divBdr>
    </w:div>
    <w:div w:id="618725703">
      <w:bodyDiv w:val="1"/>
      <w:marLeft w:val="0"/>
      <w:marRight w:val="0"/>
      <w:marTop w:val="0"/>
      <w:marBottom w:val="0"/>
      <w:divBdr>
        <w:top w:val="none" w:sz="0" w:space="0" w:color="auto"/>
        <w:left w:val="none" w:sz="0" w:space="0" w:color="auto"/>
        <w:bottom w:val="none" w:sz="0" w:space="0" w:color="auto"/>
        <w:right w:val="none" w:sz="0" w:space="0" w:color="auto"/>
      </w:divBdr>
    </w:div>
    <w:div w:id="947202476">
      <w:bodyDiv w:val="1"/>
      <w:marLeft w:val="0"/>
      <w:marRight w:val="0"/>
      <w:marTop w:val="0"/>
      <w:marBottom w:val="0"/>
      <w:divBdr>
        <w:top w:val="none" w:sz="0" w:space="0" w:color="auto"/>
        <w:left w:val="none" w:sz="0" w:space="0" w:color="auto"/>
        <w:bottom w:val="none" w:sz="0" w:space="0" w:color="auto"/>
        <w:right w:val="none" w:sz="0" w:space="0" w:color="auto"/>
      </w:divBdr>
    </w:div>
    <w:div w:id="1041175574">
      <w:bodyDiv w:val="1"/>
      <w:marLeft w:val="0"/>
      <w:marRight w:val="0"/>
      <w:marTop w:val="0"/>
      <w:marBottom w:val="0"/>
      <w:divBdr>
        <w:top w:val="none" w:sz="0" w:space="0" w:color="auto"/>
        <w:left w:val="none" w:sz="0" w:space="0" w:color="auto"/>
        <w:bottom w:val="none" w:sz="0" w:space="0" w:color="auto"/>
        <w:right w:val="none" w:sz="0" w:space="0" w:color="auto"/>
      </w:divBdr>
    </w:div>
    <w:div w:id="1208760504">
      <w:bodyDiv w:val="1"/>
      <w:marLeft w:val="0"/>
      <w:marRight w:val="0"/>
      <w:marTop w:val="0"/>
      <w:marBottom w:val="0"/>
      <w:divBdr>
        <w:top w:val="none" w:sz="0" w:space="0" w:color="auto"/>
        <w:left w:val="none" w:sz="0" w:space="0" w:color="auto"/>
        <w:bottom w:val="none" w:sz="0" w:space="0" w:color="auto"/>
        <w:right w:val="none" w:sz="0" w:space="0" w:color="auto"/>
      </w:divBdr>
    </w:div>
    <w:div w:id="1240483030">
      <w:bodyDiv w:val="1"/>
      <w:marLeft w:val="0"/>
      <w:marRight w:val="0"/>
      <w:marTop w:val="0"/>
      <w:marBottom w:val="0"/>
      <w:divBdr>
        <w:top w:val="none" w:sz="0" w:space="0" w:color="auto"/>
        <w:left w:val="none" w:sz="0" w:space="0" w:color="auto"/>
        <w:bottom w:val="none" w:sz="0" w:space="0" w:color="auto"/>
        <w:right w:val="none" w:sz="0" w:space="0" w:color="auto"/>
      </w:divBdr>
    </w:div>
    <w:div w:id="1330909393">
      <w:bodyDiv w:val="1"/>
      <w:marLeft w:val="0"/>
      <w:marRight w:val="0"/>
      <w:marTop w:val="0"/>
      <w:marBottom w:val="0"/>
      <w:divBdr>
        <w:top w:val="none" w:sz="0" w:space="0" w:color="auto"/>
        <w:left w:val="none" w:sz="0" w:space="0" w:color="auto"/>
        <w:bottom w:val="none" w:sz="0" w:space="0" w:color="auto"/>
        <w:right w:val="none" w:sz="0" w:space="0" w:color="auto"/>
      </w:divBdr>
    </w:div>
    <w:div w:id="1380744296">
      <w:bodyDiv w:val="1"/>
      <w:marLeft w:val="0"/>
      <w:marRight w:val="0"/>
      <w:marTop w:val="0"/>
      <w:marBottom w:val="0"/>
      <w:divBdr>
        <w:top w:val="none" w:sz="0" w:space="0" w:color="auto"/>
        <w:left w:val="none" w:sz="0" w:space="0" w:color="auto"/>
        <w:bottom w:val="none" w:sz="0" w:space="0" w:color="auto"/>
        <w:right w:val="none" w:sz="0" w:space="0" w:color="auto"/>
      </w:divBdr>
    </w:div>
    <w:div w:id="1746954200">
      <w:bodyDiv w:val="1"/>
      <w:marLeft w:val="0"/>
      <w:marRight w:val="0"/>
      <w:marTop w:val="0"/>
      <w:marBottom w:val="0"/>
      <w:divBdr>
        <w:top w:val="none" w:sz="0" w:space="0" w:color="auto"/>
        <w:left w:val="none" w:sz="0" w:space="0" w:color="auto"/>
        <w:bottom w:val="none" w:sz="0" w:space="0" w:color="auto"/>
        <w:right w:val="none" w:sz="0" w:space="0" w:color="auto"/>
      </w:divBdr>
    </w:div>
    <w:div w:id="1806503340">
      <w:bodyDiv w:val="1"/>
      <w:marLeft w:val="0"/>
      <w:marRight w:val="0"/>
      <w:marTop w:val="0"/>
      <w:marBottom w:val="0"/>
      <w:divBdr>
        <w:top w:val="none" w:sz="0" w:space="0" w:color="auto"/>
        <w:left w:val="none" w:sz="0" w:space="0" w:color="auto"/>
        <w:bottom w:val="none" w:sz="0" w:space="0" w:color="auto"/>
        <w:right w:val="none" w:sz="0" w:space="0" w:color="auto"/>
      </w:divBdr>
    </w:div>
    <w:div w:id="183024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Response Rate</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Sheet1!$H$3:$I$3</c:f>
              <c:strCache>
                <c:ptCount val="2"/>
                <c:pt idx="0">
                  <c:v>Filled Questionnaire</c:v>
                </c:pt>
                <c:pt idx="1">
                  <c:v>Unfilled Questionnaire</c:v>
                </c:pt>
              </c:strCache>
            </c:strRef>
          </c:cat>
          <c:val>
            <c:numRef>
              <c:f>Sheet1!$H$4:$I$4</c:f>
              <c:numCache>
                <c:formatCode>General</c:formatCode>
                <c:ptCount val="2"/>
                <c:pt idx="0">
                  <c:v>77</c:v>
                </c:pt>
                <c:pt idx="1">
                  <c:v>13</c:v>
                </c:pt>
              </c:numCache>
            </c:numRef>
          </c:val>
          <c:extLst xmlns:c16r2="http://schemas.microsoft.com/office/drawing/2015/06/chart">
            <c:ext xmlns:c16="http://schemas.microsoft.com/office/drawing/2014/chart" uri="{C3380CC4-5D6E-409C-BE32-E72D297353CC}">
              <c16:uniqueId val="{00000000-7438-4819-A2F3-B648558203A8}"/>
            </c:ext>
          </c:extLst>
        </c:ser>
        <c:ser>
          <c:idx val="1"/>
          <c:order val="1"/>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Sheet1!$H$3:$I$3</c:f>
              <c:strCache>
                <c:ptCount val="2"/>
                <c:pt idx="0">
                  <c:v>Filled Questionnaire</c:v>
                </c:pt>
                <c:pt idx="1">
                  <c:v>Unfilled Questionnaire</c:v>
                </c:pt>
              </c:strCache>
            </c:strRef>
          </c:cat>
          <c:val>
            <c:numRef>
              <c:f>Sheet1!$H$5:$I$5</c:f>
              <c:numCache>
                <c:formatCode>0%</c:formatCode>
                <c:ptCount val="2"/>
                <c:pt idx="0">
                  <c:v>0.86</c:v>
                </c:pt>
                <c:pt idx="1">
                  <c:v>0.14000000000000001</c:v>
                </c:pt>
              </c:numCache>
            </c:numRef>
          </c:val>
          <c:extLst xmlns:c16r2="http://schemas.microsoft.com/office/drawing/2015/06/chart">
            <c:ext xmlns:c16="http://schemas.microsoft.com/office/drawing/2014/chart" uri="{C3380CC4-5D6E-409C-BE32-E72D297353CC}">
              <c16:uniqueId val="{00000001-7438-4819-A2F3-B648558203A8}"/>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7573</Words>
  <Characters>43171</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WUCHERERIA BANCROFTI</dc:creator>
  <cp:keywords/>
  <dc:description/>
  <cp:lastModifiedBy>hp</cp:lastModifiedBy>
  <cp:revision>2</cp:revision>
  <dcterms:created xsi:type="dcterms:W3CDTF">2026-06-20T15:39:00Z</dcterms:created>
  <dcterms:modified xsi:type="dcterms:W3CDTF">2026-06-20T15:39:00Z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7235020b,fb6f0e1,1ee0ac16</vt:lpwstr>
  </property>
  <property fmtid="{D5CDD505-2E9C-101B-9397-08002B2CF9AE}" pid="3" name="ClassificationContentMarkingFooterFontProps">
    <vt:lpwstr>#000000,10,Arial</vt:lpwstr>
  </property>
  <property fmtid="{D5CDD505-2E9C-101B-9397-08002B2CF9AE}" pid="4" name="ClassificationContentMarkingFooterText">
    <vt:lpwstr>---Internal Use--- </vt:lpwstr>
  </property>
  <property fmtid="{D5CDD505-2E9C-101B-9397-08002B2CF9AE}" pid="5" name="MSIP_Label_0d28e344-bb15-459b-97fd-14fa06bc1052_Enabled">
    <vt:lpwstr>true</vt:lpwstr>
  </property>
  <property fmtid="{D5CDD505-2E9C-101B-9397-08002B2CF9AE}" pid="6" name="MSIP_Label_0d28e344-bb15-459b-97fd-14fa06bc1052_SetDate">
    <vt:lpwstr>2025-12-15T06:35:34Z</vt:lpwstr>
  </property>
  <property fmtid="{D5CDD505-2E9C-101B-9397-08002B2CF9AE}" pid="7" name="MSIP_Label_0d28e344-bb15-459b-97fd-14fa06bc1052_Method">
    <vt:lpwstr>Standard</vt:lpwstr>
  </property>
  <property fmtid="{D5CDD505-2E9C-101B-9397-08002B2CF9AE}" pid="8" name="MSIP_Label_0d28e344-bb15-459b-97fd-14fa06bc1052_Name">
    <vt:lpwstr>Not Protected (Internal Use)</vt:lpwstr>
  </property>
  <property fmtid="{D5CDD505-2E9C-101B-9397-08002B2CF9AE}" pid="9" name="MSIP_Label_0d28e344-bb15-459b-97fd-14fa06bc1052_SiteId">
    <vt:lpwstr>3e20ecb2-9cb0-4df1-ad7b-914e31dcdda4</vt:lpwstr>
  </property>
  <property fmtid="{D5CDD505-2E9C-101B-9397-08002B2CF9AE}" pid="10" name="MSIP_Label_0d28e344-bb15-459b-97fd-14fa06bc1052_ActionId">
    <vt:lpwstr>e1182bdf-9d86-4ee4-90f4-00a3d7f77865</vt:lpwstr>
  </property>
  <property fmtid="{D5CDD505-2E9C-101B-9397-08002B2CF9AE}" pid="11" name="MSIP_Label_0d28e344-bb15-459b-97fd-14fa06bc1052_ContentBits">
    <vt:lpwstr>2</vt:lpwstr>
  </property>
  <property fmtid="{D5CDD505-2E9C-101B-9397-08002B2CF9AE}" pid="12" name="MSIP_Label_0d28e344-bb15-459b-97fd-14fa06bc1052_Tag">
    <vt:lpwstr>10, 3, 0, 1</vt:lpwstr>
  </property>
</Properties>
</file>