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E209" w14:textId="77777777" w:rsidR="00DC271A" w:rsidRPr="00DC271A" w:rsidRDefault="00DC271A" w:rsidP="00DC271A">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C271A">
        <w:rPr>
          <w:rFonts w:ascii="Times New Roman" w:eastAsia="Times New Roman" w:hAnsi="Times New Roman" w:cs="Times New Roman"/>
          <w:b/>
          <w:bCs/>
          <w:sz w:val="36"/>
          <w:szCs w:val="36"/>
          <w:lang w:eastAsia="en-GB"/>
        </w:rPr>
        <w:t>Cancer Stem Cells: Molecular Mechanisms and Targets for Anti-Cancer Therapy</w:t>
      </w:r>
    </w:p>
    <w:p w14:paraId="6F7F60E3"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04B4DAB5"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Abstract</w:t>
      </w:r>
    </w:p>
    <w:p w14:paraId="2936F725"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Cancer stem cells (CSCs) represent a distinct subpopulation within malignant tumours that drive tumour growth, resist treatment, and seed metastatic disease through their capacity for self-renewal and multipotent differentiation. Their discovery has shifted how the field thinks about tumour heterogeneity and therapeutic failure. At the molecular level, CSC identity depends on a network of signalling pathways — Wnt/β-catenin, Notch, Hedgehog, PI3K/AKT/mTOR, and JAK/STAT3 — that sustain the expression of stemness transcription factors such as NANOG, OCT4, and SOX2. Epigenetic mechanisms, including DNA methylation, Polycomb-mediated histone modification, and non-coding RNA networks, reinforce these programmes and give CSC identity a stability that goes beyond genetic mutation. The tumour microenvironment supplies critical extrinsic support through hypoxic niches, cancer-associated fibroblasts, tumour-associated macrophages, and perivascular structures, all of which help CSCs evade immune clearance. The epithelial–mesenchymal transition further enables non-CSC tumour cells to acquire stem-like properties in response to stress, complicating simple hierarchical models of tumour organisation. Together, these features render CSCs intrinsically and adaptively resistant to chemotherapy, radiotherapy, and most targeted agents, making them the primary substrate of disease recurrence and distant spread. Therapeutic strategies to eliminate CSC populations are now advancing rapidly, ranging from surface marker-directed antibodies and CAR T cell therapies to epigenetic reprogramming agents, small-molecule pathway inhibitors, immune checkpoint combinations, and metabolic interventions. This review synthesises current mechanistic understanding of CSC biology and critically evaluates the therapeutic landscape, with attention to both promising advances and persistent challenges.</w:t>
      </w:r>
    </w:p>
    <w:p w14:paraId="3CB4126B"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Keywords:</w:t>
      </w:r>
      <w:r w:rsidRPr="00DC271A">
        <w:rPr>
          <w:rFonts w:ascii="Times New Roman" w:eastAsia="Times New Roman" w:hAnsi="Times New Roman" w:cs="Times New Roman"/>
          <w:sz w:val="24"/>
          <w:szCs w:val="24"/>
          <w:lang w:eastAsia="en-GB"/>
        </w:rPr>
        <w:t xml:space="preserve"> cancer stem cells; tumour heterogeneity; signalling pathways; epithelial–mesenchymal transition; drug resistance; therapeutic targeting; tumour microenvironment; epigenetics; self-renewal; stemness</w:t>
      </w:r>
    </w:p>
    <w:p w14:paraId="633373C0"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47EC87A2"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1. Introduction</w:t>
      </w:r>
    </w:p>
    <w:p w14:paraId="581C277E"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1.1 Historical Context and the Emergence of the Cancer Stem Cell Concept</w:t>
      </w:r>
    </w:p>
    <w:p w14:paraId="4B23FE37"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idea that tumours contain a rare subset of cells responsible for driving and sustaining malignant growth has reshaped how the field approaches cancer biology. Its experimental origins lie in leukaemia research. Lapidot et al. (1994) showed that only a CD34+/CD38− fraction of human acute myeloid leukaemia (AML) cells could engraft and propagate disease in SCID mice, whilst the bulk of leukaemic blasts lacked this capacity entirely. Bonnet and Dick (1997) extended this observation into a formal hierarchical model, establishing that AML originates from a primitive stem-like progenitor with properties resembling normal haematopoietic stem cells rather than from the abundant but comparatively inert blast population.</w:t>
      </w:r>
    </w:p>
    <w:p w14:paraId="3EDC5DF8"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Interest in solid tumours followed quickly. Al-Hajj et al. (2003) demonstrated that as few as 200 CD44+/CD24−/low/Lin− cells isolated from primary human breast carcinomas could initiate tumour formation in immunodeficient mice, whereas tens of thousands of cells from non-enriched populations largely failed to do so. That same approach — surface marker-based prospective isolation followed by xenograft testing — was adopted across solid tumour types with considerable success. Singh et al. (2004) identified a CD133+ population in human brain tumours capable of generating neurospheres and propagating xenografts whilst also producing the full phenotypic diversity of the parent tumour through differentiation. Comparable tumour-initiating populations were subsequently described in colorectal cancer (O'Brien et al., 2007) and pancreatic adenocarcinoma (Li et al., 2007), firmly establishing the CSC concept as applicable across histological contexts rather than unique to the haematopoietic system.</w:t>
      </w:r>
    </w:p>
    <w:p w14:paraId="270DD2B4"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1.2 The Cancer Stem Cell Hypothesis and Tumour Heterogeneity</w:t>
      </w:r>
    </w:p>
    <w:p w14:paraId="58591489"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Tumour heterogeneity — the coexistence within a single tumour of cells that differ genetically, epigenetically, and behaviourally — is one of the most clinically consequential features of cancer and a principal reason why therapies that work initially so often fail over time. Two models have shaped thinking on this problem. Clonal evolution theory holds that tumours diversify through sequential mutation and Darwinian selection, meaning that heterogeneity reflects the accumulated history of competitive adaptation. The CSC model proposes instead a hierarchical organisation, in which a rare stem-like subpopulation continuously regenerates the phenotypically diverse tumour mass through asymmetric division and differentiation (Visvader &amp; Lindeman, 2008). Neither model alone is sufficient. Current understanding treats them as complementary: genetic clonal evolution operates within a cellular hierarchy, and the two processes interact in ways that shape tumour behaviour over time (Kreso &amp; Dick, 2014).</w:t>
      </w:r>
    </w:p>
    <w:p w14:paraId="6C75C11B"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What complicates the CSC model further is the phenomenon of phenotypic plasticity — the ability of non-CSC tumour cells to reacquire stem-like properties in response to microenvironmental pressure, oncogenic signalling, or therapeutic stress (Nguyen et al., 2012; Batlle &amp; Clevers, 2017). This means CSC identity is not a fixed, heritable property but a dynamic cellular state, one that can be entered and exited. The revised hallmarks framework proposed by Hanahan (2022) acknowledges this directly, placing non-mutational epigenetic reprogramming and phenotypic plasticity among the enabling characteristics of malignant cells. In clinical terms, the implication is that treatments targeting only the bulk tumour population may consistently fail to eliminate the stem-like minority responsible for relapse and metastatic seeding (Peitzsch et al., 2017; Phi et al., 2018).</w:t>
      </w:r>
    </w:p>
    <w:p w14:paraId="7C7E13E1"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1.3 Scope and Objectives of this Review</w:t>
      </w:r>
    </w:p>
    <w:p w14:paraId="0BCD8E4F"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This review examines the molecular biology of cancer stem cells and the therapeutic strategies emerging to target them. It covers the identification and characterisation of CSC populations across major cancer types; the signalling pathways and epigenetic mechanisms that sustain CSC identity; the role of the tumour microenvironment in CSC maintenance and immune evasion; the mechanistic basis of CSC-mediated therapy resistance; and the evolving landscape of anti-CSC therapeutic approaches. The objectives are: to consolidate mechanistic understanding of how CSC identity is specified and maintained; to appraise the principal molecular targets that have been identified for therapeutic intervention; to evaluate the </w:t>
      </w:r>
      <w:r w:rsidRPr="00DC271A">
        <w:rPr>
          <w:rFonts w:ascii="Times New Roman" w:eastAsia="Times New Roman" w:hAnsi="Times New Roman" w:cs="Times New Roman"/>
          <w:sz w:val="24"/>
          <w:szCs w:val="24"/>
          <w:lang w:eastAsia="en-GB"/>
        </w:rPr>
        <w:lastRenderedPageBreak/>
        <w:t>evidence for anti-CSC strategies across the translational spectrum from cell biology to clinical trials; and to identify knowledge gaps and directions for future work.</w:t>
      </w:r>
    </w:p>
    <w:p w14:paraId="67D93201"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1260513E"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2. Methods for Literature Selection</w:t>
      </w:r>
    </w:p>
    <w:p w14:paraId="14197B30"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This review adopts a narrative synthesis approach, which was considered appropriate given the mechanistic breadth of the subject matter and the need to draw together evidence from cell biology, tumour immunology, epigenetics, and clinical oncology into a coherent interpretive framework. Narrative reviews are well suited to rapidly evolving scientific domains where rigid inclusion criteria risk excluding important emerging evidence, and where synthesis of heterogeneous findings is the primary intellectual task (Gasparyan et al., 2011).</w:t>
      </w:r>
    </w:p>
    <w:p w14:paraId="309794B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Literature searches were performed across PubMed/MEDLINE, Web of Science Core Collection, Scopus, Google Scholar, the Cochrane Library, BIOSIS Previews, ChemSpider, the WHO International Clinical Trials Registry Platform, the National Cancer Institute designated cancer information resources, the Cancer Genome Atlas (TCGA) publication portal, and StemBook. The primary search period ran from January 2011 to 4 June 2026, a window chosen to capture the most significant phase of CSC research — encompassing advances in single-cell analysis, epigenetic regulation, tumour microenvironment biology, and early clinical translation of anti-CSC therapies. For landmark and foundational work predating 2011, supplementary searches were conducted without a lower date restriction.</w:t>
      </w:r>
    </w:p>
    <w:p w14:paraId="4231E84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Search strings included, in various Boolean combinations: "cancer stem cells" AND "molecular mechanisms"; "cancer stem cells" AND "signalling pathways"; "CSC" AND "drug resistance"; "CSC" AND "tumour microenvironment"; "cancer stem cell niche"; "epithelial–mesenchymal transition" AND "cancer stem cells"; "CSC" AND "therapeutic targeting"; "stemness markers" AND "cancer"; "Wnt" OR "Notch" OR "Hedgehog" OR "PI3K" OR "STAT3" AND "cancer stem cells"; "epigenetics" AND "cancer stem cells"; "CSC plasticity"; "CSC immunotherapy"; and "anti-cancer stem cell therapy". All searches were restricted to English-language publications.</w:t>
      </w:r>
    </w:p>
    <w:p w14:paraId="0FA7FE67" w14:textId="77777777" w:rsid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For inclusion, studies needed to appear in indexed peer-reviewed journals and address CSC biology or therapeutic targeting in human cancers or well-validated experimental systems, contributing original data or authoritative synthesis. Excluded were conference abstracts, book chapters, preprints, patents, and trade publications. Duplicate records were removed by title and author matching prior to screening. Articles were screened by title and abstract, then assessed in full text for methodological quality, citation impact, and conceptual relevance. Preference was given to publications in high-ranking journals, influential mechanistic studies regardless of date, and recent reports addressing emerging targets or mechanisms. The final reference list comprises 49 references, the majority from the 2011–2026 primary search window, supplemented by foundational earlier work judged essential for contextualising the field.</w:t>
      </w:r>
    </w:p>
    <w:p w14:paraId="3C098CE5" w14:textId="77777777" w:rsidR="00475A27" w:rsidRPr="00DC271A" w:rsidRDefault="00475A27" w:rsidP="00DC271A">
      <w:pPr>
        <w:spacing w:before="100" w:beforeAutospacing="1" w:after="100" w:afterAutospacing="1" w:line="240" w:lineRule="auto"/>
        <w:rPr>
          <w:rFonts w:ascii="Times New Roman" w:eastAsia="Times New Roman" w:hAnsi="Times New Roman" w:cs="Times New Roman"/>
          <w:sz w:val="24"/>
          <w:szCs w:val="24"/>
          <w:lang w:eastAsia="en-GB"/>
        </w:rPr>
      </w:pPr>
    </w:p>
    <w:p w14:paraId="3AD76167"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73C077CB"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lastRenderedPageBreak/>
        <w:t>3. Identification and Characterisation of Cancer Stem Cells</w:t>
      </w:r>
    </w:p>
    <w:p w14:paraId="39C09C9C"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3.1 Surface Markers and Phenotypic Characterisation</w:t>
      </w:r>
    </w:p>
    <w:p w14:paraId="2D44DBDF"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CSC identification in heterogeneous tumours has depended primarily on cell-surface antigens that allow prospective isolation by flow cytometry or immunomagnetic sorting. These markers are not CSC-specific in a strict molecular sense — they enrich for populations with elevated tumour-initiating capacity, but their discriminatory power varies with tumour type, disease stage, and the specific assay used (Visvader &amp; Lindeman, 2008). This caveat matters for interpreting the literature, since a marker that reliably enriches for CSCs in one tumour type may perform poorly or even mislead in another.</w:t>
      </w:r>
    </w:p>
    <w:p w14:paraId="45B3D3A0"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CD44 is the most widely studied CSC surface antigen. A transmembrane glycoprotein involved in cell adhesion, hyaluronan binding, and signal transduction, its splice isoforms — particularly the CD44v variants — engage multiple signalling axes including Wnt/β-catenin, PI3K/AKT, and RAS/MAPK to sustain proliferation, survival, and protection against oxidative damage (Zöller, 2011). The CD44+/CD24−/low phenotype, first validated as a CSC marker in breast cancer by Al-Hajj et al. (2003), has since been documented across prostate, colorectal, bladder, and head and neck malignancies, generally associating with mesenchymal gene expression, therapy resistance, and adverse prognosis.</w:t>
      </w:r>
    </w:p>
    <w:p w14:paraId="1ECA844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Aldehyde dehydrogenase 1 (ALDH1) enzymatic activity provides an important complementary readout that is functional rather than purely phenotypic. Ginestier et al. (2007) showed that ALDH1-high cells in human mammary tumours have greater self-renewal capacity, superior tumour-initiating activity in xenografts, and — independently of stage or grade — a significantly worse clinical prognosis. Mechanistically, ALDH1 also metabolises aldophosphamide, the active metabolite of cyclophosphamide, providing a direct biochemical explanation for the chemotherapy resistance seen in ALDH1-high CSC populations.</w:t>
      </w:r>
    </w:p>
    <w:p w14:paraId="5A40975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CD133 (Prominin-1) was identified by Singh et al. (2004) as marking brain tumour-initiating cells capable of serial neurosphere formation and histologically faithful xenograft propagation. The same marker subsequently proved useful in colorectal cancer (O'Brien et al., 2007) and pancreatic cancer (Li et al., 2007), though its reliability has been questioned in some contexts where CD133 expression is regulated post-translationally and may not consistently track with tumour-initiating capacity. LGR5 offers a particularly well-validated marker in colorectal and gastric cancers: Barker et al. (2007) first identified it as the definitive intestinal stem cell marker, and lineage-tracing experiments in APC-mutant mice subsequently demonstrated that LGR5+ crypt base columnar cells give rise to intestinal adenomas, establishing a direct link between the normal intestinal stem cell and the colorectal CSC. EpCAM, CD90, CD13, and CXCR4 have been identified as CSC-enriching markers in hepatocellular carcinoma and other epithelial tumours (Nguyen et al., 2012). Table 1 provides a comparative summary of established CSC surface markers across major cancer types.</w:t>
      </w:r>
    </w:p>
    <w:p w14:paraId="7AFBBE3F"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3.2 Functional Assays for Cancer Stem Cell Identification</w:t>
      </w:r>
    </w:p>
    <w:p w14:paraId="26BE739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Surface markers alone are insufficient to confirm CSC identity. The key functional properties — self-renewal, differentiation capacity, and tumour-initiating activity — require dedicated assays, and there is now broad consensus that multiple orthogonal lines of evidence are needed to make a credible case for CSC identity.</w:t>
      </w:r>
    </w:p>
    <w:p w14:paraId="7364651A"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The sphere formation assay remains widely used as an in vitro self-renewal surrogate. Dissociated tumour cells are cultured under non-adherent, serum-free conditions; cells capable of surviving in suspension and proliferating form spheres, whilst differentiated cells die from anoikis. Serial sphere propagation at limiting dilution provides a quantitative estimate of self-renewal frequency (Lathia et al., 2015). The assay has practical limitations — sphere formation efficiency can be inflated by cell aggregation, and media composition has a large effect on outcome — but as part of a broader evidence base it remains informative.</w:t>
      </w:r>
    </w:p>
    <w:p w14:paraId="6D87981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Xenograft transplantation into immunodeficient mice remains the definitive functional test, measuring whether prospectively sorted cell populations can initiate and serially propagate histologically faithful tumours in vivo (Kreso &amp; Dick, 2014). Limiting dilution analysis allows statistical estimation of the tumour-initiating cell frequency. The immunocompromised host environment is a recognised limitation — it removes immune barriers that would normally filter non-CSC cells — meaning that xenograft-based CSC frequencies may overestimate those in the original human tumour. Patient-derived organoids (PDOs) have emerged as a valuable intermediate platform, preserving the genetic and cellular heterogeneity of the parent tumour in three-dimensional architectures that support both CSC and non-CSC compartments (Prager et al., 2019). PDOs have shown closer pharmacological correspondence with clinical responses than conventional cell lines and are increasingly used for drug screening and mechanistic studies. Finally, side-population analysis — which exploits the capacity of ABCG2-overexpressing CSCs to efflux Hoechst 33342 dye — simultaneously enriches for drug-resistant stem-like cells and directly demonstrates the enhanced drug efflux activity that underlies much of their clinical resistance (Phi et al., 2018).</w:t>
      </w:r>
    </w:p>
    <w:p w14:paraId="05E1CDAC"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429BFEF3"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1: Key Cancer Stem Cell Surface Markers Across Major Tumour Types</w:t>
      </w:r>
    </w:p>
    <w:tbl>
      <w:tblPr>
        <w:tblStyle w:val="TableGrid"/>
        <w:tblW w:w="0" w:type="auto"/>
        <w:tblLook w:val="04A0" w:firstRow="1" w:lastRow="0" w:firstColumn="1" w:lastColumn="0" w:noHBand="0" w:noVBand="1"/>
      </w:tblPr>
      <w:tblGrid>
        <w:gridCol w:w="1427"/>
        <w:gridCol w:w="2709"/>
        <w:gridCol w:w="2558"/>
        <w:gridCol w:w="2548"/>
      </w:tblGrid>
      <w:tr w:rsidR="00DC271A" w:rsidRPr="00DC271A" w14:paraId="558CC5AB" w14:textId="77777777" w:rsidTr="0030192C">
        <w:tc>
          <w:tcPr>
            <w:tcW w:w="0" w:type="auto"/>
            <w:hideMark/>
          </w:tcPr>
          <w:p w14:paraId="75908458"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Cancer Type</w:t>
            </w:r>
          </w:p>
        </w:tc>
        <w:tc>
          <w:tcPr>
            <w:tcW w:w="0" w:type="auto"/>
            <w:hideMark/>
          </w:tcPr>
          <w:p w14:paraId="44321C87"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CSC Surface Markers</w:t>
            </w:r>
          </w:p>
        </w:tc>
        <w:tc>
          <w:tcPr>
            <w:tcW w:w="0" w:type="auto"/>
            <w:hideMark/>
          </w:tcPr>
          <w:p w14:paraId="517D4AEC"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Principal Functional Role</w:t>
            </w:r>
          </w:p>
        </w:tc>
        <w:tc>
          <w:tcPr>
            <w:tcW w:w="0" w:type="auto"/>
            <w:hideMark/>
          </w:tcPr>
          <w:p w14:paraId="4EB01E71"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Clinical Association</w:t>
            </w:r>
          </w:p>
        </w:tc>
      </w:tr>
      <w:tr w:rsidR="00DC271A" w:rsidRPr="00DC271A" w14:paraId="1D70C1A5" w14:textId="77777777" w:rsidTr="0030192C">
        <w:tc>
          <w:tcPr>
            <w:tcW w:w="0" w:type="auto"/>
            <w:hideMark/>
          </w:tcPr>
          <w:p w14:paraId="14880B30"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w:t>
            </w:r>
          </w:p>
        </w:tc>
        <w:tc>
          <w:tcPr>
            <w:tcW w:w="0" w:type="auto"/>
            <w:hideMark/>
          </w:tcPr>
          <w:p w14:paraId="4221F0A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CD44+/CD24−/low, ALDH1+, CD29+, CD49f+</w:t>
            </w:r>
          </w:p>
        </w:tc>
        <w:tc>
          <w:tcPr>
            <w:tcW w:w="0" w:type="auto"/>
            <w:hideMark/>
          </w:tcPr>
          <w:p w14:paraId="2B1A03B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Self-renewal, tumour initiation, anoikis resistance</w:t>
            </w:r>
          </w:p>
        </w:tc>
        <w:tc>
          <w:tcPr>
            <w:tcW w:w="0" w:type="auto"/>
            <w:hideMark/>
          </w:tcPr>
          <w:p w14:paraId="200C9304"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Poor prognosis, mesenchymal phenotype, chemotherapy resistance</w:t>
            </w:r>
          </w:p>
        </w:tc>
      </w:tr>
      <w:tr w:rsidR="00DC271A" w:rsidRPr="00DC271A" w14:paraId="5DB32438" w14:textId="77777777" w:rsidTr="0030192C">
        <w:tc>
          <w:tcPr>
            <w:tcW w:w="0" w:type="auto"/>
            <w:hideMark/>
          </w:tcPr>
          <w:p w14:paraId="09C18B7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Brain (GBM)</w:t>
            </w:r>
          </w:p>
        </w:tc>
        <w:tc>
          <w:tcPr>
            <w:tcW w:w="0" w:type="auto"/>
            <w:hideMark/>
          </w:tcPr>
          <w:p w14:paraId="61103AB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CD133+, CD15+, A2B5+, L1CAM+</w:t>
            </w:r>
          </w:p>
        </w:tc>
        <w:tc>
          <w:tcPr>
            <w:tcW w:w="0" w:type="auto"/>
            <w:hideMark/>
          </w:tcPr>
          <w:p w14:paraId="46AA045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Neurosphere formation, perivascular niche maintenance</w:t>
            </w:r>
          </w:p>
        </w:tc>
        <w:tc>
          <w:tcPr>
            <w:tcW w:w="0" w:type="auto"/>
            <w:hideMark/>
          </w:tcPr>
          <w:p w14:paraId="0375EA8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Predicts tumour recurrence and radiotherapy resistance</w:t>
            </w:r>
          </w:p>
        </w:tc>
      </w:tr>
      <w:tr w:rsidR="00DC271A" w:rsidRPr="00DC271A" w14:paraId="67ACA193" w14:textId="77777777" w:rsidTr="0030192C">
        <w:tc>
          <w:tcPr>
            <w:tcW w:w="0" w:type="auto"/>
            <w:hideMark/>
          </w:tcPr>
          <w:p w14:paraId="3C8156C1"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Colorectal</w:t>
            </w:r>
          </w:p>
        </w:tc>
        <w:tc>
          <w:tcPr>
            <w:tcW w:w="0" w:type="auto"/>
            <w:hideMark/>
          </w:tcPr>
          <w:p w14:paraId="48E9FED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CD133+, LGR5+, CD44+, EpCAM+, ALDH1+</w:t>
            </w:r>
          </w:p>
        </w:tc>
        <w:tc>
          <w:tcPr>
            <w:tcW w:w="0" w:type="auto"/>
            <w:hideMark/>
          </w:tcPr>
          <w:p w14:paraId="53E3021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Wnt target gene activation, crypt base columnar cell identity</w:t>
            </w:r>
          </w:p>
        </w:tc>
        <w:tc>
          <w:tcPr>
            <w:tcW w:w="0" w:type="auto"/>
            <w:hideMark/>
          </w:tcPr>
          <w:p w14:paraId="46D4AAE3"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Metastatic potential, oxaliplatin resistance</w:t>
            </w:r>
          </w:p>
        </w:tc>
      </w:tr>
      <w:tr w:rsidR="00DC271A" w:rsidRPr="00DC271A" w14:paraId="2FB416A0" w14:textId="77777777" w:rsidTr="0030192C">
        <w:tc>
          <w:tcPr>
            <w:tcW w:w="0" w:type="auto"/>
            <w:hideMark/>
          </w:tcPr>
          <w:p w14:paraId="64BF7FCF"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Pancreatic</w:t>
            </w:r>
          </w:p>
        </w:tc>
        <w:tc>
          <w:tcPr>
            <w:tcW w:w="0" w:type="auto"/>
            <w:hideMark/>
          </w:tcPr>
          <w:p w14:paraId="2197084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CD44+, CD24+, ESA+, CD133+, ALDH+</w:t>
            </w:r>
          </w:p>
        </w:tc>
        <w:tc>
          <w:tcPr>
            <w:tcW w:w="0" w:type="auto"/>
            <w:hideMark/>
          </w:tcPr>
          <w:p w14:paraId="3A24A09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Hedgehog signalling, clonogenicity, immune evasion</w:t>
            </w:r>
          </w:p>
        </w:tc>
        <w:tc>
          <w:tcPr>
            <w:tcW w:w="0" w:type="auto"/>
            <w:hideMark/>
          </w:tcPr>
          <w:p w14:paraId="2A30DDA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Gemcitabine resistance, poor overall survival</w:t>
            </w:r>
          </w:p>
        </w:tc>
      </w:tr>
      <w:tr w:rsidR="00DC271A" w:rsidRPr="00DC271A" w14:paraId="4953FDEF" w14:textId="77777777" w:rsidTr="0030192C">
        <w:tc>
          <w:tcPr>
            <w:tcW w:w="0" w:type="auto"/>
            <w:hideMark/>
          </w:tcPr>
          <w:p w14:paraId="2AD4D27D"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Leukaemia (AML)</w:t>
            </w:r>
          </w:p>
        </w:tc>
        <w:tc>
          <w:tcPr>
            <w:tcW w:w="0" w:type="auto"/>
            <w:hideMark/>
          </w:tcPr>
          <w:p w14:paraId="419BE17F"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CD34+/CD38−, CD123+, TIM-3+, CD47+</w:t>
            </w:r>
          </w:p>
        </w:tc>
        <w:tc>
          <w:tcPr>
            <w:tcW w:w="0" w:type="auto"/>
            <w:hideMark/>
          </w:tcPr>
          <w:p w14:paraId="1426A80C"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Haematopoietic hierarchy maintenance</w:t>
            </w:r>
          </w:p>
        </w:tc>
        <w:tc>
          <w:tcPr>
            <w:tcW w:w="0" w:type="auto"/>
            <w:hideMark/>
          </w:tcPr>
          <w:p w14:paraId="2A097ED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Minimal residual disease, relapse, inferior clinical outcomes</w:t>
            </w:r>
          </w:p>
        </w:tc>
      </w:tr>
    </w:tbl>
    <w:p w14:paraId="36418F05"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i/>
          <w:iCs/>
          <w:sz w:val="24"/>
          <w:szCs w:val="24"/>
          <w:lang w:eastAsia="en-GB"/>
        </w:rPr>
        <w:lastRenderedPageBreak/>
        <w:t>Sources: Al-Hajj et al. (2003); Barker et al. (2007); Ginestier et al. (2007); Lapidot et al. (1994); Li et al. (2007); O'Brien et al. (2007); Singh et al. (2004)</w:t>
      </w:r>
    </w:p>
    <w:p w14:paraId="0C187A74"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221E5A22"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4. Molecular Mechanisms Governing Cancer Stem Cell Biology</w:t>
      </w:r>
    </w:p>
    <w:p w14:paraId="0174815A"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4.1 Wnt/β-Catenin Signalling</w:t>
      </w:r>
    </w:p>
    <w:p w14:paraId="6D93199B"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Wnt/β-catenin signalling is arguably the best-characterised stemness pathway across tissue types and is dysregulated in CSC populations from a wide range of cancers. The central regulatory event is the control of β-catenin stability. In the absence of Wnt ligand, a destruction complex containing APC, Axin, GSK-3β, and CK1α phosphorylates β-catenin, marking it for proteasomal degradation. When Wnt ligands engage Frizzled receptors and LRP5/6 co-receptors, Dishevelled disrupts this complex, β-catenin escapes degradation, accumulates in the cytoplasm, and translocates to the nucleus. There it displaces Groucho co-repressors from TCF/LEF transcription factors and drives expression of target genes including c-MYC, cyclin D1, LGR5, and SNAIL (Zhan et al., 2017) — genes that promote proliferation, stem-like identity, and EMT, respectively.</w:t>
      </w:r>
    </w:p>
    <w:p w14:paraId="3F4A4D31"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frequency of Wnt pathway mutation in colorectal cancer is instructive: truncating APC mutations occur in more than 80% of cases, producing constitutive β-catenin accumulation and LGR5+ CSC expansion that drives adenoma-to-carcinoma progression (de Sousa e Melo &amp; Vermeulen, 2016). Wnt pathway dysregulation in CSC populations is not confined to genetic mutation, however. Paracrine Wnt ligand secretion from cancer-associated fibroblasts, tumour-associated macrophages, and endothelial cells sustains CSC self-renewal through receptor engagement, embedding the pathway within a broader microenvironmental support system (Plaks et al., 2015; Nusse &amp; Clevers, 2017). Pharmacological interference has been pursued through multiple mechanisms — porcupine inhibitors that block Wnt ligand palmitoylation and secretion, antagonists of the β-catenin/TCF interaction, and anti-Frizzled antibodies — though the essential role of Wnt signalling in intestinal homeostasis complicates dosing at therapeutically active levels (Takebe et al., 2011).</w:t>
      </w:r>
    </w:p>
    <w:p w14:paraId="208015D0"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4.2 Notch Signalling</w:t>
      </w:r>
    </w:p>
    <w:p w14:paraId="6CD18B33"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Notch signalling coordinates cell-fate determination through direct cell-to-cell contact. When Notch receptors (Notch1–4) engage their membrane-bound ligands (DLL1, DLL3, DLL4, JAG1, JAG2) on adjacent cells, sequential cleavage by ADAM10/17 metalloprotease and the presenilin-1/γ-secretase complex releases the Notch intracellular domain (NICD). The NICD then forms an active transcriptional complex with the co-activator Mastermind-like and the adaptor RBPJ, driving expression of target genes including HES1, HEY1, and NRARP (Ranganathan et al., 2011; Zhou et al., 2022). In normal tissues, this pathway balances stem cell self-renewal against differentiation and regulates the number of progenitors produced per asymmetric division.</w:t>
      </w:r>
    </w:p>
    <w:p w14:paraId="3DD61E09"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In CSCs, Notch signalling is frequently amplified and functions to suppress differentiation, promote survival, and cross-activate Wnt and Hedgehog effectors. Activating NOTCH1 mutations are present in approximately 50–60% of T-cell acute lymphoblastic leukaemia cases, making this the best-validated context for Notch-driven CSC activity (Ranganathan et al., 2011). In solid tumours — breast, colorectal, pancreatic — Notch activation is more </w:t>
      </w:r>
      <w:r w:rsidRPr="00DC271A">
        <w:rPr>
          <w:rFonts w:ascii="Times New Roman" w:eastAsia="Times New Roman" w:hAnsi="Times New Roman" w:cs="Times New Roman"/>
          <w:sz w:val="24"/>
          <w:szCs w:val="24"/>
          <w:lang w:eastAsia="en-GB"/>
        </w:rPr>
        <w:lastRenderedPageBreak/>
        <w:t>commonly driven by ligand overexpression, particularly Jagged1 on tumour-associated vascular endothelial cells, which engages CSC Notch receptors in the perivascular niche to sustain stem-like identity and confer resistance to cytotoxic injury (Plaks et al., 2015). γ-Secretase inhibitors (GSIs) have been the primary pharmacological approach to Notch pathway disruption, but dose-limiting goblet cell hyperplasia arising from intestinal Notch inhibition has been a persistent clinical obstacle. Efforts to develop selective antibodies targeting individual Notch receptor subtypes or specific ligands aim to achieve a more favourable therapeutic index (Takebe et al., 2011).</w:t>
      </w:r>
    </w:p>
    <w:p w14:paraId="5A4B1882"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4.3 Hedgehog Signalling</w:t>
      </w:r>
    </w:p>
    <w:p w14:paraId="0DF819E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Hedgehog (Hh) pathway activation begins with ligand binding — Sonic (SHH), Indian (IHH), or Desert (DHH) hedgehog — to the transmembrane receptor Patched1 (PTCH1). In its unbound state, PTCH1 tonically suppresses Smoothened (SMO); ligand binding relieves this inhibition, allowing SMO to activate the downstream GLI transcription factor family (Lytle et al., 2018). GLI1 and GLI2, which act as transcriptional activators, then drive expression of target genes including PTCH1, NANOG, SNAIL, and cyclin D1, genes that promote CSC self-renewal, EMT, and cell cycle progression.</w:t>
      </w:r>
    </w:p>
    <w:p w14:paraId="0205A0B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PTCH1 loss-of-function mutations are the primary mechanism of constitutive Hh activation in basal cell carcinoma and medulloblastoma, whereas paracrine Hh signalling from stromal cells sustains CSC populations in pancreatic and colorectal cancers without requiring tumour-intrinsic mutation (Peitzsch et al., 2017). Both vismodegib and sonidegib are FDA-approved for locally advanced or metastatic basal cell carcinoma where surgery and radiation are not appropriate. Vismodegib has additionally been investigated in clinical trials for hedgehog-activated medulloblastoma, where CSC populations can be selectively depleted by SMO inhibition, though this indication does not carry a separate formal regulatory approval (Takebe et al., 2011). A recurring problem in the clinic is acquired resistance mediated by SMO point mutations — notably the gatekeeper D473H substitution — or by amplification of GLI effectors downstream of SMO, motivating development of post-SMO GLI-directed compounds.</w:t>
      </w:r>
    </w:p>
    <w:p w14:paraId="2CF41787"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4.4 PI3K/AKT/mTOR Signalling</w:t>
      </w:r>
    </w:p>
    <w:p w14:paraId="2B37579C"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PI3K/AKT/mTOR axis integrates signals from growth factors, nutrients, and cellular energy status to control metabolism, growth, and survival. Upon receptor tyrosine kinase activation, class I PI3Ks phosphorylate PIP2 to generate PIP3, which recruits AKT to the plasma membrane where it is activated by PDK1 and mTORC2. AKT in turn phosphorylates a broad array of substrates — FOXO transcription factors, BAD, MDM2, and the TSC1/2 complex — to promote cell survival, proliferation, and metabolic reprogramming (Fruman et al., 2017). mTORC1, activated downstream of AKT through TSC1/2 inhibition, coordinates ribosome biogenesis, cap-dependent translation, and anabolic metabolism.</w:t>
      </w:r>
    </w:p>
    <w:p w14:paraId="0528C3AF"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CSC populations across multiple tumour types exhibit constitutive PI3K/AKT/mTOR activity, most commonly because of PTEN loss through deletion, mutation, or promoter methylation, removing the principal phosphatase that degrades PIP3 (Fruman et al., 2017). Within the CSC context, mTORC2 is of particular functional importance: its activation of AKT and SGK1 drives FOXO transcription factors out of the nucleus, preventing the transcription of pro-differentiation target genes and thereby holding cells in a less committed state. mTORC1, meanwhile, supplies the anabolic machinery needed to support the </w:t>
      </w:r>
      <w:r w:rsidRPr="00DC271A">
        <w:rPr>
          <w:rFonts w:ascii="Times New Roman" w:eastAsia="Times New Roman" w:hAnsi="Times New Roman" w:cs="Times New Roman"/>
          <w:sz w:val="24"/>
          <w:szCs w:val="24"/>
          <w:lang w:eastAsia="en-GB"/>
        </w:rPr>
        <w:lastRenderedPageBreak/>
        <w:t>heightened biosynthetic demands of self-renewing division (Turdo et al., 2019). Dual PI3K/mTOR inhibitors have shown anti-CSC activity in glioblastoma and breast cancer preclinical models, though compensatory feedback activation of receptor tyrosine kinases following mTOR inhibition limits the durability of single-agent effects.</w:t>
      </w:r>
    </w:p>
    <w:p w14:paraId="07E7B30C"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4.5 JAK/STAT3 Signalling</w:t>
      </w:r>
    </w:p>
    <w:p w14:paraId="5ECC75C0"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STAT3 is a latent cytoplasmic transcription factor that becomes activated when cytokine receptors or receptor tyrosine kinases phosphorylate it at Tyr705, enabling dimerisation, nuclear entry, and sequence-specific DNA binding. Its transcriptional targets — survivin, BCL-XL, MCL-1, c-MYC, VEGF, and MMP2 — collectively promote survival, proliferation, angiogenesis, and tissue invasion (Yu et al., 2014). In the tumour microenvironment, IL-6 secreted by tumour-associated macrophages and cancer-associated fibroblasts is the primary STAT3-activating signal for CSC populations; notably, CSCs also produce IL-6 themselves, establishing an autocrine loop that sustains STAT3 phosphorylation even when paracrine signals are reduced (Prager et al., 2019). At the transcriptional level, STAT3 co-operates with NANOG and OCT4 to reinforce the core stemness programme, creating a feedforward circuit in which cytokine signalling and pluripotency factors mutually amplify one another (Yu et al., 2014). Constitutive STAT3 phosphorylation characterises CSC populations in glioblastoma, breast, colorectal, ovarian, and head and neck cancers. The STAT3 pathway inhibitor napabucasin (BBI608) has been evaluated in clinical trials for colorectal and other solid tumours — a meaningful step in translating this mechanism into patient care, even though achieving reliable intratumoral STAT3 inhibition at acceptable systemic doses remains an ongoing pharmacological challenge (Turdo et al., 2019).</w:t>
      </w:r>
    </w:p>
    <w:p w14:paraId="64CE2EE6"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Table 2 summarises the major signalling pathways governing CSC biology, their key molecular components, relevant target genes, and current therapeutic approaches.</w:t>
      </w:r>
    </w:p>
    <w:p w14:paraId="54EA19D3"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33ED9F8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2: Major Signalling Pathways Governing Cancer Stem Cell Biology</w:t>
      </w:r>
    </w:p>
    <w:tbl>
      <w:tblPr>
        <w:tblStyle w:val="TableGrid"/>
        <w:tblW w:w="0" w:type="auto"/>
        <w:tblLook w:val="04A0" w:firstRow="1" w:lastRow="0" w:firstColumn="1" w:lastColumn="0" w:noHBand="0" w:noVBand="1"/>
      </w:tblPr>
      <w:tblGrid>
        <w:gridCol w:w="2016"/>
        <w:gridCol w:w="2031"/>
        <w:gridCol w:w="1301"/>
        <w:gridCol w:w="1854"/>
        <w:gridCol w:w="2040"/>
      </w:tblGrid>
      <w:tr w:rsidR="00DC271A" w:rsidRPr="00DC271A" w14:paraId="09FB1EC7" w14:textId="77777777" w:rsidTr="0030192C">
        <w:tc>
          <w:tcPr>
            <w:tcW w:w="0" w:type="auto"/>
            <w:hideMark/>
          </w:tcPr>
          <w:p w14:paraId="3E0EAD47"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Pathway</w:t>
            </w:r>
          </w:p>
        </w:tc>
        <w:tc>
          <w:tcPr>
            <w:tcW w:w="0" w:type="auto"/>
            <w:hideMark/>
          </w:tcPr>
          <w:p w14:paraId="541A5A74"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Key Molecular Components</w:t>
            </w:r>
          </w:p>
        </w:tc>
        <w:tc>
          <w:tcPr>
            <w:tcW w:w="0" w:type="auto"/>
            <w:hideMark/>
          </w:tcPr>
          <w:p w14:paraId="120CEFEE"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CSC-Relevant Target Genes</w:t>
            </w:r>
          </w:p>
        </w:tc>
        <w:tc>
          <w:tcPr>
            <w:tcW w:w="0" w:type="auto"/>
            <w:hideMark/>
          </w:tcPr>
          <w:p w14:paraId="155D447F"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Therapeutic Approaches</w:t>
            </w:r>
          </w:p>
        </w:tc>
        <w:tc>
          <w:tcPr>
            <w:tcW w:w="0" w:type="auto"/>
            <w:hideMark/>
          </w:tcPr>
          <w:p w14:paraId="3619771B"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Representative Tumour Types</w:t>
            </w:r>
          </w:p>
        </w:tc>
      </w:tr>
      <w:tr w:rsidR="00DC271A" w:rsidRPr="00DC271A" w14:paraId="27885108" w14:textId="77777777" w:rsidTr="0030192C">
        <w:tc>
          <w:tcPr>
            <w:tcW w:w="0" w:type="auto"/>
            <w:hideMark/>
          </w:tcPr>
          <w:p w14:paraId="01D8753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Wnt/β-catenin</w:t>
            </w:r>
          </w:p>
        </w:tc>
        <w:tc>
          <w:tcPr>
            <w:tcW w:w="0" w:type="auto"/>
            <w:hideMark/>
          </w:tcPr>
          <w:p w14:paraId="681565F1"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Frizzled, LRP5/6, APC, GSK-3β, β-catenin, TCF/LEF</w:t>
            </w:r>
          </w:p>
        </w:tc>
        <w:tc>
          <w:tcPr>
            <w:tcW w:w="0" w:type="auto"/>
            <w:hideMark/>
          </w:tcPr>
          <w:p w14:paraId="17F4B9C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MYC, cyclin D1, LGR5, SNAIL, AXIN2</w:t>
            </w:r>
          </w:p>
        </w:tc>
        <w:tc>
          <w:tcPr>
            <w:tcW w:w="0" w:type="auto"/>
            <w:hideMark/>
          </w:tcPr>
          <w:p w14:paraId="2287CF00"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Porcupine inhibitors (WNT-974), anti-Frizzled antibodies</w:t>
            </w:r>
          </w:p>
        </w:tc>
        <w:tc>
          <w:tcPr>
            <w:tcW w:w="0" w:type="auto"/>
            <w:hideMark/>
          </w:tcPr>
          <w:p w14:paraId="4F1D065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Colorectal, breast, gastric, AML</w:t>
            </w:r>
          </w:p>
        </w:tc>
      </w:tr>
      <w:tr w:rsidR="00DC271A" w:rsidRPr="00DC271A" w14:paraId="2674CFBC" w14:textId="77777777" w:rsidTr="0030192C">
        <w:tc>
          <w:tcPr>
            <w:tcW w:w="0" w:type="auto"/>
            <w:hideMark/>
          </w:tcPr>
          <w:p w14:paraId="3399603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Notch</w:t>
            </w:r>
          </w:p>
        </w:tc>
        <w:tc>
          <w:tcPr>
            <w:tcW w:w="0" w:type="auto"/>
            <w:hideMark/>
          </w:tcPr>
          <w:p w14:paraId="1E0C3229"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Notch1–4, DLL1/3/4, JAG1/2, γ-secretase, NICD, RBPJ</w:t>
            </w:r>
          </w:p>
        </w:tc>
        <w:tc>
          <w:tcPr>
            <w:tcW w:w="0" w:type="auto"/>
            <w:hideMark/>
          </w:tcPr>
          <w:p w14:paraId="54ED1A1F"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HES1, HEY1, NRARP, Cyclin D1</w:t>
            </w:r>
          </w:p>
        </w:tc>
        <w:tc>
          <w:tcPr>
            <w:tcW w:w="0" w:type="auto"/>
            <w:hideMark/>
          </w:tcPr>
          <w:p w14:paraId="270FFF30"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γ-Secretase inhibitors, anti-Notch antibodies</w:t>
            </w:r>
          </w:p>
        </w:tc>
        <w:tc>
          <w:tcPr>
            <w:tcW w:w="0" w:type="auto"/>
            <w:hideMark/>
          </w:tcPr>
          <w:p w14:paraId="2BBDABCE"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 colorectal, T-ALL, lung</w:t>
            </w:r>
          </w:p>
        </w:tc>
      </w:tr>
      <w:tr w:rsidR="00DC271A" w:rsidRPr="00DC271A" w14:paraId="2B4EEB8D" w14:textId="77777777" w:rsidTr="0030192C">
        <w:tc>
          <w:tcPr>
            <w:tcW w:w="0" w:type="auto"/>
            <w:hideMark/>
          </w:tcPr>
          <w:p w14:paraId="6A52273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Hedgehog</w:t>
            </w:r>
          </w:p>
        </w:tc>
        <w:tc>
          <w:tcPr>
            <w:tcW w:w="0" w:type="auto"/>
            <w:hideMark/>
          </w:tcPr>
          <w:p w14:paraId="6CB7C44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SHH/IHH/DHH, PTCH1, SMO, GLI1/2/3</w:t>
            </w:r>
          </w:p>
        </w:tc>
        <w:tc>
          <w:tcPr>
            <w:tcW w:w="0" w:type="auto"/>
            <w:hideMark/>
          </w:tcPr>
          <w:p w14:paraId="60F2647C"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PTCH1, SNAIL, NANOG, CCND1</w:t>
            </w:r>
          </w:p>
        </w:tc>
        <w:tc>
          <w:tcPr>
            <w:tcW w:w="0" w:type="auto"/>
            <w:hideMark/>
          </w:tcPr>
          <w:p w14:paraId="4E05D0F9"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SMO inhibitors (vismodegib, sonidegib), GLI inhibitors</w:t>
            </w:r>
          </w:p>
        </w:tc>
        <w:tc>
          <w:tcPr>
            <w:tcW w:w="0" w:type="auto"/>
            <w:hideMark/>
          </w:tcPr>
          <w:p w14:paraId="502EB7D3"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BCC, medulloblastoma (investigational), pancreatic</w:t>
            </w:r>
          </w:p>
        </w:tc>
      </w:tr>
      <w:tr w:rsidR="00DC271A" w:rsidRPr="00DC271A" w14:paraId="7E3D9F2D" w14:textId="77777777" w:rsidTr="0030192C">
        <w:tc>
          <w:tcPr>
            <w:tcW w:w="0" w:type="auto"/>
            <w:hideMark/>
          </w:tcPr>
          <w:p w14:paraId="0DAF482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PI3K/AKT/mTOR</w:t>
            </w:r>
          </w:p>
        </w:tc>
        <w:tc>
          <w:tcPr>
            <w:tcW w:w="0" w:type="auto"/>
            <w:hideMark/>
          </w:tcPr>
          <w:p w14:paraId="186FE865"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PI3K, PTEN, AKT, PDK1, mTORC1/2, TSC1/2</w:t>
            </w:r>
          </w:p>
        </w:tc>
        <w:tc>
          <w:tcPr>
            <w:tcW w:w="0" w:type="auto"/>
            <w:hideMark/>
          </w:tcPr>
          <w:p w14:paraId="1833379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FOXO targets, survivin, VEGF</w:t>
            </w:r>
          </w:p>
        </w:tc>
        <w:tc>
          <w:tcPr>
            <w:tcW w:w="0" w:type="auto"/>
            <w:hideMark/>
          </w:tcPr>
          <w:p w14:paraId="7FE79D73"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Dual PI3K/mTOR inhibitors (BEZ235), rapamycin analogues</w:t>
            </w:r>
          </w:p>
        </w:tc>
        <w:tc>
          <w:tcPr>
            <w:tcW w:w="0" w:type="auto"/>
            <w:hideMark/>
          </w:tcPr>
          <w:p w14:paraId="73903491"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prostate, endometrial</w:t>
            </w:r>
          </w:p>
        </w:tc>
      </w:tr>
      <w:tr w:rsidR="00DC271A" w:rsidRPr="00DC271A" w14:paraId="2330570F" w14:textId="77777777" w:rsidTr="0030192C">
        <w:tc>
          <w:tcPr>
            <w:tcW w:w="0" w:type="auto"/>
            <w:hideMark/>
          </w:tcPr>
          <w:p w14:paraId="1D106EF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JAK/STAT3</w:t>
            </w:r>
          </w:p>
        </w:tc>
        <w:tc>
          <w:tcPr>
            <w:tcW w:w="0" w:type="auto"/>
            <w:hideMark/>
          </w:tcPr>
          <w:p w14:paraId="1A7DF00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IL-6R, JAK1/2, STAT3, SHP-2</w:t>
            </w:r>
          </w:p>
        </w:tc>
        <w:tc>
          <w:tcPr>
            <w:tcW w:w="0" w:type="auto"/>
            <w:hideMark/>
          </w:tcPr>
          <w:p w14:paraId="6C6EA891"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Survivin, BCL-XL, MYC, VEGF, MMP2</w:t>
            </w:r>
          </w:p>
        </w:tc>
        <w:tc>
          <w:tcPr>
            <w:tcW w:w="0" w:type="auto"/>
            <w:hideMark/>
          </w:tcPr>
          <w:p w14:paraId="6C45A2F5"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STAT3 inhibitors (napabucasin), JAK inhibitors (ruxolitinib)</w:t>
            </w:r>
          </w:p>
        </w:tc>
        <w:tc>
          <w:tcPr>
            <w:tcW w:w="0" w:type="auto"/>
            <w:hideMark/>
          </w:tcPr>
          <w:p w14:paraId="46897A94"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colorectal, ovarian</w:t>
            </w:r>
          </w:p>
        </w:tc>
      </w:tr>
    </w:tbl>
    <w:p w14:paraId="1088A561"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i/>
          <w:iCs/>
          <w:sz w:val="24"/>
          <w:szCs w:val="24"/>
          <w:lang w:eastAsia="en-GB"/>
        </w:rPr>
        <w:t>Sources: de Sousa e Melo &amp; Vermeulen (2016); Fruman et al. (2017); Nusse &amp; Clevers (2017); Prager et al. (2019); Ranganathan et al. (2011); Takebe et al. (2011); Yu et al. (2014); Zhan et al. (2017); Zhou et al. (2022)</w:t>
      </w:r>
    </w:p>
    <w:p w14:paraId="653D464A"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7ABE6CBB"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5. Epigenetic Regulation of Cancer Stem Cells</w:t>
      </w:r>
    </w:p>
    <w:p w14:paraId="765E38B1"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5.1 DNA Methylation and Polycomb-Mediated Chromatin Remodelling</w:t>
      </w:r>
    </w:p>
    <w:p w14:paraId="17B1DAC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Developmental signalling pathways do not act alone in maintaining CSC identity — they operate on a chromatin landscape that has been epigenetically configured to favour the stem-like state. Aberrant DNA methylation is among the most consistent epigenetic features of cancer, and in CSC populations it operates bidirectionally: silencing tumour suppressor and differentiation-promoting loci via hypermethylation of their regulatory regions, whilst maintaining the hypomethylated and transcriptionally permissive state of stemness-associated genes (Easwaran et al., 2014). DNA methyltransferases DNMT1, DNMT3A, and DNMT3B are frequently overexpressed or dysregulated in CSC populations, and nucleoside analogue inhibitors of these enzymes — azacitidine and decitabine — can partially reverse pathological silencing, inducing differentiation and reducing sphere-forming capacity in both leukaemic and solid tumour models.</w:t>
      </w:r>
    </w:p>
    <w:p w14:paraId="1D221314"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Two Polycomb repressive complexes add a second layer of chromatin-based gene silencing. PRC2, through its catalytic subunit EZH2, tri-methylates histone H3 at lysine 27 (H3K27me3), creating a compact repressive chromatin environment at differentiation gene loci. EZH2 overexpression is documented across CSC populations in breast, prostate, bladder, and haematological malignancies, where it maintains the undifferentiated state by silencing lineage-specification programmes (Toh et al., 2017). For epithelioid sarcoma — where EZH2 loss paradoxically occurs via SMARCB1 inactivation — tazemetostat (an EZH2 inhibitor) received FDA approval in a mutation-agnostic indication. Separately, for relapsed or refractory follicular lymphoma, approval is restricted to patients whose tumours carry EZH2 activating mutations as confirmed by an approved assay. These two distinct regulatory contexts illustrate how EZH2 biology differs between cancer types. PRC1, operating through its core component BMI1, mono-ubiquitinates histone H2A at lysine 119 (H2AK119ub1) and maintains CSC self-renewal by silencing the CDKN2A/INK4A locus — preventing the p16INK4a-driven senescence and p14ARF-mediated p53 stabilisation that would otherwise restrain proliferation (Easwaran et al., 2014). BMI1 overexpression consistently associates with stem-like phenotypes and treatment resistance in glioblastoma, breast cancer, colorectal </w:t>
      </w:r>
      <w:r w:rsidRPr="00DC271A">
        <w:rPr>
          <w:rFonts w:ascii="Times New Roman" w:eastAsia="Times New Roman" w:hAnsi="Times New Roman" w:cs="Times New Roman"/>
          <w:sz w:val="24"/>
          <w:szCs w:val="24"/>
          <w:lang w:eastAsia="en-GB"/>
        </w:rPr>
        <w:lastRenderedPageBreak/>
        <w:t>cancer, and leukaemia. Histone deacetylases constitute a third epigenetic axis relevant to CSC biology; HDAC inhibitors including vorinostat, romidepsin, and panobinostat can reduce sphere-forming capacity, downregulate key stemness transcription factors, and sensitise CSC populations to conventional cytotoxic agents in multiple preclinical models (Toh et al., 2017).</w:t>
      </w:r>
    </w:p>
    <w:p w14:paraId="3F42AE7F"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5.2 Non-Coding RNAs in Cancer Stem Cell Regulation</w:t>
      </w:r>
    </w:p>
    <w:p w14:paraId="7C2D1BDE"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Non-coding RNAs function as a post-transcriptional regulatory network that fine-tunes CSC gene expression. Let-7 family miRNAs are among the most important anti-CSC molecules in this network. They target LIN28, HMGA2, and KRAS to suppress self-renewal, but in CSC populations let-7 expression is itself suppressed — partly through promoter methylation and partly through LIN28-mediated inhibition of let-7 biogenesis — creating a double-negative feedback loop that locks cells in the stem-like state. The miR-200 family operates as a guardian of epithelial identity by targeting ZEB1 and ZEB2, transcriptional repressors of E-cadherin. Loss of miR-200 expression in mesenchymal-state CSC populations is a consistent finding, and it couples the acquisition of CSC properties to the EMT programme in a mechanistically tractable way (Shibue &amp; Weinberg, 2017). miR-34a exerts its anti-CSC effects more broadly, targeting Notch1/2, BCL-2, CD44, and SNAIL simultaneously, and its promoter methylation appears to be a recurrent event in multiple CSC populations. Synthetic miR-34a mimics delivered via lipid nanoparticle formulations have demonstrated anti-CSC activity in preclinical models, motivating ongoing translational efforts (Turdo et al., 2019).</w:t>
      </w:r>
    </w:p>
    <w:p w14:paraId="69931CC4"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Long non-coding RNAs add structural complexity to this regulatory landscape. HOTAIR recruits PRC2 to chromatin regions it would not otherwise occupy, extending the reach of H3K27me3-mediated silencing to differentiation gene clusters including the HOXD locus. This activity reinforces CD44 expression and the stem-like state in breast, colorectal, and gastric cancers, where HOTAIR overexpression correlates with adverse clinical outcomes (Toh et al., 2017). MALAT1 and NEAT1 regulate alternative splicing and act as competitive endogenous RNAs to sequester tumour-suppressive miRNAs away from their targets. Taken together, non-coding RNA networks represent a post-transcriptional tier of CSC regulation with substantial therapeutic interest, particularly as RNA-delivery technology matures.</w:t>
      </w:r>
    </w:p>
    <w:p w14:paraId="4BC374A0"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245E0DC5"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6. The Tumour Microenvironment and Cancer Stem Cell Maintenance</w:t>
      </w:r>
    </w:p>
    <w:p w14:paraId="47430AC5"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6.1 The Cancer Stem Cell Niche and Stromal Interactions</w:t>
      </w:r>
    </w:p>
    <w:p w14:paraId="7200F6F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 recurrent lesson from normal stem cell biology is that stem cell identity cannot be understood in isolation from the surrounding niche — the microanatomical compartment that supplies the signals sustaining self-renewal and prevents premature differentiation (Morrison &amp; Spradling, 2008). In tumours, an analogous niche exists. The tumour microenvironment (TME) within which CSCs reside comprises cancer-associated fibroblasts (CAFs), tumour-associated macrophages (TAMs), vascular endothelial cells, pericytes, and an extensively remodelled extracellular matrix (ECM) rich in collagen, fibronectin, hyaluronic acid, and laminin. These components communicate with CSCs through direct contact, paracrine secretion, and extracellular vesicles, collectively generating a milieu that sustains stem-like properties and protects CSCs from immune clearance and cytotoxic drugs (Plaks et al., 2015).</w:t>
      </w:r>
    </w:p>
    <w:p w14:paraId="2A10366E"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CAFs contribute heavily to this protective environment. Through the secretion of TGF-β, HGF, EGF, FGF, and Wnt ligands, CAFs simultaneously activate EMT programmes in adjacent epithelial tumour cells and reinforce self-renewal signalling in established CSC populations (Brabletz et al., 2018). TAMs — predominately polarised towards the immunosuppressive M2-like phenotype in established tumours — provide further CSC support through IL-6, IL-10, CCL2, and prostaglandin E2, which activate STAT3 and Wnt signalling in CSCs and dampen anti-tumour immune responses (Bayik &amp; Lathia, 2021). The perivascular niche is particularly well characterised in glioblastoma, where proximity to blood vessels correlates with maintenance of CD133+ stem-like cells. This vascular niche provides not only oxygen and nutrients but also Notch ligands — Jagged1 and DLL4 — from endothelial cells and CXCL12/SDF-1, which retains CSCs near the vasculature through CXCR4 receptor engagement (Lathia et al., 2015).</w:t>
      </w:r>
    </w:p>
    <w:p w14:paraId="4B04F0CD"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6.2 Hypoxia and Metabolic Reprogramming in Cancer Stem Cells</w:t>
      </w:r>
    </w:p>
    <w:p w14:paraId="1796D65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Hypoxia is a near-universal feature of solid tumour growth, arising wherever oxygen consumption by proliferating cells outpaces delivery from the vasculature. Far from being a passive stressor, hypoxia actively sculpts the CSC phenotype through the stabilisation of hypoxia-inducible factors HIF-1α and HIF-2α. Under low oxygen conditions, these transcription factors are no longer hydroxylated and VHL-targeted for degradation; instead they accumulate and drive expression of genes encoding stemness factors (NANOG, OCT4, SOX2, c-MYC), glycolytic enzymes, angiogenic mediators, and EMT regulators (Keith &amp; Simon, 2007). HIF-2α has attracted particular attention in glioblastoma and renal cell carcinoma, where it appears to co-ordinate with SOX2 and CD133 expression to actively reinforce CSC identity within the hypoxic tumour core (Lathia et al., 2015).</w:t>
      </w:r>
    </w:p>
    <w:p w14:paraId="10A8C635"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metabolic phenotype of CSCs is more heterogeneous than early models suggested. Whilst the Warburg effect — aerobic glycolysis — is often considered the defining metabolic feature of cancer cells broadly, many CSC populations actually depend more heavily on mitochondrial oxidative phosphorylation (OXPHOS) than the surrounding differentiated tumour cells (Sancho et al., 2016). This has been particularly well documented in AML, pancreatic cancer, and breast cancer CSCs, where OXPHOS provides the ATP and biosynthetic intermediates needed to meet the demands of self-renewing division. Other CSC populations rely predominantly on fatty acid oxidation or glutamine-fuelled anaplerosis of the TCA cycle. The metabolic heterogeneity between CSC populations in different tumour types likely reflects tissue lineage, the degree of local hypoxia, and oncogene-driven metabolic reprogramming, but it also creates a degree of exploitable vulnerability: targeting OXPHOS or specific carbon sources that are disproportionately important to CSC survival can selectively deplete this population without necessarily harming differentiated tumour cells (Sancho et al., 2016; García-Heredia &amp; Carnero, 2020). Table 3 summarises key microenvironmental components and their roles in CSC regulation.</w:t>
      </w:r>
    </w:p>
    <w:p w14:paraId="35C89E7F"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6C752D4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3: Tumour Microenvironment Components and Their Roles in Cancer Stem Cell Regulation</w:t>
      </w:r>
    </w:p>
    <w:tbl>
      <w:tblPr>
        <w:tblStyle w:val="TableGrid"/>
        <w:tblW w:w="0" w:type="auto"/>
        <w:tblLook w:val="04A0" w:firstRow="1" w:lastRow="0" w:firstColumn="1" w:lastColumn="0" w:noHBand="0" w:noVBand="1"/>
      </w:tblPr>
      <w:tblGrid>
        <w:gridCol w:w="1986"/>
        <w:gridCol w:w="2118"/>
        <w:gridCol w:w="2928"/>
        <w:gridCol w:w="2210"/>
      </w:tblGrid>
      <w:tr w:rsidR="00DC271A" w:rsidRPr="00DC271A" w14:paraId="251AC52A" w14:textId="77777777" w:rsidTr="0030192C">
        <w:tc>
          <w:tcPr>
            <w:tcW w:w="0" w:type="auto"/>
            <w:hideMark/>
          </w:tcPr>
          <w:p w14:paraId="6657C188"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TME Component</w:t>
            </w:r>
          </w:p>
        </w:tc>
        <w:tc>
          <w:tcPr>
            <w:tcW w:w="0" w:type="auto"/>
            <w:hideMark/>
          </w:tcPr>
          <w:p w14:paraId="4FA8613C"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Key Mediators</w:t>
            </w:r>
          </w:p>
        </w:tc>
        <w:tc>
          <w:tcPr>
            <w:tcW w:w="0" w:type="auto"/>
            <w:hideMark/>
          </w:tcPr>
          <w:p w14:paraId="09A72B0B"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Effect on CSCs</w:t>
            </w:r>
          </w:p>
        </w:tc>
        <w:tc>
          <w:tcPr>
            <w:tcW w:w="0" w:type="auto"/>
            <w:hideMark/>
          </w:tcPr>
          <w:p w14:paraId="6D2AFC37"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Representative Tumour Types</w:t>
            </w:r>
          </w:p>
        </w:tc>
      </w:tr>
      <w:tr w:rsidR="00DC271A" w:rsidRPr="00DC271A" w14:paraId="4BD223C9" w14:textId="77777777" w:rsidTr="0030192C">
        <w:tc>
          <w:tcPr>
            <w:tcW w:w="0" w:type="auto"/>
            <w:hideMark/>
          </w:tcPr>
          <w:p w14:paraId="0F0AA76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Cancer-associated </w:t>
            </w:r>
            <w:r w:rsidRPr="00DC271A">
              <w:rPr>
                <w:rFonts w:ascii="Times New Roman" w:eastAsia="Times New Roman" w:hAnsi="Times New Roman" w:cs="Times New Roman"/>
                <w:sz w:val="24"/>
                <w:szCs w:val="24"/>
                <w:lang w:eastAsia="en-GB"/>
              </w:rPr>
              <w:lastRenderedPageBreak/>
              <w:t>fibroblasts</w:t>
            </w:r>
          </w:p>
        </w:tc>
        <w:tc>
          <w:tcPr>
            <w:tcW w:w="0" w:type="auto"/>
            <w:hideMark/>
          </w:tcPr>
          <w:p w14:paraId="26C5481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 xml:space="preserve">TGF-β, HGF, Wnt </w:t>
            </w:r>
            <w:r w:rsidRPr="00DC271A">
              <w:rPr>
                <w:rFonts w:ascii="Times New Roman" w:eastAsia="Times New Roman" w:hAnsi="Times New Roman" w:cs="Times New Roman"/>
                <w:sz w:val="24"/>
                <w:szCs w:val="24"/>
                <w:lang w:eastAsia="en-GB"/>
              </w:rPr>
              <w:lastRenderedPageBreak/>
              <w:t>ligands, FGF, EGF</w:t>
            </w:r>
          </w:p>
        </w:tc>
        <w:tc>
          <w:tcPr>
            <w:tcW w:w="0" w:type="auto"/>
            <w:hideMark/>
          </w:tcPr>
          <w:p w14:paraId="796BE8EE"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 xml:space="preserve">EMT induction, Wnt/Notch </w:t>
            </w:r>
            <w:r w:rsidRPr="00DC271A">
              <w:rPr>
                <w:rFonts w:ascii="Times New Roman" w:eastAsia="Times New Roman" w:hAnsi="Times New Roman" w:cs="Times New Roman"/>
                <w:sz w:val="24"/>
                <w:szCs w:val="24"/>
                <w:lang w:eastAsia="en-GB"/>
              </w:rPr>
              <w:lastRenderedPageBreak/>
              <w:t>activation, stemness maintenance</w:t>
            </w:r>
          </w:p>
        </w:tc>
        <w:tc>
          <w:tcPr>
            <w:tcW w:w="0" w:type="auto"/>
            <w:hideMark/>
          </w:tcPr>
          <w:p w14:paraId="3BD3EA59"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 xml:space="preserve">Breast, colorectal, </w:t>
            </w:r>
            <w:r w:rsidRPr="00DC271A">
              <w:rPr>
                <w:rFonts w:ascii="Times New Roman" w:eastAsia="Times New Roman" w:hAnsi="Times New Roman" w:cs="Times New Roman"/>
                <w:sz w:val="24"/>
                <w:szCs w:val="24"/>
                <w:lang w:eastAsia="en-GB"/>
              </w:rPr>
              <w:lastRenderedPageBreak/>
              <w:t>pancreatic, lung</w:t>
            </w:r>
          </w:p>
        </w:tc>
      </w:tr>
      <w:tr w:rsidR="00DC271A" w:rsidRPr="00DC271A" w14:paraId="650289C6" w14:textId="77777777" w:rsidTr="0030192C">
        <w:tc>
          <w:tcPr>
            <w:tcW w:w="0" w:type="auto"/>
            <w:hideMark/>
          </w:tcPr>
          <w:p w14:paraId="57B3AC7C"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Tumour-associated macrophages (M2)</w:t>
            </w:r>
          </w:p>
        </w:tc>
        <w:tc>
          <w:tcPr>
            <w:tcW w:w="0" w:type="auto"/>
            <w:hideMark/>
          </w:tcPr>
          <w:p w14:paraId="22ED026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IL-6, IL-10, CCL2, PGE2</w:t>
            </w:r>
          </w:p>
        </w:tc>
        <w:tc>
          <w:tcPr>
            <w:tcW w:w="0" w:type="auto"/>
            <w:hideMark/>
          </w:tcPr>
          <w:p w14:paraId="79826F86"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STAT3 and Wnt activation, immune tolerance</w:t>
            </w:r>
          </w:p>
        </w:tc>
        <w:tc>
          <w:tcPr>
            <w:tcW w:w="0" w:type="auto"/>
            <w:hideMark/>
          </w:tcPr>
          <w:p w14:paraId="1BFD71C6"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hepatocellular carcinoma</w:t>
            </w:r>
          </w:p>
        </w:tc>
      </w:tr>
      <w:tr w:rsidR="00DC271A" w:rsidRPr="00DC271A" w14:paraId="1B7D24B0" w14:textId="77777777" w:rsidTr="0030192C">
        <w:tc>
          <w:tcPr>
            <w:tcW w:w="0" w:type="auto"/>
            <w:hideMark/>
          </w:tcPr>
          <w:p w14:paraId="2D6C70C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Cancer-associated endothelium</w:t>
            </w:r>
          </w:p>
        </w:tc>
        <w:tc>
          <w:tcPr>
            <w:tcW w:w="0" w:type="auto"/>
            <w:hideMark/>
          </w:tcPr>
          <w:p w14:paraId="342E97AC"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Notch ligands (Jagged1, DLL4), CXCL12</w:t>
            </w:r>
          </w:p>
        </w:tc>
        <w:tc>
          <w:tcPr>
            <w:tcW w:w="0" w:type="auto"/>
            <w:hideMark/>
          </w:tcPr>
          <w:p w14:paraId="7A7D691D"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Perivascular niche maintenance, CXCR4-mediated CSC retention</w:t>
            </w:r>
          </w:p>
        </w:tc>
        <w:tc>
          <w:tcPr>
            <w:tcW w:w="0" w:type="auto"/>
            <w:hideMark/>
          </w:tcPr>
          <w:p w14:paraId="38367040"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w:t>
            </w:r>
          </w:p>
        </w:tc>
      </w:tr>
      <w:tr w:rsidR="00DC271A" w:rsidRPr="00DC271A" w14:paraId="1C4F06CF" w14:textId="77777777" w:rsidTr="0030192C">
        <w:tc>
          <w:tcPr>
            <w:tcW w:w="0" w:type="auto"/>
            <w:hideMark/>
          </w:tcPr>
          <w:p w14:paraId="2AF53AD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Hypoxic regions</w:t>
            </w:r>
          </w:p>
        </w:tc>
        <w:tc>
          <w:tcPr>
            <w:tcW w:w="0" w:type="auto"/>
            <w:hideMark/>
          </w:tcPr>
          <w:p w14:paraId="1CDE5DB0"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HIF-1α, HIF-2α, VEGF, CAIX</w:t>
            </w:r>
          </w:p>
        </w:tc>
        <w:tc>
          <w:tcPr>
            <w:tcW w:w="0" w:type="auto"/>
            <w:hideMark/>
          </w:tcPr>
          <w:p w14:paraId="19BCE2C9"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Stemness gene induction, metabolic reprogramming, EMT activation</w:t>
            </w:r>
          </w:p>
        </w:tc>
        <w:tc>
          <w:tcPr>
            <w:tcW w:w="0" w:type="auto"/>
            <w:hideMark/>
          </w:tcPr>
          <w:p w14:paraId="7E54F52F"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Most solid tumours</w:t>
            </w:r>
          </w:p>
        </w:tc>
      </w:tr>
      <w:tr w:rsidR="00DC271A" w:rsidRPr="00DC271A" w14:paraId="66E9114D" w14:textId="77777777" w:rsidTr="0030192C">
        <w:tc>
          <w:tcPr>
            <w:tcW w:w="0" w:type="auto"/>
            <w:hideMark/>
          </w:tcPr>
          <w:p w14:paraId="1EC4FB0F"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Extracellular matrix</w:t>
            </w:r>
          </w:p>
        </w:tc>
        <w:tc>
          <w:tcPr>
            <w:tcW w:w="0" w:type="auto"/>
            <w:hideMark/>
          </w:tcPr>
          <w:p w14:paraId="05E02959"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Collagen I/IV, fibronectin, hyaluronic acid, laminin</w:t>
            </w:r>
          </w:p>
        </w:tc>
        <w:tc>
          <w:tcPr>
            <w:tcW w:w="0" w:type="auto"/>
            <w:hideMark/>
          </w:tcPr>
          <w:p w14:paraId="039EE5F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CD44 ligation, integrin signalling, mechanical stiffness-mediated stemness</w:t>
            </w:r>
          </w:p>
        </w:tc>
        <w:tc>
          <w:tcPr>
            <w:tcW w:w="0" w:type="auto"/>
            <w:hideMark/>
          </w:tcPr>
          <w:p w14:paraId="01E91C23"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 prostate, colorectal, GBM</w:t>
            </w:r>
          </w:p>
        </w:tc>
      </w:tr>
    </w:tbl>
    <w:p w14:paraId="1649A5B9"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i/>
          <w:iCs/>
          <w:sz w:val="24"/>
          <w:szCs w:val="24"/>
          <w:lang w:eastAsia="en-GB"/>
        </w:rPr>
        <w:t>Sources: Bayik &amp; Lathia (2021); Brabletz et al. (2018); Keith &amp; Simon (2007); Lathia et al. (2015); Morrison &amp; Spradling (2008); Plaks et al. (2015); Sancho et al. (2016)</w:t>
      </w:r>
    </w:p>
    <w:p w14:paraId="22676028"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72E0AFFA"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7. Epithelial–Mesenchymal Transition and Cancer Stem Cells</w:t>
      </w:r>
    </w:p>
    <w:p w14:paraId="30CBF4AB"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7.1 EMT as a Cancer Stem Cell-Inducing Programme</w:t>
      </w:r>
    </w:p>
    <w:p w14:paraId="1B761ED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epithelial–mesenchymal transition (EMT) was initially characterised as a mechanism of tumour invasion and metastatic spread, but its relationship to CSC generation has proven to be a more fundamental connection. When Mani et al. (2008) showed that inducing EMT in immortalised human mammary epithelial cells with either SNAIL or TWIST generated a CD44+/CD24−/low subpopulation with sphere-forming capacity, this was a pivotal finding — it suggested that the same transcriptional programme driving invasion was simultaneously inducing a stem-like state, linking two major hallmarks of malignancy through a common mechanism. The connection has since been confirmed in multiple cancer types, and the underlying logic is now well understood mechanistically.</w:t>
      </w:r>
    </w:p>
    <w:p w14:paraId="1D8AB67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TGF-β is the predominant EMT-inducing signal in epithelial tumour cells. Through SMAD2/3-dependent signalling and non-SMAD pathways including PI3K and RAS, TGF-β activates a set of EMT transcription factors — SNAIL1/2, ZEB1/2, and TWIST1/2 — that repress E-cadherin, upregulate mesenchymal proteins such as vimentin and N-cadherin, and directly engage stemness programmes (Brabletz et al., 2018). These EMT transcription factors activate Wnt and Notch signalling whilst simultaneously suppressing miR-200 and miR-34 family expression, creating a mutually reinforcing network that links EMT activation to stable stemness maintenance. What has become increasingly clear is that the most stem-like and metastasis-competent state is often not the fully mesenchymal endpoint but rather an intermediate, partial EMT state in which cells co-express epithelial and mesenchymal markers (Shibue &amp; Weinberg, 2017). These hybrid states appear to confer greater plasticity and a more pronounced CSC phenotype than either extreme.</w:t>
      </w:r>
    </w:p>
    <w:p w14:paraId="6D87A7B5"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7.2 EMT in Metastasis and Therapy Resistance</w:t>
      </w:r>
    </w:p>
    <w:p w14:paraId="0839C3D7"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The connection between EMT and metastasis extends from local invasion through systemic dissemination to distant colonisation. Circulating tumour cells recovered from cancer patients frequently express mesenchymal markers and show upregulated EMT transcription factor activity, indicating that EMT is not merely a property of the primary tumour but an active programme during haematogenous spread (Brabletz et al., 2018). At distant organ sites, reversion to a more epithelial state through mesenchymal–epithelial transition (MET) appears to facilitate colonisation, suggesting that phenotypic switching between EMT and MET states is a dynamic feature of the metastatic cascade rather than a unidirectional commitment (Shibue &amp; Weinberg, 2017).</w:t>
      </w:r>
    </w:p>
    <w:p w14:paraId="2B1AD6F7"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Clinically, EMT-associated CSC states create treatment resistance through several overlapping mechanisms. The slow proliferation of mesenchymal-state cells reduces susceptibility to cell cycle-dependent cytotoxic agents. Enhanced expression of ABC drug efflux transporters in these populations reduces intracellular drug accumulation. Anti-apoptotic programmes driven by NF-κB and BCL-2 family proteins raise the apoptotic threshold. Together, these features make mesenchymal-state CSCs broadly resistant across chemotherapy regimens and many targeted agents (Cojoc et al., 2015). EMT-induced upregulation of PD-L1 on CSC surfaces adds another dimension: these cells can suppress T cell responses directly, which is increasingly relevant as immune checkpoint blockade becomes standard of care in more tumour types (Dagogo-Jack &amp; Shaw, 2018). Targeting the EMT programme itself — through TGF-β receptor kinase inhibitors, SNAIL and ZEB1 antagonists, or miR-200 family replacement — therefore addresses both metastatic potential and treatment resistance at once, and represents an attractive therapeutic strategy (Najafi et al., 2019).</w:t>
      </w:r>
    </w:p>
    <w:p w14:paraId="3FB57CA0"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307AD720"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8. Cancer Stem Cells and Therapeutic Resistance</w:t>
      </w:r>
    </w:p>
    <w:p w14:paraId="739BA7A9"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8.1 Mechanisms of Intrinsic Resistance</w:t>
      </w:r>
    </w:p>
    <w:p w14:paraId="357BF1B6"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resistance of CSCs to conventional therapy reflects a convergence of intrinsic cellular properties rather than any single mechanism, and this multifactorial basis is part of what makes the problem so difficult to solve (Phi et al., 2018; Cojoc et al., 2015). Drug efflux is perhaps the most extensively documented mechanism. ATP-binding cassette transporters — ABCB1 (P-glycoprotein), ABCG2 (BCRP), and ABCC1 (MRP1) — are overexpressed in CSC populations from most tumour types, actively pumping chemotherapeutic agents out of cells before lethal concentrations can accumulate. Their expression is transcriptionally regulated by stemness factors including NANOG and NF-κB, establishing a direct mechanistic link between the stem-like transcriptional programme and the multidrug resistant phenotype (Najafi et al., 2019). The side-population assay, which measures Hoechst dye efflux through ABCG2, provides simultaneous evidence for both CSC identity and elevated drug efflux capacity, making it a particularly informative enrichment strategy (Phi et al., 2018).</w:t>
      </w:r>
    </w:p>
    <w:p w14:paraId="6EF49B9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DNA damage repair proficiency is a second major resistance mechanism. CD133+ glioblastoma cells preferentially activate the checkpoint kinases CHK1 and CHK2 in response to irradiation, enabling more efficient DNA repair through upregulated non-homologous end joining and homologous recombination, which together underlie the relative radioresistance of brain tumour CSCs (Lathia et al., 2015). Anti-apoptotic signalling </w:t>
      </w:r>
      <w:r w:rsidRPr="00DC271A">
        <w:rPr>
          <w:rFonts w:ascii="Times New Roman" w:eastAsia="Times New Roman" w:hAnsi="Times New Roman" w:cs="Times New Roman"/>
          <w:sz w:val="24"/>
          <w:szCs w:val="24"/>
          <w:lang w:eastAsia="en-GB"/>
        </w:rPr>
        <w:lastRenderedPageBreak/>
        <w:t>constitutes a third layer of intrinsic resistance. BCL-2, BCL-XL, MCL-1, and survivin are overexpressed in CSC populations across multiple tumour types, driven by STAT3, NF-κB, and Notch, raising the threshold above which pro-apoptotic signals can trigger the mitochondrial permeability transition (Phi et al., 2018). Finally, upregulated reactive oxygen species (ROS) scavenging systems — including superoxide dismutase 2 (SOD2), catalase, and the thioredoxin–glutaredoxin network — shield CSC populations from oxidative stress-mediated cell death, which is a major cytotoxic mechanism of both chemotherapy and ionising radiation (Najafi et al., 2019).</w:t>
      </w:r>
    </w:p>
    <w:p w14:paraId="390122AE"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8.2 Acquired Resistance, Phenotypic Plasticity, and Selective Survival</w:t>
      </w:r>
    </w:p>
    <w:p w14:paraId="7B9C43C0"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Beyond pre-existing intrinsic resistance, therapy itself can actively generate or expand CSC populations — a phenomenon with serious implications for treatment sequencing and combination design. When targeted agents eliminate the proliferating bulk of a tumour, residual drug-tolerant cells exhibiting stem-like gene expression, upregulated ABC transporter activity, and mesenchymal characteristics can survive, repopulate, and generate resistant progeny (Boumahdi &amp; de Sauvage, 2020). These drug-tolerant persisters are not simply pre-existing clones selected by therapy; they also arise through active transcriptional and epigenetic reprogramming triggered by the pharmacological pressure itself (Shen et al., </w:t>
      </w:r>
      <w:r w:rsidR="0030192C">
        <w:rPr>
          <w:rFonts w:ascii="Times New Roman" w:eastAsia="Times New Roman" w:hAnsi="Times New Roman" w:cs="Times New Roman"/>
          <w:sz w:val="24"/>
          <w:szCs w:val="24"/>
          <w:lang w:eastAsia="en-GB"/>
        </w:rPr>
        <w:t>2020</w:t>
      </w:r>
      <w:r w:rsidRPr="00DC271A">
        <w:rPr>
          <w:rFonts w:ascii="Times New Roman" w:eastAsia="Times New Roman" w:hAnsi="Times New Roman" w:cs="Times New Roman"/>
          <w:sz w:val="24"/>
          <w:szCs w:val="24"/>
          <w:lang w:eastAsia="en-GB"/>
        </w:rPr>
        <w:t>). The net result is an enrichment of the CSC compartment in residual disease after treatment — the very population most likely to drive relapse.</w:t>
      </w:r>
    </w:p>
    <w:p w14:paraId="34E01516"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Lineage reprogramming under therapy provides the most dramatic examples of this plasticity. Prostate cancers treated with androgen deprivation can transdifferentiate into neuroendocrine tumours that no longer depend on androgen receptor signalling. Lung adenocarcinomas progressing under EGFR inhibition sometimes convert to small cell histology. Breast cancers acquiring resistance to taxanes frequently show increased EMT-driven CSC induction (Boumahdi &amp; de Sauvage, 2020; Dagogo-Jack &amp; Shaw, 2018). These observations argue that the stem-like state is not merely selected under therapy but can be actively induced, and that any effective treatment strategy must address this adaptive capacity from the outset rather than as an afterthought.</w:t>
      </w:r>
    </w:p>
    <w:p w14:paraId="1395BC0B"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Immune evasion adds a further dimension. CSC populations present fewer surface MHC class I molecules, reducing their visibility to cytotoxic T lymphocytes. They concurrently upregulate PD-L1 to suppress T cell activation and CD47 to prevent phagocytic destruction by macrophages. The immunosuppressive cytokines they secrete — IL-4, IL-10, TGF-β, and VEGF — further remodel the TME in favour of regulatory T cells and M2 macrophages, perpetuating a local immune environment in which CSCs are poorly controlled (Bayik &amp; Lathia, 2021). Table 4 summarises the principal resistance mechanisms characterising CSC populations.</w:t>
      </w:r>
    </w:p>
    <w:p w14:paraId="725BBDAC"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44885ADB"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4: Mechanisms of Therapeutic Resistance in Cancer Stem Cell Populations</w:t>
      </w:r>
    </w:p>
    <w:tbl>
      <w:tblPr>
        <w:tblStyle w:val="TableGrid"/>
        <w:tblW w:w="0" w:type="auto"/>
        <w:tblLook w:val="04A0" w:firstRow="1" w:lastRow="0" w:firstColumn="1" w:lastColumn="0" w:noHBand="0" w:noVBand="1"/>
      </w:tblPr>
      <w:tblGrid>
        <w:gridCol w:w="1481"/>
        <w:gridCol w:w="2811"/>
        <w:gridCol w:w="3227"/>
        <w:gridCol w:w="1723"/>
      </w:tblGrid>
      <w:tr w:rsidR="00DC271A" w:rsidRPr="00DC271A" w14:paraId="02E4CA79" w14:textId="77777777" w:rsidTr="0030192C">
        <w:tc>
          <w:tcPr>
            <w:tcW w:w="0" w:type="auto"/>
            <w:hideMark/>
          </w:tcPr>
          <w:p w14:paraId="3E1268A3"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Resistance Mechanism</w:t>
            </w:r>
          </w:p>
        </w:tc>
        <w:tc>
          <w:tcPr>
            <w:tcW w:w="0" w:type="auto"/>
            <w:hideMark/>
          </w:tcPr>
          <w:p w14:paraId="63451053"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Key Molecular Mediators</w:t>
            </w:r>
          </w:p>
        </w:tc>
        <w:tc>
          <w:tcPr>
            <w:tcW w:w="0" w:type="auto"/>
            <w:hideMark/>
          </w:tcPr>
          <w:p w14:paraId="6B903B8F"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Functional Consequence</w:t>
            </w:r>
          </w:p>
        </w:tc>
        <w:tc>
          <w:tcPr>
            <w:tcW w:w="0" w:type="auto"/>
            <w:hideMark/>
          </w:tcPr>
          <w:p w14:paraId="1749BD03"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Tumour Types</w:t>
            </w:r>
          </w:p>
        </w:tc>
      </w:tr>
      <w:tr w:rsidR="00DC271A" w:rsidRPr="00DC271A" w14:paraId="7C76B0E8" w14:textId="77777777" w:rsidTr="0030192C">
        <w:tc>
          <w:tcPr>
            <w:tcW w:w="0" w:type="auto"/>
            <w:hideMark/>
          </w:tcPr>
          <w:p w14:paraId="1E384825"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Drug efflux</w:t>
            </w:r>
          </w:p>
        </w:tc>
        <w:tc>
          <w:tcPr>
            <w:tcW w:w="0" w:type="auto"/>
            <w:hideMark/>
          </w:tcPr>
          <w:p w14:paraId="7034722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ABCB1, ABCG2, ABCC1</w:t>
            </w:r>
          </w:p>
        </w:tc>
        <w:tc>
          <w:tcPr>
            <w:tcW w:w="0" w:type="auto"/>
            <w:hideMark/>
          </w:tcPr>
          <w:p w14:paraId="270C5AA6"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Reduced intracellular drug accumulation; multidrug resistance</w:t>
            </w:r>
          </w:p>
        </w:tc>
        <w:tc>
          <w:tcPr>
            <w:tcW w:w="0" w:type="auto"/>
            <w:hideMark/>
          </w:tcPr>
          <w:p w14:paraId="1FFE5E5C"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Multiple solid tumours and leukaemia</w:t>
            </w:r>
          </w:p>
        </w:tc>
      </w:tr>
      <w:tr w:rsidR="00DC271A" w:rsidRPr="00DC271A" w14:paraId="296B4589" w14:textId="77777777" w:rsidTr="0030192C">
        <w:tc>
          <w:tcPr>
            <w:tcW w:w="0" w:type="auto"/>
            <w:hideMark/>
          </w:tcPr>
          <w:p w14:paraId="706DAB0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Enhanced DNA repair</w:t>
            </w:r>
          </w:p>
        </w:tc>
        <w:tc>
          <w:tcPr>
            <w:tcW w:w="0" w:type="auto"/>
            <w:hideMark/>
          </w:tcPr>
          <w:p w14:paraId="3A479B1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CHK1/2, NHEJ, homologous recombination enzymes</w:t>
            </w:r>
          </w:p>
        </w:tc>
        <w:tc>
          <w:tcPr>
            <w:tcW w:w="0" w:type="auto"/>
            <w:hideMark/>
          </w:tcPr>
          <w:p w14:paraId="68158FF4"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Survival after chemotherapy/radiotherapy-induced DNA damage</w:t>
            </w:r>
          </w:p>
        </w:tc>
        <w:tc>
          <w:tcPr>
            <w:tcW w:w="0" w:type="auto"/>
            <w:hideMark/>
          </w:tcPr>
          <w:p w14:paraId="1E40723D"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colorectal CSCs</w:t>
            </w:r>
          </w:p>
        </w:tc>
      </w:tr>
      <w:tr w:rsidR="00DC271A" w:rsidRPr="00DC271A" w14:paraId="2E6B040B" w14:textId="77777777" w:rsidTr="0030192C">
        <w:tc>
          <w:tcPr>
            <w:tcW w:w="0" w:type="auto"/>
            <w:hideMark/>
          </w:tcPr>
          <w:p w14:paraId="1357552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Anti-apoptotic signalling</w:t>
            </w:r>
          </w:p>
        </w:tc>
        <w:tc>
          <w:tcPr>
            <w:tcW w:w="0" w:type="auto"/>
            <w:hideMark/>
          </w:tcPr>
          <w:p w14:paraId="186AEF2C"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BCL-2, BCL-XL, MCL-1, survivin</w:t>
            </w:r>
          </w:p>
        </w:tc>
        <w:tc>
          <w:tcPr>
            <w:tcW w:w="0" w:type="auto"/>
            <w:hideMark/>
          </w:tcPr>
          <w:p w14:paraId="59662654"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Elevated apoptotic threshold; reduced sensitivity to cytotoxic stimuli</w:t>
            </w:r>
          </w:p>
        </w:tc>
        <w:tc>
          <w:tcPr>
            <w:tcW w:w="0" w:type="auto"/>
            <w:hideMark/>
          </w:tcPr>
          <w:p w14:paraId="3ED938F6"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Driven by STAT3, NF-κB, and Notch across tumour types</w:t>
            </w:r>
          </w:p>
        </w:tc>
      </w:tr>
      <w:tr w:rsidR="00DC271A" w:rsidRPr="00DC271A" w14:paraId="1D25042A" w14:textId="77777777" w:rsidTr="0030192C">
        <w:tc>
          <w:tcPr>
            <w:tcW w:w="0" w:type="auto"/>
            <w:hideMark/>
          </w:tcPr>
          <w:p w14:paraId="5A86E93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ROS scavenging</w:t>
            </w:r>
          </w:p>
        </w:tc>
        <w:tc>
          <w:tcPr>
            <w:tcW w:w="0" w:type="auto"/>
            <w:hideMark/>
          </w:tcPr>
          <w:p w14:paraId="04ACFCC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SOD2, catalase, thioredoxin/glutaredoxin</w:t>
            </w:r>
          </w:p>
        </w:tc>
        <w:tc>
          <w:tcPr>
            <w:tcW w:w="0" w:type="auto"/>
            <w:hideMark/>
          </w:tcPr>
          <w:p w14:paraId="7B6A416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Protection from oxidative stress-mediated cell death</w:t>
            </w:r>
          </w:p>
        </w:tc>
        <w:tc>
          <w:tcPr>
            <w:tcW w:w="0" w:type="auto"/>
            <w:hideMark/>
          </w:tcPr>
          <w:p w14:paraId="365CB1FD"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GBM, breast, leukaemic CSCs</w:t>
            </w:r>
          </w:p>
        </w:tc>
      </w:tr>
      <w:tr w:rsidR="00DC271A" w:rsidRPr="00DC271A" w14:paraId="305D8E7A" w14:textId="77777777" w:rsidTr="0030192C">
        <w:tc>
          <w:tcPr>
            <w:tcW w:w="0" w:type="auto"/>
            <w:hideMark/>
          </w:tcPr>
          <w:p w14:paraId="301D7D26"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Immune evasion</w:t>
            </w:r>
          </w:p>
        </w:tc>
        <w:tc>
          <w:tcPr>
            <w:tcW w:w="0" w:type="auto"/>
            <w:hideMark/>
          </w:tcPr>
          <w:p w14:paraId="7656F5FD"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PD-L1, CD47, Treg/M2 induction, IL-10, TGF-β</w:t>
            </w:r>
          </w:p>
        </w:tc>
        <w:tc>
          <w:tcPr>
            <w:tcW w:w="0" w:type="auto"/>
            <w:hideMark/>
          </w:tcPr>
          <w:p w14:paraId="0127ED4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Escape from CTL/NK-mediated cytotoxicity</w:t>
            </w:r>
          </w:p>
        </w:tc>
        <w:tc>
          <w:tcPr>
            <w:tcW w:w="0" w:type="auto"/>
            <w:hideMark/>
          </w:tcPr>
          <w:p w14:paraId="73C6E574"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Documented across multiple tumour types</w:t>
            </w:r>
          </w:p>
        </w:tc>
      </w:tr>
      <w:tr w:rsidR="00DC271A" w:rsidRPr="00DC271A" w14:paraId="74CC8F61" w14:textId="77777777" w:rsidTr="0030192C">
        <w:tc>
          <w:tcPr>
            <w:tcW w:w="0" w:type="auto"/>
            <w:hideMark/>
          </w:tcPr>
          <w:p w14:paraId="102F9C9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Phenotypic plasticity</w:t>
            </w:r>
          </w:p>
        </w:tc>
        <w:tc>
          <w:tcPr>
            <w:tcW w:w="0" w:type="auto"/>
            <w:hideMark/>
          </w:tcPr>
          <w:p w14:paraId="0D96FE29"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EMT-TFs, lineage reprogramming, epigenetic remodelling</w:t>
            </w:r>
          </w:p>
        </w:tc>
        <w:tc>
          <w:tcPr>
            <w:tcW w:w="0" w:type="auto"/>
            <w:hideMark/>
          </w:tcPr>
          <w:p w14:paraId="74A1324C"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Dynamic acquisition of stem-like resistance state under therapeutic pressure</w:t>
            </w:r>
          </w:p>
        </w:tc>
        <w:tc>
          <w:tcPr>
            <w:tcW w:w="0" w:type="auto"/>
            <w:hideMark/>
          </w:tcPr>
          <w:p w14:paraId="671391C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Breast, lung, prostate, colorectal</w:t>
            </w:r>
          </w:p>
        </w:tc>
      </w:tr>
    </w:tbl>
    <w:p w14:paraId="66A56164"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i/>
          <w:iCs/>
          <w:sz w:val="24"/>
          <w:szCs w:val="24"/>
          <w:lang w:eastAsia="en-GB"/>
        </w:rPr>
        <w:t>Sources: Bayik &amp; Lathia (2021); Boumahdi &amp; de Sauvage (2020); Cojoc et al. (2015); Dagogo-Jack &amp; Shaw (2018); Lathia et al. (2015); Najafi et al. (2019); Peitzsch et al. (2017); Phi et al. (2018)</w:t>
      </w:r>
    </w:p>
    <w:p w14:paraId="71961B8E"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26AC1BCF"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9. Therapeutic Targeting of Cancer Stem Cells</w:t>
      </w:r>
    </w:p>
    <w:p w14:paraId="33B3AC8A"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9.1 Targeting Cancer Stem Cell Surface Markers</w:t>
      </w:r>
    </w:p>
    <w:p w14:paraId="0EEF09E5"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surface antigens that distinguish CSC populations from the surrounding bulk tumour provide a logical entry point for antibody-based therapeutics, including naked antibodies, antibody–drug conjugates (ADCs), and bispecific engagers. Anti-CD44 antibodies have shown capacity to deplete CSC populations and suppress tumour-initiating activity in colorectal and gastric cancer xenograft models, though broad CD44 expression across normal tissues has been a consistent obstacle to clinical advancement (Zöller, 2011). CD133-targeting strategies, including immunotoxin conjugates and CAR T cell approaches, have demonstrated selective depletion of tumour-initiating cells in glioblastoma and colorectal cancer preclinical systems. CD47-blocking antibodies — of which magrolimab is the most clinically advanced example — aim to reverse the "don't eat me" signal that CSCs use to avoid phagocytic destruction, an approach currently in clinical evaluation for AML and several solid tumours (Bayik &amp; Lathia, 2021). Among EpCAM-targeted strategies, catumaxomab reached the clinic furthest: it received European marketing authorisation for malignant ascites in EpCAM-positive carcinoma, providing an early proof that surface-targeted approaches can achieve clinical responses in CSC-enriched tumour compartments, before marketing was subsequently withdrawn for commercial rather than safety reasons (Frank et al., 2010). ADCs concentrating cytotoxic payloads at CSC surfaces through antibodies targeting CD44, CD133, or ALDH1-high cells remain an attractive concept for improving tumour selectivity, though heterogeneous and context-dependent surface marker expression within individual tumours remains a significant practical challenge (Turdo et al., 2019).</w:t>
      </w:r>
    </w:p>
    <w:p w14:paraId="035B4EEB"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lastRenderedPageBreak/>
        <w:t>9.2 Inhibiting Cancer Stem Cell Signalling Pathways</w:t>
      </w:r>
    </w:p>
    <w:p w14:paraId="60EF2DBD"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Small-molecule inhibition of CSC-sustaining signalling pathways is mechanistically well motivated, but single-agent pathway blockade rarely produces durable anti-CSC responses. Compensatory activation of alternative stemness pathways, feedback upregulation of upstream signals, and the redundant paracrine inputs from the TME all limit the effectiveness of blocking any single node (Pattabiraman &amp; Weinberg, 2014). An additional difficulty is on-target normal tissue toxicity: Wnt, Notch, and Hedgehog all have essential functions in adult intestinal epithelium, skin, and haematopoietic tissue, meaning that effective anti-CSC doses may be associated with significant toxicity (Clevers, 2011). Rational combinations — simultaneously targeting two or more stemness-driving pathways, or pairing pathway inhibition with conventional chemotherapy and immunotherapy — are more likely to produce meaningful and durable responses (Takebe et al., 2011; Turdo et al., 2019). Tumour-homing nanoparticle delivery systems offer one practical route to concentrating pathway inhibitors within the tumour niche whilst limiting systemic drug exposure, and represent an active area of formulation research.</w:t>
      </w:r>
    </w:p>
    <w:p w14:paraId="52BA977B"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9.3 Epigenetic Reprogramming Strategies</w:t>
      </w:r>
    </w:p>
    <w:p w14:paraId="5B523222"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Because epigenetic regulation plays such a central role in sustaining the CSC transcriptional programme, there is a compelling rationale for using pharmacological epigenetic reprogramming to force CSC differentiation and remove self-renewal capacity. DNA demethylating agents azacitidine and decitabine have established roles in AML and myelodysplastic syndromes, where they reactivate silenced differentiation genes and can reduce leukaemic stem cell frequency, at least transiently (Easwaran et al., 2014). HDAC inhibitors — vorinostat, romidepsin, and panobinostat — have shown anti-CSC activity in both haematological and solid tumour preclinical models by altering the chromatin environment to disfavour stemness gene expression. EZH2 inhibition with tazemetostat provides the clearest clinical validation of epigenetic targeting as an anti-CSC strategy, with approved applications in epithelioid sarcoma and, in patients with EZH2-activating mutations, in relapsed/refractory follicular lymphoma (Toh et al., 2017). BET bromodomain inhibitors, which displace BRD4 from acetylated histones and thereby disrupt transcription at MYC and other stemness oncogene super-enhancers, have shown promising anti-CSC activity in multiple preclinical systems and are advancing through early clinical trials. miRNA replacement therapy — using lipid nanoparticles to deliver let-7, miR-34a, or miR-200 family mimics — offers a conceptually distinct post-transcriptional approach, though delivery efficiency, off-target activity, and potential innate immune responses are barriers that must be overcome before reliable clinical translation (Turdo et al., 2019).</w:t>
      </w:r>
    </w:p>
    <w:p w14:paraId="7B5A2421"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9.4 Immunotherapeutic Approaches</w:t>
      </w:r>
    </w:p>
    <w:p w14:paraId="4C2907C3"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 xml:space="preserve">Immune checkpoint inhibitors have transformed the treatment of several cancers, but their impact on the CSC compartment has been limited, partly because CSCs are equipped to evade adaptive immunity through MHC class I downregulation, PD-L1 upregulation, and the creation of an immunosuppressive niche (Bayik &amp; Lathia, 2021). Approaches designed specifically to direct immune activity against CSC populations are advancing on several fronts. CAR T cells targeting CD133 and EpCAM have shown anti-tumour activity in preclinical solid tumour models, though solid tumour trafficking barriers, antigen heterogeneity, and the immunosuppressive TME remain major obstacles to clinical translation. Oncolytic viruses with tumour-selective tropism can infect and lyse CSC </w:t>
      </w:r>
      <w:r w:rsidRPr="00DC271A">
        <w:rPr>
          <w:rFonts w:ascii="Times New Roman" w:eastAsia="Times New Roman" w:hAnsi="Times New Roman" w:cs="Times New Roman"/>
          <w:sz w:val="24"/>
          <w:szCs w:val="24"/>
          <w:lang w:eastAsia="en-GB"/>
        </w:rPr>
        <w:lastRenderedPageBreak/>
        <w:t>populations, generating danger-associated molecular patterns that prime adaptive immunity whilst simultaneously depleting the stem-like reservoir (Frank et al., 2010). CSF1R inhibitors — which re-educate tumour-associated macrophages towards an M1-like pro-inflammatory phenotype — simultaneously disrupt the macrophage-mediated CSC niche and improve immune effector activity. Combining these strategies with immune checkpoint inhibitors is a rational next step, on the premise that converting an immunologically cold CSC-enriched niche into a hot one requires both disabling tumour immune evasion and supplying adequate effector activity. Early-phase clinical trials exploring such combinations are ongoing (Bayik &amp; Lathia, 2021).</w:t>
      </w:r>
    </w:p>
    <w:p w14:paraId="5D1BB4C1" w14:textId="77777777" w:rsidR="00DC271A" w:rsidRPr="00DC271A" w:rsidRDefault="00DC271A" w:rsidP="00DC271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9.5 Metabolic Targeting of Cancer Stem Cells</w:t>
      </w:r>
    </w:p>
    <w:p w14:paraId="0AF2460E"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metabolic dependencies of CSC populations offer therapeutic opportunities that are largely orthogonal to signalling pathway inhibition, potentially allowing combination regimens that address distinct biological vulnerabilities without overlapping toxicity. Metformin, which inhibits mitochondrial complex I and thereby reduces OXPHOS-driven ATP production, selectively impairs CSC self-renewal and viability in breast, colorectal, and pancreatic cancer models where CSC populations are particularly dependent on mitochondrial respiration (Sancho et al., 2016). Epidemiological data showing reduced cancer incidence and improved outcomes in diabetic patients on metformin — albeit confounded by multiple variables — have stimulated interest in repurposing this drug as part of combination anti-CSC regimens, though prospective oncology trials have yielded inconsistent results. IACS-010759, a potent complex I inhibitor, has demonstrated more selective anti-CSC activity in leukaemia and glioblastoma models. The BCL-2 inhibitor venetoclax achieves its anti-leukaemic effect partly through mitochondrial disruption in leukaemic stem cells: by inhibiting BCL-2 it forces cells towards mitochondrial apoptosis, and the combination of venetoclax with hypomethylating agents is now approved for newly diagnosed AML in patients ineligible for intensive chemotherapy, providing a clinically validated example of metabolic and epigenetic co-targeting of leukaemic stem cells (García-Heredia &amp; Carnero, 2020). Glutaminase inhibition with CB-839 targets the amino acid catabolism that feeds TCA cycle anaplerosis in CSC populations that rely on glutamine under hypoxic conditions, and multiple clinical trials are evaluating this agent across solid tumour histologies (Sancho et al., 2016). Table 5 summarises the major therapeutic strategies targeting CSC populations.</w:t>
      </w:r>
    </w:p>
    <w:p w14:paraId="0B7636D2"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5121BE73"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b/>
          <w:bCs/>
          <w:sz w:val="24"/>
          <w:szCs w:val="24"/>
          <w:lang w:eastAsia="en-GB"/>
        </w:rPr>
        <w:t>Table 5: Therapeutic Strategies Targeting Cancer Stem Cell Populations</w:t>
      </w:r>
    </w:p>
    <w:tbl>
      <w:tblPr>
        <w:tblStyle w:val="TableGrid"/>
        <w:tblW w:w="0" w:type="auto"/>
        <w:tblLook w:val="04A0" w:firstRow="1" w:lastRow="0" w:firstColumn="1" w:lastColumn="0" w:noHBand="0" w:noVBand="1"/>
      </w:tblPr>
      <w:tblGrid>
        <w:gridCol w:w="1815"/>
        <w:gridCol w:w="2819"/>
        <w:gridCol w:w="2073"/>
        <w:gridCol w:w="2535"/>
      </w:tblGrid>
      <w:tr w:rsidR="00DC271A" w:rsidRPr="00DC271A" w14:paraId="7CB63895" w14:textId="77777777" w:rsidTr="0030192C">
        <w:tc>
          <w:tcPr>
            <w:tcW w:w="0" w:type="auto"/>
            <w:hideMark/>
          </w:tcPr>
          <w:p w14:paraId="16942968"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Strategy</w:t>
            </w:r>
          </w:p>
        </w:tc>
        <w:tc>
          <w:tcPr>
            <w:tcW w:w="0" w:type="auto"/>
            <w:hideMark/>
          </w:tcPr>
          <w:p w14:paraId="4D053646"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Representative Agents</w:t>
            </w:r>
          </w:p>
        </w:tc>
        <w:tc>
          <w:tcPr>
            <w:tcW w:w="0" w:type="auto"/>
            <w:hideMark/>
          </w:tcPr>
          <w:p w14:paraId="5BFFFDCF"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Mechanism of Anti-CSC Action</w:t>
            </w:r>
          </w:p>
        </w:tc>
        <w:tc>
          <w:tcPr>
            <w:tcW w:w="0" w:type="auto"/>
            <w:hideMark/>
          </w:tcPr>
          <w:p w14:paraId="06B8DB00" w14:textId="77777777" w:rsidR="00DC271A" w:rsidRPr="00DC271A" w:rsidRDefault="00DC271A" w:rsidP="00DC271A">
            <w:pPr>
              <w:jc w:val="center"/>
              <w:rPr>
                <w:rFonts w:ascii="Times New Roman" w:eastAsia="Times New Roman" w:hAnsi="Times New Roman" w:cs="Times New Roman"/>
                <w:b/>
                <w:bCs/>
                <w:sz w:val="24"/>
                <w:szCs w:val="24"/>
                <w:lang w:eastAsia="en-GB"/>
              </w:rPr>
            </w:pPr>
            <w:r w:rsidRPr="00DC271A">
              <w:rPr>
                <w:rFonts w:ascii="Times New Roman" w:eastAsia="Times New Roman" w:hAnsi="Times New Roman" w:cs="Times New Roman"/>
                <w:b/>
                <w:bCs/>
                <w:sz w:val="24"/>
                <w:szCs w:val="24"/>
                <w:lang w:eastAsia="en-GB"/>
              </w:rPr>
              <w:t>Clinical Development Status</w:t>
            </w:r>
          </w:p>
        </w:tc>
      </w:tr>
      <w:tr w:rsidR="00DC271A" w:rsidRPr="00DC271A" w14:paraId="73FC828A" w14:textId="77777777" w:rsidTr="0030192C">
        <w:tc>
          <w:tcPr>
            <w:tcW w:w="0" w:type="auto"/>
            <w:hideMark/>
          </w:tcPr>
          <w:p w14:paraId="75A5A50F"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Surface marker targeting</w:t>
            </w:r>
          </w:p>
        </w:tc>
        <w:tc>
          <w:tcPr>
            <w:tcW w:w="0" w:type="auto"/>
            <w:hideMark/>
          </w:tcPr>
          <w:p w14:paraId="6EBA373E"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Magrolimab (anti-CD47), catumaxomab (anti-EpCAM), anti-CD44 antibodies</w:t>
            </w:r>
          </w:p>
        </w:tc>
        <w:tc>
          <w:tcPr>
            <w:tcW w:w="0" w:type="auto"/>
            <w:hideMark/>
          </w:tcPr>
          <w:p w14:paraId="78E63D08"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Direct CSC depletion, phagocytosis restoration, immune-mediated killing</w:t>
            </w:r>
          </w:p>
        </w:tc>
        <w:tc>
          <w:tcPr>
            <w:tcW w:w="0" w:type="auto"/>
            <w:hideMark/>
          </w:tcPr>
          <w:p w14:paraId="33C0515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Preclinical to phase II/III clinical trials</w:t>
            </w:r>
          </w:p>
        </w:tc>
      </w:tr>
      <w:tr w:rsidR="00DC271A" w:rsidRPr="00DC271A" w14:paraId="425753CB" w14:textId="77777777" w:rsidTr="0030192C">
        <w:tc>
          <w:tcPr>
            <w:tcW w:w="0" w:type="auto"/>
            <w:hideMark/>
          </w:tcPr>
          <w:p w14:paraId="3928DA79"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Signalling pathway inhibition</w:t>
            </w:r>
          </w:p>
        </w:tc>
        <w:tc>
          <w:tcPr>
            <w:tcW w:w="0" w:type="auto"/>
            <w:hideMark/>
          </w:tcPr>
          <w:p w14:paraId="6F5234FD"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Vismodegib/sonidegib (SMO), napabucasin (STAT3), WNT-974, γ-</w:t>
            </w:r>
            <w:r w:rsidRPr="00DC271A">
              <w:rPr>
                <w:rFonts w:ascii="Times New Roman" w:eastAsia="Times New Roman" w:hAnsi="Times New Roman" w:cs="Times New Roman"/>
                <w:sz w:val="24"/>
                <w:szCs w:val="24"/>
                <w:lang w:eastAsia="en-GB"/>
              </w:rPr>
              <w:lastRenderedPageBreak/>
              <w:t>secretase inhibitors</w:t>
            </w:r>
          </w:p>
        </w:tc>
        <w:tc>
          <w:tcPr>
            <w:tcW w:w="0" w:type="auto"/>
            <w:hideMark/>
          </w:tcPr>
          <w:p w14:paraId="3FC7B05E"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 xml:space="preserve">Blockade of stemness-sustaining </w:t>
            </w:r>
            <w:r w:rsidRPr="00DC271A">
              <w:rPr>
                <w:rFonts w:ascii="Times New Roman" w:eastAsia="Times New Roman" w:hAnsi="Times New Roman" w:cs="Times New Roman"/>
                <w:sz w:val="24"/>
                <w:szCs w:val="24"/>
                <w:lang w:eastAsia="en-GB"/>
              </w:rPr>
              <w:lastRenderedPageBreak/>
              <w:t>signalling cascades</w:t>
            </w:r>
          </w:p>
        </w:tc>
        <w:tc>
          <w:tcPr>
            <w:tcW w:w="0" w:type="auto"/>
            <w:hideMark/>
          </w:tcPr>
          <w:p w14:paraId="6AC5D3B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 xml:space="preserve">Phase I–III; vismodegib/sonidegib approved for advanced </w:t>
            </w:r>
            <w:r w:rsidRPr="00DC271A">
              <w:rPr>
                <w:rFonts w:ascii="Times New Roman" w:eastAsia="Times New Roman" w:hAnsi="Times New Roman" w:cs="Times New Roman"/>
                <w:sz w:val="24"/>
                <w:szCs w:val="24"/>
                <w:lang w:eastAsia="en-GB"/>
              </w:rPr>
              <w:lastRenderedPageBreak/>
              <w:t>BCC</w:t>
            </w:r>
          </w:p>
        </w:tc>
      </w:tr>
      <w:tr w:rsidR="00DC271A" w:rsidRPr="00DC271A" w14:paraId="0D8B0D5D" w14:textId="77777777" w:rsidTr="0030192C">
        <w:tc>
          <w:tcPr>
            <w:tcW w:w="0" w:type="auto"/>
            <w:hideMark/>
          </w:tcPr>
          <w:p w14:paraId="2B365D9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lastRenderedPageBreak/>
              <w:t>Epigenetic reprogramming</w:t>
            </w:r>
          </w:p>
        </w:tc>
        <w:tc>
          <w:tcPr>
            <w:tcW w:w="0" w:type="auto"/>
            <w:hideMark/>
          </w:tcPr>
          <w:p w14:paraId="5FB1A20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Tazemetostat (EZH2i), vorinostat (HDACi), azacitidine (DNMTi), BET inhibitors</w:t>
            </w:r>
          </w:p>
        </w:tc>
        <w:tc>
          <w:tcPr>
            <w:tcW w:w="0" w:type="auto"/>
            <w:hideMark/>
          </w:tcPr>
          <w:p w14:paraId="3CA1D284"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Chromatin remodelling; differentiation induction; stemness gene silencing</w:t>
            </w:r>
          </w:p>
        </w:tc>
        <w:tc>
          <w:tcPr>
            <w:tcW w:w="0" w:type="auto"/>
            <w:hideMark/>
          </w:tcPr>
          <w:p w14:paraId="2715E1F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Approved in specific contexts; expanded trials ongoing</w:t>
            </w:r>
          </w:p>
        </w:tc>
      </w:tr>
      <w:tr w:rsidR="00DC271A" w:rsidRPr="00DC271A" w14:paraId="1564AAD7" w14:textId="77777777" w:rsidTr="0030192C">
        <w:tc>
          <w:tcPr>
            <w:tcW w:w="0" w:type="auto"/>
            <w:hideMark/>
          </w:tcPr>
          <w:p w14:paraId="2A8C5E96"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Immunotherapy</w:t>
            </w:r>
          </w:p>
        </w:tc>
        <w:tc>
          <w:tcPr>
            <w:tcW w:w="0" w:type="auto"/>
            <w:hideMark/>
          </w:tcPr>
          <w:p w14:paraId="66156400"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CAR T (CD133/EpCAM), checkpoint inhibitors + CSC pathway inhibitors, CSF1R inhibitors, oncolytic viruses</w:t>
            </w:r>
          </w:p>
        </w:tc>
        <w:tc>
          <w:tcPr>
            <w:tcW w:w="0" w:type="auto"/>
            <w:hideMark/>
          </w:tcPr>
          <w:p w14:paraId="5DAA471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Immune-mediated CSC killing; TME reprogramming; niche disruption</w:t>
            </w:r>
          </w:p>
        </w:tc>
        <w:tc>
          <w:tcPr>
            <w:tcW w:w="0" w:type="auto"/>
            <w:hideMark/>
          </w:tcPr>
          <w:p w14:paraId="68761731"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Preclinical to early-phase clinical trials</w:t>
            </w:r>
          </w:p>
        </w:tc>
      </w:tr>
      <w:tr w:rsidR="00DC271A" w:rsidRPr="00DC271A" w14:paraId="372DEC21" w14:textId="77777777" w:rsidTr="0030192C">
        <w:tc>
          <w:tcPr>
            <w:tcW w:w="0" w:type="auto"/>
            <w:hideMark/>
          </w:tcPr>
          <w:p w14:paraId="51FAAD22"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Metabolic targeting</w:t>
            </w:r>
          </w:p>
        </w:tc>
        <w:tc>
          <w:tcPr>
            <w:tcW w:w="0" w:type="auto"/>
            <w:hideMark/>
          </w:tcPr>
          <w:p w14:paraId="18D0BF94"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Metformin (complex I), IACS-010759 (OXPHOS), venetoclax (BCL-2/mitochondria), CB-839 (glutaminase)</w:t>
            </w:r>
          </w:p>
        </w:tc>
        <w:tc>
          <w:tcPr>
            <w:tcW w:w="0" w:type="auto"/>
            <w:hideMark/>
          </w:tcPr>
          <w:p w14:paraId="1B525C85"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OXPHOS inhibition; glutamine pathway blockade; mitochondrial dysfunction</w:t>
            </w:r>
          </w:p>
        </w:tc>
        <w:tc>
          <w:tcPr>
            <w:tcW w:w="0" w:type="auto"/>
            <w:hideMark/>
          </w:tcPr>
          <w:p w14:paraId="41B4264B"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Phase I–III; venetoclax + HMA approved in AML</w:t>
            </w:r>
          </w:p>
        </w:tc>
      </w:tr>
      <w:tr w:rsidR="00DC271A" w:rsidRPr="00DC271A" w14:paraId="75DC2D77" w14:textId="77777777" w:rsidTr="0030192C">
        <w:tc>
          <w:tcPr>
            <w:tcW w:w="0" w:type="auto"/>
            <w:hideMark/>
          </w:tcPr>
          <w:p w14:paraId="77C88281"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miRNA therapeutics</w:t>
            </w:r>
          </w:p>
        </w:tc>
        <w:tc>
          <w:tcPr>
            <w:tcW w:w="0" w:type="auto"/>
            <w:hideMark/>
          </w:tcPr>
          <w:p w14:paraId="62438ADE"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let-7, miR-34a, miR-200 family (nanoparticle-delivered)</w:t>
            </w:r>
          </w:p>
        </w:tc>
        <w:tc>
          <w:tcPr>
            <w:tcW w:w="0" w:type="auto"/>
            <w:hideMark/>
          </w:tcPr>
          <w:p w14:paraId="5433582A"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Post-transcriptional suppression of stemness regulators and EMT-TFs</w:t>
            </w:r>
          </w:p>
        </w:tc>
        <w:tc>
          <w:tcPr>
            <w:tcW w:w="0" w:type="auto"/>
            <w:hideMark/>
          </w:tcPr>
          <w:p w14:paraId="50CA2437" w14:textId="77777777" w:rsidR="00DC271A" w:rsidRPr="00DC271A" w:rsidRDefault="00DC271A" w:rsidP="00DC271A">
            <w:pPr>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Primarily preclinical; early translational stage</w:t>
            </w:r>
          </w:p>
        </w:tc>
      </w:tr>
    </w:tbl>
    <w:p w14:paraId="1AC9261E"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i/>
          <w:iCs/>
          <w:sz w:val="24"/>
          <w:szCs w:val="24"/>
          <w:lang w:eastAsia="en-GB"/>
        </w:rPr>
        <w:t>Sources: Bayik &amp; Lathia (2021); Easwaran et al. (2014); Frank et al. (2010); García-Heredia &amp; Carnero (2020); Pattabiraman &amp; Weinberg (2014); Sancho et al. (2016); Takebe et al. (2011); Toh et al. (2017); Turdo et al. (2019)</w:t>
      </w:r>
    </w:p>
    <w:p w14:paraId="31C8185A"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645B0B29"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10. Conclusions</w:t>
      </w:r>
    </w:p>
    <w:p w14:paraId="13C81544"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The cancer stem cell concept has moved, over three decades, from a provocative hypothesis to an experimentally grounded framework with direct clinical relevance. There is now robust evidence — from xenograft experiments, lineage-tracing studies, organoid models, and clinical correlates — that a biologically distinct subpopulation within malignant tumours sustains long-term tumour growth, seeds metastasis, and drives resistance to most available treatments. These properties are not accidental; they arise from the convergent activity of multiple developmental signalling pathways acting on an epigenetic landscape configured to favour self-renewal, and they are actively maintained and protected by the surrounding tumour microenvironment.</w:t>
      </w:r>
    </w:p>
    <w:p w14:paraId="7DE47E5B"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Perhaps the most important conceptual shift of recent years has been the recognition that CSC identity is a dynamic state rather than a fixed programme. Non-CSC tumour cells can acquire stem-like properties under therapeutic pressure, and the stem-like state can be reinforced by microenvironmental cues that standard treatments leave intact. This means that eliminating the CSC fraction — without also addressing the non-CSC bulk and the niche that sustains them both — is unlikely to produce durable responses. The most promising therapeutic approaches are therefore those that combine multiple mechanisms: disrupting CSC self-</w:t>
      </w:r>
      <w:r w:rsidRPr="00DC271A">
        <w:rPr>
          <w:rFonts w:ascii="Times New Roman" w:eastAsia="Times New Roman" w:hAnsi="Times New Roman" w:cs="Times New Roman"/>
          <w:sz w:val="24"/>
          <w:szCs w:val="24"/>
          <w:lang w:eastAsia="en-GB"/>
        </w:rPr>
        <w:lastRenderedPageBreak/>
        <w:t>renewal signals, interfering with the supportive niche, engaging immune effectors, and exploiting metabolic dependencies, ideally timed and sequenced to prevent adaptive resistance.</w:t>
      </w:r>
    </w:p>
    <w:p w14:paraId="41D07327"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Encouragingly, the field has moved beyond proof-of-concept. The clinical approvals of vismodegib for hedgehog-driven basal cell carcinoma, tazemetostat for EZH2-driven malignancies, and venetoclax-based regimens for AML all embody anti-CSC mechanisms and demonstrate that this biology can be translated into patient benefit. The challenge now is to extend this success across the broad spectrum of human cancer, using the rapidly maturing tools of single-cell genomics, spatial transcriptomics, and precision immunotherapy to understand CSC heterogeneity in individual patients and design rational, mechanistically informed combinations that durably eliminate tumour-initiating populations.</w:t>
      </w:r>
    </w:p>
    <w:p w14:paraId="74DE7003"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147C22EC" w14:textId="77777777" w:rsidR="00DC271A" w:rsidRP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11. Limitations</w:t>
      </w:r>
    </w:p>
    <w:p w14:paraId="795466B6" w14:textId="77777777" w:rsidR="00DC271A" w:rsidRP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Several limitations bear on the evidence synthesised in this review. As a narrative rather than systematic review, the selection of studies — conducted with care — nonetheless involves a degree of interpretive judgement about relevance and priority, and the absence of formal quantitative synthesis means that the weight of evidence across studies cannot be assessed with statistical rigour. Second, a large proportion of the mechanistic evidence reviewed comes from in vitro cultures and rodent xenograft models, neither of which fully recapitulates the complexity of human tumour biology — including the intact immune system, three-dimensional stromal architecture, and the pharmacokinetic behaviour of therapeutic agents in patients. Species-specific differences in biological regulatory networks add further uncertainty when extrapolating from mouse data to clinical prediction.</w:t>
      </w:r>
    </w:p>
    <w:p w14:paraId="35F5500D" w14:textId="77777777" w:rsidR="00DC271A" w:rsidRDefault="00DC271A" w:rsidP="00DC271A">
      <w:pPr>
        <w:spacing w:before="100" w:beforeAutospacing="1" w:after="100" w:afterAutospacing="1" w:line="240" w:lineRule="auto"/>
        <w:rPr>
          <w:rFonts w:ascii="Times New Roman" w:eastAsia="Times New Roman" w:hAnsi="Times New Roman" w:cs="Times New Roman"/>
          <w:sz w:val="24"/>
          <w:szCs w:val="24"/>
          <w:lang w:eastAsia="en-GB"/>
        </w:rPr>
      </w:pPr>
      <w:r w:rsidRPr="00DC271A">
        <w:rPr>
          <w:rFonts w:ascii="Times New Roman" w:eastAsia="Times New Roman" w:hAnsi="Times New Roman" w:cs="Times New Roman"/>
          <w:sz w:val="24"/>
          <w:szCs w:val="24"/>
          <w:lang w:eastAsia="en-GB"/>
        </w:rPr>
        <w:t>Third, the plasticity of CSC populations and the absence of universally agreed, tumour-type-specific marker panels mean that comparisons between studies using different enrichment strategies and model systems are complicated by definitional inconsistency. Populations labelled "CSCs" in different studies may not be biologically equivalent. Fourth, the review focuses primarily on common solid tumours and haematological malignancies, and the conclusions may not translate directly to rarer cancer types where the CSC literature is sparse and less well validated. Fifth, data on very recent clinical trial outcomes — particularly for early-phase studies initiated in 2024–2026 — are necessarily limited by the currency of the published evidence base, and rapidly developing areas such as cellular immunotherapy and RNA-based medicine may have seen important advances since the literature search closed. Finally, the well-recognised tendency for negative or inconclusive clinical trial results to be underreported in the oncology literature means that the present synthesis may inadvertently convey a more optimistic picture of anti-CSC therapeutic progress than a comprehensive view of all conducted trials would support. Whilst the review attempts to acknowledge study limitations throughout, this structural publication bias cannot be fully corrected in a narrative synthesis.</w:t>
      </w:r>
    </w:p>
    <w:p w14:paraId="1F0CC6FC" w14:textId="77777777" w:rsidR="001D4BB1" w:rsidRDefault="001D4BB1" w:rsidP="001D4BB1">
      <w:pPr>
        <w:shd w:val="clear" w:color="auto" w:fill="FFFFFF"/>
        <w:spacing w:after="0" w:line="240" w:lineRule="auto"/>
        <w:rPr>
          <w:rFonts w:ascii="Arial" w:eastAsia="Times New Roman" w:hAnsi="Arial" w:cs="Arial"/>
          <w:color w:val="222222"/>
          <w:sz w:val="24"/>
          <w:szCs w:val="24"/>
          <w:lang w:val="en-IN" w:eastAsia="en-IN"/>
        </w:rPr>
      </w:pPr>
    </w:p>
    <w:p w14:paraId="1016AAB5" w14:textId="77777777" w:rsidR="00475A27" w:rsidRDefault="00475A27" w:rsidP="001D4BB1">
      <w:pPr>
        <w:shd w:val="clear" w:color="auto" w:fill="FFFFFF"/>
        <w:spacing w:after="0" w:line="240" w:lineRule="auto"/>
        <w:rPr>
          <w:rFonts w:ascii="Arial" w:eastAsia="Times New Roman" w:hAnsi="Arial" w:cs="Arial"/>
          <w:color w:val="222222"/>
          <w:sz w:val="24"/>
          <w:szCs w:val="24"/>
          <w:lang w:val="en-IN" w:eastAsia="en-IN"/>
        </w:rPr>
      </w:pPr>
    </w:p>
    <w:p w14:paraId="17C7AC1B" w14:textId="77777777" w:rsidR="00475A27" w:rsidRDefault="00475A27" w:rsidP="001D4BB1">
      <w:pPr>
        <w:shd w:val="clear" w:color="auto" w:fill="FFFFFF"/>
        <w:spacing w:after="0" w:line="240" w:lineRule="auto"/>
        <w:rPr>
          <w:rFonts w:ascii="Arial" w:eastAsia="Times New Roman" w:hAnsi="Arial" w:cs="Arial"/>
          <w:color w:val="222222"/>
          <w:sz w:val="24"/>
          <w:szCs w:val="24"/>
          <w:lang w:val="en-IN" w:eastAsia="en-IN"/>
        </w:rPr>
      </w:pPr>
    </w:p>
    <w:p w14:paraId="03E94D4D" w14:textId="77777777" w:rsidR="00475A27" w:rsidRDefault="00475A27" w:rsidP="001D4BB1">
      <w:pPr>
        <w:shd w:val="clear" w:color="auto" w:fill="FFFFFF"/>
        <w:spacing w:after="0" w:line="240" w:lineRule="auto"/>
        <w:rPr>
          <w:rFonts w:ascii="Arial" w:eastAsia="Times New Roman" w:hAnsi="Arial" w:cs="Arial"/>
          <w:color w:val="222222"/>
          <w:sz w:val="24"/>
          <w:szCs w:val="24"/>
          <w:lang w:val="en-IN" w:eastAsia="en-IN"/>
        </w:rPr>
      </w:pPr>
    </w:p>
    <w:p w14:paraId="483A773B" w14:textId="77777777" w:rsidR="001D4BB1" w:rsidRDefault="001D4BB1" w:rsidP="001D4BB1">
      <w:pPr>
        <w:shd w:val="clear" w:color="auto" w:fill="FFFFFF"/>
        <w:spacing w:after="0" w:line="240" w:lineRule="auto"/>
        <w:rPr>
          <w:rFonts w:ascii="Arial" w:eastAsia="Times New Roman" w:hAnsi="Arial" w:cs="Arial"/>
          <w:color w:val="222222"/>
          <w:sz w:val="24"/>
          <w:szCs w:val="24"/>
          <w:lang w:val="en-IN" w:eastAsia="en-IN"/>
        </w:rPr>
      </w:pPr>
      <w:bookmarkStart w:id="0" w:name="_Hlk232854992"/>
    </w:p>
    <w:p w14:paraId="05FCE96E" w14:textId="77777777" w:rsidR="001D4BB1" w:rsidRPr="000839CE" w:rsidRDefault="001D4BB1" w:rsidP="001D4BB1">
      <w:pPr>
        <w:spacing w:after="0" w:line="240" w:lineRule="auto"/>
        <w:rPr>
          <w:rFonts w:ascii="Times New Roman" w:hAnsi="Times New Roman" w:cs="Times New Roman"/>
          <w:b/>
        </w:rPr>
      </w:pPr>
      <w:bookmarkStart w:id="1" w:name="_Hlk232755622"/>
      <w:r w:rsidRPr="000839CE">
        <w:rPr>
          <w:rFonts w:ascii="Times New Roman" w:hAnsi="Times New Roman" w:cs="Times New Roman"/>
          <w:b/>
        </w:rPr>
        <w:lastRenderedPageBreak/>
        <w:t>Declaration of AI Use</w:t>
      </w:r>
    </w:p>
    <w:p w14:paraId="5293D004" w14:textId="77777777" w:rsidR="001D4BB1" w:rsidRPr="000839CE" w:rsidRDefault="001D4BB1" w:rsidP="001D4BB1">
      <w:pPr>
        <w:spacing w:after="0" w:line="240" w:lineRule="auto"/>
        <w:rPr>
          <w:rFonts w:ascii="Times New Roman" w:hAnsi="Times New Roman" w:cs="Times New Roman"/>
        </w:rPr>
      </w:pPr>
    </w:p>
    <w:p w14:paraId="0BA005FE" w14:textId="77777777" w:rsidR="001D4BB1" w:rsidRPr="000839CE" w:rsidRDefault="001D4BB1" w:rsidP="001D4BB1">
      <w:pPr>
        <w:spacing w:after="0" w:line="240" w:lineRule="auto"/>
        <w:jc w:val="both"/>
        <w:rPr>
          <w:rFonts w:ascii="Times New Roman" w:hAnsi="Times New Roman" w:cs="Times New Roman"/>
        </w:rPr>
      </w:pPr>
      <w:r w:rsidRPr="00C56790">
        <w:rPr>
          <w:rFonts w:ascii="Times New Roman" w:hAnsi="Times New Roman" w:cs="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0"/>
    <w:bookmarkEnd w:id="1"/>
    <w:p w14:paraId="1512A144" w14:textId="77777777" w:rsidR="001D4BB1" w:rsidRPr="00DC271A" w:rsidRDefault="001D4BB1" w:rsidP="00DC271A">
      <w:pPr>
        <w:spacing w:before="100" w:beforeAutospacing="1" w:after="100" w:afterAutospacing="1" w:line="240" w:lineRule="auto"/>
        <w:rPr>
          <w:rFonts w:ascii="Times New Roman" w:eastAsia="Times New Roman" w:hAnsi="Times New Roman" w:cs="Times New Roman"/>
          <w:sz w:val="24"/>
          <w:szCs w:val="24"/>
          <w:lang w:eastAsia="en-GB"/>
        </w:rPr>
      </w:pPr>
    </w:p>
    <w:p w14:paraId="06C165D4" w14:textId="77777777" w:rsidR="00DC271A" w:rsidRPr="00DC271A" w:rsidRDefault="00DC271A" w:rsidP="00DC271A">
      <w:pPr>
        <w:spacing w:after="0" w:line="240" w:lineRule="auto"/>
        <w:rPr>
          <w:rFonts w:ascii="Times New Roman" w:eastAsia="Times New Roman" w:hAnsi="Times New Roman" w:cs="Times New Roman"/>
          <w:sz w:val="24"/>
          <w:szCs w:val="24"/>
          <w:lang w:eastAsia="en-GB"/>
        </w:rPr>
      </w:pPr>
    </w:p>
    <w:p w14:paraId="446C2B5D" w14:textId="77777777" w:rsidR="00DC271A" w:rsidRDefault="00DC271A" w:rsidP="00DC271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C271A">
        <w:rPr>
          <w:rFonts w:ascii="Times New Roman" w:eastAsia="Times New Roman" w:hAnsi="Times New Roman" w:cs="Times New Roman"/>
          <w:b/>
          <w:bCs/>
          <w:sz w:val="27"/>
          <w:szCs w:val="27"/>
          <w:lang w:eastAsia="en-GB"/>
        </w:rPr>
        <w:t>References</w:t>
      </w:r>
    </w:p>
    <w:p w14:paraId="04C87537"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Al-Hajj, M., </w:t>
      </w:r>
      <w:proofErr w:type="spellStart"/>
      <w:r w:rsidRPr="0030192C">
        <w:rPr>
          <w:rFonts w:ascii="Times New Roman" w:eastAsia="Times New Roman" w:hAnsi="Times New Roman" w:cs="Times New Roman"/>
          <w:bCs/>
          <w:sz w:val="24"/>
          <w:szCs w:val="27"/>
          <w:lang w:eastAsia="en-GB"/>
        </w:rPr>
        <w:t>Wicha</w:t>
      </w:r>
      <w:proofErr w:type="spellEnd"/>
      <w:r w:rsidRPr="0030192C">
        <w:rPr>
          <w:rFonts w:ascii="Times New Roman" w:eastAsia="Times New Roman" w:hAnsi="Times New Roman" w:cs="Times New Roman"/>
          <w:bCs/>
          <w:sz w:val="24"/>
          <w:szCs w:val="27"/>
          <w:lang w:eastAsia="en-GB"/>
        </w:rPr>
        <w:t>, M. S., Benito-Hernandez, A., Morrison, S. J., &amp; Clarke, M. F. (2003). Prospective identification of tumorigenic breast cancer cells. Proceedings of the National Academy of Sciences of the United States of America, 100(7), 3983–3988. https://doi.org/10.1073/pnas.0530291100</w:t>
      </w:r>
    </w:p>
    <w:p w14:paraId="19457E13"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Barker, N., van Es, J. H., Kuipers, J., Kujala, P., van den Born, M., </w:t>
      </w:r>
      <w:proofErr w:type="spellStart"/>
      <w:r w:rsidRPr="0030192C">
        <w:rPr>
          <w:rFonts w:ascii="Times New Roman" w:eastAsia="Times New Roman" w:hAnsi="Times New Roman" w:cs="Times New Roman"/>
          <w:bCs/>
          <w:sz w:val="24"/>
          <w:szCs w:val="27"/>
          <w:lang w:eastAsia="en-GB"/>
        </w:rPr>
        <w:t>Cozijnsen</w:t>
      </w:r>
      <w:proofErr w:type="spellEnd"/>
      <w:r w:rsidRPr="0030192C">
        <w:rPr>
          <w:rFonts w:ascii="Times New Roman" w:eastAsia="Times New Roman" w:hAnsi="Times New Roman" w:cs="Times New Roman"/>
          <w:bCs/>
          <w:sz w:val="24"/>
          <w:szCs w:val="27"/>
          <w:lang w:eastAsia="en-GB"/>
        </w:rPr>
        <w:t xml:space="preserve">, M., </w:t>
      </w:r>
      <w:proofErr w:type="spellStart"/>
      <w:r w:rsidRPr="0030192C">
        <w:rPr>
          <w:rFonts w:ascii="Times New Roman" w:eastAsia="Times New Roman" w:hAnsi="Times New Roman" w:cs="Times New Roman"/>
          <w:bCs/>
          <w:sz w:val="24"/>
          <w:szCs w:val="27"/>
          <w:lang w:eastAsia="en-GB"/>
        </w:rPr>
        <w:t>Haegebarth</w:t>
      </w:r>
      <w:proofErr w:type="spellEnd"/>
      <w:r w:rsidRPr="0030192C">
        <w:rPr>
          <w:rFonts w:ascii="Times New Roman" w:eastAsia="Times New Roman" w:hAnsi="Times New Roman" w:cs="Times New Roman"/>
          <w:bCs/>
          <w:sz w:val="24"/>
          <w:szCs w:val="27"/>
          <w:lang w:eastAsia="en-GB"/>
        </w:rPr>
        <w:t xml:space="preserve">, A., </w:t>
      </w:r>
      <w:proofErr w:type="spellStart"/>
      <w:r w:rsidRPr="0030192C">
        <w:rPr>
          <w:rFonts w:ascii="Times New Roman" w:eastAsia="Times New Roman" w:hAnsi="Times New Roman" w:cs="Times New Roman"/>
          <w:bCs/>
          <w:sz w:val="24"/>
          <w:szCs w:val="27"/>
          <w:lang w:eastAsia="en-GB"/>
        </w:rPr>
        <w:t>Korving</w:t>
      </w:r>
      <w:proofErr w:type="spellEnd"/>
      <w:r w:rsidRPr="0030192C">
        <w:rPr>
          <w:rFonts w:ascii="Times New Roman" w:eastAsia="Times New Roman" w:hAnsi="Times New Roman" w:cs="Times New Roman"/>
          <w:bCs/>
          <w:sz w:val="24"/>
          <w:szCs w:val="27"/>
          <w:lang w:eastAsia="en-GB"/>
        </w:rPr>
        <w:t xml:space="preserve">, J., </w:t>
      </w:r>
      <w:proofErr w:type="spellStart"/>
      <w:r w:rsidRPr="0030192C">
        <w:rPr>
          <w:rFonts w:ascii="Times New Roman" w:eastAsia="Times New Roman" w:hAnsi="Times New Roman" w:cs="Times New Roman"/>
          <w:bCs/>
          <w:sz w:val="24"/>
          <w:szCs w:val="27"/>
          <w:lang w:eastAsia="en-GB"/>
        </w:rPr>
        <w:t>Begthel</w:t>
      </w:r>
      <w:proofErr w:type="spellEnd"/>
      <w:r w:rsidRPr="0030192C">
        <w:rPr>
          <w:rFonts w:ascii="Times New Roman" w:eastAsia="Times New Roman" w:hAnsi="Times New Roman" w:cs="Times New Roman"/>
          <w:bCs/>
          <w:sz w:val="24"/>
          <w:szCs w:val="27"/>
          <w:lang w:eastAsia="en-GB"/>
        </w:rPr>
        <w:t xml:space="preserve">, H., Peters, P. J., &amp; </w:t>
      </w:r>
      <w:proofErr w:type="spellStart"/>
      <w:r w:rsidRPr="0030192C">
        <w:rPr>
          <w:rFonts w:ascii="Times New Roman" w:eastAsia="Times New Roman" w:hAnsi="Times New Roman" w:cs="Times New Roman"/>
          <w:bCs/>
          <w:sz w:val="24"/>
          <w:szCs w:val="27"/>
          <w:lang w:eastAsia="en-GB"/>
        </w:rPr>
        <w:t>Clevers</w:t>
      </w:r>
      <w:proofErr w:type="spellEnd"/>
      <w:r w:rsidRPr="0030192C">
        <w:rPr>
          <w:rFonts w:ascii="Times New Roman" w:eastAsia="Times New Roman" w:hAnsi="Times New Roman" w:cs="Times New Roman"/>
          <w:bCs/>
          <w:sz w:val="24"/>
          <w:szCs w:val="27"/>
          <w:lang w:eastAsia="en-GB"/>
        </w:rPr>
        <w:t>, H. (2007). Identification of stem cells in small intestine and colon by marker gene Lgr5. Nature, 449(7165), 1003–1007. https://doi.org/10.1038/nature06196</w:t>
      </w:r>
    </w:p>
    <w:p w14:paraId="1A025022"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Batlle, E., &amp; </w:t>
      </w:r>
      <w:proofErr w:type="spellStart"/>
      <w:r w:rsidRPr="0030192C">
        <w:rPr>
          <w:rFonts w:ascii="Times New Roman" w:eastAsia="Times New Roman" w:hAnsi="Times New Roman" w:cs="Times New Roman"/>
          <w:bCs/>
          <w:sz w:val="24"/>
          <w:szCs w:val="27"/>
          <w:lang w:eastAsia="en-GB"/>
        </w:rPr>
        <w:t>Clevers</w:t>
      </w:r>
      <w:proofErr w:type="spellEnd"/>
      <w:r w:rsidRPr="0030192C">
        <w:rPr>
          <w:rFonts w:ascii="Times New Roman" w:eastAsia="Times New Roman" w:hAnsi="Times New Roman" w:cs="Times New Roman"/>
          <w:bCs/>
          <w:sz w:val="24"/>
          <w:szCs w:val="27"/>
          <w:lang w:eastAsia="en-GB"/>
        </w:rPr>
        <w:t>, H. (2017). Cancer stem cells revisited. Nature Medicine, 23(10), 1124–1134. https://doi.org/10.1038/nm.4409</w:t>
      </w:r>
    </w:p>
    <w:p w14:paraId="65C8E8CA"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t>Bayik</w:t>
      </w:r>
      <w:proofErr w:type="spellEnd"/>
      <w:r w:rsidRPr="0030192C">
        <w:rPr>
          <w:rFonts w:ascii="Times New Roman" w:eastAsia="Times New Roman" w:hAnsi="Times New Roman" w:cs="Times New Roman"/>
          <w:bCs/>
          <w:sz w:val="24"/>
          <w:szCs w:val="27"/>
          <w:lang w:eastAsia="en-GB"/>
        </w:rPr>
        <w:t>, D., &amp; Lathia, J. D. (2021). Cancer stem cell–immune cell crosstalk in tumour progression. Nature Reviews Cancer, 21(8), 526–536. https://doi.org/10.1038/s41568-021-00366-w</w:t>
      </w:r>
    </w:p>
    <w:p w14:paraId="67976F50"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Bonnet, D., &amp; Dick, J. E. (1997). Human acute myeloid </w:t>
      </w:r>
      <w:proofErr w:type="spellStart"/>
      <w:r w:rsidRPr="0030192C">
        <w:rPr>
          <w:rFonts w:ascii="Times New Roman" w:eastAsia="Times New Roman" w:hAnsi="Times New Roman" w:cs="Times New Roman"/>
          <w:bCs/>
          <w:sz w:val="24"/>
          <w:szCs w:val="27"/>
          <w:lang w:eastAsia="en-GB"/>
        </w:rPr>
        <w:t>leukemia</w:t>
      </w:r>
      <w:proofErr w:type="spellEnd"/>
      <w:r w:rsidRPr="0030192C">
        <w:rPr>
          <w:rFonts w:ascii="Times New Roman" w:eastAsia="Times New Roman" w:hAnsi="Times New Roman" w:cs="Times New Roman"/>
          <w:bCs/>
          <w:sz w:val="24"/>
          <w:szCs w:val="27"/>
          <w:lang w:eastAsia="en-GB"/>
        </w:rPr>
        <w:t xml:space="preserve"> is organized as a hierarchy that originates from a primitive hematopoietic cell. Nature Medicine, 3(7), 730–737. https://doi.org/10.1038/nm0797-730</w:t>
      </w:r>
    </w:p>
    <w:p w14:paraId="3796396A"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t>Boumahdi</w:t>
      </w:r>
      <w:proofErr w:type="spellEnd"/>
      <w:r w:rsidRPr="0030192C">
        <w:rPr>
          <w:rFonts w:ascii="Times New Roman" w:eastAsia="Times New Roman" w:hAnsi="Times New Roman" w:cs="Times New Roman"/>
          <w:bCs/>
          <w:sz w:val="24"/>
          <w:szCs w:val="27"/>
          <w:lang w:eastAsia="en-GB"/>
        </w:rPr>
        <w:t>, S., &amp; de Sauvage, F. J. (2020). The great escape: Tumour cell plasticity in resistance to targeted therapy. Nature Reviews Drug Discovery, 19(1), 39–56. https://doi.org/10.1038/s41573-019-0044-1</w:t>
      </w:r>
    </w:p>
    <w:p w14:paraId="192559D2"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t>Brabletz</w:t>
      </w:r>
      <w:proofErr w:type="spellEnd"/>
      <w:r w:rsidRPr="0030192C">
        <w:rPr>
          <w:rFonts w:ascii="Times New Roman" w:eastAsia="Times New Roman" w:hAnsi="Times New Roman" w:cs="Times New Roman"/>
          <w:bCs/>
          <w:sz w:val="24"/>
          <w:szCs w:val="27"/>
          <w:lang w:eastAsia="en-GB"/>
        </w:rPr>
        <w:t>, T., Kalluri, R., Nieto, M. A., &amp; Weinberg, R. A. (2018). EMT in cancer. Nature Reviews Cancer, 18(2), 128–134. https://doi.org/10.1038/nrc.2017.118</w:t>
      </w:r>
    </w:p>
    <w:p w14:paraId="48F39D9D"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t>Clevers</w:t>
      </w:r>
      <w:proofErr w:type="spellEnd"/>
      <w:r w:rsidRPr="0030192C">
        <w:rPr>
          <w:rFonts w:ascii="Times New Roman" w:eastAsia="Times New Roman" w:hAnsi="Times New Roman" w:cs="Times New Roman"/>
          <w:bCs/>
          <w:sz w:val="24"/>
          <w:szCs w:val="27"/>
          <w:lang w:eastAsia="en-GB"/>
        </w:rPr>
        <w:t>, H. (2011). The cancer stem cell: Premises, promises and challenges. Nature Medicine, 17(3), 313–319. https://doi.org/10.1038/nm.2304</w:t>
      </w:r>
    </w:p>
    <w:p w14:paraId="44F25F16"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Cojoc, M., </w:t>
      </w:r>
      <w:proofErr w:type="spellStart"/>
      <w:r w:rsidRPr="0030192C">
        <w:rPr>
          <w:rFonts w:ascii="Times New Roman" w:eastAsia="Times New Roman" w:hAnsi="Times New Roman" w:cs="Times New Roman"/>
          <w:bCs/>
          <w:sz w:val="24"/>
          <w:szCs w:val="27"/>
          <w:lang w:eastAsia="en-GB"/>
        </w:rPr>
        <w:t>Mäbert</w:t>
      </w:r>
      <w:proofErr w:type="spellEnd"/>
      <w:r w:rsidRPr="0030192C">
        <w:rPr>
          <w:rFonts w:ascii="Times New Roman" w:eastAsia="Times New Roman" w:hAnsi="Times New Roman" w:cs="Times New Roman"/>
          <w:bCs/>
          <w:sz w:val="24"/>
          <w:szCs w:val="27"/>
          <w:lang w:eastAsia="en-GB"/>
        </w:rPr>
        <w:t xml:space="preserve">, K., </w:t>
      </w:r>
      <w:proofErr w:type="spellStart"/>
      <w:r w:rsidRPr="0030192C">
        <w:rPr>
          <w:rFonts w:ascii="Times New Roman" w:eastAsia="Times New Roman" w:hAnsi="Times New Roman" w:cs="Times New Roman"/>
          <w:bCs/>
          <w:sz w:val="24"/>
          <w:szCs w:val="27"/>
          <w:lang w:eastAsia="en-GB"/>
        </w:rPr>
        <w:t>Muders</w:t>
      </w:r>
      <w:proofErr w:type="spellEnd"/>
      <w:r w:rsidRPr="0030192C">
        <w:rPr>
          <w:rFonts w:ascii="Times New Roman" w:eastAsia="Times New Roman" w:hAnsi="Times New Roman" w:cs="Times New Roman"/>
          <w:bCs/>
          <w:sz w:val="24"/>
          <w:szCs w:val="27"/>
          <w:lang w:eastAsia="en-GB"/>
        </w:rPr>
        <w:t xml:space="preserve">, M. H., &amp; </w:t>
      </w:r>
      <w:proofErr w:type="spellStart"/>
      <w:r w:rsidRPr="0030192C">
        <w:rPr>
          <w:rFonts w:ascii="Times New Roman" w:eastAsia="Times New Roman" w:hAnsi="Times New Roman" w:cs="Times New Roman"/>
          <w:bCs/>
          <w:sz w:val="24"/>
          <w:szCs w:val="27"/>
          <w:lang w:eastAsia="en-GB"/>
        </w:rPr>
        <w:t>Dubrovska</w:t>
      </w:r>
      <w:proofErr w:type="spellEnd"/>
      <w:r w:rsidRPr="0030192C">
        <w:rPr>
          <w:rFonts w:ascii="Times New Roman" w:eastAsia="Times New Roman" w:hAnsi="Times New Roman" w:cs="Times New Roman"/>
          <w:bCs/>
          <w:sz w:val="24"/>
          <w:szCs w:val="27"/>
          <w:lang w:eastAsia="en-GB"/>
        </w:rPr>
        <w:t>, A. (2015). A role for cancer stem cells in therapy resistance: Cellular and molecular mechanisms. Seminars in Cancer Biology, 31, 16–27. https://doi.org/10.1016/j.semcancer.2014.06.004</w:t>
      </w:r>
    </w:p>
    <w:p w14:paraId="21369AAC"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lastRenderedPageBreak/>
        <w:t>Dagogo</w:t>
      </w:r>
      <w:proofErr w:type="spellEnd"/>
      <w:r w:rsidRPr="0030192C">
        <w:rPr>
          <w:rFonts w:ascii="Times New Roman" w:eastAsia="Times New Roman" w:hAnsi="Times New Roman" w:cs="Times New Roman"/>
          <w:bCs/>
          <w:sz w:val="24"/>
          <w:szCs w:val="27"/>
          <w:lang w:eastAsia="en-GB"/>
        </w:rPr>
        <w:t>-Jack, I., &amp; Shaw, A. T. (2018). Tumour heterogeneity and resistance to cancer therapies. Nature Reviews Clinical Oncology, 15(2), 81–94. https://doi.org/10.1038/nrclinonc.2017.166</w:t>
      </w:r>
    </w:p>
    <w:p w14:paraId="46D87D7E"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de Sousa e Melo, F., &amp; Vermeulen, L. (2016). </w:t>
      </w:r>
      <w:proofErr w:type="spellStart"/>
      <w:r w:rsidRPr="0030192C">
        <w:rPr>
          <w:rFonts w:ascii="Times New Roman" w:eastAsia="Times New Roman" w:hAnsi="Times New Roman" w:cs="Times New Roman"/>
          <w:bCs/>
          <w:sz w:val="24"/>
          <w:szCs w:val="27"/>
          <w:lang w:eastAsia="en-GB"/>
        </w:rPr>
        <w:t>Wnt</w:t>
      </w:r>
      <w:proofErr w:type="spellEnd"/>
      <w:r w:rsidRPr="0030192C">
        <w:rPr>
          <w:rFonts w:ascii="Times New Roman" w:eastAsia="Times New Roman" w:hAnsi="Times New Roman" w:cs="Times New Roman"/>
          <w:bCs/>
          <w:sz w:val="24"/>
          <w:szCs w:val="27"/>
          <w:lang w:eastAsia="en-GB"/>
        </w:rPr>
        <w:t xml:space="preserve"> </w:t>
      </w:r>
      <w:proofErr w:type="spellStart"/>
      <w:r w:rsidRPr="0030192C">
        <w:rPr>
          <w:rFonts w:ascii="Times New Roman" w:eastAsia="Times New Roman" w:hAnsi="Times New Roman" w:cs="Times New Roman"/>
          <w:bCs/>
          <w:sz w:val="24"/>
          <w:szCs w:val="27"/>
          <w:lang w:eastAsia="en-GB"/>
        </w:rPr>
        <w:t>signaling</w:t>
      </w:r>
      <w:proofErr w:type="spellEnd"/>
      <w:r w:rsidRPr="0030192C">
        <w:rPr>
          <w:rFonts w:ascii="Times New Roman" w:eastAsia="Times New Roman" w:hAnsi="Times New Roman" w:cs="Times New Roman"/>
          <w:bCs/>
          <w:sz w:val="24"/>
          <w:szCs w:val="27"/>
          <w:lang w:eastAsia="en-GB"/>
        </w:rPr>
        <w:t xml:space="preserve"> in cancer stem cell biology. Cancers, 8(7), 60. https://doi.org/10.3390/cancers8070060 </w:t>
      </w:r>
    </w:p>
    <w:p w14:paraId="7A532FC6"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Easwaran, H., Tsai, H. C., &amp; Baylin, S. B. (2014). Cancer epigenetics: </w:t>
      </w:r>
      <w:proofErr w:type="spellStart"/>
      <w:r w:rsidRPr="0030192C">
        <w:rPr>
          <w:rFonts w:ascii="Times New Roman" w:eastAsia="Times New Roman" w:hAnsi="Times New Roman" w:cs="Times New Roman"/>
          <w:bCs/>
          <w:sz w:val="24"/>
          <w:szCs w:val="27"/>
          <w:lang w:eastAsia="en-GB"/>
        </w:rPr>
        <w:t>Tumor</w:t>
      </w:r>
      <w:proofErr w:type="spellEnd"/>
      <w:r w:rsidRPr="0030192C">
        <w:rPr>
          <w:rFonts w:ascii="Times New Roman" w:eastAsia="Times New Roman" w:hAnsi="Times New Roman" w:cs="Times New Roman"/>
          <w:bCs/>
          <w:sz w:val="24"/>
          <w:szCs w:val="27"/>
          <w:lang w:eastAsia="en-GB"/>
        </w:rPr>
        <w:t xml:space="preserve"> heterogeneity, plasticity of stem-like states, and drug resistance. Molecular Cell, 54(5), 716–727. https://doi.org/10.1016/j.molcel.2014.05.015</w:t>
      </w:r>
    </w:p>
    <w:p w14:paraId="645CB970"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Frank, N. Y., </w:t>
      </w:r>
      <w:proofErr w:type="spellStart"/>
      <w:r w:rsidRPr="0030192C">
        <w:rPr>
          <w:rFonts w:ascii="Times New Roman" w:eastAsia="Times New Roman" w:hAnsi="Times New Roman" w:cs="Times New Roman"/>
          <w:bCs/>
          <w:sz w:val="24"/>
          <w:szCs w:val="27"/>
          <w:lang w:eastAsia="en-GB"/>
        </w:rPr>
        <w:t>Schatton</w:t>
      </w:r>
      <w:proofErr w:type="spellEnd"/>
      <w:r w:rsidRPr="0030192C">
        <w:rPr>
          <w:rFonts w:ascii="Times New Roman" w:eastAsia="Times New Roman" w:hAnsi="Times New Roman" w:cs="Times New Roman"/>
          <w:bCs/>
          <w:sz w:val="24"/>
          <w:szCs w:val="27"/>
          <w:lang w:eastAsia="en-GB"/>
        </w:rPr>
        <w:t>, T., &amp; Frank, M. H. (2010). The therapeutic promise of the cancer stem cell concept. Journal of Clinical Investigation, 120(1), 41–50. https://doi.org/10.1172/JCI41004</w:t>
      </w:r>
    </w:p>
    <w:p w14:paraId="5442D6ED"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Fruman, D. A., Chiu, H., Hopkins, B. D., </w:t>
      </w:r>
      <w:proofErr w:type="spellStart"/>
      <w:r w:rsidRPr="0030192C">
        <w:rPr>
          <w:rFonts w:ascii="Times New Roman" w:eastAsia="Times New Roman" w:hAnsi="Times New Roman" w:cs="Times New Roman"/>
          <w:bCs/>
          <w:sz w:val="24"/>
          <w:szCs w:val="27"/>
          <w:lang w:eastAsia="en-GB"/>
        </w:rPr>
        <w:t>Bagrodia</w:t>
      </w:r>
      <w:proofErr w:type="spellEnd"/>
      <w:r w:rsidRPr="0030192C">
        <w:rPr>
          <w:rFonts w:ascii="Times New Roman" w:eastAsia="Times New Roman" w:hAnsi="Times New Roman" w:cs="Times New Roman"/>
          <w:bCs/>
          <w:sz w:val="24"/>
          <w:szCs w:val="27"/>
          <w:lang w:eastAsia="en-GB"/>
        </w:rPr>
        <w:t>, S., Cantley, L. C., &amp; Abraham, R. T. (2017). The PI3K pathway in human disease. Cell, 170(4), 605–635. https://doi.org/10.1016/j.cell.2017.07.029</w:t>
      </w:r>
    </w:p>
    <w:p w14:paraId="233C28C0"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García-Heredia, J. M., &amp; Carnero, A. (2020). Role of mitochondria in cancer stem cell resistance. Cells, 9(7), 1693. https://doi.org/10.3390/cells9071693</w:t>
      </w:r>
    </w:p>
    <w:p w14:paraId="55F421BE"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Gasparyan, A. Y., Ayvazyan, L., Blackmore, H., &amp; Kitas, G. D. (2011). Writing a narrative biomedical review: Considerations for authors, peer reviewers, and editors. Rheumatology International, 31(11), 1409–1417. https://doi.org/10.1007/s00296-011-1999-3</w:t>
      </w:r>
    </w:p>
    <w:p w14:paraId="11BF679E"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Ginestier, C., Hur, M. H., </w:t>
      </w:r>
      <w:proofErr w:type="spellStart"/>
      <w:r w:rsidRPr="0030192C">
        <w:rPr>
          <w:rFonts w:ascii="Times New Roman" w:eastAsia="Times New Roman" w:hAnsi="Times New Roman" w:cs="Times New Roman"/>
          <w:bCs/>
          <w:sz w:val="24"/>
          <w:szCs w:val="27"/>
          <w:lang w:eastAsia="en-GB"/>
        </w:rPr>
        <w:t>Charafe</w:t>
      </w:r>
      <w:proofErr w:type="spellEnd"/>
      <w:r w:rsidRPr="0030192C">
        <w:rPr>
          <w:rFonts w:ascii="Times New Roman" w:eastAsia="Times New Roman" w:hAnsi="Times New Roman" w:cs="Times New Roman"/>
          <w:bCs/>
          <w:sz w:val="24"/>
          <w:szCs w:val="27"/>
          <w:lang w:eastAsia="en-GB"/>
        </w:rPr>
        <w:t xml:space="preserve">-Jauffret, E., Monville, F., Dutcher, J., Brown, M., Jacquemier, J., Viens, P., Kleer, C. G., Liu, S., Schott, A., Hayes, D., Birnbaum, D., </w:t>
      </w:r>
      <w:proofErr w:type="spellStart"/>
      <w:r w:rsidRPr="0030192C">
        <w:rPr>
          <w:rFonts w:ascii="Times New Roman" w:eastAsia="Times New Roman" w:hAnsi="Times New Roman" w:cs="Times New Roman"/>
          <w:bCs/>
          <w:sz w:val="24"/>
          <w:szCs w:val="27"/>
          <w:lang w:eastAsia="en-GB"/>
        </w:rPr>
        <w:t>Wicha</w:t>
      </w:r>
      <w:proofErr w:type="spellEnd"/>
      <w:r w:rsidRPr="0030192C">
        <w:rPr>
          <w:rFonts w:ascii="Times New Roman" w:eastAsia="Times New Roman" w:hAnsi="Times New Roman" w:cs="Times New Roman"/>
          <w:bCs/>
          <w:sz w:val="24"/>
          <w:szCs w:val="27"/>
          <w:lang w:eastAsia="en-GB"/>
        </w:rPr>
        <w:t>, M. S., &amp; Dontu, G. (2007). ALDH1 is a marker of normal and malignant human mammary stem cells and a predictor of poor clinical outcome. Cell Stem Cell, 1(5), 555–567. https://doi.org/10.1016/j.stem.2007.08.014</w:t>
      </w:r>
    </w:p>
    <w:p w14:paraId="76F6D9F5"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Hanahan, D. (2022). Hallmarks of cancer: New dimensions. Cancer Discovery, 12(1), 31–46. https://doi.org/10.1158/2159-8290.CD-21-1059</w:t>
      </w:r>
    </w:p>
    <w:p w14:paraId="771489BB"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Keith, B., &amp; Simon, M. C. (2007). Hypoxia-inducible factors, stem cells, and cancer. Cell, 129(3), 465–472. https://doi.org/10.1016/j.cell.2007.04.019 </w:t>
      </w:r>
    </w:p>
    <w:p w14:paraId="69F4C357"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Kreso, A., &amp; Dick, J. E. (2014). Evolution of the cancer stem cell model. Cell Stem Cell, 14(3), 275–291. https://doi.org/10.1016/j.stem.2014.02.006</w:t>
      </w:r>
    </w:p>
    <w:p w14:paraId="6DF6DCE9"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Lapidot, T., Sirard, C., </w:t>
      </w:r>
      <w:proofErr w:type="spellStart"/>
      <w:r w:rsidRPr="0030192C">
        <w:rPr>
          <w:rFonts w:ascii="Times New Roman" w:eastAsia="Times New Roman" w:hAnsi="Times New Roman" w:cs="Times New Roman"/>
          <w:bCs/>
          <w:sz w:val="24"/>
          <w:szCs w:val="27"/>
          <w:lang w:eastAsia="en-GB"/>
        </w:rPr>
        <w:t>Vormoor</w:t>
      </w:r>
      <w:proofErr w:type="spellEnd"/>
      <w:r w:rsidRPr="0030192C">
        <w:rPr>
          <w:rFonts w:ascii="Times New Roman" w:eastAsia="Times New Roman" w:hAnsi="Times New Roman" w:cs="Times New Roman"/>
          <w:bCs/>
          <w:sz w:val="24"/>
          <w:szCs w:val="27"/>
          <w:lang w:eastAsia="en-GB"/>
        </w:rPr>
        <w:t>, J., Murdoch, B., Hoang, T., Caceres-Cortes, J., Minden, M., Paterson, B., Caligiuri, M. A., &amp; Dick, J. E. (1994). A cell initiating human acute myeloid leukaemia after transplantation into SCID mice. Nature, 367(6464), 645–648. https://doi.org/10.1038/367645a0</w:t>
      </w:r>
    </w:p>
    <w:p w14:paraId="3285BD99"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Lathia, J. D., Mack, S. C., </w:t>
      </w:r>
      <w:proofErr w:type="spellStart"/>
      <w:r w:rsidRPr="0030192C">
        <w:rPr>
          <w:rFonts w:ascii="Times New Roman" w:eastAsia="Times New Roman" w:hAnsi="Times New Roman" w:cs="Times New Roman"/>
          <w:bCs/>
          <w:sz w:val="24"/>
          <w:szCs w:val="27"/>
          <w:lang w:eastAsia="en-GB"/>
        </w:rPr>
        <w:t>Mulkearns</w:t>
      </w:r>
      <w:proofErr w:type="spellEnd"/>
      <w:r w:rsidRPr="0030192C">
        <w:rPr>
          <w:rFonts w:ascii="Times New Roman" w:eastAsia="Times New Roman" w:hAnsi="Times New Roman" w:cs="Times New Roman"/>
          <w:bCs/>
          <w:sz w:val="24"/>
          <w:szCs w:val="27"/>
          <w:lang w:eastAsia="en-GB"/>
        </w:rPr>
        <w:t>-Hubert, E. E., Valentim, C. L. L., &amp; Rich, J. N. (2015). Cancer stem cells in glioblastoma. Genes &amp; Development, 29(12), 1203–1217. https://doi.org/10.1101/gad.261982.115</w:t>
      </w:r>
    </w:p>
    <w:p w14:paraId="4FC7603C"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lastRenderedPageBreak/>
        <w:t xml:space="preserve">Li, C., Heidt, D. G., Dalerba, P., Burant, C. F., Zhang, L., </w:t>
      </w:r>
      <w:proofErr w:type="spellStart"/>
      <w:r w:rsidRPr="0030192C">
        <w:rPr>
          <w:rFonts w:ascii="Times New Roman" w:eastAsia="Times New Roman" w:hAnsi="Times New Roman" w:cs="Times New Roman"/>
          <w:bCs/>
          <w:sz w:val="24"/>
          <w:szCs w:val="27"/>
          <w:lang w:eastAsia="en-GB"/>
        </w:rPr>
        <w:t>Adsay</w:t>
      </w:r>
      <w:proofErr w:type="spellEnd"/>
      <w:r w:rsidRPr="0030192C">
        <w:rPr>
          <w:rFonts w:ascii="Times New Roman" w:eastAsia="Times New Roman" w:hAnsi="Times New Roman" w:cs="Times New Roman"/>
          <w:bCs/>
          <w:sz w:val="24"/>
          <w:szCs w:val="27"/>
          <w:lang w:eastAsia="en-GB"/>
        </w:rPr>
        <w:t>, V., Wicha, M., Clarke, M. F., &amp; Simeone, D. M. (2007). Identification of pancreatic cancer stem cells. Cancer Research, 67(3), 1030–1037. https://doi.org/10.1158/0008-5472.CAN-06-2030</w:t>
      </w:r>
    </w:p>
    <w:p w14:paraId="2EC3CCD8"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Lytle, N. K., Barber, A. G., &amp; Reya, T. (2018). Stem cell fate in cancer growth, progression and therapy resistance. Nature Reviews Cancer, 18(11), 669–680. https://doi.org/10.1038/s41568-018-0056-x</w:t>
      </w:r>
    </w:p>
    <w:p w14:paraId="2896354A"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Mani, S. A., Guo, W., Liao, M. J., Eaton, E. N., </w:t>
      </w:r>
      <w:proofErr w:type="spellStart"/>
      <w:r w:rsidRPr="0030192C">
        <w:rPr>
          <w:rFonts w:ascii="Times New Roman" w:eastAsia="Times New Roman" w:hAnsi="Times New Roman" w:cs="Times New Roman"/>
          <w:bCs/>
          <w:sz w:val="24"/>
          <w:szCs w:val="27"/>
          <w:lang w:eastAsia="en-GB"/>
        </w:rPr>
        <w:t>Ayyanan</w:t>
      </w:r>
      <w:proofErr w:type="spellEnd"/>
      <w:r w:rsidRPr="0030192C">
        <w:rPr>
          <w:rFonts w:ascii="Times New Roman" w:eastAsia="Times New Roman" w:hAnsi="Times New Roman" w:cs="Times New Roman"/>
          <w:bCs/>
          <w:sz w:val="24"/>
          <w:szCs w:val="27"/>
          <w:lang w:eastAsia="en-GB"/>
        </w:rPr>
        <w:t xml:space="preserve">, A., Zhou, A. Y., Brooks, M., Reinhard, F., Zhang, C. C., </w:t>
      </w:r>
      <w:proofErr w:type="spellStart"/>
      <w:r w:rsidRPr="0030192C">
        <w:rPr>
          <w:rFonts w:ascii="Times New Roman" w:eastAsia="Times New Roman" w:hAnsi="Times New Roman" w:cs="Times New Roman"/>
          <w:bCs/>
          <w:sz w:val="24"/>
          <w:szCs w:val="27"/>
          <w:lang w:eastAsia="en-GB"/>
        </w:rPr>
        <w:t>Shipitsin</w:t>
      </w:r>
      <w:proofErr w:type="spellEnd"/>
      <w:r w:rsidRPr="0030192C">
        <w:rPr>
          <w:rFonts w:ascii="Times New Roman" w:eastAsia="Times New Roman" w:hAnsi="Times New Roman" w:cs="Times New Roman"/>
          <w:bCs/>
          <w:sz w:val="24"/>
          <w:szCs w:val="27"/>
          <w:lang w:eastAsia="en-GB"/>
        </w:rPr>
        <w:t>, M., Campbell, L. L., Polyak, K., Brisken, C., Yang, J., &amp; Weinberg, R. A. (2008). The epithelial-mesenchymal transition generates cells with properties of stem cells. Cell, 133(4), 704–715. https://doi.org/10.1016/j.cell.2008.03.027</w:t>
      </w:r>
    </w:p>
    <w:p w14:paraId="258721EA"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Meacham, C. E., &amp; Morrison, S. J. (2013). Tumour heterogeneity and cancer cell plasticity. Nature, 501(7467), 328–337. https://doi.org/10.1038/nature12624</w:t>
      </w:r>
    </w:p>
    <w:p w14:paraId="4C2CD32B"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Morrison, S. J., &amp; Spradling, A. C. (2008). Stem cells and niches: Mechanisms that promote stem cell maintenance throughout life. Cell, 132(4), 598–611. https://doi.org/10.1016/j.cell.2008.01.038</w:t>
      </w:r>
    </w:p>
    <w:p w14:paraId="6EADE532"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Najafi, M., </w:t>
      </w:r>
      <w:proofErr w:type="spellStart"/>
      <w:r w:rsidRPr="0030192C">
        <w:rPr>
          <w:rFonts w:ascii="Times New Roman" w:eastAsia="Times New Roman" w:hAnsi="Times New Roman" w:cs="Times New Roman"/>
          <w:bCs/>
          <w:sz w:val="24"/>
          <w:szCs w:val="27"/>
          <w:lang w:eastAsia="en-GB"/>
        </w:rPr>
        <w:t>Mortezaee</w:t>
      </w:r>
      <w:proofErr w:type="spellEnd"/>
      <w:r w:rsidRPr="0030192C">
        <w:rPr>
          <w:rFonts w:ascii="Times New Roman" w:eastAsia="Times New Roman" w:hAnsi="Times New Roman" w:cs="Times New Roman"/>
          <w:bCs/>
          <w:sz w:val="24"/>
          <w:szCs w:val="27"/>
          <w:lang w:eastAsia="en-GB"/>
        </w:rPr>
        <w:t xml:space="preserve">, K., &amp; </w:t>
      </w:r>
      <w:proofErr w:type="spellStart"/>
      <w:r w:rsidRPr="0030192C">
        <w:rPr>
          <w:rFonts w:ascii="Times New Roman" w:eastAsia="Times New Roman" w:hAnsi="Times New Roman" w:cs="Times New Roman"/>
          <w:bCs/>
          <w:sz w:val="24"/>
          <w:szCs w:val="27"/>
          <w:lang w:eastAsia="en-GB"/>
        </w:rPr>
        <w:t>Majidpoor</w:t>
      </w:r>
      <w:proofErr w:type="spellEnd"/>
      <w:r w:rsidRPr="0030192C">
        <w:rPr>
          <w:rFonts w:ascii="Times New Roman" w:eastAsia="Times New Roman" w:hAnsi="Times New Roman" w:cs="Times New Roman"/>
          <w:bCs/>
          <w:sz w:val="24"/>
          <w:szCs w:val="27"/>
          <w:lang w:eastAsia="en-GB"/>
        </w:rPr>
        <w:t>, J. (2019). Cancer stem cell (CSC) resistance drivers. Life Sciences, 234, Article 116781. https://doi.org/10.1016/j.lfs.2019.116781</w:t>
      </w:r>
    </w:p>
    <w:p w14:paraId="203EA16F"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Nguyen, L. V., Vanner, R., Dirks, P., &amp; Eaves, C. J. (2012). Cancer stem cells: An evolving concept. Nature Reviews Cancer, 12(2), 133–143. https://doi.org/10.1038/nrc3184</w:t>
      </w:r>
    </w:p>
    <w:p w14:paraId="1DC3D2F4"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Nusse, R., &amp; </w:t>
      </w:r>
      <w:proofErr w:type="spellStart"/>
      <w:r w:rsidRPr="0030192C">
        <w:rPr>
          <w:rFonts w:ascii="Times New Roman" w:eastAsia="Times New Roman" w:hAnsi="Times New Roman" w:cs="Times New Roman"/>
          <w:bCs/>
          <w:sz w:val="24"/>
          <w:szCs w:val="27"/>
          <w:lang w:eastAsia="en-GB"/>
        </w:rPr>
        <w:t>Clevers</w:t>
      </w:r>
      <w:proofErr w:type="spellEnd"/>
      <w:r w:rsidRPr="0030192C">
        <w:rPr>
          <w:rFonts w:ascii="Times New Roman" w:eastAsia="Times New Roman" w:hAnsi="Times New Roman" w:cs="Times New Roman"/>
          <w:bCs/>
          <w:sz w:val="24"/>
          <w:szCs w:val="27"/>
          <w:lang w:eastAsia="en-GB"/>
        </w:rPr>
        <w:t xml:space="preserve">, H. (2017). </w:t>
      </w:r>
      <w:proofErr w:type="spellStart"/>
      <w:r w:rsidRPr="0030192C">
        <w:rPr>
          <w:rFonts w:ascii="Times New Roman" w:eastAsia="Times New Roman" w:hAnsi="Times New Roman" w:cs="Times New Roman"/>
          <w:bCs/>
          <w:sz w:val="24"/>
          <w:szCs w:val="27"/>
          <w:lang w:eastAsia="en-GB"/>
        </w:rPr>
        <w:t>Wnt</w:t>
      </w:r>
      <w:proofErr w:type="spellEnd"/>
      <w:r w:rsidRPr="0030192C">
        <w:rPr>
          <w:rFonts w:ascii="Times New Roman" w:eastAsia="Times New Roman" w:hAnsi="Times New Roman" w:cs="Times New Roman"/>
          <w:bCs/>
          <w:sz w:val="24"/>
          <w:szCs w:val="27"/>
          <w:lang w:eastAsia="en-GB"/>
        </w:rPr>
        <w:t xml:space="preserve">/β-catenin </w:t>
      </w:r>
      <w:proofErr w:type="spellStart"/>
      <w:r w:rsidRPr="0030192C">
        <w:rPr>
          <w:rFonts w:ascii="Times New Roman" w:eastAsia="Times New Roman" w:hAnsi="Times New Roman" w:cs="Times New Roman"/>
          <w:bCs/>
          <w:sz w:val="24"/>
          <w:szCs w:val="27"/>
          <w:lang w:eastAsia="en-GB"/>
        </w:rPr>
        <w:t>signaling</w:t>
      </w:r>
      <w:proofErr w:type="spellEnd"/>
      <w:r w:rsidRPr="0030192C">
        <w:rPr>
          <w:rFonts w:ascii="Times New Roman" w:eastAsia="Times New Roman" w:hAnsi="Times New Roman" w:cs="Times New Roman"/>
          <w:bCs/>
          <w:sz w:val="24"/>
          <w:szCs w:val="27"/>
          <w:lang w:eastAsia="en-GB"/>
        </w:rPr>
        <w:t>, disease, and emerging therapeutic modalities. Cell, 169(6), 985–999. https://doi.org/10.1016/j.cell.2017.05.016</w:t>
      </w:r>
    </w:p>
    <w:p w14:paraId="7C8093E2"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O’Brien, C. A., Pollett, A., Gallinger, S., &amp; Dick, J. E. (2007). A human colon cancer cell capable of initiating tumour growth in immunodeficient mice. Nature, 445(7123), 106–110. https://doi.org/10.1038/nature05372</w:t>
      </w:r>
    </w:p>
    <w:p w14:paraId="6BB63C9C"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t>Pattabiraman</w:t>
      </w:r>
      <w:proofErr w:type="spellEnd"/>
      <w:r w:rsidRPr="0030192C">
        <w:rPr>
          <w:rFonts w:ascii="Times New Roman" w:eastAsia="Times New Roman" w:hAnsi="Times New Roman" w:cs="Times New Roman"/>
          <w:bCs/>
          <w:sz w:val="24"/>
          <w:szCs w:val="27"/>
          <w:lang w:eastAsia="en-GB"/>
        </w:rPr>
        <w:t>, D. R., &amp; Weinberg, R. A. (2014). Tackling the cancer stem cells — what challenges do they pose? Nature Reviews Drug Discovery, 13(7), 497–512. https://doi.org/10.1038/nrd4253</w:t>
      </w:r>
    </w:p>
    <w:p w14:paraId="49402216"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Peitzsch, C., </w:t>
      </w:r>
      <w:proofErr w:type="spellStart"/>
      <w:r w:rsidRPr="0030192C">
        <w:rPr>
          <w:rFonts w:ascii="Times New Roman" w:eastAsia="Times New Roman" w:hAnsi="Times New Roman" w:cs="Times New Roman"/>
          <w:bCs/>
          <w:sz w:val="24"/>
          <w:szCs w:val="27"/>
          <w:lang w:eastAsia="en-GB"/>
        </w:rPr>
        <w:t>Tyutyunnykova</w:t>
      </w:r>
      <w:proofErr w:type="spellEnd"/>
      <w:r w:rsidRPr="0030192C">
        <w:rPr>
          <w:rFonts w:ascii="Times New Roman" w:eastAsia="Times New Roman" w:hAnsi="Times New Roman" w:cs="Times New Roman"/>
          <w:bCs/>
          <w:sz w:val="24"/>
          <w:szCs w:val="27"/>
          <w:lang w:eastAsia="en-GB"/>
        </w:rPr>
        <w:t xml:space="preserve">, A., Pantel, K., &amp; </w:t>
      </w:r>
      <w:proofErr w:type="spellStart"/>
      <w:r w:rsidRPr="0030192C">
        <w:rPr>
          <w:rFonts w:ascii="Times New Roman" w:eastAsia="Times New Roman" w:hAnsi="Times New Roman" w:cs="Times New Roman"/>
          <w:bCs/>
          <w:sz w:val="24"/>
          <w:szCs w:val="27"/>
          <w:lang w:eastAsia="en-GB"/>
        </w:rPr>
        <w:t>Dubrovska</w:t>
      </w:r>
      <w:proofErr w:type="spellEnd"/>
      <w:r w:rsidRPr="0030192C">
        <w:rPr>
          <w:rFonts w:ascii="Times New Roman" w:eastAsia="Times New Roman" w:hAnsi="Times New Roman" w:cs="Times New Roman"/>
          <w:bCs/>
          <w:sz w:val="24"/>
          <w:szCs w:val="27"/>
          <w:lang w:eastAsia="en-GB"/>
        </w:rPr>
        <w:t xml:space="preserve">, A. (2017). Cancer stem cells: The root of </w:t>
      </w:r>
      <w:proofErr w:type="spellStart"/>
      <w:r w:rsidRPr="0030192C">
        <w:rPr>
          <w:rFonts w:ascii="Times New Roman" w:eastAsia="Times New Roman" w:hAnsi="Times New Roman" w:cs="Times New Roman"/>
          <w:bCs/>
          <w:sz w:val="24"/>
          <w:szCs w:val="27"/>
          <w:lang w:eastAsia="en-GB"/>
        </w:rPr>
        <w:t>tumor</w:t>
      </w:r>
      <w:proofErr w:type="spellEnd"/>
      <w:r w:rsidRPr="0030192C">
        <w:rPr>
          <w:rFonts w:ascii="Times New Roman" w:eastAsia="Times New Roman" w:hAnsi="Times New Roman" w:cs="Times New Roman"/>
          <w:bCs/>
          <w:sz w:val="24"/>
          <w:szCs w:val="27"/>
          <w:lang w:eastAsia="en-GB"/>
        </w:rPr>
        <w:t xml:space="preserve"> recurrence and metastases. Seminars in Cancer Biology, 44, 10–24. https://doi.org/10.1016/j.semcancer.2017.02.011</w:t>
      </w:r>
    </w:p>
    <w:p w14:paraId="3C6871BF"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Phi, L. T. H., Sari, I. N., Yang, Y. G., Lee, S. H., Jun, N., Kim, K. S., Lee, Y. K., &amp; Kwon, H. Y. (2018). Cancer stem cells (CSCs) in drug resistance and their therapeutic implications in cancer treatment. Stem Cells International, 2018, Article 5416923. https://doi.org/10.1155/2018/5416923</w:t>
      </w:r>
    </w:p>
    <w:p w14:paraId="0DE0785E"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t>Plaks</w:t>
      </w:r>
      <w:proofErr w:type="spellEnd"/>
      <w:r w:rsidRPr="0030192C">
        <w:rPr>
          <w:rFonts w:ascii="Times New Roman" w:eastAsia="Times New Roman" w:hAnsi="Times New Roman" w:cs="Times New Roman"/>
          <w:bCs/>
          <w:sz w:val="24"/>
          <w:szCs w:val="27"/>
          <w:lang w:eastAsia="en-GB"/>
        </w:rPr>
        <w:t xml:space="preserve">, V., Kong, N., &amp; Werb, Z. (2015). The cancer stem cell niche: How essential is the niche in regulating stemness of </w:t>
      </w:r>
      <w:proofErr w:type="spellStart"/>
      <w:r w:rsidRPr="0030192C">
        <w:rPr>
          <w:rFonts w:ascii="Times New Roman" w:eastAsia="Times New Roman" w:hAnsi="Times New Roman" w:cs="Times New Roman"/>
          <w:bCs/>
          <w:sz w:val="24"/>
          <w:szCs w:val="27"/>
          <w:lang w:eastAsia="en-GB"/>
        </w:rPr>
        <w:t>tumor</w:t>
      </w:r>
      <w:proofErr w:type="spellEnd"/>
      <w:r w:rsidRPr="0030192C">
        <w:rPr>
          <w:rFonts w:ascii="Times New Roman" w:eastAsia="Times New Roman" w:hAnsi="Times New Roman" w:cs="Times New Roman"/>
          <w:bCs/>
          <w:sz w:val="24"/>
          <w:szCs w:val="27"/>
          <w:lang w:eastAsia="en-GB"/>
        </w:rPr>
        <w:t xml:space="preserve"> cells? Cell Stem Cell, 16(3), 225–238. https://doi.org/10.1016/j.stem.2015.02.015</w:t>
      </w:r>
    </w:p>
    <w:p w14:paraId="777668AA"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lastRenderedPageBreak/>
        <w:t xml:space="preserve">Prager, B. C., Xie, Q., Bao, S., &amp; Rich, J. N. (2019). Cancer stem cells: The architects of the </w:t>
      </w:r>
      <w:proofErr w:type="spellStart"/>
      <w:r w:rsidRPr="0030192C">
        <w:rPr>
          <w:rFonts w:ascii="Times New Roman" w:eastAsia="Times New Roman" w:hAnsi="Times New Roman" w:cs="Times New Roman"/>
          <w:bCs/>
          <w:sz w:val="24"/>
          <w:szCs w:val="27"/>
          <w:lang w:eastAsia="en-GB"/>
        </w:rPr>
        <w:t>tumor</w:t>
      </w:r>
      <w:proofErr w:type="spellEnd"/>
      <w:r w:rsidRPr="0030192C">
        <w:rPr>
          <w:rFonts w:ascii="Times New Roman" w:eastAsia="Times New Roman" w:hAnsi="Times New Roman" w:cs="Times New Roman"/>
          <w:bCs/>
          <w:sz w:val="24"/>
          <w:szCs w:val="27"/>
          <w:lang w:eastAsia="en-GB"/>
        </w:rPr>
        <w:t xml:space="preserve"> ecosystem. Cell Stem Cell, 24(4), 509–524. https://doi.org/10.1016/j.stem.2019.03.009</w:t>
      </w:r>
    </w:p>
    <w:p w14:paraId="149A3CA5"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Ranganathan, P., Weaver, K. L., &amp; Capobianco, A. J. (2011). Notch signalling in solid tumours: A little bit of everything but not all the time. Nature Reviews Cancer, 11(5), 338–351. https://doi.org/10.1038/nrc3035</w:t>
      </w:r>
    </w:p>
    <w:p w14:paraId="7C153538"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Sancho, P., </w:t>
      </w:r>
      <w:proofErr w:type="spellStart"/>
      <w:r w:rsidRPr="0030192C">
        <w:rPr>
          <w:rFonts w:ascii="Times New Roman" w:eastAsia="Times New Roman" w:hAnsi="Times New Roman" w:cs="Times New Roman"/>
          <w:bCs/>
          <w:sz w:val="24"/>
          <w:szCs w:val="27"/>
          <w:lang w:eastAsia="en-GB"/>
        </w:rPr>
        <w:t>Barneda</w:t>
      </w:r>
      <w:proofErr w:type="spellEnd"/>
      <w:r w:rsidRPr="0030192C">
        <w:rPr>
          <w:rFonts w:ascii="Times New Roman" w:eastAsia="Times New Roman" w:hAnsi="Times New Roman" w:cs="Times New Roman"/>
          <w:bCs/>
          <w:sz w:val="24"/>
          <w:szCs w:val="27"/>
          <w:lang w:eastAsia="en-GB"/>
        </w:rPr>
        <w:t xml:space="preserve">, D., &amp; </w:t>
      </w:r>
      <w:proofErr w:type="spellStart"/>
      <w:r w:rsidRPr="0030192C">
        <w:rPr>
          <w:rFonts w:ascii="Times New Roman" w:eastAsia="Times New Roman" w:hAnsi="Times New Roman" w:cs="Times New Roman"/>
          <w:bCs/>
          <w:sz w:val="24"/>
          <w:szCs w:val="27"/>
          <w:lang w:eastAsia="en-GB"/>
        </w:rPr>
        <w:t>Heeschen</w:t>
      </w:r>
      <w:proofErr w:type="spellEnd"/>
      <w:r w:rsidRPr="0030192C">
        <w:rPr>
          <w:rFonts w:ascii="Times New Roman" w:eastAsia="Times New Roman" w:hAnsi="Times New Roman" w:cs="Times New Roman"/>
          <w:bCs/>
          <w:sz w:val="24"/>
          <w:szCs w:val="27"/>
          <w:lang w:eastAsia="en-GB"/>
        </w:rPr>
        <w:t>, C. (2016). Hallmarks of cancer stem cell metabolism. British Journal of Cancer, 114(12), 1305–1312. https://doi.org/10.1038/bjc.2016.152</w:t>
      </w:r>
    </w:p>
    <w:p w14:paraId="54A796C9"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Shen, S., Vagner, S., &amp; Robert, C. (2020). Persistent cancer cells: The deadly survivors. Cell, 183(4), 860–874. https://doi.org/10.1016/j.cell.2020.10.027 </w:t>
      </w:r>
    </w:p>
    <w:p w14:paraId="3C507729"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t>Shibue</w:t>
      </w:r>
      <w:proofErr w:type="spellEnd"/>
      <w:r w:rsidRPr="0030192C">
        <w:rPr>
          <w:rFonts w:ascii="Times New Roman" w:eastAsia="Times New Roman" w:hAnsi="Times New Roman" w:cs="Times New Roman"/>
          <w:bCs/>
          <w:sz w:val="24"/>
          <w:szCs w:val="27"/>
          <w:lang w:eastAsia="en-GB"/>
        </w:rPr>
        <w:t>, T., &amp; Weinberg, R. A. (2017). EMT, CSCs, and drug resistance: The mechanistic link and clinical implications. Nature Reviews Clinical Oncology, 14(10), 611–629. https://doi.org/10.1038/nrclinonc.2017.44</w:t>
      </w:r>
    </w:p>
    <w:p w14:paraId="75F82713"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Singh, S. K., Hawkins, C., Clarke, I. D., Squire, J. A., Bayani, J., Hide, T., Henkelman, R. M., Cusimano, M. D., &amp; Dirks, P. B. (2004). Identification of human brain tumour initiating cells. Nature, 432(7015), 396–401. https://doi.org/10.1038/nature03128</w:t>
      </w:r>
    </w:p>
    <w:p w14:paraId="4BFFF32C"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Takebe, N., Harris, P. J., Warren, R. Q., &amp; Ivy, S. P. (2011). Targeting cancer stem cells by inhibiting </w:t>
      </w:r>
      <w:proofErr w:type="spellStart"/>
      <w:r w:rsidRPr="0030192C">
        <w:rPr>
          <w:rFonts w:ascii="Times New Roman" w:eastAsia="Times New Roman" w:hAnsi="Times New Roman" w:cs="Times New Roman"/>
          <w:bCs/>
          <w:sz w:val="24"/>
          <w:szCs w:val="27"/>
          <w:lang w:eastAsia="en-GB"/>
        </w:rPr>
        <w:t>Wnt</w:t>
      </w:r>
      <w:proofErr w:type="spellEnd"/>
      <w:r w:rsidRPr="0030192C">
        <w:rPr>
          <w:rFonts w:ascii="Times New Roman" w:eastAsia="Times New Roman" w:hAnsi="Times New Roman" w:cs="Times New Roman"/>
          <w:bCs/>
          <w:sz w:val="24"/>
          <w:szCs w:val="27"/>
          <w:lang w:eastAsia="en-GB"/>
        </w:rPr>
        <w:t>, Notch, and Hedgehog pathways. Nature Reviews Clinical Oncology, 8(2), 97–106. https://doi.org/10.1038/nrclinonc.2010.196</w:t>
      </w:r>
    </w:p>
    <w:p w14:paraId="3520AEC9"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Toh, T. B., Lim, J. J., &amp; Chow, E. K. H. (2017). Epigenetics in cancer stem cells. Molecular Cancer, 16(1), Article 29. https://doi.org/10.1186/s12943-017-0596-9</w:t>
      </w:r>
    </w:p>
    <w:p w14:paraId="41DE19A7"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Turdo, A., </w:t>
      </w:r>
      <w:proofErr w:type="spellStart"/>
      <w:r w:rsidRPr="0030192C">
        <w:rPr>
          <w:rFonts w:ascii="Times New Roman" w:eastAsia="Times New Roman" w:hAnsi="Times New Roman" w:cs="Times New Roman"/>
          <w:bCs/>
          <w:sz w:val="24"/>
          <w:szCs w:val="27"/>
          <w:lang w:eastAsia="en-GB"/>
        </w:rPr>
        <w:t>Veschi</w:t>
      </w:r>
      <w:proofErr w:type="spellEnd"/>
      <w:r w:rsidRPr="0030192C">
        <w:rPr>
          <w:rFonts w:ascii="Times New Roman" w:eastAsia="Times New Roman" w:hAnsi="Times New Roman" w:cs="Times New Roman"/>
          <w:bCs/>
          <w:sz w:val="24"/>
          <w:szCs w:val="27"/>
          <w:lang w:eastAsia="en-GB"/>
        </w:rPr>
        <w:t>, V., Gaggianesi, M., Chinnici, A., Bianca, P., Todaro, M., &amp; Stassi, G. (2019). Meeting the challenge of targeting cancer stem cells. Frontiers in Cell and Developmental Biology, 7, Article 16. https://doi.org/10.3389/fcell.2019.00016</w:t>
      </w:r>
    </w:p>
    <w:p w14:paraId="008B0432"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proofErr w:type="spellStart"/>
      <w:r w:rsidRPr="0030192C">
        <w:rPr>
          <w:rFonts w:ascii="Times New Roman" w:eastAsia="Times New Roman" w:hAnsi="Times New Roman" w:cs="Times New Roman"/>
          <w:bCs/>
          <w:sz w:val="24"/>
          <w:szCs w:val="27"/>
          <w:lang w:eastAsia="en-GB"/>
        </w:rPr>
        <w:t>Visvader</w:t>
      </w:r>
      <w:proofErr w:type="spellEnd"/>
      <w:r w:rsidRPr="0030192C">
        <w:rPr>
          <w:rFonts w:ascii="Times New Roman" w:eastAsia="Times New Roman" w:hAnsi="Times New Roman" w:cs="Times New Roman"/>
          <w:bCs/>
          <w:sz w:val="24"/>
          <w:szCs w:val="27"/>
          <w:lang w:eastAsia="en-GB"/>
        </w:rPr>
        <w:t>, J. E., &amp; Lindeman, G. J. (2008). Cancer stem cells in solid tumours: Accumulating evidence and unresolved questions. Nature Reviews Cancer, 8(10), 755–768. https://doi.org/10.1038/nrc2499</w:t>
      </w:r>
    </w:p>
    <w:p w14:paraId="702CB48C"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Yu, H., Lee, H., Herrmann, A., Buettner, R., &amp; Jove, R. (2014). Revisiting STAT3 signalling in cancer: New and unexpected biological functions. Nature Reviews Cancer, 14(11), 736–746. https://doi.org/10.1038/nrc3818</w:t>
      </w:r>
    </w:p>
    <w:p w14:paraId="7E175C83"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Zhan, T., Rindtorff, N., &amp; Boutros, M. (2017). </w:t>
      </w:r>
      <w:proofErr w:type="spellStart"/>
      <w:r w:rsidRPr="0030192C">
        <w:rPr>
          <w:rFonts w:ascii="Times New Roman" w:eastAsia="Times New Roman" w:hAnsi="Times New Roman" w:cs="Times New Roman"/>
          <w:bCs/>
          <w:sz w:val="24"/>
          <w:szCs w:val="27"/>
          <w:lang w:eastAsia="en-GB"/>
        </w:rPr>
        <w:t>Wnt</w:t>
      </w:r>
      <w:proofErr w:type="spellEnd"/>
      <w:r w:rsidRPr="0030192C">
        <w:rPr>
          <w:rFonts w:ascii="Times New Roman" w:eastAsia="Times New Roman" w:hAnsi="Times New Roman" w:cs="Times New Roman"/>
          <w:bCs/>
          <w:sz w:val="24"/>
          <w:szCs w:val="27"/>
          <w:lang w:eastAsia="en-GB"/>
        </w:rPr>
        <w:t xml:space="preserve"> </w:t>
      </w:r>
      <w:proofErr w:type="spellStart"/>
      <w:r w:rsidRPr="0030192C">
        <w:rPr>
          <w:rFonts w:ascii="Times New Roman" w:eastAsia="Times New Roman" w:hAnsi="Times New Roman" w:cs="Times New Roman"/>
          <w:bCs/>
          <w:sz w:val="24"/>
          <w:szCs w:val="27"/>
          <w:lang w:eastAsia="en-GB"/>
        </w:rPr>
        <w:t>signaling</w:t>
      </w:r>
      <w:proofErr w:type="spellEnd"/>
      <w:r w:rsidRPr="0030192C">
        <w:rPr>
          <w:rFonts w:ascii="Times New Roman" w:eastAsia="Times New Roman" w:hAnsi="Times New Roman" w:cs="Times New Roman"/>
          <w:bCs/>
          <w:sz w:val="24"/>
          <w:szCs w:val="27"/>
          <w:lang w:eastAsia="en-GB"/>
        </w:rPr>
        <w:t xml:space="preserve"> in cancer. Oncogene, 36(11), 1461–1473. https://doi.org/10.1038/onc.2016.304</w:t>
      </w:r>
    </w:p>
    <w:p w14:paraId="61450A7E" w14:textId="77777777" w:rsidR="0030192C" w:rsidRPr="0030192C" w:rsidRDefault="0030192C" w:rsidP="0030192C">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 xml:space="preserve">Zhou, B., Lin, W., Long, Y., Yang, Y., Zhang, H., Wu, K., &amp; Chu, Q. (2022). Notch </w:t>
      </w:r>
      <w:proofErr w:type="spellStart"/>
      <w:r w:rsidRPr="0030192C">
        <w:rPr>
          <w:rFonts w:ascii="Times New Roman" w:eastAsia="Times New Roman" w:hAnsi="Times New Roman" w:cs="Times New Roman"/>
          <w:bCs/>
          <w:sz w:val="24"/>
          <w:szCs w:val="27"/>
          <w:lang w:eastAsia="en-GB"/>
        </w:rPr>
        <w:t>signaling</w:t>
      </w:r>
      <w:proofErr w:type="spellEnd"/>
      <w:r w:rsidRPr="0030192C">
        <w:rPr>
          <w:rFonts w:ascii="Times New Roman" w:eastAsia="Times New Roman" w:hAnsi="Times New Roman" w:cs="Times New Roman"/>
          <w:bCs/>
          <w:sz w:val="24"/>
          <w:szCs w:val="27"/>
          <w:lang w:eastAsia="en-GB"/>
        </w:rPr>
        <w:t xml:space="preserve"> pathway: Architecture, disease, and therapeutics. Signal Transduction and Targeted Therapy, 7(1), Article 95. https://doi.org/10.1038/s41392-022-00934-y</w:t>
      </w:r>
    </w:p>
    <w:p w14:paraId="7D98ECF0" w14:textId="2EC662F2" w:rsidR="0030192C" w:rsidRPr="0030192C" w:rsidRDefault="0030192C" w:rsidP="00DC271A">
      <w:pPr>
        <w:spacing w:before="100" w:beforeAutospacing="1" w:after="100" w:afterAutospacing="1" w:line="240" w:lineRule="auto"/>
        <w:outlineLvl w:val="2"/>
        <w:rPr>
          <w:rFonts w:ascii="Times New Roman" w:eastAsia="Times New Roman" w:hAnsi="Times New Roman" w:cs="Times New Roman"/>
          <w:bCs/>
          <w:sz w:val="24"/>
          <w:szCs w:val="27"/>
          <w:lang w:eastAsia="en-GB"/>
        </w:rPr>
      </w:pPr>
      <w:r w:rsidRPr="0030192C">
        <w:rPr>
          <w:rFonts w:ascii="Times New Roman" w:eastAsia="Times New Roman" w:hAnsi="Times New Roman" w:cs="Times New Roman"/>
          <w:bCs/>
          <w:sz w:val="24"/>
          <w:szCs w:val="27"/>
          <w:lang w:eastAsia="en-GB"/>
        </w:rPr>
        <w:t>Zöller, M. (2011). CD44: Can a cancer-initiating cell profit from an abundantly expressed molecule? Nature Reviews Cancer, 11(4), 254–267. https://doi.org/10.1038/nrc3023</w:t>
      </w:r>
    </w:p>
    <w:sectPr w:rsidR="0030192C" w:rsidRPr="0030192C" w:rsidSect="004841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0094" w14:textId="77777777" w:rsidR="0015031C" w:rsidRDefault="0015031C" w:rsidP="00475A27">
      <w:pPr>
        <w:spacing w:after="0" w:line="240" w:lineRule="auto"/>
      </w:pPr>
      <w:r>
        <w:separator/>
      </w:r>
    </w:p>
  </w:endnote>
  <w:endnote w:type="continuationSeparator" w:id="0">
    <w:p w14:paraId="5EE1C9BB" w14:textId="77777777" w:rsidR="0015031C" w:rsidRDefault="0015031C" w:rsidP="0047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09FF" w14:textId="77777777" w:rsidR="00475A27" w:rsidRDefault="00475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7C9A" w14:textId="77777777" w:rsidR="00475A27" w:rsidRDefault="00475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19F7" w14:textId="77777777" w:rsidR="00475A27" w:rsidRDefault="00475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90D2" w14:textId="77777777" w:rsidR="0015031C" w:rsidRDefault="0015031C" w:rsidP="00475A27">
      <w:pPr>
        <w:spacing w:after="0" w:line="240" w:lineRule="auto"/>
      </w:pPr>
      <w:r>
        <w:separator/>
      </w:r>
    </w:p>
  </w:footnote>
  <w:footnote w:type="continuationSeparator" w:id="0">
    <w:p w14:paraId="1C0A26B3" w14:textId="77777777" w:rsidR="0015031C" w:rsidRDefault="0015031C" w:rsidP="00475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6B72" w14:textId="0D5CAC42" w:rsidR="00475A27" w:rsidRDefault="00475A27">
    <w:pPr>
      <w:pStyle w:val="Header"/>
    </w:pPr>
    <w:r>
      <w:rPr>
        <w:noProof/>
      </w:rPr>
      <w:pict w14:anchorId="3C907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5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57E8" w14:textId="4145D342" w:rsidR="00475A27" w:rsidRDefault="00475A27">
    <w:pPr>
      <w:pStyle w:val="Header"/>
    </w:pPr>
    <w:r>
      <w:rPr>
        <w:noProof/>
      </w:rPr>
      <w:pict w14:anchorId="35A62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5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D6A3" w14:textId="0D47F9DD" w:rsidR="00475A27" w:rsidRDefault="00475A27">
    <w:pPr>
      <w:pStyle w:val="Header"/>
    </w:pPr>
    <w:r>
      <w:rPr>
        <w:noProof/>
      </w:rPr>
      <w:pict w14:anchorId="5E160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35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3518D"/>
    <w:multiLevelType w:val="hybridMultilevel"/>
    <w:tmpl w:val="B76EA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557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71A"/>
    <w:rsid w:val="0015031C"/>
    <w:rsid w:val="001D4BB1"/>
    <w:rsid w:val="0027521E"/>
    <w:rsid w:val="002A0C52"/>
    <w:rsid w:val="0030192C"/>
    <w:rsid w:val="00475A27"/>
    <w:rsid w:val="004841B3"/>
    <w:rsid w:val="006A349C"/>
    <w:rsid w:val="00CA7276"/>
    <w:rsid w:val="00DC271A"/>
    <w:rsid w:val="00EA0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D6F1"/>
  <w15:docId w15:val="{05EC7148-2B65-4E58-BE75-4DE2CDED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DC27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C27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C271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271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C271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C271A"/>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DC27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271A"/>
    <w:rPr>
      <w:b/>
      <w:bCs/>
    </w:rPr>
  </w:style>
  <w:style w:type="character" w:styleId="Emphasis">
    <w:name w:val="Emphasis"/>
    <w:basedOn w:val="DefaultParagraphFont"/>
    <w:uiPriority w:val="20"/>
    <w:qFormat/>
    <w:rsid w:val="00DC271A"/>
    <w:rPr>
      <w:i/>
      <w:iCs/>
    </w:rPr>
  </w:style>
  <w:style w:type="character" w:styleId="Hyperlink">
    <w:name w:val="Hyperlink"/>
    <w:basedOn w:val="DefaultParagraphFont"/>
    <w:uiPriority w:val="99"/>
    <w:semiHidden/>
    <w:unhideWhenUsed/>
    <w:rsid w:val="00DC271A"/>
    <w:rPr>
      <w:color w:val="0000FF"/>
      <w:u w:val="single"/>
    </w:rPr>
  </w:style>
  <w:style w:type="paragraph" w:styleId="ListParagraph">
    <w:name w:val="List Paragraph"/>
    <w:basedOn w:val="Normal"/>
    <w:uiPriority w:val="34"/>
    <w:qFormat/>
    <w:rsid w:val="0027521E"/>
    <w:pPr>
      <w:ind w:left="720"/>
      <w:contextualSpacing/>
    </w:pPr>
  </w:style>
  <w:style w:type="paragraph" w:customStyle="1" w:styleId="pdq2pgselectionanchorcontainer">
    <w:name w:val="pdq2pg_selectionanchorcontainer"/>
    <w:basedOn w:val="Normal"/>
    <w:rsid w:val="002752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7521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0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A27"/>
  </w:style>
  <w:style w:type="paragraph" w:styleId="Footer">
    <w:name w:val="footer"/>
    <w:basedOn w:val="Normal"/>
    <w:link w:val="FooterChar"/>
    <w:uiPriority w:val="99"/>
    <w:unhideWhenUsed/>
    <w:rsid w:val="00475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0378">
      <w:bodyDiv w:val="1"/>
      <w:marLeft w:val="0"/>
      <w:marRight w:val="0"/>
      <w:marTop w:val="0"/>
      <w:marBottom w:val="0"/>
      <w:divBdr>
        <w:top w:val="none" w:sz="0" w:space="0" w:color="auto"/>
        <w:left w:val="none" w:sz="0" w:space="0" w:color="auto"/>
        <w:bottom w:val="none" w:sz="0" w:space="0" w:color="auto"/>
        <w:right w:val="none" w:sz="0" w:space="0" w:color="auto"/>
      </w:divBdr>
      <w:divsChild>
        <w:div w:id="1624144601">
          <w:marLeft w:val="0"/>
          <w:marRight w:val="0"/>
          <w:marTop w:val="0"/>
          <w:marBottom w:val="0"/>
          <w:divBdr>
            <w:top w:val="none" w:sz="0" w:space="0" w:color="auto"/>
            <w:left w:val="none" w:sz="0" w:space="0" w:color="auto"/>
            <w:bottom w:val="none" w:sz="0" w:space="0" w:color="auto"/>
            <w:right w:val="none" w:sz="0" w:space="0" w:color="auto"/>
          </w:divBdr>
          <w:divsChild>
            <w:div w:id="987827800">
              <w:marLeft w:val="0"/>
              <w:marRight w:val="0"/>
              <w:marTop w:val="0"/>
              <w:marBottom w:val="0"/>
              <w:divBdr>
                <w:top w:val="none" w:sz="0" w:space="0" w:color="auto"/>
                <w:left w:val="none" w:sz="0" w:space="0" w:color="auto"/>
                <w:bottom w:val="none" w:sz="0" w:space="0" w:color="auto"/>
                <w:right w:val="none" w:sz="0" w:space="0" w:color="auto"/>
              </w:divBdr>
              <w:divsChild>
                <w:div w:id="792404575">
                  <w:marLeft w:val="0"/>
                  <w:marRight w:val="0"/>
                  <w:marTop w:val="0"/>
                  <w:marBottom w:val="0"/>
                  <w:divBdr>
                    <w:top w:val="none" w:sz="0" w:space="0" w:color="auto"/>
                    <w:left w:val="none" w:sz="0" w:space="0" w:color="auto"/>
                    <w:bottom w:val="none" w:sz="0" w:space="0" w:color="auto"/>
                    <w:right w:val="none" w:sz="0" w:space="0" w:color="auto"/>
                  </w:divBdr>
                  <w:divsChild>
                    <w:div w:id="1993366686">
                      <w:marLeft w:val="0"/>
                      <w:marRight w:val="0"/>
                      <w:marTop w:val="0"/>
                      <w:marBottom w:val="0"/>
                      <w:divBdr>
                        <w:top w:val="none" w:sz="0" w:space="0" w:color="auto"/>
                        <w:left w:val="none" w:sz="0" w:space="0" w:color="auto"/>
                        <w:bottom w:val="none" w:sz="0" w:space="0" w:color="auto"/>
                        <w:right w:val="none" w:sz="0" w:space="0" w:color="auto"/>
                      </w:divBdr>
                      <w:divsChild>
                        <w:div w:id="450511436">
                          <w:marLeft w:val="0"/>
                          <w:marRight w:val="0"/>
                          <w:marTop w:val="0"/>
                          <w:marBottom w:val="0"/>
                          <w:divBdr>
                            <w:top w:val="none" w:sz="0" w:space="0" w:color="auto"/>
                            <w:left w:val="none" w:sz="0" w:space="0" w:color="auto"/>
                            <w:bottom w:val="none" w:sz="0" w:space="0" w:color="auto"/>
                            <w:right w:val="none" w:sz="0" w:space="0" w:color="auto"/>
                          </w:divBdr>
                          <w:divsChild>
                            <w:div w:id="1271475164">
                              <w:marLeft w:val="0"/>
                              <w:marRight w:val="0"/>
                              <w:marTop w:val="0"/>
                              <w:marBottom w:val="0"/>
                              <w:divBdr>
                                <w:top w:val="none" w:sz="0" w:space="0" w:color="auto"/>
                                <w:left w:val="none" w:sz="0" w:space="0" w:color="auto"/>
                                <w:bottom w:val="none" w:sz="0" w:space="0" w:color="auto"/>
                                <w:right w:val="none" w:sz="0" w:space="0" w:color="auto"/>
                              </w:divBdr>
                              <w:divsChild>
                                <w:div w:id="798453523">
                                  <w:marLeft w:val="0"/>
                                  <w:marRight w:val="0"/>
                                  <w:marTop w:val="0"/>
                                  <w:marBottom w:val="0"/>
                                  <w:divBdr>
                                    <w:top w:val="none" w:sz="0" w:space="0" w:color="auto"/>
                                    <w:left w:val="none" w:sz="0" w:space="0" w:color="auto"/>
                                    <w:bottom w:val="none" w:sz="0" w:space="0" w:color="auto"/>
                                    <w:right w:val="none" w:sz="0" w:space="0" w:color="auto"/>
                                  </w:divBdr>
                                  <w:divsChild>
                                    <w:div w:id="17840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849442">
      <w:bodyDiv w:val="1"/>
      <w:marLeft w:val="0"/>
      <w:marRight w:val="0"/>
      <w:marTop w:val="0"/>
      <w:marBottom w:val="0"/>
      <w:divBdr>
        <w:top w:val="none" w:sz="0" w:space="0" w:color="auto"/>
        <w:left w:val="none" w:sz="0" w:space="0" w:color="auto"/>
        <w:bottom w:val="none" w:sz="0" w:space="0" w:color="auto"/>
        <w:right w:val="none" w:sz="0" w:space="0" w:color="auto"/>
      </w:divBdr>
      <w:divsChild>
        <w:div w:id="87511537">
          <w:marLeft w:val="0"/>
          <w:marRight w:val="0"/>
          <w:marTop w:val="0"/>
          <w:marBottom w:val="0"/>
          <w:divBdr>
            <w:top w:val="none" w:sz="0" w:space="0" w:color="auto"/>
            <w:left w:val="none" w:sz="0" w:space="0" w:color="auto"/>
            <w:bottom w:val="none" w:sz="0" w:space="0" w:color="auto"/>
            <w:right w:val="none" w:sz="0" w:space="0" w:color="auto"/>
          </w:divBdr>
        </w:div>
        <w:div w:id="529613943">
          <w:marLeft w:val="0"/>
          <w:marRight w:val="0"/>
          <w:marTop w:val="0"/>
          <w:marBottom w:val="0"/>
          <w:divBdr>
            <w:top w:val="none" w:sz="0" w:space="0" w:color="auto"/>
            <w:left w:val="none" w:sz="0" w:space="0" w:color="auto"/>
            <w:bottom w:val="none" w:sz="0" w:space="0" w:color="auto"/>
            <w:right w:val="none" w:sz="0" w:space="0" w:color="auto"/>
          </w:divBdr>
        </w:div>
        <w:div w:id="404571669">
          <w:marLeft w:val="0"/>
          <w:marRight w:val="0"/>
          <w:marTop w:val="0"/>
          <w:marBottom w:val="0"/>
          <w:divBdr>
            <w:top w:val="none" w:sz="0" w:space="0" w:color="auto"/>
            <w:left w:val="none" w:sz="0" w:space="0" w:color="auto"/>
            <w:bottom w:val="none" w:sz="0" w:space="0" w:color="auto"/>
            <w:right w:val="none" w:sz="0" w:space="0" w:color="auto"/>
          </w:divBdr>
        </w:div>
        <w:div w:id="796794668">
          <w:marLeft w:val="0"/>
          <w:marRight w:val="0"/>
          <w:marTop w:val="0"/>
          <w:marBottom w:val="0"/>
          <w:divBdr>
            <w:top w:val="none" w:sz="0" w:space="0" w:color="auto"/>
            <w:left w:val="none" w:sz="0" w:space="0" w:color="auto"/>
            <w:bottom w:val="none" w:sz="0" w:space="0" w:color="auto"/>
            <w:right w:val="none" w:sz="0" w:space="0" w:color="auto"/>
          </w:divBdr>
        </w:div>
        <w:div w:id="1845319937">
          <w:marLeft w:val="0"/>
          <w:marRight w:val="0"/>
          <w:marTop w:val="0"/>
          <w:marBottom w:val="0"/>
          <w:divBdr>
            <w:top w:val="none" w:sz="0" w:space="0" w:color="auto"/>
            <w:left w:val="none" w:sz="0" w:space="0" w:color="auto"/>
            <w:bottom w:val="none" w:sz="0" w:space="0" w:color="auto"/>
            <w:right w:val="none" w:sz="0" w:space="0" w:color="auto"/>
          </w:divBdr>
        </w:div>
      </w:divsChild>
    </w:div>
    <w:div w:id="1494445154">
      <w:bodyDiv w:val="1"/>
      <w:marLeft w:val="0"/>
      <w:marRight w:val="0"/>
      <w:marTop w:val="0"/>
      <w:marBottom w:val="0"/>
      <w:divBdr>
        <w:top w:val="none" w:sz="0" w:space="0" w:color="auto"/>
        <w:left w:val="none" w:sz="0" w:space="0" w:color="auto"/>
        <w:bottom w:val="none" w:sz="0" w:space="0" w:color="auto"/>
        <w:right w:val="none" w:sz="0" w:space="0" w:color="auto"/>
      </w:divBdr>
      <w:divsChild>
        <w:div w:id="1466199207">
          <w:marLeft w:val="0"/>
          <w:marRight w:val="0"/>
          <w:marTop w:val="0"/>
          <w:marBottom w:val="0"/>
          <w:divBdr>
            <w:top w:val="none" w:sz="0" w:space="0" w:color="auto"/>
            <w:left w:val="none" w:sz="0" w:space="0" w:color="auto"/>
            <w:bottom w:val="none" w:sz="0" w:space="0" w:color="auto"/>
            <w:right w:val="none" w:sz="0" w:space="0" w:color="auto"/>
          </w:divBdr>
          <w:divsChild>
            <w:div w:id="918908174">
              <w:marLeft w:val="0"/>
              <w:marRight w:val="0"/>
              <w:marTop w:val="0"/>
              <w:marBottom w:val="0"/>
              <w:divBdr>
                <w:top w:val="none" w:sz="0" w:space="0" w:color="auto"/>
                <w:left w:val="none" w:sz="0" w:space="0" w:color="auto"/>
                <w:bottom w:val="none" w:sz="0" w:space="0" w:color="auto"/>
                <w:right w:val="none" w:sz="0" w:space="0" w:color="auto"/>
              </w:divBdr>
              <w:divsChild>
                <w:div w:id="511603077">
                  <w:marLeft w:val="0"/>
                  <w:marRight w:val="0"/>
                  <w:marTop w:val="0"/>
                  <w:marBottom w:val="0"/>
                  <w:divBdr>
                    <w:top w:val="none" w:sz="0" w:space="0" w:color="auto"/>
                    <w:left w:val="none" w:sz="0" w:space="0" w:color="auto"/>
                    <w:bottom w:val="none" w:sz="0" w:space="0" w:color="auto"/>
                    <w:right w:val="none" w:sz="0" w:space="0" w:color="auto"/>
                  </w:divBdr>
                  <w:divsChild>
                    <w:div w:id="1566259945">
                      <w:marLeft w:val="0"/>
                      <w:marRight w:val="0"/>
                      <w:marTop w:val="0"/>
                      <w:marBottom w:val="0"/>
                      <w:divBdr>
                        <w:top w:val="none" w:sz="0" w:space="0" w:color="auto"/>
                        <w:left w:val="none" w:sz="0" w:space="0" w:color="auto"/>
                        <w:bottom w:val="none" w:sz="0" w:space="0" w:color="auto"/>
                        <w:right w:val="none" w:sz="0" w:space="0" w:color="auto"/>
                      </w:divBdr>
                      <w:divsChild>
                        <w:div w:id="668678157">
                          <w:marLeft w:val="0"/>
                          <w:marRight w:val="0"/>
                          <w:marTop w:val="0"/>
                          <w:marBottom w:val="0"/>
                          <w:divBdr>
                            <w:top w:val="none" w:sz="0" w:space="0" w:color="auto"/>
                            <w:left w:val="none" w:sz="0" w:space="0" w:color="auto"/>
                            <w:bottom w:val="none" w:sz="0" w:space="0" w:color="auto"/>
                            <w:right w:val="none" w:sz="0" w:space="0" w:color="auto"/>
                          </w:divBdr>
                          <w:divsChild>
                            <w:div w:id="1145396475">
                              <w:marLeft w:val="0"/>
                              <w:marRight w:val="0"/>
                              <w:marTop w:val="0"/>
                              <w:marBottom w:val="0"/>
                              <w:divBdr>
                                <w:top w:val="none" w:sz="0" w:space="0" w:color="auto"/>
                                <w:left w:val="none" w:sz="0" w:space="0" w:color="auto"/>
                                <w:bottom w:val="none" w:sz="0" w:space="0" w:color="auto"/>
                                <w:right w:val="none" w:sz="0" w:space="0" w:color="auto"/>
                              </w:divBdr>
                              <w:divsChild>
                                <w:div w:id="720402969">
                                  <w:marLeft w:val="0"/>
                                  <w:marRight w:val="0"/>
                                  <w:marTop w:val="0"/>
                                  <w:marBottom w:val="0"/>
                                  <w:divBdr>
                                    <w:top w:val="none" w:sz="0" w:space="0" w:color="auto"/>
                                    <w:left w:val="none" w:sz="0" w:space="0" w:color="auto"/>
                                    <w:bottom w:val="none" w:sz="0" w:space="0" w:color="auto"/>
                                    <w:right w:val="none" w:sz="0" w:space="0" w:color="auto"/>
                                  </w:divBdr>
                                  <w:divsChild>
                                    <w:div w:id="160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23</Pages>
  <Words>10696</Words>
  <Characters>60968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7</cp:revision>
  <dcterms:created xsi:type="dcterms:W3CDTF">2026-06-21T13:03:00Z</dcterms:created>
  <dcterms:modified xsi:type="dcterms:W3CDTF">2026-06-25T13:04:00Z</dcterms:modified>
</cp:coreProperties>
</file>