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4C2D7" w14:textId="77777777" w:rsidR="00A258C3" w:rsidRDefault="00CE5AB3" w:rsidP="0018366A">
      <w:pPr>
        <w:pStyle w:val="Author"/>
        <w:spacing w:line="240" w:lineRule="auto"/>
        <w:jc w:val="both"/>
        <w:rPr>
          <w:rFonts w:ascii="Arial" w:hAnsi="Arial" w:cs="Arial"/>
          <w:bCs/>
          <w:iCs/>
          <w:kern w:val="28"/>
          <w:sz w:val="20"/>
        </w:rPr>
      </w:pPr>
      <w:r w:rsidRPr="00F74FC4">
        <w:rPr>
          <w:rFonts w:ascii="Arial" w:hAnsi="Arial" w:cs="Arial"/>
          <w:bCs/>
          <w:iCs/>
          <w:kern w:val="28"/>
          <w:sz w:val="20"/>
        </w:rPr>
        <w:t>Advanced Metering Infrastructure (AMI): Technical Architecture, Functionalities and Implementation Outcomes</w:t>
      </w:r>
      <w:r w:rsidR="00B56AB2">
        <w:rPr>
          <w:rFonts w:ascii="Arial" w:hAnsi="Arial" w:cs="Arial"/>
          <w:bCs/>
          <w:iCs/>
          <w:kern w:val="28"/>
          <w:sz w:val="20"/>
        </w:rPr>
        <w:t xml:space="preserve"> </w:t>
      </w:r>
      <w:r w:rsidRPr="00F74FC4">
        <w:rPr>
          <w:rFonts w:ascii="Arial" w:hAnsi="Arial" w:cs="Arial"/>
          <w:bCs/>
          <w:iCs/>
          <w:kern w:val="28"/>
          <w:sz w:val="20"/>
        </w:rPr>
        <w:t>of the AMI System</w:t>
      </w:r>
      <w:r w:rsidR="00357166" w:rsidRPr="00F74FC4">
        <w:rPr>
          <w:rFonts w:ascii="Arial" w:hAnsi="Arial" w:cs="Arial"/>
          <w:bCs/>
          <w:iCs/>
          <w:kern w:val="28"/>
          <w:sz w:val="20"/>
        </w:rPr>
        <w:t xml:space="preserve"> in Yangon, Myanmar</w:t>
      </w:r>
    </w:p>
    <w:p w14:paraId="528D9C68" w14:textId="77777777" w:rsidR="00EE6B5E" w:rsidRDefault="00EE6B5E" w:rsidP="0018366A">
      <w:pPr>
        <w:pStyle w:val="Affiliation"/>
        <w:spacing w:after="0" w:line="240" w:lineRule="auto"/>
        <w:jc w:val="both"/>
        <w:rPr>
          <w:rFonts w:ascii="Arial" w:hAnsi="Arial" w:cs="Arial"/>
        </w:rPr>
      </w:pPr>
    </w:p>
    <w:p w14:paraId="15788561" w14:textId="77777777" w:rsidR="009E3823" w:rsidRDefault="009E3823" w:rsidP="0018366A">
      <w:pPr>
        <w:pStyle w:val="Affiliation"/>
        <w:spacing w:after="0" w:line="240" w:lineRule="auto"/>
        <w:jc w:val="both"/>
        <w:rPr>
          <w:rFonts w:ascii="Arial" w:hAnsi="Arial" w:cs="Arial"/>
        </w:rPr>
      </w:pPr>
    </w:p>
    <w:p w14:paraId="6CC5829F" w14:textId="77777777" w:rsidR="009E3823" w:rsidRDefault="009E3823" w:rsidP="0018366A">
      <w:pPr>
        <w:pStyle w:val="Affiliation"/>
        <w:spacing w:after="0" w:line="240" w:lineRule="auto"/>
        <w:jc w:val="both"/>
        <w:rPr>
          <w:rFonts w:ascii="Arial" w:hAnsi="Arial" w:cs="Arial"/>
        </w:rPr>
      </w:pPr>
    </w:p>
    <w:p w14:paraId="27B8EE61" w14:textId="77777777" w:rsidR="009E3823" w:rsidRPr="00F74FC4" w:rsidRDefault="009E3823" w:rsidP="0018366A">
      <w:pPr>
        <w:pStyle w:val="Affiliation"/>
        <w:spacing w:after="0" w:line="240" w:lineRule="auto"/>
        <w:jc w:val="both"/>
        <w:rPr>
          <w:rFonts w:ascii="Arial" w:hAnsi="Arial" w:cs="Arial"/>
        </w:rPr>
      </w:pPr>
    </w:p>
    <w:p w14:paraId="1DB62391" w14:textId="77777777" w:rsidR="00790ADA" w:rsidRPr="00F74FC4" w:rsidRDefault="008E7E12" w:rsidP="0018366A">
      <w:pPr>
        <w:pStyle w:val="Copyright"/>
        <w:spacing w:after="0" w:line="240" w:lineRule="auto"/>
        <w:jc w:val="both"/>
        <w:rPr>
          <w:rFonts w:ascii="Arial" w:hAnsi="Arial" w:cs="Arial"/>
          <w:sz w:val="20"/>
        </w:rPr>
      </w:pPr>
      <w:r w:rsidRPr="00F74FC4">
        <w:rPr>
          <w:rFonts w:ascii="Arial" w:hAnsi="Arial" w:cs="Arial"/>
          <w:noProof/>
          <w:sz w:val="20"/>
          <w:lang w:bidi="my-MM"/>
        </w:rPr>
        <mc:AlternateContent>
          <mc:Choice Requires="wps">
            <w:drawing>
              <wp:inline distT="0" distB="0" distL="0" distR="0" wp14:anchorId="23EDA140" wp14:editId="6E4FE731">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CA07D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B01FCD" w:rsidRPr="00F74FC4">
        <w:rPr>
          <w:rFonts w:ascii="Arial" w:hAnsi="Arial" w:cs="Arial"/>
          <w:sz w:val="20"/>
        </w:rPr>
        <w:t>ABSTRACT</w:t>
      </w:r>
      <w:r w:rsidR="0066510A" w:rsidRPr="00F74FC4">
        <w:rPr>
          <w:rFonts w:ascii="Arial" w:hAnsi="Arial" w:cs="Arial"/>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74FC4" w14:paraId="7BFD781F" w14:textId="77777777" w:rsidTr="001E44FE">
        <w:tc>
          <w:tcPr>
            <w:tcW w:w="9576" w:type="dxa"/>
            <w:shd w:val="clear" w:color="auto" w:fill="F2F2F2"/>
          </w:tcPr>
          <w:p w14:paraId="6F7F26B9" w14:textId="77777777" w:rsidR="00C17B6B" w:rsidRPr="00F74FC4" w:rsidRDefault="003F5991" w:rsidP="0018366A">
            <w:pPr>
              <w:pStyle w:val="BodyText"/>
              <w:spacing w:after="0"/>
              <w:ind w:right="14"/>
              <w:jc w:val="both"/>
              <w:rPr>
                <w:rFonts w:ascii="Arial" w:eastAsia="Calibri" w:hAnsi="Arial" w:cs="Arial"/>
              </w:rPr>
            </w:pPr>
            <w:r w:rsidRPr="003F5991">
              <w:rPr>
                <w:rFonts w:ascii="Arial" w:hAnsi="Arial" w:cs="Arial"/>
              </w:rPr>
              <w:t>The study evaluates the role of Advanced Metering Infrastructure (AMI) in improving electricity distribution efficiency, managing the disparity between power generation capacity and actual consumer consumption, and enhancing revenue recovery in Myanmar during the 2023–2024 fiscal years (World Bank, 2019; Myanmar Statistical Year Book, 2019). Using a mixed-method analytical and case study approach, the study examined the technical architecture, operational modules, and deployment outcomes of a domestically developed digital platform integrating smart metering, automated billing, mobile payment systems, load monitoring, and customer management functions (Barai &amp; Raahemifar, 2014; Uribe-Pérez et al., 2017). In addition, the Seasonal Autoregressive Integrated Moving Average (SARIMA) model was employed to perform electricity consumption forecasting and deficit analysis, supplementing traditional load modeling frameworks (Hippert et al., 2001; Hong &amp; Fan, 2016).The empirical findings reveal that large-scale AMI deployment substantially improves real-time grid monitoring, enhances billing transparency, and significantly strengthens revenue recovery, generating billions of Myanmar Kyats (MMK) in additional revenue (IEA, 2021; Kim et al., 2019). According to the research outcomes, it successfully enabled a revenue recovery of MMK 13.38 billion. Across the 22 evaluated townships, out of a total 91,799,345.97 kWh of distributed energy, 82,318,799.00 kWh was billed, while only 77,593,360.00 kWh was successfully collected. This highlights a significant commercial gap, with a total difference of 4,725,439.00 kWh between billed and collected energy, underscoring the critical need for improved revenue collection and non-technical loss reduction (Depuru et al., 2011; Gaur &amp; Gupta, 2016).The system provides accurate deficit identification and demonstrates that smart metering can considerably reduce both technical and commercial losses while improving overall distribution efficiency and financial sustainability within the power sector (Bayliss &amp; Hardy, 2012; Chasempour, 2016; Popovic &amp; Cackovic, 2014). The study concludes that AMI represents a critical modernization instrument for strengthening financial governance and enabling data-driven electricity management in Myanmar (Bresler &amp; Sotkiewicz, 2013; Jackson, 2014). The documented economic benefits, operational improvements, and loss reductions establish a strong business case for accelerating nationwide AMI implementation (Mack, 2014; Manbachi, 2018). Furthermore, the findings highlight the system’s practical viability and its potential to attract both domestic and foreign investment to support the expansion of AMI infrastructure across Myanmar’s remaining unequipped townships (Jamasb &amp; Pollitt, 2015; Dixon et al., 2020).Ultimately, the primary objectives for power utilities implementing AMI are to deliver better services that help customers use energy more efficiently and economically and to establish a sophisticated generation, transmission, and distribution framework (Darby, 2010; Faruqui et al., 2010; Naderi et al., 2020). Through this system, a more efficient, environmentally friendly coexistence and desirable social welfare often referred to as a "Smart Community" can be fully realized (Kaur, 2021).</w:t>
            </w:r>
          </w:p>
        </w:tc>
      </w:tr>
    </w:tbl>
    <w:p w14:paraId="45F63346" w14:textId="77777777" w:rsidR="00A24E7E" w:rsidRDefault="00A24E7E" w:rsidP="0018366A">
      <w:pPr>
        <w:jc w:val="both"/>
        <w:rPr>
          <w:rFonts w:ascii="Arial" w:hAnsi="Arial" w:cs="Arial"/>
          <w:i/>
        </w:rPr>
      </w:pPr>
      <w:r w:rsidRPr="00F74FC4">
        <w:rPr>
          <w:rFonts w:ascii="Arial" w:hAnsi="Arial" w:cs="Arial"/>
          <w:i/>
        </w:rPr>
        <w:t>Keywords: [</w:t>
      </w:r>
      <w:r w:rsidR="00A34A70" w:rsidRPr="00F74FC4">
        <w:rPr>
          <w:rFonts w:ascii="Arial" w:hAnsi="Arial" w:cs="Arial"/>
        </w:rPr>
        <w:t>Advanced Metering Infrastructure (AMI); Smart Metering; Automatic Billing; Load Monitoring; Power Distribution Losses; e-Government</w:t>
      </w:r>
      <w:r w:rsidR="0066510A" w:rsidRPr="00F74FC4">
        <w:rPr>
          <w:rFonts w:ascii="Arial" w:hAnsi="Arial" w:cs="Arial"/>
          <w:i/>
        </w:rPr>
        <w:t>)</w:t>
      </w:r>
    </w:p>
    <w:p w14:paraId="48A8CB43" w14:textId="77777777" w:rsidR="009E3823" w:rsidRPr="00F74FC4" w:rsidRDefault="009E3823" w:rsidP="0018366A">
      <w:pPr>
        <w:jc w:val="both"/>
        <w:rPr>
          <w:rFonts w:ascii="Arial" w:hAnsi="Arial" w:cs="Arial"/>
          <w:i/>
        </w:rPr>
      </w:pPr>
    </w:p>
    <w:p w14:paraId="1119E192" w14:textId="77777777" w:rsidR="007F7B32" w:rsidRPr="00F74FC4" w:rsidRDefault="00902823" w:rsidP="0018366A">
      <w:pPr>
        <w:pStyle w:val="AbstHead"/>
        <w:spacing w:after="0"/>
        <w:jc w:val="both"/>
        <w:rPr>
          <w:rFonts w:ascii="Arial" w:hAnsi="Arial" w:cs="Arial"/>
          <w:sz w:val="20"/>
        </w:rPr>
      </w:pPr>
      <w:r w:rsidRPr="00F74FC4">
        <w:rPr>
          <w:rFonts w:ascii="Arial" w:hAnsi="Arial" w:cs="Arial"/>
          <w:sz w:val="20"/>
        </w:rPr>
        <w:t xml:space="preserve">1. </w:t>
      </w:r>
      <w:r w:rsidR="00B01FCD" w:rsidRPr="00F74FC4">
        <w:rPr>
          <w:rFonts w:ascii="Arial" w:hAnsi="Arial" w:cs="Arial"/>
          <w:sz w:val="20"/>
        </w:rPr>
        <w:t>INTRODUCTION</w:t>
      </w:r>
      <w:r w:rsidR="007F7B32" w:rsidRPr="00F74FC4">
        <w:rPr>
          <w:rFonts w:ascii="Arial" w:hAnsi="Arial" w:cs="Arial"/>
          <w:sz w:val="20"/>
        </w:rPr>
        <w:t xml:space="preserve"> </w:t>
      </w:r>
    </w:p>
    <w:p w14:paraId="28EF490D" w14:textId="77777777" w:rsidR="00F558B8" w:rsidRPr="00F74FC4" w:rsidRDefault="00F558B8" w:rsidP="0018366A">
      <w:pPr>
        <w:pStyle w:val="NormalWeb"/>
        <w:spacing w:before="0" w:beforeAutospacing="0" w:after="0" w:afterAutospacing="0"/>
        <w:jc w:val="both"/>
        <w:rPr>
          <w:rStyle w:val="citation-97"/>
          <w:rFonts w:ascii="Arial" w:hAnsi="Arial" w:cs="Arial"/>
          <w:sz w:val="20"/>
          <w:szCs w:val="20"/>
        </w:rPr>
      </w:pPr>
      <w:r w:rsidRPr="00F74FC4">
        <w:rPr>
          <w:rStyle w:val="citation-97"/>
          <w:rFonts w:ascii="Arial" w:hAnsi="Arial" w:cs="Arial"/>
          <w:sz w:val="20"/>
          <w:szCs w:val="20"/>
        </w:rPr>
        <w:t>A smart grid is an advanced electrical power system that integrates mo</w:t>
      </w:r>
      <w:r w:rsidR="00454B03" w:rsidRPr="00F74FC4">
        <w:rPr>
          <w:rStyle w:val="citation-97"/>
          <w:rFonts w:ascii="Arial" w:hAnsi="Arial" w:cs="Arial"/>
          <w:sz w:val="20"/>
          <w:szCs w:val="20"/>
        </w:rPr>
        <w:t xml:space="preserve">dern communication, automation and information technologies </w:t>
      </w:r>
      <w:r w:rsidRPr="00F74FC4">
        <w:rPr>
          <w:rStyle w:val="citation-97"/>
          <w:rFonts w:ascii="Arial" w:hAnsi="Arial" w:cs="Arial"/>
          <w:sz w:val="20"/>
          <w:szCs w:val="20"/>
        </w:rPr>
        <w:t>to enhan</w:t>
      </w:r>
      <w:r w:rsidR="00454B03" w:rsidRPr="00F74FC4">
        <w:rPr>
          <w:rStyle w:val="citation-97"/>
          <w:rFonts w:ascii="Arial" w:hAnsi="Arial" w:cs="Arial"/>
          <w:sz w:val="20"/>
          <w:szCs w:val="20"/>
        </w:rPr>
        <w:t xml:space="preserve">ce the efficiency, reliability </w:t>
      </w:r>
      <w:r w:rsidRPr="00F74FC4">
        <w:rPr>
          <w:rStyle w:val="citation-97"/>
          <w:rFonts w:ascii="Arial" w:hAnsi="Arial" w:cs="Arial"/>
          <w:sz w:val="20"/>
          <w:szCs w:val="20"/>
        </w:rPr>
        <w:t xml:space="preserve">and sustainability of electricity generation, transmission, and distribution. It incorporates a wide range of operational and energy management technologies, including Advanced Metering Infrastructure (AMI), smart distribution boards and circuit breakers integrated with home </w:t>
      </w:r>
      <w:r w:rsidRPr="00F74FC4">
        <w:rPr>
          <w:rStyle w:val="citation-97"/>
          <w:rFonts w:ascii="Arial" w:hAnsi="Arial" w:cs="Arial"/>
          <w:sz w:val="20"/>
          <w:szCs w:val="20"/>
        </w:rPr>
        <w:lastRenderedPageBreak/>
        <w:t>energy control and demand-response systems, renewable energy resources, and energy-efficient technologies. Furthermore, smart grids rely on robust utility-grade fiber broadband communication networks, supported by wireless technologies as backup systems, to enable real-time monitoring, control, and data exchange across the electricity network.</w:t>
      </w:r>
      <w:r w:rsidR="004F4AEA" w:rsidRPr="00F74FC4">
        <w:rPr>
          <w:rStyle w:val="citation-97"/>
          <w:rFonts w:ascii="Arial" w:hAnsi="Arial" w:cs="Arial"/>
          <w:sz w:val="20"/>
          <w:szCs w:val="20"/>
        </w:rPr>
        <w:t xml:space="preserve"> </w:t>
      </w:r>
      <w:r w:rsidRPr="00F74FC4">
        <w:rPr>
          <w:rStyle w:val="citation-97"/>
          <w:rFonts w:ascii="Arial" w:hAnsi="Arial" w:cs="Arial"/>
          <w:sz w:val="20"/>
          <w:szCs w:val="20"/>
        </w:rPr>
        <w:t>Electronic power conditioning and automated control of electricity production and distribution are essential components of smart grid systems. In Europe, smart grid policies have been institutionally coordinated through the Smart Grid European Technology Platform, reflecting the growing global emphasis on digital transformation within the electricity sector. The deployment of smart grid technologies requires not only technical infrastructure upgrades but also a fundamental restructuring of conventional electricity service operations and management practices.</w:t>
      </w:r>
      <w:r w:rsidR="004F3398" w:rsidRPr="00F74FC4">
        <w:rPr>
          <w:rStyle w:val="citation-97"/>
          <w:rFonts w:ascii="Arial" w:hAnsi="Arial" w:cs="Arial"/>
          <w:sz w:val="20"/>
          <w:szCs w:val="20"/>
        </w:rPr>
        <w:t xml:space="preserve"> </w:t>
      </w:r>
      <w:r w:rsidRPr="00F74FC4">
        <w:rPr>
          <w:rStyle w:val="citation-97"/>
          <w:rFonts w:ascii="Arial" w:hAnsi="Arial" w:cs="Arial"/>
          <w:sz w:val="20"/>
          <w:szCs w:val="20"/>
        </w:rPr>
        <w:t>Despite the substantial benef</w:t>
      </w:r>
      <w:r w:rsidR="00CD3B80" w:rsidRPr="00F74FC4">
        <w:rPr>
          <w:rStyle w:val="citation-97"/>
          <w:rFonts w:ascii="Arial" w:hAnsi="Arial" w:cs="Arial"/>
          <w:sz w:val="20"/>
          <w:szCs w:val="20"/>
        </w:rPr>
        <w:t xml:space="preserve">its of smart grid technologies </w:t>
      </w:r>
      <w:r w:rsidRPr="00F74FC4">
        <w:rPr>
          <w:rStyle w:val="citation-97"/>
          <w:rFonts w:ascii="Arial" w:hAnsi="Arial" w:cs="Arial"/>
          <w:sz w:val="20"/>
          <w:szCs w:val="20"/>
        </w:rPr>
        <w:t>several concerns remain regarding cyber</w:t>
      </w:r>
      <w:r w:rsidR="004F3398" w:rsidRPr="00F74FC4">
        <w:rPr>
          <w:rStyle w:val="citation-97"/>
          <w:rFonts w:ascii="Arial" w:hAnsi="Arial" w:cs="Arial"/>
          <w:sz w:val="20"/>
          <w:szCs w:val="20"/>
        </w:rPr>
        <w:t xml:space="preserve"> </w:t>
      </w:r>
      <w:r w:rsidRPr="00F74FC4">
        <w:rPr>
          <w:rStyle w:val="citation-97"/>
          <w:rFonts w:ascii="Arial" w:hAnsi="Arial" w:cs="Arial"/>
          <w:sz w:val="20"/>
          <w:szCs w:val="20"/>
        </w:rPr>
        <w:t>security, data privacy, and the operational security of smart meters and associated digital systems. Nevertheless, smart grids offer significantly improved reliability, operational transparency, and energy efficiency compared with traditional electricity networks. One of the most important advantages of smart grid technology is its ability to support demand-side management and dynamic load balancing. Electricity demand fluctuates considerably throughout the day due to collective consumer behavior patterns. For example, residential electricity consumption typically increases sharply during evening hours when households simultaneously use electrical appliances for cooking and domestic activities. In conventional grids, utilities respond to sudden increases in demand by maintaining reserve generators in standby operation, which often results in inefficiencies and higher operational costs.</w:t>
      </w:r>
    </w:p>
    <w:p w14:paraId="7ED2353C" w14:textId="77777777" w:rsidR="00F558B8" w:rsidRPr="00F74FC4" w:rsidRDefault="00F558B8" w:rsidP="0018366A">
      <w:pPr>
        <w:pStyle w:val="NormalWeb"/>
        <w:spacing w:before="0" w:beforeAutospacing="0" w:after="0" w:afterAutospacing="0"/>
        <w:jc w:val="both"/>
        <w:rPr>
          <w:rStyle w:val="citation-97"/>
          <w:rFonts w:ascii="Arial" w:hAnsi="Arial" w:cs="Arial"/>
          <w:sz w:val="20"/>
          <w:szCs w:val="20"/>
        </w:rPr>
      </w:pPr>
      <w:r w:rsidRPr="00F74FC4">
        <w:rPr>
          <w:rStyle w:val="citation-97"/>
          <w:rFonts w:ascii="Arial" w:hAnsi="Arial" w:cs="Arial"/>
          <w:sz w:val="20"/>
          <w:szCs w:val="20"/>
        </w:rPr>
        <w:t>In contrast, smart grids utilize real-time communication and predictive analytics to manage electricity demand more efficiently. Through automated demand-response mechanisms, smart grids can temporarily reduce or redistribute loads among consumers, thereby minimizing stress on the system and reducing dependence on standby generation capacity. Mathematical forecasting algorithms further improve operational planning by accurately predicting electricity demand and optimizing resource allocation. Consequently, even small reductions in consumer load during peak periods can significantly improve overall grid stability and operational efficiency.</w:t>
      </w:r>
      <w:r w:rsidR="00235242" w:rsidRPr="00F74FC4">
        <w:rPr>
          <w:rStyle w:val="citation-97"/>
          <w:rFonts w:ascii="Arial" w:hAnsi="Arial" w:cs="Arial"/>
          <w:sz w:val="20"/>
          <w:szCs w:val="20"/>
        </w:rPr>
        <w:t xml:space="preserve"> </w:t>
      </w:r>
      <w:r w:rsidRPr="00F74FC4">
        <w:rPr>
          <w:rStyle w:val="citation-97"/>
          <w:rFonts w:ascii="Arial" w:hAnsi="Arial" w:cs="Arial"/>
          <w:sz w:val="20"/>
          <w:szCs w:val="20"/>
        </w:rPr>
        <w:t>Many smart grid technologies have already been successfully implemented in sectors such as telecommunications and industrial automation and are now being adapted for modern electricity grid operations. Among these technologies, Advanced Metering Infrastructure (AMI) has emerged as a critical enabler of digital transformation in power distribution systems. AMI enables utilities to collect high-resolutio</w:t>
      </w:r>
      <w:r w:rsidR="008E0C1D" w:rsidRPr="00F74FC4">
        <w:rPr>
          <w:rStyle w:val="citation-97"/>
          <w:rFonts w:ascii="Arial" w:hAnsi="Arial" w:cs="Arial"/>
          <w:sz w:val="20"/>
          <w:szCs w:val="20"/>
        </w:rPr>
        <w:t xml:space="preserve">n electricity consumption data automate billing processes </w:t>
      </w:r>
      <w:r w:rsidRPr="00F74FC4">
        <w:rPr>
          <w:rStyle w:val="citation-97"/>
          <w:rFonts w:ascii="Arial" w:hAnsi="Arial" w:cs="Arial"/>
          <w:sz w:val="20"/>
          <w:szCs w:val="20"/>
        </w:rPr>
        <w:t>detect technical and commercial losses, monitor load profiles, and improve customer service management.</w:t>
      </w:r>
    </w:p>
    <w:p w14:paraId="615143DE" w14:textId="77777777" w:rsidR="00790ADA" w:rsidRPr="00F74FC4" w:rsidRDefault="00F558B8" w:rsidP="0018366A">
      <w:pPr>
        <w:pStyle w:val="NormalWeb"/>
        <w:spacing w:before="0" w:beforeAutospacing="0" w:after="0" w:afterAutospacing="0"/>
        <w:jc w:val="both"/>
        <w:rPr>
          <w:rFonts w:ascii="Arial" w:hAnsi="Arial" w:cs="Arial"/>
          <w:sz w:val="20"/>
          <w:szCs w:val="20"/>
        </w:rPr>
      </w:pPr>
      <w:r w:rsidRPr="00F74FC4">
        <w:rPr>
          <w:rStyle w:val="citation-97"/>
          <w:rFonts w:ascii="Arial" w:hAnsi="Arial" w:cs="Arial"/>
          <w:sz w:val="20"/>
          <w:szCs w:val="20"/>
        </w:rPr>
        <w:t>In developing countries such as Myanmar, electricity distribution systems continue to face significant challenges, particularly the widening disparity between national power generation capacity and actual consumer demand. Additional issues include electricity losses, revenue leakage, l</w:t>
      </w:r>
      <w:r w:rsidR="007C35A4" w:rsidRPr="00F74FC4">
        <w:rPr>
          <w:rStyle w:val="citation-97"/>
          <w:rFonts w:ascii="Arial" w:hAnsi="Arial" w:cs="Arial"/>
          <w:sz w:val="20"/>
          <w:szCs w:val="20"/>
        </w:rPr>
        <w:t xml:space="preserve">imited monitoring capabilities </w:t>
      </w:r>
      <w:r w:rsidRPr="00F74FC4">
        <w:rPr>
          <w:rStyle w:val="citation-97"/>
          <w:rFonts w:ascii="Arial" w:hAnsi="Arial" w:cs="Arial"/>
          <w:sz w:val="20"/>
          <w:szCs w:val="20"/>
        </w:rPr>
        <w:t>and inefficient billing systems. Since AMI systems must be designed according to country-specific infrastructure cond</w:t>
      </w:r>
      <w:r w:rsidR="007C35A4" w:rsidRPr="00F74FC4">
        <w:rPr>
          <w:rStyle w:val="citation-97"/>
          <w:rFonts w:ascii="Arial" w:hAnsi="Arial" w:cs="Arial"/>
          <w:sz w:val="20"/>
          <w:szCs w:val="20"/>
        </w:rPr>
        <w:t xml:space="preserve">itions regulatory environments </w:t>
      </w:r>
      <w:r w:rsidRPr="00F74FC4">
        <w:rPr>
          <w:rStyle w:val="citation-97"/>
          <w:rFonts w:ascii="Arial" w:hAnsi="Arial" w:cs="Arial"/>
          <w:sz w:val="20"/>
          <w:szCs w:val="20"/>
        </w:rPr>
        <w:t xml:space="preserve">and operational requirements, direct comparisons between systems implemented in different countries are often impractical. The study investigates the technical specifications, functional capabilities, and operational performance of the AMI system implemented in Myanmar. The research specifically examines how digital transformation through AMI deployment contributes to reducing technical and commercial electricity losses, improving billing transparency, strengthening revenue recovery mechanisms, and enhancing overall distribution efficiency. Empirical findings indicate that the implementation of the AMI system resulted in a documented revenue recovery of approximately MMK 13.38 billion during the 2023–2024 fiscal year. By demonstrating tangible financial returns, operational improvements, and enhanced governance capabilities, this study provides a strong business case for accelerating nationwide AMI deployment across Myanmar’s remaining unequipped townships. Furthermore, the findings aim to support policy formulation and encourage urgent </w:t>
      </w:r>
      <w:r w:rsidRPr="00F74FC4">
        <w:rPr>
          <w:rStyle w:val="citation-97"/>
          <w:rFonts w:ascii="Arial" w:hAnsi="Arial" w:cs="Arial"/>
          <w:sz w:val="20"/>
          <w:szCs w:val="20"/>
        </w:rPr>
        <w:lastRenderedPageBreak/>
        <w:t>domestic and foreign investment in smart grid modernization initiatives necessary for achieving a more reliable, efficient, and financially sustainable electricity sector in Myanmar.</w:t>
      </w:r>
      <w:r w:rsidR="00E4228A" w:rsidRPr="00F74FC4">
        <w:rPr>
          <w:rFonts w:ascii="Arial" w:hAnsi="Arial" w:cs="Arial"/>
          <w:b/>
          <w:bCs/>
          <w:color w:val="FF0000"/>
        </w:rPr>
        <w:t xml:space="preserve"> </w:t>
      </w:r>
    </w:p>
    <w:p w14:paraId="05A58C45" w14:textId="77777777" w:rsidR="007F7B32" w:rsidRPr="00F74FC4" w:rsidRDefault="00902823" w:rsidP="0018366A">
      <w:pPr>
        <w:pStyle w:val="AbstHead"/>
        <w:spacing w:after="0"/>
        <w:jc w:val="both"/>
        <w:rPr>
          <w:rFonts w:ascii="Arial" w:hAnsi="Arial" w:cs="Arial"/>
          <w:sz w:val="20"/>
        </w:rPr>
      </w:pPr>
      <w:r w:rsidRPr="00F74FC4">
        <w:rPr>
          <w:rFonts w:ascii="Arial" w:hAnsi="Arial" w:cs="Arial"/>
          <w:sz w:val="20"/>
        </w:rPr>
        <w:t xml:space="preserve">2. </w:t>
      </w:r>
      <w:r w:rsidR="006B57D0" w:rsidRPr="00F74FC4">
        <w:rPr>
          <w:rFonts w:ascii="Arial" w:hAnsi="Arial" w:cs="Arial"/>
          <w:sz w:val="20"/>
        </w:rPr>
        <w:t>methodology</w:t>
      </w:r>
      <w:r w:rsidR="007F7B32" w:rsidRPr="00F74FC4">
        <w:rPr>
          <w:rFonts w:ascii="Arial" w:hAnsi="Arial" w:cs="Arial"/>
          <w:sz w:val="20"/>
        </w:rPr>
        <w:t xml:space="preserve"> </w:t>
      </w:r>
    </w:p>
    <w:p w14:paraId="3B02E6C4" w14:textId="77777777" w:rsidR="009663D7" w:rsidRPr="00F74FC4" w:rsidRDefault="00882CB3" w:rsidP="0018366A">
      <w:pPr>
        <w:jc w:val="both"/>
        <w:rPr>
          <w:rFonts w:ascii="Arial" w:hAnsi="Arial" w:cs="Arial"/>
          <w:color w:val="000000" w:themeColor="text1"/>
          <w:lang w:bidi="my-MM"/>
        </w:rPr>
      </w:pPr>
      <w:r w:rsidRPr="00F74FC4">
        <w:rPr>
          <w:rFonts w:ascii="Arial" w:hAnsi="Arial" w:cs="Arial"/>
          <w:lang w:bidi="my-MM"/>
        </w:rPr>
        <w:t>The</w:t>
      </w:r>
      <w:r w:rsidR="009663D7" w:rsidRPr="00F74FC4">
        <w:rPr>
          <w:rFonts w:ascii="Arial" w:hAnsi="Arial" w:cs="Arial"/>
          <w:lang w:bidi="my-MM"/>
        </w:rPr>
        <w:t xml:space="preserve"> study adopts a mixed analytical and case study methodology to evaluate the deployment and operational performance of Advanced Metering Infrastructure (AMI) within Myanmar’s electricity distribution system during the 2023–2024 fiscal year. The methodology integrates technical analysis, operational assessment, and forecasting techniques to investigate the effectiveness of AMI in improving electricity distribution efficiency, reducing technical and commercial losses, and strengthening revenue recovery mechanisms.</w:t>
      </w:r>
      <w:r w:rsidRPr="00F74FC4">
        <w:rPr>
          <w:rFonts w:ascii="Arial" w:hAnsi="Arial" w:cs="Arial"/>
          <w:lang w:bidi="my-MM"/>
        </w:rPr>
        <w:t xml:space="preserve"> </w:t>
      </w:r>
      <w:r w:rsidR="009663D7" w:rsidRPr="00F74FC4">
        <w:rPr>
          <w:rFonts w:ascii="Arial" w:hAnsi="Arial" w:cs="Arial"/>
          <w:lang w:bidi="my-MM"/>
        </w:rPr>
        <w:t xml:space="preserve">The primary objective of the study </w:t>
      </w:r>
      <w:r w:rsidR="00551ACF" w:rsidRPr="00F74FC4">
        <w:rPr>
          <w:rFonts w:ascii="Arial" w:hAnsi="Arial" w:cs="Arial"/>
          <w:lang w:bidi="my-MM"/>
        </w:rPr>
        <w:t>was</w:t>
      </w:r>
      <w:r w:rsidR="009663D7" w:rsidRPr="00F74FC4">
        <w:rPr>
          <w:rFonts w:ascii="Arial" w:hAnsi="Arial" w:cs="Arial"/>
          <w:lang w:bidi="my-MM"/>
        </w:rPr>
        <w:t xml:space="preserve"> to quantitatively and operationally examine the disparity between centralized electricity generation and actual regional electricity consumption. By utilizing real-time consumption data and digital monitoring technologies, the research </w:t>
      </w:r>
      <w:r w:rsidR="00491A90" w:rsidRPr="00F74FC4">
        <w:rPr>
          <w:rFonts w:ascii="Arial" w:hAnsi="Arial" w:cs="Arial"/>
          <w:lang w:bidi="my-MM"/>
        </w:rPr>
        <w:t>was established</w:t>
      </w:r>
      <w:r w:rsidR="009663D7" w:rsidRPr="00F74FC4">
        <w:rPr>
          <w:rFonts w:ascii="Arial" w:hAnsi="Arial" w:cs="Arial"/>
          <w:lang w:bidi="my-MM"/>
        </w:rPr>
        <w:t xml:space="preserve"> a data-driven framework for improving energy management, enhancing billing transparency, and supporting future investment decisions in Myanmar’s power sector</w:t>
      </w:r>
      <w:r w:rsidR="00E4228A" w:rsidRPr="00F74FC4">
        <w:rPr>
          <w:rFonts w:ascii="Arial" w:hAnsi="Arial" w:cs="Arial"/>
          <w:b/>
          <w:bCs/>
          <w:color w:val="000000" w:themeColor="text1"/>
          <w:lang w:bidi="my-MM"/>
        </w:rPr>
        <w:t>.</w:t>
      </w:r>
    </w:p>
    <w:p w14:paraId="795BD3C7" w14:textId="77777777" w:rsidR="009663D7" w:rsidRPr="00F74FC4" w:rsidRDefault="009663D7" w:rsidP="0018366A">
      <w:pPr>
        <w:jc w:val="both"/>
        <w:outlineLvl w:val="1"/>
        <w:rPr>
          <w:rFonts w:ascii="Arial" w:hAnsi="Arial" w:cs="Arial"/>
          <w:b/>
          <w:bCs/>
          <w:lang w:bidi="my-MM"/>
        </w:rPr>
      </w:pPr>
      <w:r w:rsidRPr="00F74FC4">
        <w:rPr>
          <w:rFonts w:ascii="Arial" w:hAnsi="Arial" w:cs="Arial"/>
          <w:b/>
          <w:bCs/>
          <w:lang w:bidi="my-MM"/>
        </w:rPr>
        <w:t>2.1 AMI Technical Architecture and Components</w:t>
      </w:r>
    </w:p>
    <w:p w14:paraId="52D86CAF" w14:textId="77777777" w:rsidR="009663D7" w:rsidRPr="00F74FC4" w:rsidRDefault="009663D7" w:rsidP="0018366A">
      <w:pPr>
        <w:jc w:val="both"/>
        <w:rPr>
          <w:rFonts w:ascii="Arial" w:hAnsi="Arial" w:cs="Arial"/>
          <w:lang w:bidi="my-MM"/>
        </w:rPr>
      </w:pPr>
      <w:r w:rsidRPr="00F74FC4">
        <w:rPr>
          <w:rFonts w:ascii="Arial" w:hAnsi="Arial" w:cs="Arial"/>
          <w:lang w:bidi="my-MM"/>
        </w:rPr>
        <w:t>The AMI system implemented in Myanmar is designed as an integrated hierarchical architecture that enables continuous and secure data transmission from end users to the central utility management system. The architecture consists of four major operational layers:</w:t>
      </w:r>
      <w:r w:rsidR="00B431F8">
        <w:rPr>
          <w:rFonts w:ascii="Arial" w:hAnsi="Arial" w:cs="Arial"/>
          <w:lang w:bidi="my-MM"/>
        </w:rPr>
        <w:t xml:space="preserve"> </w:t>
      </w:r>
      <w:r w:rsidRPr="00F74FC4">
        <w:rPr>
          <w:rFonts w:ascii="Arial" w:hAnsi="Arial" w:cs="Arial"/>
          <w:b/>
          <w:bCs/>
          <w:lang w:bidi="my-MM"/>
        </w:rPr>
        <w:t>Smart Meters</w:t>
      </w:r>
      <w:r w:rsidR="00B431F8">
        <w:rPr>
          <w:rFonts w:ascii="Myanmar Text" w:hAnsi="Myanmar Text" w:cs="Myanmar Text"/>
          <w:b/>
          <w:bCs/>
          <w:lang w:bidi="my-MM"/>
        </w:rPr>
        <w:t xml:space="preserve">: </w:t>
      </w:r>
      <w:r w:rsidRPr="00F74FC4">
        <w:rPr>
          <w:rFonts w:ascii="Arial" w:hAnsi="Arial" w:cs="Arial"/>
          <w:lang w:bidi="my-MM"/>
        </w:rPr>
        <w:t>Smart meters are advanced solid-state digital electricity meters</w:t>
      </w:r>
      <w:r w:rsidR="003508AF">
        <w:rPr>
          <w:rFonts w:ascii="Arial" w:hAnsi="Arial" w:cs="Arial"/>
          <w:lang w:bidi="my-MM"/>
        </w:rPr>
        <w:t xml:space="preserve"> </w:t>
      </w:r>
      <w:r w:rsidRPr="00F74FC4">
        <w:rPr>
          <w:rFonts w:ascii="Arial" w:hAnsi="Arial" w:cs="Arial"/>
          <w:lang w:bidi="my-MM"/>
        </w:rPr>
        <w:t>installed at consumer premises. These devices continuously record high-resolution electricity consumption data, voltage profiles, current measurements, and time-based usage parameters. Unlike conventional electromechanical meters, smart meters support two-way communication between consumers and utilities, enabling real-time monitoring, automated billing, remote disconnection and reconnection, and load management functions.</w:t>
      </w:r>
    </w:p>
    <w:p w14:paraId="53CE44EC" w14:textId="77777777" w:rsidR="009663D7" w:rsidRPr="00F74FC4" w:rsidRDefault="009663D7" w:rsidP="0018366A">
      <w:pPr>
        <w:jc w:val="both"/>
        <w:outlineLvl w:val="2"/>
        <w:rPr>
          <w:rFonts w:ascii="Arial" w:hAnsi="Arial" w:cs="Arial"/>
          <w:lang w:bidi="my-MM"/>
        </w:rPr>
      </w:pPr>
      <w:r w:rsidRPr="00F74FC4">
        <w:rPr>
          <w:rFonts w:ascii="Arial" w:hAnsi="Arial" w:cs="Arial"/>
          <w:b/>
          <w:bCs/>
          <w:lang w:bidi="my-MM"/>
        </w:rPr>
        <w:t>Data Concentrator Units (DCUs)</w:t>
      </w:r>
      <w:r w:rsidR="00B431F8">
        <w:rPr>
          <w:rFonts w:ascii="Arial" w:hAnsi="Arial" w:cs="Arial"/>
          <w:b/>
          <w:bCs/>
          <w:lang w:bidi="my-MM"/>
        </w:rPr>
        <w:t xml:space="preserve">: </w:t>
      </w:r>
      <w:r w:rsidRPr="00F74FC4">
        <w:rPr>
          <w:rFonts w:ascii="Arial" w:hAnsi="Arial" w:cs="Arial"/>
          <w:lang w:bidi="my-MM"/>
        </w:rPr>
        <w:t>Data Concentrator Units (DCUs) are intermediate communication devices typically installed at local distribution transformers. Their primary function is to collect and aggregate electricity consumption data from clusters of surrounding smart meters before transmitting the information to the central utility server. DCUs improve communication efficiency and reduce network congestion within the AMI system.</w:t>
      </w:r>
    </w:p>
    <w:p w14:paraId="2B36F949" w14:textId="77777777" w:rsidR="009663D7" w:rsidRPr="00F74FC4" w:rsidRDefault="009663D7" w:rsidP="0018366A">
      <w:pPr>
        <w:jc w:val="both"/>
        <w:outlineLvl w:val="2"/>
        <w:rPr>
          <w:rFonts w:ascii="Arial" w:hAnsi="Arial" w:cs="Arial"/>
          <w:lang w:bidi="my-MM"/>
        </w:rPr>
      </w:pPr>
      <w:r w:rsidRPr="00F74FC4">
        <w:rPr>
          <w:rFonts w:ascii="Arial" w:hAnsi="Arial" w:cs="Arial"/>
          <w:b/>
          <w:bCs/>
          <w:lang w:bidi="my-MM"/>
        </w:rPr>
        <w:t>Communication Networks</w:t>
      </w:r>
      <w:r w:rsidR="00B431F8">
        <w:rPr>
          <w:rFonts w:ascii="Arial" w:hAnsi="Arial" w:cs="Arial"/>
          <w:b/>
          <w:bCs/>
          <w:lang w:bidi="my-MM"/>
        </w:rPr>
        <w:t>:</w:t>
      </w:r>
      <w:r w:rsidR="004623D2">
        <w:rPr>
          <w:rFonts w:ascii="Arial" w:hAnsi="Arial" w:cs="Arial"/>
          <w:b/>
          <w:bCs/>
          <w:lang w:bidi="my-MM"/>
        </w:rPr>
        <w:t xml:space="preserve"> </w:t>
      </w:r>
      <w:r w:rsidRPr="00F74FC4">
        <w:rPr>
          <w:rFonts w:ascii="Arial" w:hAnsi="Arial" w:cs="Arial"/>
          <w:lang w:bidi="my-MM"/>
        </w:rPr>
        <w:t>The communication infrastructure of the AMI system utilizes hybrid telecommunication technologies, including Radio Frequency (RF) mesh networks and cellular communication systems. These communication channels facilitate secure, reliable, and bidirectional data exchange between smart meters, DCUs, and centralized servers. The communication network supports automated meter reading, remote device management, alarm notifications, and real-time operational monitoring.</w:t>
      </w:r>
    </w:p>
    <w:p w14:paraId="77064068" w14:textId="77777777" w:rsidR="009663D7" w:rsidRPr="00F74FC4" w:rsidRDefault="009663D7" w:rsidP="0018366A">
      <w:pPr>
        <w:jc w:val="both"/>
        <w:outlineLvl w:val="2"/>
        <w:rPr>
          <w:rFonts w:ascii="Arial" w:hAnsi="Arial" w:cs="Arial"/>
          <w:b/>
          <w:bCs/>
          <w:lang w:bidi="my-MM"/>
        </w:rPr>
      </w:pPr>
      <w:r w:rsidRPr="00F74FC4">
        <w:rPr>
          <w:rFonts w:ascii="Arial" w:hAnsi="Arial" w:cs="Arial"/>
          <w:b/>
          <w:bCs/>
          <w:lang w:bidi="my-MM"/>
        </w:rPr>
        <w:t>Centralized Servers and Meter Data Management System (MDMS)</w:t>
      </w:r>
    </w:p>
    <w:p w14:paraId="45E1BC48" w14:textId="77777777" w:rsidR="009663D7" w:rsidRPr="00F74FC4" w:rsidRDefault="009663D7" w:rsidP="0018366A">
      <w:pPr>
        <w:jc w:val="both"/>
        <w:rPr>
          <w:rFonts w:ascii="Arial" w:hAnsi="Arial" w:cs="Arial"/>
          <w:lang w:bidi="my-MM"/>
        </w:rPr>
      </w:pPr>
      <w:r w:rsidRPr="00F74FC4">
        <w:rPr>
          <w:rFonts w:ascii="Arial" w:hAnsi="Arial" w:cs="Arial"/>
          <w:lang w:bidi="my-MM"/>
        </w:rPr>
        <w:t>The centralized server infrastructure and Meter Data Management System (MDMS) form the core analytical platform of the AMI system. These enterprise-level software systems are responsible for processing, storing, analyzing, and managing large-scale electricity consumption data. The MDMS supports automated billing, load forecasting, outage management, energy auditing, and grid diagnostics, thereby enhancing operational decision-making and utility management efficiency.</w:t>
      </w:r>
      <w:r w:rsidR="001A4E30" w:rsidRPr="00F74FC4">
        <w:rPr>
          <w:rFonts w:ascii="Arial" w:hAnsi="Arial" w:cs="Arial"/>
          <w:lang w:bidi="my-MM"/>
        </w:rPr>
        <w:t xml:space="preserve"> </w:t>
      </w:r>
      <w:r w:rsidRPr="00F74FC4">
        <w:rPr>
          <w:rFonts w:ascii="Arial" w:hAnsi="Arial" w:cs="Arial"/>
          <w:lang w:bidi="my-MM"/>
        </w:rPr>
        <w:t>Smart meters represent one of the most critical components of modern smart grid systems. They enable utilities to obtain detailed consumption information directly from end-user devices while simultaneously supporting advanced monitoring and operational control capabilities.</w:t>
      </w:r>
    </w:p>
    <w:p w14:paraId="00010295" w14:textId="77777777" w:rsidR="009663D7" w:rsidRPr="00F74FC4" w:rsidRDefault="009663D7" w:rsidP="0018366A">
      <w:pPr>
        <w:jc w:val="both"/>
        <w:outlineLvl w:val="1"/>
        <w:rPr>
          <w:rFonts w:ascii="Arial" w:hAnsi="Arial" w:cs="Arial"/>
          <w:b/>
          <w:bCs/>
          <w:lang w:bidi="my-MM"/>
        </w:rPr>
      </w:pPr>
      <w:r w:rsidRPr="00F74FC4">
        <w:rPr>
          <w:rFonts w:ascii="Arial" w:hAnsi="Arial" w:cs="Arial"/>
          <w:b/>
          <w:bCs/>
          <w:lang w:bidi="my-MM"/>
        </w:rPr>
        <w:t>2.2 Conventional Energy Metering System</w:t>
      </w:r>
    </w:p>
    <w:p w14:paraId="41CCBB3C" w14:textId="77777777" w:rsidR="009663D7" w:rsidRPr="00F74FC4" w:rsidRDefault="009663D7" w:rsidP="0018366A">
      <w:pPr>
        <w:jc w:val="both"/>
        <w:rPr>
          <w:rFonts w:ascii="Arial" w:hAnsi="Arial" w:cs="Arial"/>
          <w:lang w:bidi="my-MM"/>
        </w:rPr>
      </w:pPr>
      <w:r w:rsidRPr="00F74FC4">
        <w:rPr>
          <w:rFonts w:ascii="Arial" w:hAnsi="Arial" w:cs="Arial"/>
          <w:lang w:bidi="my-MM"/>
        </w:rPr>
        <w:t>Before the implementation of AMI technologies, electricity utilities in Myanmar, including the Myanmar Electric Power Enterprise (MEPE), Ministry of Electric Power (MOEP), Ministry of Energy (MOE), and Ministry of Electricity and Energy (MOEE), primarily relied on conventional electromechanical energy meters for electricity measurement and billing.</w:t>
      </w:r>
      <w:r w:rsidR="001D03D6" w:rsidRPr="00F74FC4">
        <w:rPr>
          <w:rFonts w:ascii="Arial" w:hAnsi="Arial" w:cs="Arial"/>
          <w:lang w:bidi="my-MM"/>
        </w:rPr>
        <w:t xml:space="preserve"> </w:t>
      </w:r>
      <w:r w:rsidRPr="00F74FC4">
        <w:rPr>
          <w:rFonts w:ascii="Arial" w:hAnsi="Arial" w:cs="Arial"/>
          <w:lang w:bidi="my-MM"/>
        </w:rPr>
        <w:t xml:space="preserve">Traditional watt-hour meters are instruments used to measure electrical energy consumption by residential, commercial, and industrial consumers. These meters calculate electricity usage based on the product of instantaneous voltage and current over time, with energy </w:t>
      </w:r>
      <w:r w:rsidRPr="00F74FC4">
        <w:rPr>
          <w:rFonts w:ascii="Arial" w:hAnsi="Arial" w:cs="Arial"/>
          <w:lang w:bidi="my-MM"/>
        </w:rPr>
        <w:lastRenderedPageBreak/>
        <w:t>consumption commonly measured in kilowatt-hours (kWh).</w:t>
      </w:r>
      <w:r w:rsidR="001D03D6" w:rsidRPr="00F74FC4">
        <w:rPr>
          <w:rFonts w:ascii="Arial" w:hAnsi="Arial" w:cs="Arial"/>
          <w:lang w:bidi="my-MM"/>
        </w:rPr>
        <w:t xml:space="preserve"> </w:t>
      </w:r>
      <w:r w:rsidRPr="00F74FC4">
        <w:rPr>
          <w:rFonts w:ascii="Arial" w:hAnsi="Arial" w:cs="Arial"/>
          <w:lang w:bidi="my-MM"/>
        </w:rPr>
        <w:t>Conventional meters operate as single-phase or three-phase systems depending on the type of electricity supply. For small residential loads, meters are directly connected between the supply line and the consumer load. However, larger industrial loads require current transformers to isolate the meter from high-current systems.</w:t>
      </w:r>
      <w:r w:rsidR="009D0232" w:rsidRPr="00F74FC4">
        <w:rPr>
          <w:rFonts w:ascii="Arial" w:hAnsi="Arial" w:cs="Arial"/>
          <w:lang w:bidi="my-MM"/>
        </w:rPr>
        <w:t xml:space="preserve"> </w:t>
      </w:r>
      <w:r w:rsidRPr="00F74FC4">
        <w:rPr>
          <w:rFonts w:ascii="Arial" w:hAnsi="Arial" w:cs="Arial"/>
          <w:lang w:bidi="my-MM"/>
        </w:rPr>
        <w:t>The most widely used conventional meter is the electromechanical induction watt-hour meter, which operates through a rotating aluminum disc positioned between two electromagnets known as the series magnet and shunt magnet. The rotational speed of the aluminum disc is proportional to electricity consumption, and the total energy usage is mechanically recorded through a gear and dial mechanism.</w:t>
      </w:r>
      <w:r w:rsidR="003B7E1D" w:rsidRPr="00F74FC4">
        <w:rPr>
          <w:rFonts w:ascii="Arial" w:hAnsi="Arial" w:cs="Arial"/>
          <w:lang w:bidi="my-MM"/>
        </w:rPr>
        <w:t xml:space="preserve"> </w:t>
      </w:r>
      <w:r w:rsidRPr="00F74FC4">
        <w:rPr>
          <w:rFonts w:ascii="Arial" w:hAnsi="Arial" w:cs="Arial"/>
          <w:lang w:bidi="my-MM"/>
        </w:rPr>
        <w:t>Although conventional meters are sim</w:t>
      </w:r>
      <w:r w:rsidR="007A36FB" w:rsidRPr="00F74FC4">
        <w:rPr>
          <w:rFonts w:ascii="Arial" w:hAnsi="Arial" w:cs="Arial"/>
          <w:lang w:bidi="my-MM"/>
        </w:rPr>
        <w:t xml:space="preserve">ple and relatively </w:t>
      </w:r>
      <w:proofErr w:type="gramStart"/>
      <w:r w:rsidR="007A36FB" w:rsidRPr="00F74FC4">
        <w:rPr>
          <w:rFonts w:ascii="Arial" w:hAnsi="Arial" w:cs="Arial"/>
          <w:lang w:bidi="my-MM"/>
        </w:rPr>
        <w:t>inexpensive</w:t>
      </w:r>
      <w:proofErr w:type="gramEnd"/>
      <w:r w:rsidR="007A36FB" w:rsidRPr="00F74FC4">
        <w:rPr>
          <w:rFonts w:ascii="Arial" w:hAnsi="Arial" w:cs="Arial"/>
          <w:lang w:bidi="my-MM"/>
        </w:rPr>
        <w:t xml:space="preserve"> </w:t>
      </w:r>
      <w:r w:rsidRPr="00F74FC4">
        <w:rPr>
          <w:rFonts w:ascii="Arial" w:hAnsi="Arial" w:cs="Arial"/>
          <w:lang w:bidi="my-MM"/>
        </w:rPr>
        <w:t>they suffer from several operational limitations, includ</w:t>
      </w:r>
      <w:r w:rsidR="00CC2A2D" w:rsidRPr="00F74FC4">
        <w:rPr>
          <w:rFonts w:ascii="Arial" w:hAnsi="Arial" w:cs="Arial"/>
          <w:lang w:bidi="my-MM"/>
        </w:rPr>
        <w:t xml:space="preserve">ing lower measurement accuracy </w:t>
      </w:r>
      <w:r w:rsidRPr="00F74FC4">
        <w:rPr>
          <w:rFonts w:ascii="Arial" w:hAnsi="Arial" w:cs="Arial"/>
          <w:lang w:bidi="my-MM"/>
        </w:rPr>
        <w:t>ma</w:t>
      </w:r>
      <w:r w:rsidR="00CC2A2D" w:rsidRPr="00F74FC4">
        <w:rPr>
          <w:rFonts w:ascii="Arial" w:hAnsi="Arial" w:cs="Arial"/>
          <w:lang w:bidi="my-MM"/>
        </w:rPr>
        <w:t xml:space="preserve">nual meter reading requirements </w:t>
      </w:r>
      <w:r w:rsidR="002F2F57" w:rsidRPr="00F74FC4">
        <w:rPr>
          <w:rFonts w:ascii="Arial" w:hAnsi="Arial" w:cs="Arial"/>
          <w:lang w:bidi="my-MM"/>
        </w:rPr>
        <w:t xml:space="preserve">limited monitoring capability </w:t>
      </w:r>
      <w:r w:rsidRPr="00F74FC4">
        <w:rPr>
          <w:rFonts w:ascii="Arial" w:hAnsi="Arial" w:cs="Arial"/>
          <w:lang w:bidi="my-MM"/>
        </w:rPr>
        <w:t>and high vulnerability to electricity theft and meter tampering. These weaknesses significantly reduce billing transparency and contribute to technical and commercial energy losses within the electricity distribution system.</w:t>
      </w:r>
    </w:p>
    <w:p w14:paraId="6637D3F9" w14:textId="77777777" w:rsidR="009663D7" w:rsidRPr="00F74FC4" w:rsidRDefault="009663D7" w:rsidP="0018366A">
      <w:pPr>
        <w:jc w:val="both"/>
        <w:outlineLvl w:val="1"/>
        <w:rPr>
          <w:rFonts w:ascii="Arial" w:hAnsi="Arial" w:cs="Arial"/>
          <w:b/>
          <w:bCs/>
          <w:lang w:bidi="my-MM"/>
        </w:rPr>
      </w:pPr>
      <w:r w:rsidRPr="00F74FC4">
        <w:rPr>
          <w:rFonts w:ascii="Arial" w:hAnsi="Arial" w:cs="Arial"/>
          <w:b/>
          <w:bCs/>
          <w:lang w:bidi="my-MM"/>
        </w:rPr>
        <w:t>2.3 Smart Metering Technology</w:t>
      </w:r>
    </w:p>
    <w:p w14:paraId="06CBE3BB" w14:textId="77777777" w:rsidR="009663D7" w:rsidRPr="00F74FC4" w:rsidRDefault="00C943D3" w:rsidP="0018366A">
      <w:pPr>
        <w:jc w:val="both"/>
        <w:rPr>
          <w:rFonts w:ascii="Arial" w:hAnsi="Arial" w:cs="Arial"/>
          <w:lang w:bidi="my-MM"/>
        </w:rPr>
      </w:pPr>
      <w:r w:rsidRPr="00F74FC4">
        <w:rPr>
          <w:rFonts w:ascii="Arial" w:hAnsi="Arial" w:cs="Arial"/>
          <w:b/>
          <w:bCs/>
          <w:noProof/>
          <w:sz w:val="22"/>
          <w:szCs w:val="22"/>
          <w:lang w:bidi="my-MM"/>
        </w:rPr>
        <w:drawing>
          <wp:anchor distT="0" distB="0" distL="114300" distR="114300" simplePos="0" relativeHeight="251662336" behindDoc="0" locked="0" layoutInCell="1" allowOverlap="1" wp14:anchorId="0A6545EE" wp14:editId="6A3869FD">
            <wp:simplePos x="0" y="0"/>
            <wp:positionH relativeFrom="column">
              <wp:posOffset>1493520</wp:posOffset>
            </wp:positionH>
            <wp:positionV relativeFrom="paragraph">
              <wp:posOffset>3583940</wp:posOffset>
            </wp:positionV>
            <wp:extent cx="1012190" cy="12045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9483"/>
                    <a:stretch/>
                  </pic:blipFill>
                  <pic:spPr bwMode="auto">
                    <a:xfrm>
                      <a:off x="0" y="0"/>
                      <a:ext cx="1012190" cy="1204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63D7" w:rsidRPr="00F74FC4">
        <w:rPr>
          <w:rFonts w:ascii="Arial" w:hAnsi="Arial" w:cs="Arial"/>
          <w:lang w:bidi="my-MM"/>
        </w:rPr>
        <w:t>Smart metering technology represents a significant advancement over traditional electromechanical metering systems. Smart meters are intelligent digital devices capable of automatically measuring, recording, processing, and transmitting electricity consumption data in real time.</w:t>
      </w:r>
      <w:r w:rsidR="00040377" w:rsidRPr="00F74FC4">
        <w:rPr>
          <w:rFonts w:ascii="Arial" w:hAnsi="Arial" w:cs="Arial"/>
          <w:lang w:bidi="my-MM"/>
        </w:rPr>
        <w:t xml:space="preserve"> </w:t>
      </w:r>
      <w:r w:rsidR="009663D7" w:rsidRPr="00F74FC4">
        <w:rPr>
          <w:rFonts w:ascii="Arial" w:hAnsi="Arial" w:cs="Arial"/>
          <w:lang w:bidi="my-MM"/>
        </w:rPr>
        <w:t>Unlike conventional meters, smart meters support bidirectional communication between consumers and utility operators. These devices can transmit consumption information, voltage conditions, alarms, and operational parameters to utility control centers while simultaneously receiving remote operational commands such as meter configuration updates, remote connection or disconnection instructions, and software upgrades.</w:t>
      </w:r>
      <w:r w:rsidR="001122AE" w:rsidRPr="00F74FC4">
        <w:rPr>
          <w:rFonts w:ascii="Arial" w:hAnsi="Arial" w:cs="Arial"/>
          <w:lang w:bidi="my-MM"/>
        </w:rPr>
        <w:t xml:space="preserve"> </w:t>
      </w:r>
      <w:r w:rsidR="009663D7" w:rsidRPr="00F74FC4">
        <w:rPr>
          <w:rFonts w:ascii="Arial" w:hAnsi="Arial" w:cs="Arial"/>
          <w:lang w:bidi="my-MM"/>
        </w:rPr>
        <w:t>Smart metering systems operate through Advanced Metering Infrastructure (AMI), which integrates communication technologies such as wireless networks, fiber-optic communication, cellular systems, and power-line communication technologies. These communication capabilities significantly reduce the need for manual meter reading and improve operational efficiency.</w:t>
      </w:r>
      <w:r w:rsidR="009D7873" w:rsidRPr="00F74FC4">
        <w:rPr>
          <w:rFonts w:ascii="Arial" w:hAnsi="Arial" w:cs="Arial"/>
          <w:lang w:bidi="my-MM"/>
        </w:rPr>
        <w:t xml:space="preserve"> </w:t>
      </w:r>
      <w:r w:rsidR="009663D7" w:rsidRPr="00F74FC4">
        <w:rPr>
          <w:rFonts w:ascii="Arial" w:hAnsi="Arial" w:cs="Arial"/>
          <w:lang w:bidi="my-MM"/>
        </w:rPr>
        <w:t>An important advantage of smart metering technology is its ability to minimize electricity theft and meter tampering through automated monitoring and anomaly detection mechanisms. In addition, smart meters incorporate Real-Time Clock (RTC) systems for accurate time-based energy calculation, maximum demand monitoring, and timestamp recording of operational events.</w:t>
      </w:r>
      <w:r w:rsidR="00DA6B5C" w:rsidRPr="00F74FC4">
        <w:rPr>
          <w:rFonts w:ascii="Arial" w:hAnsi="Arial" w:cs="Arial"/>
          <w:lang w:bidi="my-MM"/>
        </w:rPr>
        <w:t xml:space="preserve"> </w:t>
      </w:r>
      <w:r w:rsidR="009663D7" w:rsidRPr="00F74FC4">
        <w:rPr>
          <w:rFonts w:ascii="Arial" w:hAnsi="Arial" w:cs="Arial"/>
          <w:lang w:bidi="my-MM"/>
        </w:rPr>
        <w:t>Modern smart meters also interface with Liquid Crystal Display (LCD) systems, communication modules, and data management platforms, enabling consumers and utilities to access detailed electricity usage information. Backup battery systems are typically integrated to maintain RTC and critical operational functions during temporary power interruptions.</w:t>
      </w:r>
      <w:r w:rsidR="00DA6B5C" w:rsidRPr="00F74FC4">
        <w:rPr>
          <w:rFonts w:ascii="Arial" w:hAnsi="Arial" w:cs="Arial"/>
          <w:lang w:bidi="my-MM"/>
        </w:rPr>
        <w:t xml:space="preserve"> </w:t>
      </w:r>
      <w:r w:rsidR="009663D7" w:rsidRPr="00F74FC4">
        <w:rPr>
          <w:rFonts w:ascii="Arial" w:hAnsi="Arial" w:cs="Arial"/>
          <w:lang w:bidi="my-MM"/>
        </w:rPr>
        <w:t>The implementation of smart metering technology within Myanmar’s electricity distribution network therefore provides a critical technological foundation for improving operational transparency, reducing distribution losses, enhancing revenue collection, and supporting the broader digital transformati</w:t>
      </w:r>
      <w:r w:rsidR="004E1518" w:rsidRPr="00F74FC4">
        <w:rPr>
          <w:rFonts w:ascii="Arial" w:hAnsi="Arial" w:cs="Arial"/>
          <w:lang w:bidi="my-MM"/>
        </w:rPr>
        <w:t>on of the national power sector.</w:t>
      </w:r>
    </w:p>
    <w:p w14:paraId="56EC4277" w14:textId="77777777" w:rsidR="00CC4241" w:rsidRPr="00F74FC4" w:rsidRDefault="00CC4241" w:rsidP="0018366A">
      <w:pPr>
        <w:jc w:val="both"/>
        <w:rPr>
          <w:rFonts w:ascii="Arial" w:hAnsi="Arial" w:cs="Arial"/>
          <w:sz w:val="4"/>
          <w:szCs w:val="4"/>
          <w:lang w:bidi="my-MM"/>
        </w:rPr>
      </w:pPr>
    </w:p>
    <w:p w14:paraId="40BEBEA6" w14:textId="77777777" w:rsidR="00C943D3" w:rsidRPr="00F74FC4" w:rsidRDefault="00C943D3" w:rsidP="0018366A">
      <w:pPr>
        <w:rPr>
          <w:rFonts w:ascii="Arial" w:hAnsi="Arial" w:cs="Arial"/>
          <w:b/>
          <w:bCs/>
          <w:lang w:bidi="my-MM"/>
        </w:rPr>
      </w:pPr>
    </w:p>
    <w:p w14:paraId="70A4C3F6" w14:textId="77777777" w:rsidR="00C943D3" w:rsidRPr="00F74FC4" w:rsidRDefault="00C943D3" w:rsidP="0018366A">
      <w:pPr>
        <w:rPr>
          <w:rFonts w:ascii="Arial" w:hAnsi="Arial" w:cs="Arial"/>
          <w:b/>
          <w:bCs/>
          <w:lang w:bidi="my-MM"/>
        </w:rPr>
      </w:pPr>
    </w:p>
    <w:p w14:paraId="7BFEB684" w14:textId="77777777" w:rsidR="00C943D3" w:rsidRPr="00F74FC4" w:rsidRDefault="00C943D3" w:rsidP="0018366A">
      <w:pPr>
        <w:rPr>
          <w:rFonts w:ascii="Arial" w:hAnsi="Arial" w:cs="Arial"/>
          <w:b/>
          <w:bCs/>
          <w:lang w:bidi="my-MM"/>
        </w:rPr>
      </w:pPr>
    </w:p>
    <w:p w14:paraId="75ACD36C" w14:textId="77777777" w:rsidR="00C943D3" w:rsidRPr="00F74FC4" w:rsidRDefault="00C943D3" w:rsidP="0018366A">
      <w:pPr>
        <w:rPr>
          <w:rFonts w:ascii="Arial" w:hAnsi="Arial" w:cs="Arial"/>
          <w:b/>
          <w:bCs/>
          <w:lang w:bidi="my-MM"/>
        </w:rPr>
      </w:pPr>
    </w:p>
    <w:p w14:paraId="0237BE9D" w14:textId="77777777" w:rsidR="00C943D3" w:rsidRPr="00F74FC4" w:rsidRDefault="00C943D3" w:rsidP="0018366A">
      <w:pPr>
        <w:rPr>
          <w:rFonts w:ascii="Arial" w:hAnsi="Arial" w:cs="Arial"/>
          <w:b/>
          <w:bCs/>
          <w:lang w:bidi="my-MM"/>
        </w:rPr>
      </w:pPr>
    </w:p>
    <w:p w14:paraId="2F984190" w14:textId="77777777" w:rsidR="00C943D3" w:rsidRPr="00F74FC4" w:rsidRDefault="00C943D3" w:rsidP="0018366A">
      <w:pPr>
        <w:rPr>
          <w:rFonts w:ascii="Arial" w:hAnsi="Arial" w:cs="Arial"/>
          <w:b/>
          <w:bCs/>
          <w:lang w:bidi="my-MM"/>
        </w:rPr>
      </w:pPr>
    </w:p>
    <w:p w14:paraId="7F17F173" w14:textId="77777777" w:rsidR="003921D8" w:rsidRDefault="003921D8" w:rsidP="0018366A">
      <w:pPr>
        <w:rPr>
          <w:rFonts w:ascii="Arial" w:hAnsi="Arial" w:cs="Arial"/>
          <w:b/>
          <w:bCs/>
          <w:lang w:bidi="my-MM"/>
        </w:rPr>
      </w:pPr>
    </w:p>
    <w:p w14:paraId="5496CC33" w14:textId="77777777" w:rsidR="003921D8" w:rsidRDefault="003921D8" w:rsidP="0018366A">
      <w:pPr>
        <w:rPr>
          <w:rFonts w:ascii="Arial" w:hAnsi="Arial" w:cs="Arial"/>
          <w:b/>
          <w:bCs/>
          <w:lang w:bidi="my-MM"/>
        </w:rPr>
      </w:pPr>
    </w:p>
    <w:p w14:paraId="3824B172" w14:textId="77777777" w:rsidR="00CC4241" w:rsidRPr="003F5971" w:rsidRDefault="00BB0D60" w:rsidP="0018366A">
      <w:pPr>
        <w:rPr>
          <w:rFonts w:ascii="Arial" w:hAnsi="Arial" w:cs="Arial"/>
          <w:b/>
          <w:bCs/>
          <w:lang w:bidi="my-MM"/>
        </w:rPr>
      </w:pPr>
      <w:r w:rsidRPr="003F5971">
        <w:rPr>
          <w:rFonts w:ascii="Arial" w:hAnsi="Arial" w:cs="Arial"/>
          <w:b/>
          <w:bCs/>
          <w:lang w:bidi="my-MM"/>
        </w:rPr>
        <w:t xml:space="preserve">Figure </w:t>
      </w:r>
      <w:proofErr w:type="gramStart"/>
      <w:r w:rsidRPr="003F5971">
        <w:rPr>
          <w:rFonts w:ascii="Arial" w:hAnsi="Arial" w:cs="Arial"/>
          <w:b/>
          <w:bCs/>
          <w:lang w:bidi="my-MM"/>
        </w:rPr>
        <w:t>1 .</w:t>
      </w:r>
      <w:proofErr w:type="gramEnd"/>
      <w:r w:rsidRPr="003F5971">
        <w:rPr>
          <w:rFonts w:ascii="Arial" w:hAnsi="Arial" w:cs="Arial"/>
          <w:b/>
          <w:bCs/>
          <w:lang w:bidi="my-MM"/>
        </w:rPr>
        <w:t xml:space="preserve"> Induction Type Energy Meter</w:t>
      </w:r>
    </w:p>
    <w:p w14:paraId="72B831FC" w14:textId="77777777" w:rsidR="009E5323" w:rsidRPr="00F74FC4" w:rsidRDefault="009E5323" w:rsidP="0018366A">
      <w:pPr>
        <w:jc w:val="both"/>
        <w:rPr>
          <w:rFonts w:ascii="Arial" w:hAnsi="Arial" w:cs="Arial"/>
          <w:b/>
          <w:bCs/>
          <w:sz w:val="10"/>
          <w:szCs w:val="10"/>
          <w:lang w:bidi="my-MM"/>
        </w:rPr>
      </w:pPr>
    </w:p>
    <w:p w14:paraId="1F628D01" w14:textId="77777777" w:rsidR="004E1518" w:rsidRPr="00F74FC4" w:rsidRDefault="00E84573" w:rsidP="0018366A">
      <w:pPr>
        <w:jc w:val="both"/>
        <w:rPr>
          <w:rFonts w:ascii="Arial" w:hAnsi="Arial" w:cs="Arial"/>
          <w:b/>
          <w:bCs/>
          <w:sz w:val="22"/>
          <w:szCs w:val="22"/>
          <w:lang w:bidi="my-MM"/>
        </w:rPr>
      </w:pPr>
      <w:r w:rsidRPr="00F74FC4">
        <w:rPr>
          <w:rFonts w:ascii="Arial" w:hAnsi="Arial" w:cs="Arial"/>
          <w:b/>
          <w:bCs/>
          <w:sz w:val="22"/>
          <w:szCs w:val="22"/>
          <w:lang w:bidi="my-MM"/>
        </w:rPr>
        <w:t>2.4</w:t>
      </w:r>
      <w:r w:rsidR="004E1518" w:rsidRPr="00F74FC4">
        <w:rPr>
          <w:rFonts w:ascii="Arial" w:hAnsi="Arial" w:cs="Arial"/>
          <w:b/>
          <w:bCs/>
          <w:sz w:val="22"/>
          <w:szCs w:val="22"/>
          <w:lang w:bidi="my-MM"/>
        </w:rPr>
        <w:tab/>
        <w:t>Analysis on AMI System</w:t>
      </w:r>
    </w:p>
    <w:p w14:paraId="22C82DF7" w14:textId="77777777" w:rsidR="00E84573" w:rsidRPr="00F74FC4" w:rsidRDefault="00E84573" w:rsidP="0018366A">
      <w:pPr>
        <w:jc w:val="both"/>
        <w:rPr>
          <w:rFonts w:ascii="Arial" w:hAnsi="Arial" w:cs="Arial"/>
          <w:lang w:bidi="my-MM"/>
        </w:rPr>
      </w:pPr>
      <w:r w:rsidRPr="00F74FC4">
        <w:rPr>
          <w:rFonts w:ascii="Arial" w:hAnsi="Arial" w:cs="Arial"/>
          <w:lang w:bidi="my-MM"/>
        </w:rPr>
        <w:t xml:space="preserve">The deployment of Advanced Metering Infrastructure (AMI) introduces both significant operational advantages and several technical and non-technical challenges. Among the primary concerns are issues related to consumer privacy, data confidentiality, and cyber </w:t>
      </w:r>
      <w:r w:rsidRPr="00F74FC4">
        <w:rPr>
          <w:rFonts w:ascii="Arial" w:hAnsi="Arial" w:cs="Arial"/>
          <w:lang w:bidi="my-MM"/>
        </w:rPr>
        <w:lastRenderedPageBreak/>
        <w:t>security risks associated with unauthorized access to metering devices and communication networks. From the consumer perspective, the collection and transmission of high-resolution electricity consumption data raise important concerns regarding data protection and privacy. This necessitates the implementation of robust data management strategies, including data anonymization and secure data handling protocols. In addition, end-users may face challenges in verifying the accuracy of smart meters, while concerns may also arise regarding the potential additional costs associated with AMI installation and deployment. From the utility perspective, ensuring data accuracy, system reliability, and protection against physical and cyber-attacks is critical. To address these challenges, AMI systems must implement comprehensive cyber security frameworks, including confidentiality, integrity, authentication, and authorization mechanisms for all data exchanges. These security measures are essential to mitigate potential cyber threats such as eavesdropping, traffic analysis, replay attacks, message manipulation, impersonation, denial-of-service attacks, and malware infiltration.</w:t>
      </w:r>
    </w:p>
    <w:p w14:paraId="749824F5" w14:textId="77777777" w:rsidR="004E1518" w:rsidRPr="00F74FC4" w:rsidRDefault="00E84573" w:rsidP="0018366A">
      <w:pPr>
        <w:jc w:val="both"/>
        <w:rPr>
          <w:rFonts w:ascii="Arial" w:hAnsi="Arial" w:cs="Arial"/>
          <w:lang w:bidi="my-MM"/>
        </w:rPr>
      </w:pPr>
      <w:r w:rsidRPr="00F74FC4">
        <w:rPr>
          <w:rFonts w:ascii="Arial" w:hAnsi="Arial" w:cs="Arial"/>
          <w:lang w:bidi="my-MM"/>
        </w:rPr>
        <w:t>However, the implementation of full-scale cyber</w:t>
      </w:r>
      <w:r w:rsidR="00B05612" w:rsidRPr="00F74FC4">
        <w:rPr>
          <w:rFonts w:ascii="Arial" w:hAnsi="Arial" w:cs="Arial"/>
          <w:lang w:bidi="my-MM"/>
        </w:rPr>
        <w:t xml:space="preserve"> </w:t>
      </w:r>
      <w:r w:rsidRPr="00F74FC4">
        <w:rPr>
          <w:rFonts w:ascii="Arial" w:hAnsi="Arial" w:cs="Arial"/>
          <w:lang w:bidi="my-MM"/>
        </w:rPr>
        <w:t>security solutions is often constrained by limitations in the processing capabilities of some smart meter devices and legacy smart grid components. Additionally, the costs associated with system upgrades, personnel training, infrastructure modernization, and technology deployment represent significant financial barriers. Furthermore, managing public acceptance of AMI technology remains a key challenge, particularly in relation to concerns over privacy, billing transparency, and trust in automated systems.</w:t>
      </w:r>
      <w:r w:rsidR="003D4FCE" w:rsidRPr="00F74FC4">
        <w:rPr>
          <w:rFonts w:ascii="Arial" w:hAnsi="Arial" w:cs="Arial"/>
          <w:lang w:bidi="my-MM"/>
        </w:rPr>
        <w:t xml:space="preserve"> </w:t>
      </w:r>
      <w:r w:rsidRPr="00F74FC4">
        <w:rPr>
          <w:rFonts w:ascii="Arial" w:hAnsi="Arial" w:cs="Arial"/>
          <w:lang w:bidi="my-MM"/>
        </w:rPr>
        <w:t>Another major challenge lies in the management and storage of large-scale metering data, which requires advanced data infrastructure and long-term investment in digital systems. As a result, ensuring the security, privacy, and efficient utilization of AMI-generated data remains an ongoing technical and policy challenge in many developing power systems.</w:t>
      </w:r>
      <w:r w:rsidR="00BB6ABA" w:rsidRPr="00F74FC4">
        <w:rPr>
          <w:rFonts w:ascii="Arial" w:hAnsi="Arial" w:cs="Arial"/>
          <w:lang w:bidi="my-MM"/>
        </w:rPr>
        <w:t xml:space="preserve"> </w:t>
      </w:r>
      <w:r w:rsidRPr="00F74FC4">
        <w:rPr>
          <w:rFonts w:ascii="Arial" w:hAnsi="Arial" w:cs="Arial"/>
          <w:lang w:bidi="my-MM"/>
        </w:rPr>
        <w:t>Despite these challenges, AMI represents a transformative advancement in the global energy sector. The ongoing digital transformation across industries highlights the increasing importance of smart technologies in improving operational efficiency, transparency, and service quality. Within the energy sector, AMI plays a critical role in enhancing productivity, improving system reliability, and enabling data-driven decision-making.</w:t>
      </w:r>
      <w:r w:rsidR="000C1913" w:rsidRPr="00F74FC4">
        <w:rPr>
          <w:rFonts w:ascii="Arial" w:hAnsi="Arial" w:cs="Arial"/>
          <w:lang w:bidi="my-MM"/>
        </w:rPr>
        <w:t xml:space="preserve"> </w:t>
      </w:r>
      <w:r w:rsidRPr="00F74FC4">
        <w:rPr>
          <w:rFonts w:ascii="Arial" w:hAnsi="Arial" w:cs="Arial"/>
          <w:lang w:bidi="my-MM"/>
        </w:rPr>
        <w:t>The adoption of AMI systems provides sever</w:t>
      </w:r>
      <w:r w:rsidR="00316E92" w:rsidRPr="00F74FC4">
        <w:rPr>
          <w:rFonts w:ascii="Arial" w:hAnsi="Arial" w:cs="Arial"/>
          <w:lang w:bidi="my-MM"/>
        </w:rPr>
        <w:t>al direct benefits to consumers</w:t>
      </w:r>
      <w:r w:rsidRPr="00F74FC4">
        <w:rPr>
          <w:rFonts w:ascii="Arial" w:hAnsi="Arial" w:cs="Arial"/>
          <w:lang w:bidi="my-MM"/>
        </w:rPr>
        <w:t xml:space="preserve"> including:</w:t>
      </w:r>
      <w:r w:rsidR="00C05735" w:rsidRPr="00F74FC4">
        <w:rPr>
          <w:rFonts w:ascii="Arial" w:hAnsi="Arial" w:cs="Arial"/>
          <w:lang w:bidi="my-MM"/>
        </w:rPr>
        <w:t xml:space="preserve"> s</w:t>
      </w:r>
      <w:r w:rsidRPr="00F74FC4">
        <w:rPr>
          <w:rFonts w:ascii="Arial" w:hAnsi="Arial" w:cs="Arial"/>
          <w:lang w:bidi="my-MM"/>
        </w:rPr>
        <w:t>election of optimal electricity tariff plans</w:t>
      </w:r>
      <w:r w:rsidR="000C1913" w:rsidRPr="00F74FC4">
        <w:rPr>
          <w:rFonts w:ascii="Arial" w:hAnsi="Arial" w:cs="Arial"/>
          <w:lang w:bidi="my-MM"/>
        </w:rPr>
        <w:t xml:space="preserve">, </w:t>
      </w:r>
      <w:r w:rsidR="00C05735" w:rsidRPr="00F74FC4">
        <w:rPr>
          <w:rFonts w:ascii="Arial" w:hAnsi="Arial" w:cs="Arial"/>
          <w:lang w:bidi="my-MM"/>
        </w:rPr>
        <w:t>r</w:t>
      </w:r>
      <w:r w:rsidRPr="00F74FC4">
        <w:rPr>
          <w:rFonts w:ascii="Arial" w:hAnsi="Arial" w:cs="Arial"/>
          <w:lang w:bidi="my-MM"/>
        </w:rPr>
        <w:t>eal-time visualization of electricity consumption patterns</w:t>
      </w:r>
      <w:r w:rsidR="00C05735" w:rsidRPr="00F74FC4">
        <w:rPr>
          <w:rFonts w:ascii="Arial" w:hAnsi="Arial" w:cs="Arial"/>
          <w:lang w:bidi="my-MM"/>
        </w:rPr>
        <w:t>, i</w:t>
      </w:r>
      <w:r w:rsidRPr="00F74FC4">
        <w:rPr>
          <w:rFonts w:ascii="Arial" w:hAnsi="Arial" w:cs="Arial"/>
          <w:lang w:bidi="my-MM"/>
        </w:rPr>
        <w:t>ncreased awareness leading to improved energy-saving behavior</w:t>
      </w:r>
      <w:r w:rsidR="00C05735" w:rsidRPr="00F74FC4">
        <w:rPr>
          <w:rFonts w:ascii="Arial" w:hAnsi="Arial" w:cs="Arial"/>
          <w:lang w:bidi="my-MM"/>
        </w:rPr>
        <w:t xml:space="preserve"> and</w:t>
      </w:r>
      <w:r w:rsidR="000C1913" w:rsidRPr="00F74FC4">
        <w:rPr>
          <w:rFonts w:ascii="Arial" w:hAnsi="Arial" w:cs="Arial"/>
          <w:lang w:bidi="my-MM"/>
        </w:rPr>
        <w:t xml:space="preserve"> </w:t>
      </w:r>
      <w:r w:rsidR="00C05735" w:rsidRPr="00F74FC4">
        <w:rPr>
          <w:rFonts w:ascii="Arial" w:hAnsi="Arial" w:cs="Arial"/>
          <w:lang w:bidi="my-MM"/>
        </w:rPr>
        <w:t>a</w:t>
      </w:r>
      <w:r w:rsidRPr="00F74FC4">
        <w:rPr>
          <w:rFonts w:ascii="Arial" w:hAnsi="Arial" w:cs="Arial"/>
          <w:lang w:bidi="my-MM"/>
        </w:rPr>
        <w:t>ccess to value-added digital energy services</w:t>
      </w:r>
      <w:r w:rsidR="000C1913" w:rsidRPr="00F74FC4">
        <w:rPr>
          <w:rFonts w:ascii="Arial" w:hAnsi="Arial" w:cs="Arial"/>
          <w:lang w:bidi="my-MM"/>
        </w:rPr>
        <w:t xml:space="preserve">. </w:t>
      </w:r>
      <w:r w:rsidRPr="00F74FC4">
        <w:rPr>
          <w:rFonts w:ascii="Arial" w:hAnsi="Arial" w:cs="Arial"/>
          <w:lang w:bidi="my-MM"/>
        </w:rPr>
        <w:t>At the societal and industry level, AMI contributes to broader structural improvements, including:</w:t>
      </w:r>
      <w:r w:rsidR="00316E92" w:rsidRPr="00F74FC4">
        <w:rPr>
          <w:rFonts w:ascii="Arial" w:hAnsi="Arial" w:cs="Arial"/>
          <w:lang w:bidi="my-MM"/>
        </w:rPr>
        <w:t xml:space="preserve"> r</w:t>
      </w:r>
      <w:r w:rsidRPr="00F74FC4">
        <w:rPr>
          <w:rFonts w:ascii="Arial" w:hAnsi="Arial" w:cs="Arial"/>
          <w:lang w:bidi="my-MM"/>
        </w:rPr>
        <w:t>eform and modernization of the electricity sector</w:t>
      </w:r>
      <w:r w:rsidR="000C1913" w:rsidRPr="00F74FC4">
        <w:rPr>
          <w:rFonts w:ascii="Arial" w:hAnsi="Arial" w:cs="Arial"/>
          <w:lang w:bidi="my-MM"/>
        </w:rPr>
        <w:t xml:space="preserve">, </w:t>
      </w:r>
      <w:r w:rsidR="00316E92" w:rsidRPr="00F74FC4">
        <w:rPr>
          <w:rFonts w:ascii="Arial" w:hAnsi="Arial" w:cs="Arial"/>
          <w:lang w:bidi="my-MM"/>
        </w:rPr>
        <w:t>p</w:t>
      </w:r>
      <w:r w:rsidRPr="00F74FC4">
        <w:rPr>
          <w:rFonts w:ascii="Arial" w:hAnsi="Arial" w:cs="Arial"/>
          <w:lang w:bidi="my-MM"/>
        </w:rPr>
        <w:t>romotion of energy-efficient and sustainable consumption behavior</w:t>
      </w:r>
      <w:r w:rsidR="000C1913" w:rsidRPr="00F74FC4">
        <w:rPr>
          <w:rFonts w:ascii="Arial" w:hAnsi="Arial" w:cs="Arial"/>
          <w:lang w:bidi="my-MM"/>
        </w:rPr>
        <w:t>,</w:t>
      </w:r>
      <w:r w:rsidR="00316E92" w:rsidRPr="00F74FC4">
        <w:rPr>
          <w:rFonts w:ascii="Arial" w:hAnsi="Arial" w:cs="Arial"/>
          <w:lang w:bidi="my-MM"/>
        </w:rPr>
        <w:t xml:space="preserve"> d</w:t>
      </w:r>
      <w:r w:rsidRPr="00F74FC4">
        <w:rPr>
          <w:rFonts w:ascii="Arial" w:hAnsi="Arial" w:cs="Arial"/>
          <w:lang w:bidi="my-MM"/>
        </w:rPr>
        <w:t>evelopment of related digital industries and services</w:t>
      </w:r>
      <w:r w:rsidR="000C1913" w:rsidRPr="00F74FC4">
        <w:rPr>
          <w:rFonts w:ascii="Arial" w:hAnsi="Arial" w:cs="Arial"/>
          <w:lang w:bidi="my-MM"/>
        </w:rPr>
        <w:t>,</w:t>
      </w:r>
      <w:r w:rsidR="00316E92" w:rsidRPr="00F74FC4">
        <w:rPr>
          <w:rFonts w:ascii="Arial" w:hAnsi="Arial" w:cs="Arial"/>
          <w:lang w:bidi="my-MM"/>
        </w:rPr>
        <w:t xml:space="preserve"> I</w:t>
      </w:r>
      <w:r w:rsidRPr="00F74FC4">
        <w:rPr>
          <w:rFonts w:ascii="Arial" w:hAnsi="Arial" w:cs="Arial"/>
          <w:lang w:bidi="my-MM"/>
        </w:rPr>
        <w:t>mprovement of national energy infrastructure systems</w:t>
      </w:r>
      <w:r w:rsidR="002B6AE0" w:rsidRPr="00F74FC4">
        <w:rPr>
          <w:rFonts w:ascii="Arial" w:hAnsi="Arial" w:cs="Arial"/>
          <w:lang w:bidi="my-MM"/>
        </w:rPr>
        <w:t>.</w:t>
      </w:r>
      <w:r w:rsidR="00316E92" w:rsidRPr="00F74FC4">
        <w:rPr>
          <w:rFonts w:ascii="Arial" w:hAnsi="Arial" w:cs="Arial"/>
          <w:lang w:bidi="my-MM"/>
        </w:rPr>
        <w:t xml:space="preserve"> </w:t>
      </w:r>
      <w:r w:rsidRPr="00F74FC4">
        <w:rPr>
          <w:rFonts w:ascii="Arial" w:hAnsi="Arial" w:cs="Arial"/>
          <w:lang w:bidi="my-MM"/>
        </w:rPr>
        <w:t>For power utilities, AMI implementation results in significant oper</w:t>
      </w:r>
      <w:r w:rsidR="006A79F4" w:rsidRPr="00F74FC4">
        <w:rPr>
          <w:rFonts w:ascii="Arial" w:hAnsi="Arial" w:cs="Arial"/>
          <w:lang w:bidi="my-MM"/>
        </w:rPr>
        <w:t xml:space="preserve">ational and financial benefits </w:t>
      </w:r>
      <w:r w:rsidRPr="00F74FC4">
        <w:rPr>
          <w:rFonts w:ascii="Arial" w:hAnsi="Arial" w:cs="Arial"/>
          <w:lang w:bidi="my-MM"/>
        </w:rPr>
        <w:t>such as:</w:t>
      </w:r>
      <w:r w:rsidR="000C1913" w:rsidRPr="00F74FC4">
        <w:rPr>
          <w:rFonts w:ascii="Arial" w:hAnsi="Arial" w:cs="Arial"/>
          <w:lang w:bidi="my-MM"/>
        </w:rPr>
        <w:t xml:space="preserve"> </w:t>
      </w:r>
      <w:r w:rsidR="007922B0" w:rsidRPr="00F74FC4">
        <w:rPr>
          <w:rFonts w:ascii="Arial" w:hAnsi="Arial" w:cs="Arial"/>
          <w:lang w:bidi="my-MM"/>
        </w:rPr>
        <w:t>r</w:t>
      </w:r>
      <w:r w:rsidRPr="00F74FC4">
        <w:rPr>
          <w:rFonts w:ascii="Arial" w:hAnsi="Arial" w:cs="Arial"/>
          <w:lang w:bidi="my-MM"/>
        </w:rPr>
        <w:t>eduction in operational and maintenance costs</w:t>
      </w:r>
      <w:r w:rsidR="006A79F4" w:rsidRPr="00F74FC4">
        <w:rPr>
          <w:rFonts w:ascii="Arial" w:hAnsi="Arial" w:cs="Arial"/>
          <w:lang w:bidi="my-MM"/>
        </w:rPr>
        <w:t xml:space="preserve">, </w:t>
      </w:r>
      <w:r w:rsidR="00FD6827" w:rsidRPr="00F74FC4">
        <w:rPr>
          <w:rFonts w:ascii="Arial" w:hAnsi="Arial" w:cs="Arial"/>
          <w:lang w:bidi="my-MM"/>
        </w:rPr>
        <w:t>l</w:t>
      </w:r>
      <w:r w:rsidRPr="00F74FC4">
        <w:rPr>
          <w:rFonts w:ascii="Arial" w:hAnsi="Arial" w:cs="Arial"/>
          <w:lang w:bidi="my-MM"/>
        </w:rPr>
        <w:t>ower investment requirements for system expansion through improved efficiency</w:t>
      </w:r>
      <w:r w:rsidR="00FD6827" w:rsidRPr="00F74FC4">
        <w:rPr>
          <w:rFonts w:ascii="Arial" w:hAnsi="Arial" w:cs="Arial"/>
          <w:lang w:bidi="my-MM"/>
        </w:rPr>
        <w:t>, i</w:t>
      </w:r>
      <w:r w:rsidRPr="00F74FC4">
        <w:rPr>
          <w:rFonts w:ascii="Arial" w:hAnsi="Arial" w:cs="Arial"/>
          <w:lang w:bidi="my-MM"/>
        </w:rPr>
        <w:t>ncreased revenue through reduced non-technical losses</w:t>
      </w:r>
      <w:r w:rsidR="00FD6827" w:rsidRPr="00F74FC4">
        <w:rPr>
          <w:rFonts w:ascii="Arial" w:hAnsi="Arial" w:cs="Arial"/>
          <w:lang w:bidi="my-MM"/>
        </w:rPr>
        <w:t>, d</w:t>
      </w:r>
      <w:r w:rsidRPr="00F74FC4">
        <w:rPr>
          <w:rFonts w:ascii="Arial" w:hAnsi="Arial" w:cs="Arial"/>
          <w:lang w:bidi="my-MM"/>
        </w:rPr>
        <w:t>evelopment of new digital and data-driven energy services</w:t>
      </w:r>
      <w:r w:rsidR="00FD6827" w:rsidRPr="00F74FC4">
        <w:rPr>
          <w:rFonts w:ascii="Arial" w:hAnsi="Arial" w:cs="Arial"/>
          <w:lang w:bidi="my-MM"/>
        </w:rPr>
        <w:t xml:space="preserve">. </w:t>
      </w:r>
      <w:r w:rsidRPr="00F74FC4">
        <w:rPr>
          <w:rFonts w:ascii="Arial" w:hAnsi="Arial" w:cs="Arial"/>
          <w:lang w:bidi="my-MM"/>
        </w:rPr>
        <w:t>Overall, AMI introduces a fully automated two-way communication system between utilities and consumers, enabling real-time data exchange, improved system monitoring, and enhanced control of ele</w:t>
      </w:r>
      <w:r w:rsidR="00F67542" w:rsidRPr="00F74FC4">
        <w:rPr>
          <w:rFonts w:ascii="Arial" w:hAnsi="Arial" w:cs="Arial"/>
          <w:lang w:bidi="my-MM"/>
        </w:rPr>
        <w:t xml:space="preserve">ctricity distribution networks. </w:t>
      </w:r>
      <w:r w:rsidRPr="00F74FC4">
        <w:rPr>
          <w:rFonts w:ascii="Arial" w:hAnsi="Arial" w:cs="Arial"/>
          <w:lang w:bidi="my-MM"/>
        </w:rPr>
        <w:t>This transition represents a fundamental shift from traditional metering systems toward an intelligent, data-driven smart grid infrastructure capable of supporting future energy sector development.</w:t>
      </w:r>
    </w:p>
    <w:p w14:paraId="0BCECF1B" w14:textId="77777777" w:rsidR="00E16110" w:rsidRPr="00F74FC4" w:rsidRDefault="00E16110" w:rsidP="0018366A">
      <w:pPr>
        <w:jc w:val="both"/>
        <w:rPr>
          <w:rFonts w:ascii="Arial" w:hAnsi="Arial" w:cs="Arial"/>
          <w:sz w:val="2"/>
          <w:szCs w:val="2"/>
          <w:lang w:bidi="my-MM"/>
        </w:rPr>
      </w:pPr>
    </w:p>
    <w:p w14:paraId="17EBFB47" w14:textId="77777777" w:rsidR="00E16110" w:rsidRPr="00F74FC4" w:rsidRDefault="00E16110" w:rsidP="0018366A">
      <w:pPr>
        <w:jc w:val="both"/>
        <w:rPr>
          <w:rFonts w:ascii="Arial" w:hAnsi="Arial" w:cs="Arial"/>
          <w:sz w:val="6"/>
          <w:szCs w:val="6"/>
          <w:lang w:bidi="my-MM"/>
        </w:rPr>
      </w:pPr>
    </w:p>
    <w:p w14:paraId="53139CAC" w14:textId="77777777" w:rsidR="00E16110" w:rsidRPr="00F74FC4" w:rsidRDefault="00037204" w:rsidP="0018366A">
      <w:pPr>
        <w:jc w:val="both"/>
        <w:rPr>
          <w:rFonts w:ascii="Arial" w:hAnsi="Arial" w:cs="Arial"/>
          <w:lang w:bidi="my-MM"/>
        </w:rPr>
      </w:pPr>
      <w:r w:rsidRPr="00F74FC4">
        <w:rPr>
          <w:rFonts w:ascii="Arial" w:hAnsi="Arial" w:cs="Arial"/>
          <w:noProof/>
          <w:lang w:bidi="my-MM"/>
        </w:rPr>
        <w:drawing>
          <wp:anchor distT="0" distB="0" distL="114300" distR="114300" simplePos="0" relativeHeight="251663360" behindDoc="0" locked="0" layoutInCell="1" allowOverlap="1" wp14:anchorId="11470766" wp14:editId="6CF38A86">
            <wp:simplePos x="0" y="0"/>
            <wp:positionH relativeFrom="column">
              <wp:posOffset>1281430</wp:posOffset>
            </wp:positionH>
            <wp:positionV relativeFrom="paragraph">
              <wp:posOffset>72390</wp:posOffset>
            </wp:positionV>
            <wp:extent cx="2461260" cy="89662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1260" cy="896620"/>
                    </a:xfrm>
                    <a:prstGeom prst="rect">
                      <a:avLst/>
                    </a:prstGeom>
                    <a:noFill/>
                  </pic:spPr>
                </pic:pic>
              </a:graphicData>
            </a:graphic>
            <wp14:sizeRelH relativeFrom="page">
              <wp14:pctWidth>0</wp14:pctWidth>
            </wp14:sizeRelH>
            <wp14:sizeRelV relativeFrom="page">
              <wp14:pctHeight>0</wp14:pctHeight>
            </wp14:sizeRelV>
          </wp:anchor>
        </w:drawing>
      </w:r>
    </w:p>
    <w:p w14:paraId="326E5012" w14:textId="77777777" w:rsidR="00E1493A" w:rsidRDefault="00E1493A" w:rsidP="0018366A">
      <w:pPr>
        <w:pStyle w:val="Body"/>
        <w:spacing w:after="0"/>
        <w:rPr>
          <w:rFonts w:ascii="Arial" w:hAnsi="Arial" w:cs="Arial"/>
        </w:rPr>
      </w:pPr>
    </w:p>
    <w:p w14:paraId="4D02975B" w14:textId="77777777" w:rsidR="00E1493A" w:rsidRDefault="00E1493A" w:rsidP="0018366A">
      <w:pPr>
        <w:pStyle w:val="Body"/>
        <w:spacing w:after="0"/>
        <w:rPr>
          <w:rFonts w:ascii="Arial" w:hAnsi="Arial" w:cs="Arial"/>
        </w:rPr>
      </w:pPr>
    </w:p>
    <w:p w14:paraId="77756F92" w14:textId="77777777" w:rsidR="00E1493A" w:rsidRDefault="00E1493A" w:rsidP="0018366A">
      <w:pPr>
        <w:pStyle w:val="Body"/>
        <w:spacing w:after="0"/>
        <w:rPr>
          <w:rFonts w:ascii="Arial" w:hAnsi="Arial" w:cs="Arial"/>
        </w:rPr>
      </w:pPr>
    </w:p>
    <w:p w14:paraId="6F463B5B" w14:textId="77777777" w:rsidR="00E1493A" w:rsidRDefault="00E1493A" w:rsidP="0018366A">
      <w:pPr>
        <w:pStyle w:val="Body"/>
        <w:spacing w:after="0"/>
        <w:rPr>
          <w:rFonts w:ascii="Arial" w:hAnsi="Arial" w:cs="Arial"/>
        </w:rPr>
      </w:pPr>
    </w:p>
    <w:p w14:paraId="7460140E" w14:textId="77777777" w:rsidR="00E1493A" w:rsidRDefault="00E1493A" w:rsidP="0018366A">
      <w:pPr>
        <w:pStyle w:val="Body"/>
        <w:spacing w:after="0"/>
        <w:rPr>
          <w:rFonts w:ascii="Arial" w:hAnsi="Arial" w:cs="Arial"/>
        </w:rPr>
      </w:pPr>
    </w:p>
    <w:p w14:paraId="24EE62FC" w14:textId="77777777" w:rsidR="00E1493A" w:rsidRDefault="00E1493A" w:rsidP="0018366A">
      <w:pPr>
        <w:pStyle w:val="Body"/>
        <w:spacing w:after="0"/>
        <w:rPr>
          <w:rFonts w:ascii="Arial" w:hAnsi="Arial" w:cs="Arial"/>
        </w:rPr>
      </w:pPr>
    </w:p>
    <w:p w14:paraId="685827CC" w14:textId="77777777" w:rsidR="00037204" w:rsidRPr="000A3AB1" w:rsidRDefault="00037204" w:rsidP="0018366A">
      <w:pPr>
        <w:pStyle w:val="Body"/>
        <w:spacing w:after="0"/>
        <w:rPr>
          <w:rFonts w:ascii="Arial" w:hAnsi="Arial" w:cs="Arial"/>
        </w:rPr>
      </w:pPr>
      <w:r w:rsidRPr="000A3AB1">
        <w:rPr>
          <w:rFonts w:ascii="Arial" w:hAnsi="Arial" w:cs="Arial"/>
        </w:rPr>
        <w:t>Figure 2. Digital Watt-hour Meter</w:t>
      </w:r>
    </w:p>
    <w:p w14:paraId="18FBBD8A" w14:textId="77777777" w:rsidR="005641CA" w:rsidRPr="00F74FC4" w:rsidRDefault="005641CA" w:rsidP="0018366A">
      <w:pPr>
        <w:pStyle w:val="Body"/>
        <w:spacing w:after="0"/>
        <w:rPr>
          <w:rFonts w:ascii="Arial" w:hAnsi="Arial" w:cs="Arial"/>
          <w:b/>
          <w:bCs/>
          <w:sz w:val="22"/>
          <w:szCs w:val="22"/>
        </w:rPr>
      </w:pPr>
      <w:r w:rsidRPr="00F74FC4">
        <w:rPr>
          <w:rFonts w:ascii="Arial" w:hAnsi="Arial" w:cs="Arial"/>
          <w:b/>
          <w:bCs/>
          <w:sz w:val="22"/>
          <w:szCs w:val="22"/>
        </w:rPr>
        <w:lastRenderedPageBreak/>
        <w:t>2.</w:t>
      </w:r>
      <w:r w:rsidR="00B256E1" w:rsidRPr="00F74FC4">
        <w:rPr>
          <w:rFonts w:ascii="Arial" w:hAnsi="Arial" w:cs="Arial"/>
          <w:b/>
          <w:bCs/>
          <w:sz w:val="22"/>
          <w:szCs w:val="22"/>
        </w:rPr>
        <w:t>5</w:t>
      </w:r>
      <w:r w:rsidRPr="00F74FC4">
        <w:rPr>
          <w:rFonts w:ascii="Arial" w:hAnsi="Arial" w:cs="Arial"/>
          <w:b/>
          <w:bCs/>
          <w:sz w:val="22"/>
          <w:szCs w:val="22"/>
        </w:rPr>
        <w:t xml:space="preserve"> Supply–Demand Gap Measurement and Loss Analysis</w:t>
      </w:r>
    </w:p>
    <w:p w14:paraId="0CA3175A" w14:textId="77777777" w:rsidR="005641CA" w:rsidRDefault="005641CA" w:rsidP="0018366A">
      <w:pPr>
        <w:pStyle w:val="Body"/>
        <w:spacing w:after="0"/>
        <w:rPr>
          <w:rFonts w:ascii="Arial" w:hAnsi="Arial" w:cs="Arial"/>
        </w:rPr>
      </w:pPr>
      <w:r w:rsidRPr="00F74FC4">
        <w:rPr>
          <w:rFonts w:ascii="Arial" w:hAnsi="Arial" w:cs="Arial"/>
        </w:rPr>
        <w:t>To systematically address grid imbalances in Myanmar’s electricity distribution system, the AMI framework is designed to quantify the gap between total electricity generation and actual end-user consumption at the distribution level. This enables accurate identification of both technical and commercial losses within each substation zone.</w:t>
      </w:r>
    </w:p>
    <w:p w14:paraId="67C37E5B" w14:textId="77777777" w:rsidR="007370F5" w:rsidRPr="00F74FC4" w:rsidRDefault="007370F5" w:rsidP="0018366A">
      <w:pPr>
        <w:pStyle w:val="Body"/>
        <w:spacing w:after="0"/>
        <w:rPr>
          <w:rFonts w:ascii="Arial" w:hAnsi="Arial" w:cs="Arial"/>
        </w:rPr>
      </w:pPr>
    </w:p>
    <w:p w14:paraId="51D35EC5" w14:textId="77777777" w:rsidR="00E16110" w:rsidRPr="00F74FC4" w:rsidRDefault="00E16110" w:rsidP="0018366A">
      <w:pPr>
        <w:pStyle w:val="Body"/>
        <w:spacing w:after="0"/>
        <w:rPr>
          <w:rFonts w:ascii="Arial" w:hAnsi="Arial" w:cs="Arial"/>
        </w:rPr>
      </w:pPr>
    </w:p>
    <w:p w14:paraId="34E7931E" w14:textId="77777777" w:rsidR="00E16110" w:rsidRPr="00F74FC4" w:rsidRDefault="00F9648B" w:rsidP="0018366A">
      <w:pPr>
        <w:pStyle w:val="Body"/>
        <w:spacing w:after="0"/>
        <w:rPr>
          <w:rFonts w:ascii="Arial" w:hAnsi="Arial" w:cs="Arial"/>
        </w:rPr>
      </w:pPr>
      <w:r w:rsidRPr="00F74FC4">
        <w:rPr>
          <w:rFonts w:ascii="Arial" w:hAnsi="Arial" w:cs="Arial"/>
          <w:noProof/>
          <w:lang w:bidi="my-MM"/>
        </w:rPr>
        <w:drawing>
          <wp:anchor distT="0" distB="0" distL="114300" distR="114300" simplePos="0" relativeHeight="251665408" behindDoc="0" locked="0" layoutInCell="1" allowOverlap="1" wp14:anchorId="0E7D958D" wp14:editId="02DF00B8">
            <wp:simplePos x="0" y="0"/>
            <wp:positionH relativeFrom="margin">
              <wp:posOffset>436245</wp:posOffset>
            </wp:positionH>
            <wp:positionV relativeFrom="margin">
              <wp:posOffset>930910</wp:posOffset>
            </wp:positionV>
            <wp:extent cx="3605530" cy="2329815"/>
            <wp:effectExtent l="0" t="0" r="0" b="0"/>
            <wp:wrapSquare wrapText="bothSides"/>
            <wp:docPr id="9" name="Picture 6" descr="C:\Users\NI  NI\Downloads\energy_compari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C:\Users\NI  NI\Downloads\energy_comparis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5530" cy="2329815"/>
                    </a:xfrm>
                    <a:prstGeom prst="rect">
                      <a:avLst/>
                    </a:prstGeom>
                    <a:noFill/>
                  </pic:spPr>
                </pic:pic>
              </a:graphicData>
            </a:graphic>
            <wp14:sizeRelH relativeFrom="margin">
              <wp14:pctWidth>0</wp14:pctWidth>
            </wp14:sizeRelH>
            <wp14:sizeRelV relativeFrom="margin">
              <wp14:pctHeight>0</wp14:pctHeight>
            </wp14:sizeRelV>
          </wp:anchor>
        </w:drawing>
      </w:r>
    </w:p>
    <w:p w14:paraId="3303C0CA" w14:textId="77777777" w:rsidR="00E16110" w:rsidRPr="00F74FC4" w:rsidRDefault="00E16110" w:rsidP="0018366A">
      <w:pPr>
        <w:pStyle w:val="Body"/>
        <w:spacing w:after="0"/>
        <w:rPr>
          <w:rFonts w:ascii="Arial" w:hAnsi="Arial" w:cs="Arial"/>
        </w:rPr>
      </w:pPr>
    </w:p>
    <w:p w14:paraId="3207C586" w14:textId="77777777" w:rsidR="00E16110" w:rsidRPr="00F74FC4" w:rsidRDefault="00E16110" w:rsidP="0018366A">
      <w:pPr>
        <w:pStyle w:val="Body"/>
        <w:spacing w:after="0"/>
        <w:rPr>
          <w:rFonts w:ascii="Arial" w:hAnsi="Arial" w:cs="Arial"/>
        </w:rPr>
      </w:pPr>
    </w:p>
    <w:p w14:paraId="6F316BBC" w14:textId="77777777" w:rsidR="00E16110" w:rsidRPr="00F74FC4" w:rsidRDefault="00E16110" w:rsidP="0018366A">
      <w:pPr>
        <w:pStyle w:val="Body"/>
        <w:spacing w:after="0"/>
        <w:rPr>
          <w:rFonts w:ascii="Arial" w:hAnsi="Arial" w:cs="Arial"/>
        </w:rPr>
      </w:pPr>
    </w:p>
    <w:p w14:paraId="55FF0521" w14:textId="77777777" w:rsidR="00E16110" w:rsidRPr="00F74FC4" w:rsidRDefault="00E16110" w:rsidP="0018366A">
      <w:pPr>
        <w:pStyle w:val="Body"/>
        <w:spacing w:after="0"/>
        <w:rPr>
          <w:rFonts w:ascii="Arial" w:hAnsi="Arial" w:cs="Arial"/>
        </w:rPr>
      </w:pPr>
    </w:p>
    <w:p w14:paraId="3374AA51" w14:textId="77777777" w:rsidR="00E16110" w:rsidRPr="00F74FC4" w:rsidRDefault="00E16110" w:rsidP="0018366A">
      <w:pPr>
        <w:pStyle w:val="Body"/>
        <w:spacing w:after="0"/>
        <w:rPr>
          <w:rFonts w:ascii="Arial" w:hAnsi="Arial" w:cs="Arial"/>
        </w:rPr>
      </w:pPr>
    </w:p>
    <w:p w14:paraId="1DB6AB69" w14:textId="77777777" w:rsidR="00E16110" w:rsidRPr="00F74FC4" w:rsidRDefault="00E16110" w:rsidP="0018366A">
      <w:pPr>
        <w:pStyle w:val="Body"/>
        <w:spacing w:after="0"/>
        <w:rPr>
          <w:rFonts w:ascii="Arial" w:hAnsi="Arial" w:cs="Arial"/>
        </w:rPr>
      </w:pPr>
    </w:p>
    <w:p w14:paraId="03DAA7A6" w14:textId="77777777" w:rsidR="00E16110" w:rsidRPr="00F74FC4" w:rsidRDefault="00E16110" w:rsidP="0018366A">
      <w:pPr>
        <w:pStyle w:val="Body"/>
        <w:spacing w:after="0"/>
        <w:rPr>
          <w:rFonts w:ascii="Arial" w:hAnsi="Arial" w:cs="Arial"/>
        </w:rPr>
      </w:pPr>
    </w:p>
    <w:p w14:paraId="765E503C" w14:textId="77777777" w:rsidR="00E16110" w:rsidRPr="00F74FC4" w:rsidRDefault="00E16110" w:rsidP="0018366A">
      <w:pPr>
        <w:pStyle w:val="Body"/>
        <w:spacing w:after="0"/>
        <w:rPr>
          <w:rFonts w:ascii="Arial" w:hAnsi="Arial" w:cs="Arial"/>
        </w:rPr>
      </w:pPr>
    </w:p>
    <w:p w14:paraId="1B391233" w14:textId="77777777" w:rsidR="00E16110" w:rsidRPr="00F74FC4" w:rsidRDefault="00E16110" w:rsidP="0018366A">
      <w:pPr>
        <w:pStyle w:val="Body"/>
        <w:spacing w:after="0"/>
        <w:rPr>
          <w:rFonts w:ascii="Arial" w:hAnsi="Arial" w:cs="Arial"/>
        </w:rPr>
      </w:pPr>
    </w:p>
    <w:p w14:paraId="777BE080" w14:textId="77777777" w:rsidR="00E16110" w:rsidRPr="00F74FC4" w:rsidRDefault="00E16110" w:rsidP="0018366A">
      <w:pPr>
        <w:pStyle w:val="Body"/>
        <w:spacing w:after="0"/>
        <w:rPr>
          <w:rFonts w:ascii="Arial" w:hAnsi="Arial" w:cs="Arial"/>
        </w:rPr>
      </w:pPr>
    </w:p>
    <w:p w14:paraId="6660949F" w14:textId="77777777" w:rsidR="00F52D80" w:rsidRPr="00F74FC4" w:rsidRDefault="00F52D80" w:rsidP="0018366A">
      <w:pPr>
        <w:pStyle w:val="Body"/>
        <w:spacing w:after="0"/>
        <w:rPr>
          <w:rFonts w:ascii="Arial" w:hAnsi="Arial" w:cs="Arial"/>
        </w:rPr>
      </w:pPr>
    </w:p>
    <w:p w14:paraId="223276FF" w14:textId="77777777" w:rsidR="00E16110" w:rsidRPr="00F74FC4" w:rsidRDefault="00E16110" w:rsidP="0018366A">
      <w:pPr>
        <w:pStyle w:val="Body"/>
        <w:spacing w:after="0"/>
        <w:rPr>
          <w:rFonts w:ascii="Arial" w:hAnsi="Arial" w:cs="Arial"/>
          <w:b/>
          <w:bCs/>
          <w:sz w:val="22"/>
          <w:szCs w:val="22"/>
        </w:rPr>
      </w:pPr>
    </w:p>
    <w:p w14:paraId="050BE94F" w14:textId="77777777" w:rsidR="00E16110" w:rsidRPr="00F74FC4" w:rsidRDefault="00E16110" w:rsidP="0018366A">
      <w:pPr>
        <w:pStyle w:val="Body"/>
        <w:spacing w:after="0"/>
        <w:jc w:val="left"/>
        <w:rPr>
          <w:rFonts w:ascii="Arial" w:hAnsi="Arial" w:cs="Arial"/>
          <w:b/>
          <w:bCs/>
          <w:sz w:val="16"/>
          <w:szCs w:val="16"/>
        </w:rPr>
      </w:pPr>
    </w:p>
    <w:p w14:paraId="350238EB" w14:textId="77777777" w:rsidR="00E16110" w:rsidRPr="00F74FC4" w:rsidRDefault="00E16110" w:rsidP="0018366A">
      <w:pPr>
        <w:pStyle w:val="Body"/>
        <w:spacing w:after="0"/>
        <w:jc w:val="left"/>
        <w:rPr>
          <w:rFonts w:ascii="Arial" w:hAnsi="Arial" w:cs="Arial"/>
          <w:b/>
          <w:bCs/>
          <w:sz w:val="16"/>
          <w:szCs w:val="16"/>
        </w:rPr>
      </w:pPr>
    </w:p>
    <w:p w14:paraId="314E5235" w14:textId="77777777" w:rsidR="00CF08EB" w:rsidRPr="00F74FC4" w:rsidRDefault="00CF08EB" w:rsidP="0018366A">
      <w:pPr>
        <w:pStyle w:val="Body"/>
        <w:spacing w:after="0"/>
        <w:jc w:val="left"/>
        <w:rPr>
          <w:rFonts w:ascii="Arial" w:hAnsi="Arial" w:cs="Arial"/>
          <w:b/>
          <w:bCs/>
          <w:sz w:val="12"/>
          <w:szCs w:val="12"/>
        </w:rPr>
      </w:pPr>
    </w:p>
    <w:p w14:paraId="24B495FE" w14:textId="77777777" w:rsidR="00CF08EB" w:rsidRPr="00F74FC4" w:rsidRDefault="007370F5" w:rsidP="0018366A">
      <w:pPr>
        <w:pStyle w:val="Body"/>
        <w:spacing w:after="0"/>
        <w:jc w:val="left"/>
        <w:rPr>
          <w:rFonts w:ascii="Arial" w:hAnsi="Arial" w:cs="Arial"/>
          <w:b/>
          <w:bCs/>
          <w:sz w:val="12"/>
          <w:szCs w:val="12"/>
        </w:rPr>
      </w:pPr>
      <w:r>
        <w:rPr>
          <w:rFonts w:ascii="Arial" w:hAnsi="Arial" w:cs="Arial"/>
          <w:b/>
          <w:bCs/>
          <w:lang w:bidi="my-MM"/>
        </w:rPr>
        <w:t xml:space="preserve">Figure </w:t>
      </w:r>
      <w:proofErr w:type="gramStart"/>
      <w:r>
        <w:rPr>
          <w:rFonts w:ascii="Arial" w:hAnsi="Arial" w:cs="Arial"/>
          <w:b/>
          <w:bCs/>
          <w:lang w:bidi="my-MM"/>
        </w:rPr>
        <w:t>3</w:t>
      </w:r>
      <w:r w:rsidRPr="003F5971">
        <w:rPr>
          <w:rFonts w:ascii="Arial" w:hAnsi="Arial" w:cs="Arial"/>
          <w:b/>
          <w:bCs/>
          <w:lang w:bidi="my-MM"/>
        </w:rPr>
        <w:t xml:space="preserve"> .</w:t>
      </w:r>
      <w:proofErr w:type="gramEnd"/>
      <w:r w:rsidRPr="003F5971">
        <w:rPr>
          <w:rFonts w:ascii="Arial" w:hAnsi="Arial" w:cs="Arial"/>
          <w:b/>
          <w:bCs/>
          <w:lang w:bidi="my-MM"/>
        </w:rPr>
        <w:t xml:space="preserve"> </w:t>
      </w:r>
      <w:r w:rsidRPr="007370F5">
        <w:rPr>
          <w:rFonts w:ascii="Arial" w:hAnsi="Arial" w:cs="Arial"/>
          <w:b/>
          <w:bCs/>
          <w:lang w:bidi="my-MM"/>
        </w:rPr>
        <w:t>the comparative relationship between distributed energy, billed energy, and collected energy</w:t>
      </w:r>
    </w:p>
    <w:p w14:paraId="3EEB09D7" w14:textId="77777777" w:rsidR="00E87DAC" w:rsidRDefault="00E87DAC" w:rsidP="0018366A">
      <w:pPr>
        <w:pStyle w:val="Body"/>
        <w:spacing w:after="0"/>
        <w:jc w:val="left"/>
        <w:rPr>
          <w:rFonts w:ascii="Arial" w:hAnsi="Arial" w:cs="Arial"/>
          <w:b/>
          <w:bCs/>
          <w:sz w:val="12"/>
          <w:szCs w:val="12"/>
        </w:rPr>
      </w:pPr>
    </w:p>
    <w:p w14:paraId="59E54B67" w14:textId="77777777" w:rsidR="00E16110" w:rsidRPr="00F74FC4" w:rsidRDefault="00E16110" w:rsidP="0018366A">
      <w:pPr>
        <w:pStyle w:val="Body"/>
        <w:spacing w:after="0"/>
        <w:jc w:val="left"/>
        <w:rPr>
          <w:rFonts w:ascii="Arial" w:hAnsi="Arial" w:cs="Arial"/>
          <w:b/>
          <w:bCs/>
          <w:sz w:val="12"/>
          <w:szCs w:val="12"/>
        </w:rPr>
      </w:pPr>
      <w:r w:rsidRPr="00F74FC4">
        <w:rPr>
          <w:rFonts w:ascii="Arial" w:hAnsi="Arial" w:cs="Arial"/>
          <w:b/>
          <w:bCs/>
          <w:sz w:val="12"/>
          <w:szCs w:val="12"/>
        </w:rPr>
        <w:t>Source: Own calculation</w:t>
      </w:r>
    </w:p>
    <w:p w14:paraId="4C8AA780" w14:textId="77777777" w:rsidR="00E16110" w:rsidRPr="00F74FC4" w:rsidRDefault="00E16110" w:rsidP="0018366A">
      <w:pPr>
        <w:pStyle w:val="Body"/>
        <w:spacing w:after="0"/>
        <w:rPr>
          <w:rFonts w:ascii="Arial" w:hAnsi="Arial" w:cs="Arial"/>
          <w:b/>
          <w:bCs/>
          <w:sz w:val="8"/>
          <w:szCs w:val="8"/>
        </w:rPr>
      </w:pPr>
    </w:p>
    <w:p w14:paraId="7E48C7B7" w14:textId="77777777" w:rsidR="00E16110" w:rsidRPr="00F74FC4" w:rsidRDefault="00420B16" w:rsidP="0018366A">
      <w:pPr>
        <w:pStyle w:val="Body"/>
        <w:spacing w:after="0"/>
        <w:rPr>
          <w:rFonts w:ascii="Arial" w:hAnsi="Arial" w:cs="Arial"/>
        </w:rPr>
      </w:pPr>
      <w:r w:rsidRPr="003C5B4D">
        <w:rPr>
          <w:rFonts w:ascii="Arial" w:hAnsi="Arial" w:cs="Arial"/>
          <w:spacing w:val="-2"/>
        </w:rPr>
        <w:t xml:space="preserve">In </w:t>
      </w:r>
      <w:r w:rsidR="0066181B" w:rsidRPr="003C5B4D">
        <w:rPr>
          <w:rFonts w:ascii="Arial" w:hAnsi="Arial" w:cs="Arial"/>
          <w:spacing w:val="-2"/>
        </w:rPr>
        <w:t xml:space="preserve">Figure </w:t>
      </w:r>
      <w:r w:rsidR="00043305" w:rsidRPr="003C5B4D">
        <w:rPr>
          <w:rFonts w:ascii="Arial" w:hAnsi="Arial" w:cs="Arial"/>
          <w:spacing w:val="-2"/>
        </w:rPr>
        <w:t>3, illustrates</w:t>
      </w:r>
      <w:r w:rsidR="00307277" w:rsidRPr="003C5B4D">
        <w:rPr>
          <w:rFonts w:ascii="Arial" w:hAnsi="Arial" w:cs="Arial"/>
          <w:spacing w:val="-2"/>
        </w:rPr>
        <w:t xml:space="preserve"> the comparative relations</w:t>
      </w:r>
      <w:r w:rsidRPr="003C5B4D">
        <w:rPr>
          <w:rFonts w:ascii="Arial" w:hAnsi="Arial" w:cs="Arial"/>
          <w:spacing w:val="-2"/>
        </w:rPr>
        <w:t>hip between distributed energy,</w:t>
      </w:r>
      <w:r w:rsidR="00EB3604" w:rsidRPr="003C5B4D">
        <w:rPr>
          <w:rFonts w:ascii="Arial" w:hAnsi="Arial" w:cs="Arial"/>
          <w:spacing w:val="-2"/>
        </w:rPr>
        <w:t xml:space="preserve"> </w:t>
      </w:r>
      <w:r w:rsidR="00307277" w:rsidRPr="003C5B4D">
        <w:rPr>
          <w:rFonts w:ascii="Arial" w:hAnsi="Arial" w:cs="Arial"/>
          <w:spacing w:val="-2"/>
        </w:rPr>
        <w:t xml:space="preserve">billed energy, </w:t>
      </w:r>
      <w:r w:rsidR="00307277" w:rsidRPr="003C5B4D">
        <w:rPr>
          <w:rFonts w:ascii="Arial" w:hAnsi="Arial" w:cs="Arial"/>
        </w:rPr>
        <w:t>and collected energy across the</w:t>
      </w:r>
      <w:r w:rsidR="003C5B4D" w:rsidRPr="003C5B4D">
        <w:rPr>
          <w:rFonts w:ascii="Arial" w:hAnsi="Arial" w:cs="Arial"/>
        </w:rPr>
        <w:t xml:space="preserve"> implementation of AMI </w:t>
      </w:r>
      <w:r w:rsidR="00307277" w:rsidRPr="003C5B4D">
        <w:rPr>
          <w:rFonts w:ascii="Arial" w:hAnsi="Arial" w:cs="Arial"/>
        </w:rPr>
        <w:t>22 townships in Yangon Region during the 2023–2024 fiscal year. The graphical analysis clearly demonstrates the existence of measurable supply–demand and revenue recovery gaps within the electricity distribution network.</w:t>
      </w:r>
      <w:r w:rsidR="00E323BC" w:rsidRPr="003C5B4D">
        <w:rPr>
          <w:rFonts w:ascii="Arial" w:hAnsi="Arial" w:cs="Arial"/>
        </w:rPr>
        <w:t xml:space="preserve"> </w:t>
      </w:r>
      <w:r w:rsidR="00307277" w:rsidRPr="003C5B4D">
        <w:rPr>
          <w:rFonts w:ascii="Arial" w:hAnsi="Arial" w:cs="Arial"/>
        </w:rPr>
        <w:t>The blue line represents the total distributed energy supplied by the utility, while the orange and green lines indicate billed energy and collected energy, respectively. In all townships, the distributed energy remained consistently higher than both billed and collected energy, indicating the presence of technical and commercial losses throughout the distribution process.</w:t>
      </w:r>
      <w:r w:rsidR="00474B77" w:rsidRPr="003C5B4D">
        <w:rPr>
          <w:rFonts w:ascii="Arial" w:hAnsi="Arial" w:cs="Arial"/>
        </w:rPr>
        <w:t xml:space="preserve"> </w:t>
      </w:r>
      <w:r w:rsidR="00307277" w:rsidRPr="003C5B4D">
        <w:rPr>
          <w:rFonts w:ascii="Arial" w:hAnsi="Arial" w:cs="Arial"/>
        </w:rPr>
        <w:t>The largest gaps were observed in Hlaingtharyar (</w:t>
      </w:r>
      <w:r w:rsidR="00307277" w:rsidRPr="00F74FC4">
        <w:rPr>
          <w:rFonts w:ascii="Arial" w:hAnsi="Arial" w:cs="Arial"/>
        </w:rPr>
        <w:t>East) and Hlaingtharyar (West), where electricity distribution levels exceeded 12 million kWh and 9 million kWh respectively. Despite high electricity delivery, a significant difference remained between billed and collected energy, suggesting elevated levels of non-technical losses, delayed payment recovery, illegal consumption, and inefficiencies in billing and collection systems. These industrial and densely populated regions therefore represent critical high-loss zones within the AMI deployment network. Similarly, townships such as Thingangyun, North Okkalapa, Pazundaung, and Shwepyitha also exhibited noticeable gaps between distributed, billed, and collected energy. This indicates that although billing systems were operational, full revenue recovery was not achieved due to collection inefficiencies and commercial losses.</w:t>
      </w:r>
      <w:r w:rsidR="00D260FC" w:rsidRPr="00F74FC4">
        <w:rPr>
          <w:rFonts w:ascii="Arial" w:hAnsi="Arial" w:cs="Arial"/>
        </w:rPr>
        <w:t xml:space="preserve"> </w:t>
      </w:r>
      <w:r w:rsidR="00307277" w:rsidRPr="00F74FC4">
        <w:rPr>
          <w:rFonts w:ascii="Arial" w:hAnsi="Arial" w:cs="Arial"/>
        </w:rPr>
        <w:t>In contrast, Dagon, Ahlone, and Yankin townships showed relatively smaller differences among distributed, billed, and collected energy values. These results indicate comparatively higher operational efficiency, better billing transparency, and stronger revenue collection performance within those service areas.</w:t>
      </w:r>
      <w:r w:rsidR="00D260FC" w:rsidRPr="00F74FC4">
        <w:rPr>
          <w:rFonts w:ascii="Arial" w:hAnsi="Arial" w:cs="Arial"/>
        </w:rPr>
        <w:t xml:space="preserve"> </w:t>
      </w:r>
      <w:r w:rsidR="00307277" w:rsidRPr="00F74FC4">
        <w:rPr>
          <w:rFonts w:ascii="Arial" w:hAnsi="Arial" w:cs="Arial"/>
        </w:rPr>
        <w:t>Overall, the figure demonstrates that the AMI system provides utilities with real-time visibility into energy flow discrepancies across the distribution network. By continuously monitoring the relationship between distributed, billed, and collected electricity, the AMI platform enables accurate identification of high-loss regions, supports targeted loss-reduction strategies, and strengthens financial governance within Myanmar’s electricity sector.</w:t>
      </w:r>
      <w:r w:rsidR="00D260FC" w:rsidRPr="00F74FC4">
        <w:rPr>
          <w:rFonts w:ascii="Arial" w:hAnsi="Arial" w:cs="Arial"/>
        </w:rPr>
        <w:t xml:space="preserve"> </w:t>
      </w:r>
      <w:r w:rsidR="00307277" w:rsidRPr="00F74FC4">
        <w:rPr>
          <w:rFonts w:ascii="Arial" w:hAnsi="Arial" w:cs="Arial"/>
        </w:rPr>
        <w:t xml:space="preserve">The analysis further confirms that AMI deployment significantly improves the capability of utilities to measure supply–demand </w:t>
      </w:r>
      <w:r w:rsidR="00307277" w:rsidRPr="00F74FC4">
        <w:rPr>
          <w:rFonts w:ascii="Arial" w:hAnsi="Arial" w:cs="Arial"/>
        </w:rPr>
        <w:lastRenderedPageBreak/>
        <w:t>imbalances, reduce energy leakage, and enhance revenue recovery performance through data-driven operational management.</w:t>
      </w:r>
    </w:p>
    <w:p w14:paraId="4922BF1A" w14:textId="77777777" w:rsidR="005641CA" w:rsidRPr="00F74FC4" w:rsidRDefault="00882949" w:rsidP="0018366A">
      <w:pPr>
        <w:pStyle w:val="Body"/>
        <w:spacing w:after="0"/>
        <w:rPr>
          <w:rFonts w:ascii="Arial" w:hAnsi="Arial" w:cs="Arial"/>
          <w:b/>
          <w:bCs/>
          <w:sz w:val="22"/>
          <w:szCs w:val="22"/>
        </w:rPr>
      </w:pPr>
      <w:r w:rsidRPr="00F74FC4">
        <w:rPr>
          <w:rFonts w:ascii="Arial" w:hAnsi="Arial" w:cs="Arial"/>
          <w:b/>
          <w:bCs/>
          <w:sz w:val="22"/>
          <w:szCs w:val="22"/>
        </w:rPr>
        <w:t>2.5</w:t>
      </w:r>
      <w:r w:rsidR="005641CA" w:rsidRPr="00F74FC4">
        <w:rPr>
          <w:rFonts w:ascii="Arial" w:hAnsi="Arial" w:cs="Arial"/>
          <w:b/>
          <w:bCs/>
          <w:sz w:val="22"/>
          <w:szCs w:val="22"/>
        </w:rPr>
        <w:t>.1 Mathematical Estimation of Power Losses</w:t>
      </w:r>
    </w:p>
    <w:p w14:paraId="550A1997" w14:textId="77777777" w:rsidR="005641CA" w:rsidRPr="00F74FC4" w:rsidRDefault="005641CA" w:rsidP="0018366A">
      <w:pPr>
        <w:pStyle w:val="Body"/>
        <w:spacing w:after="0"/>
        <w:rPr>
          <w:rFonts w:ascii="Arial" w:hAnsi="Arial" w:cs="Arial"/>
        </w:rPr>
      </w:pPr>
      <w:r w:rsidRPr="00F74FC4">
        <w:rPr>
          <w:rFonts w:ascii="Arial" w:hAnsi="Arial" w:cs="Arial"/>
        </w:rPr>
        <w:t>Total system losses have a direct impact on utility revenue and place significant pressure on generation and distribution capacity. In this study, total distribution loss for each substation area is derived from an energy balance approach, where losses are defined as the difference between energy supplied to the network and the sum of energy recorded by smart meters at consumer endpoints. This formulation allows continuous monitoring of energy discrepancies using high-resolution AMI data, thereby improving the accuracy of loss estimation compared to conventional manual billing systems.</w:t>
      </w:r>
    </w:p>
    <w:p w14:paraId="7F84AB31" w14:textId="77777777" w:rsidR="00A03D60" w:rsidRPr="00F74FC4" w:rsidRDefault="00A03D60" w:rsidP="0018366A">
      <w:pPr>
        <w:pStyle w:val="Body"/>
        <w:spacing w:after="0"/>
        <w:rPr>
          <w:rFonts w:ascii="Arial" w:hAnsi="Arial" w:cs="Arial"/>
        </w:rPr>
      </w:pPr>
    </w:p>
    <w:p w14:paraId="1FA861E0" w14:textId="77777777" w:rsidR="005641CA" w:rsidRPr="00F74FC4" w:rsidRDefault="00882949" w:rsidP="0018366A">
      <w:pPr>
        <w:pStyle w:val="Body"/>
        <w:spacing w:after="0"/>
        <w:rPr>
          <w:rFonts w:ascii="Arial" w:hAnsi="Arial" w:cs="Arial"/>
          <w:b/>
          <w:bCs/>
          <w:sz w:val="22"/>
          <w:szCs w:val="22"/>
        </w:rPr>
      </w:pPr>
      <w:r w:rsidRPr="00F74FC4">
        <w:rPr>
          <w:rFonts w:ascii="Arial" w:hAnsi="Arial" w:cs="Arial"/>
          <w:b/>
          <w:bCs/>
          <w:sz w:val="22"/>
          <w:szCs w:val="22"/>
        </w:rPr>
        <w:t>2.5</w:t>
      </w:r>
      <w:r w:rsidR="005641CA" w:rsidRPr="00F74FC4">
        <w:rPr>
          <w:rFonts w:ascii="Arial" w:hAnsi="Arial" w:cs="Arial"/>
          <w:b/>
          <w:bCs/>
          <w:sz w:val="22"/>
          <w:szCs w:val="22"/>
        </w:rPr>
        <w:t>.2 Investment Viability Metrics</w:t>
      </w:r>
    </w:p>
    <w:p w14:paraId="19BF9795" w14:textId="77777777" w:rsidR="005641CA" w:rsidRPr="00F74FC4" w:rsidRDefault="005641CA" w:rsidP="0018366A">
      <w:pPr>
        <w:pStyle w:val="Body"/>
        <w:spacing w:after="0"/>
        <w:rPr>
          <w:rFonts w:ascii="Arial" w:hAnsi="Arial" w:cs="Arial"/>
        </w:rPr>
      </w:pPr>
      <w:r w:rsidRPr="00F74FC4">
        <w:rPr>
          <w:rFonts w:ascii="Arial" w:hAnsi="Arial" w:cs="Arial"/>
        </w:rPr>
        <w:t>To support investment decision-making for both domestic and international stakeholders, the methodology incorporates financial performance indicators based on revenue recovery from loss reduction. The conversion of technical improvements into measurable financial gains provides a structured framework for evaluating project feasibility in un</w:t>
      </w:r>
      <w:r w:rsidR="00C24A9E" w:rsidRPr="00F74FC4">
        <w:rPr>
          <w:rFonts w:ascii="Arial" w:hAnsi="Arial" w:cs="Arial"/>
        </w:rPr>
        <w:t>-</w:t>
      </w:r>
      <w:r w:rsidRPr="00F74FC4">
        <w:rPr>
          <w:rFonts w:ascii="Arial" w:hAnsi="Arial" w:cs="Arial"/>
        </w:rPr>
        <w:t>electrified or AMI-absent townships. This approach strengthens the business case for AMI deployment by linking system efficiency improvements directly to revenue enhancement and return-on-investment (ROI) potential.</w:t>
      </w:r>
    </w:p>
    <w:p w14:paraId="6626F45C" w14:textId="77777777" w:rsidR="000D2182" w:rsidRPr="00F74FC4" w:rsidRDefault="00882949" w:rsidP="0018366A">
      <w:pPr>
        <w:pStyle w:val="Body"/>
        <w:spacing w:after="0"/>
        <w:rPr>
          <w:rFonts w:ascii="Arial" w:hAnsi="Arial" w:cs="Arial"/>
        </w:rPr>
      </w:pPr>
      <w:r w:rsidRPr="00F74FC4">
        <w:rPr>
          <w:rFonts w:ascii="Arial" w:hAnsi="Arial" w:cs="Arial"/>
          <w:b/>
          <w:bCs/>
        </w:rPr>
        <w:t>2.6</w:t>
      </w:r>
      <w:r w:rsidR="005641CA" w:rsidRPr="00F74FC4">
        <w:rPr>
          <w:rFonts w:ascii="Arial" w:hAnsi="Arial" w:cs="Arial"/>
          <w:b/>
          <w:bCs/>
        </w:rPr>
        <w:t xml:space="preserve"> </w:t>
      </w:r>
      <w:r w:rsidR="00671816" w:rsidRPr="00F74FC4">
        <w:rPr>
          <w:rFonts w:ascii="Arial" w:hAnsi="Arial" w:cs="Arial"/>
          <w:b/>
          <w:bCs/>
        </w:rPr>
        <w:t xml:space="preserve">Descriptive Statistical Analysis </w:t>
      </w:r>
    </w:p>
    <w:p w14:paraId="7F796754" w14:textId="77777777" w:rsidR="00671816" w:rsidRPr="00F74FC4" w:rsidRDefault="00671816" w:rsidP="0018366A">
      <w:pPr>
        <w:pStyle w:val="Body"/>
        <w:spacing w:after="0"/>
        <w:rPr>
          <w:rFonts w:ascii="Arial" w:hAnsi="Arial" w:cs="Arial"/>
        </w:rPr>
      </w:pPr>
      <w:r w:rsidRPr="00F74FC4">
        <w:rPr>
          <w:rFonts w:ascii="Arial" w:hAnsi="Arial" w:cs="Arial"/>
        </w:rPr>
        <w:t xml:space="preserve">The descriptive statistical </w:t>
      </w:r>
      <w:r w:rsidR="001F2127">
        <w:rPr>
          <w:rFonts w:ascii="Arial" w:hAnsi="Arial" w:cs="Arial"/>
        </w:rPr>
        <w:t>analysis conducted across the 22</w:t>
      </w:r>
      <w:r w:rsidRPr="00F74FC4">
        <w:rPr>
          <w:rFonts w:ascii="Arial" w:hAnsi="Arial" w:cs="Arial"/>
        </w:rPr>
        <w:t xml:space="preserve"> evaluated townships reveals critical baseline insights into electricity losses, consumption behavior, and revenue leakage within the regional distribution grid.</w:t>
      </w:r>
    </w:p>
    <w:p w14:paraId="6F7DEFA8" w14:textId="77777777" w:rsidR="00671816" w:rsidRPr="00F74FC4" w:rsidRDefault="00671816" w:rsidP="0018366A">
      <w:pPr>
        <w:pStyle w:val="Body"/>
        <w:spacing w:after="0"/>
        <w:rPr>
          <w:rFonts w:ascii="Arial" w:hAnsi="Arial" w:cs="Arial"/>
        </w:rPr>
      </w:pPr>
      <w:r w:rsidRPr="00F74FC4">
        <w:rPr>
          <w:rFonts w:ascii="Arial" w:hAnsi="Arial" w:cs="Arial"/>
        </w:rPr>
        <w:t xml:space="preserve">Table </w:t>
      </w:r>
      <w:proofErr w:type="gramStart"/>
      <w:r w:rsidR="00182C57" w:rsidRPr="00F74FC4">
        <w:rPr>
          <w:rFonts w:ascii="Arial" w:hAnsi="Arial" w:cs="Arial"/>
        </w:rPr>
        <w:t>1</w:t>
      </w:r>
      <w:r w:rsidRPr="00F74FC4">
        <w:rPr>
          <w:rFonts w:ascii="Arial" w:hAnsi="Arial" w:cs="Arial"/>
        </w:rPr>
        <w:t xml:space="preserve"> :</w:t>
      </w:r>
      <w:proofErr w:type="gramEnd"/>
      <w:r w:rsidRPr="00F74FC4">
        <w:rPr>
          <w:rFonts w:ascii="Arial" w:hAnsi="Arial" w:cs="Arial"/>
        </w:rPr>
        <w:t xml:space="preserve"> </w:t>
      </w:r>
      <w:r w:rsidRPr="00F74FC4">
        <w:rPr>
          <w:rFonts w:ascii="Arial" w:hAnsi="Arial" w:cs="Arial"/>
          <w:b/>
          <w:bCs/>
        </w:rPr>
        <w:t>Descriptive Statistical Analysis</w:t>
      </w:r>
    </w:p>
    <w:p w14:paraId="4D6000D5" w14:textId="77777777" w:rsidR="000D2182" w:rsidRPr="00F74FC4" w:rsidRDefault="00671816" w:rsidP="0018366A">
      <w:pPr>
        <w:pStyle w:val="Body"/>
        <w:spacing w:after="0"/>
        <w:jc w:val="left"/>
        <w:rPr>
          <w:rFonts w:ascii="Arial" w:hAnsi="Arial" w:cs="Arial"/>
        </w:rPr>
      </w:pPr>
      <w:r w:rsidRPr="00F74FC4">
        <w:rPr>
          <w:rFonts w:ascii="Arial" w:hAnsi="Arial" w:cs="Arial"/>
          <w:noProof/>
          <w:lang w:bidi="my-MM"/>
        </w:rPr>
        <w:drawing>
          <wp:inline distT="0" distB="0" distL="0" distR="0" wp14:anchorId="51D5A95E" wp14:editId="0CCF537E">
            <wp:extent cx="5201729" cy="20444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2080" cy="2048528"/>
                    </a:xfrm>
                    <a:prstGeom prst="rect">
                      <a:avLst/>
                    </a:prstGeom>
                    <a:noFill/>
                    <a:ln>
                      <a:noFill/>
                    </a:ln>
                  </pic:spPr>
                </pic:pic>
              </a:graphicData>
            </a:graphic>
          </wp:inline>
        </w:drawing>
      </w:r>
    </w:p>
    <w:p w14:paraId="770CCE82" w14:textId="77777777" w:rsidR="00CB70C1" w:rsidRDefault="00CB70C1" w:rsidP="0018366A">
      <w:pPr>
        <w:pStyle w:val="Body"/>
        <w:spacing w:after="0"/>
        <w:rPr>
          <w:rFonts w:ascii="Arial" w:hAnsi="Arial" w:cs="Arial"/>
          <w:b/>
          <w:bCs/>
          <w:sz w:val="22"/>
          <w:szCs w:val="22"/>
        </w:rPr>
      </w:pPr>
    </w:p>
    <w:p w14:paraId="415B36FB" w14:textId="77777777" w:rsidR="005641CA" w:rsidRPr="00F74FC4" w:rsidRDefault="005641CA" w:rsidP="0018366A">
      <w:pPr>
        <w:pStyle w:val="Body"/>
        <w:spacing w:after="0"/>
        <w:rPr>
          <w:rFonts w:ascii="Arial" w:hAnsi="Arial" w:cs="Arial"/>
          <w:b/>
          <w:bCs/>
          <w:sz w:val="22"/>
          <w:szCs w:val="22"/>
        </w:rPr>
      </w:pPr>
      <w:r w:rsidRPr="00F74FC4">
        <w:rPr>
          <w:rFonts w:ascii="Arial" w:hAnsi="Arial" w:cs="Arial"/>
          <w:b/>
          <w:bCs/>
          <w:sz w:val="22"/>
          <w:szCs w:val="22"/>
        </w:rPr>
        <w:t>3. Results and Discussion</w:t>
      </w:r>
    </w:p>
    <w:p w14:paraId="6359086F" w14:textId="77777777" w:rsidR="00CB70C1" w:rsidRDefault="00281629" w:rsidP="0018366A">
      <w:pPr>
        <w:pStyle w:val="Body"/>
        <w:spacing w:after="0"/>
        <w:rPr>
          <w:rFonts w:ascii="Arial" w:hAnsi="Arial" w:cs="Arial"/>
          <w:b/>
          <w:bCs/>
        </w:rPr>
      </w:pPr>
      <w:r w:rsidRPr="00F74FC4">
        <w:rPr>
          <w:rFonts w:ascii="Arial" w:hAnsi="Arial" w:cs="Arial"/>
          <w:b/>
          <w:bCs/>
        </w:rPr>
        <w:t>3.1 Operational Transparency and Grid Modernization</w:t>
      </w:r>
    </w:p>
    <w:p w14:paraId="69A56E93" w14:textId="77777777" w:rsidR="00281629" w:rsidRPr="00F74FC4" w:rsidRDefault="00281629" w:rsidP="0018366A">
      <w:pPr>
        <w:pStyle w:val="Body"/>
        <w:spacing w:after="0"/>
        <w:rPr>
          <w:rFonts w:ascii="Arial" w:hAnsi="Arial" w:cs="Arial"/>
        </w:rPr>
      </w:pPr>
      <w:r w:rsidRPr="00F74FC4">
        <w:rPr>
          <w:rFonts w:ascii="Arial" w:hAnsi="Arial" w:cs="Arial"/>
        </w:rPr>
        <w:t>The deployment of the Advanced Metering Infrastructure (AMI) system in Myanmar during the 2023–2024 fiscal year resulted in significant improvements in operational transparency, loss reduction, and financial performance within the electricity distribution network. By replacing manual meter reading with automated data acquisition and centralized data validation, the utility achieved enhanced billing accuracy and reduced revenue leakage.</w:t>
      </w:r>
      <w:r w:rsidR="005C2EC9" w:rsidRPr="00F74FC4">
        <w:rPr>
          <w:rFonts w:ascii="Arial" w:hAnsi="Arial" w:cs="Arial"/>
        </w:rPr>
        <w:t xml:space="preserve"> </w:t>
      </w:r>
      <w:r w:rsidRPr="00F74FC4">
        <w:rPr>
          <w:rFonts w:ascii="Arial" w:hAnsi="Arial" w:cs="Arial"/>
        </w:rPr>
        <w:t>The system's core capabilities and operational outcomes include:</w:t>
      </w:r>
      <w:r w:rsidR="00D01C34" w:rsidRPr="00F74FC4">
        <w:rPr>
          <w:rFonts w:ascii="Arial" w:hAnsi="Arial" w:cs="Arial"/>
        </w:rPr>
        <w:t xml:space="preserve"> </w:t>
      </w:r>
      <w:r w:rsidRPr="00F74FC4">
        <w:rPr>
          <w:rFonts w:ascii="Arial" w:hAnsi="Arial" w:cs="Arial"/>
        </w:rPr>
        <w:t>Real-Time Consumer Monitoring: Enabled real-time tracking of electricity consumption at the consumer level, allowing utilities to accurately quantify the gap between energy generation and distributed consumption.</w:t>
      </w:r>
      <w:r w:rsidR="00672ABF" w:rsidRPr="00F74FC4">
        <w:rPr>
          <w:rFonts w:ascii="Arial" w:hAnsi="Arial" w:cs="Arial"/>
        </w:rPr>
        <w:t xml:space="preserve"> </w:t>
      </w:r>
      <w:r w:rsidRPr="00F74FC4">
        <w:rPr>
          <w:rFonts w:ascii="Arial" w:hAnsi="Arial" w:cs="Arial"/>
        </w:rPr>
        <w:t>Loss Identification: Facilitated the precise identification and differentiation of both technical losses and non-technical losses, including power theft and billing inefficiencies.</w:t>
      </w:r>
      <w:r w:rsidR="00672ABF" w:rsidRPr="00F74FC4">
        <w:rPr>
          <w:rFonts w:ascii="Arial" w:hAnsi="Arial" w:cs="Arial"/>
        </w:rPr>
        <w:t xml:space="preserve"> </w:t>
      </w:r>
      <w:r w:rsidRPr="00F74FC4">
        <w:rPr>
          <w:rFonts w:ascii="Arial" w:hAnsi="Arial" w:cs="Arial"/>
        </w:rPr>
        <w:t>Advanced Load Forecasting: Supported more efficient load management and operational planning by integrating real-time consumption data with predictive models such as the Seasonal Autoregressive Integrated Moving Average (SARIMA) model.</w:t>
      </w:r>
      <w:r w:rsidR="00672ABF" w:rsidRPr="00F74FC4">
        <w:rPr>
          <w:rFonts w:ascii="Arial" w:hAnsi="Arial" w:cs="Arial"/>
        </w:rPr>
        <w:t xml:space="preserve"> </w:t>
      </w:r>
      <w:r w:rsidRPr="00F74FC4">
        <w:rPr>
          <w:rFonts w:ascii="Arial" w:hAnsi="Arial" w:cs="Arial"/>
        </w:rPr>
        <w:t xml:space="preserve">Grid </w:t>
      </w:r>
      <w:r w:rsidRPr="00F74FC4">
        <w:rPr>
          <w:rFonts w:ascii="Arial" w:hAnsi="Arial" w:cs="Arial"/>
        </w:rPr>
        <w:lastRenderedPageBreak/>
        <w:t>Reliability: Contributed directly to enhanced grid reliability and minimized operational pressure on peak generation capacity, establishing a transparent energy accounting framework for future smart grid investments.</w:t>
      </w:r>
    </w:p>
    <w:p w14:paraId="0A8FFEF5" w14:textId="77777777" w:rsidR="0014098E" w:rsidRPr="00F74FC4" w:rsidRDefault="0014098E" w:rsidP="0018366A">
      <w:pPr>
        <w:pStyle w:val="Body"/>
        <w:spacing w:after="0"/>
        <w:rPr>
          <w:rFonts w:ascii="Arial" w:hAnsi="Arial" w:cs="Arial"/>
        </w:rPr>
      </w:pPr>
      <w:r w:rsidRPr="00F74FC4">
        <w:rPr>
          <w:rFonts w:ascii="Arial" w:hAnsi="Arial" w:cs="Arial"/>
        </w:rPr>
        <w:t>In Table 1, The analysis of electricity losses demonstrates a mean loss rate of 10.29%, with individual township losses ranging from a minimum of 6.00% to a maximum of 15.20%. The relatively low standard deviation of 2.50% and a slight positive skewness of 0.38 indicate that elevated distribution losses are a pervasive, systemic challenge across almost all townships, rather than being isolated incidents. This consistent double-digit loss rate reinforces the critical need for deploying advanced monitoring solutions to mitigate both technical and commercial inefficiencies. In terms of consumption patterns, the metrics for Energy Distributed, Billed Energy, and Collected Energy display highly skewed distributions, reflecting profound socio-economic and structural variations among the townships. The mean distributed energy stands at 4,118,922.24 kWh, but it exhibits a substantial standard deviation of 2,466,056.28 kWh and a high skewness coefficient of 2.30. This pronounced right-skewed distribution, paired with a high kurtosis value, signifies that the regional grid's demand is heavily concentrated within a few high-load, densely populated, or industrialized townships (such as those peaking at 12,300,000.00 kWh), while the majority of townships cluster around lower consumption brackets. From a strategic perspective, these findings indicate that while a nationwide rollout of Advanced Metering Infrastructure (AMI) is ideal, utilities should prioritize immediate deployment in these high-demand zones to optimize resource allocation and achieve the fastest return on investment.</w:t>
      </w:r>
    </w:p>
    <w:p w14:paraId="5134B2A7" w14:textId="77777777" w:rsidR="00281629" w:rsidRPr="00F74FC4" w:rsidRDefault="00281629" w:rsidP="0018366A">
      <w:pPr>
        <w:pStyle w:val="Body"/>
        <w:spacing w:after="0"/>
        <w:rPr>
          <w:rFonts w:ascii="Arial" w:hAnsi="Arial" w:cs="Arial"/>
          <w:b/>
          <w:bCs/>
          <w:sz w:val="22"/>
          <w:szCs w:val="22"/>
        </w:rPr>
      </w:pPr>
      <w:r w:rsidRPr="00F74FC4">
        <w:rPr>
          <w:rFonts w:ascii="Arial" w:hAnsi="Arial" w:cs="Arial"/>
          <w:b/>
          <w:bCs/>
          <w:sz w:val="22"/>
          <w:szCs w:val="22"/>
        </w:rPr>
        <w:t>3.2 Township Performance and Loss Heterogeneity</w:t>
      </w:r>
    </w:p>
    <w:p w14:paraId="6DB68C9A" w14:textId="77777777" w:rsidR="00AB55B6" w:rsidRDefault="00281629" w:rsidP="0018366A">
      <w:pPr>
        <w:pStyle w:val="Body"/>
        <w:spacing w:after="0"/>
        <w:rPr>
          <w:rFonts w:ascii="Arial" w:hAnsi="Arial" w:cs="Arial"/>
          <w:color w:val="FF0000"/>
        </w:rPr>
      </w:pPr>
      <w:r w:rsidRPr="00F74FC4">
        <w:rPr>
          <w:rFonts w:ascii="Arial" w:hAnsi="Arial" w:cs="Arial"/>
        </w:rPr>
        <w:t>The empirical analysis of 22 townships in the Yangon Region demonstrates significant heterogeneity in electricity distribution performance, particularly concerning system losses and revenue recovery efficiency.</w:t>
      </w:r>
      <w:r w:rsidR="009D1747" w:rsidRPr="00F74FC4">
        <w:rPr>
          <w:rFonts w:ascii="Arial" w:hAnsi="Arial" w:cs="Arial"/>
        </w:rPr>
        <w:t xml:space="preserve"> </w:t>
      </w:r>
      <w:r w:rsidRPr="00F74FC4">
        <w:rPr>
          <w:rFonts w:ascii="Arial" w:hAnsi="Arial" w:cs="Arial"/>
        </w:rPr>
        <w:t>Distribution Loss Variance: Total distribution losses vary substantially across service areas, ranging from a minimum of 5.07% in Dagon Township to a maximum of 15.2% in Hlaingtharyar (West). Geographical Distribution of Losses: High-loss townships are predominantly located in densely populated urban fringes and peri-urban areas. These zones are highly susceptible to infrastructure constraints, illegal connections, and weak enforcement of conventional metering systems.</w:t>
      </w:r>
      <w:r w:rsidR="00DE243E" w:rsidRPr="00F74FC4">
        <w:rPr>
          <w:rFonts w:ascii="Arial" w:hAnsi="Arial" w:cs="Arial"/>
        </w:rPr>
        <w:t xml:space="preserve"> </w:t>
      </w:r>
      <w:r w:rsidRPr="00F74FC4">
        <w:rPr>
          <w:rFonts w:ascii="Arial" w:hAnsi="Arial" w:cs="Arial"/>
        </w:rPr>
        <w:t>Revenue Gap Analysis: A consistent disparity between billed and collected electricity was observed across all analyzed townships. The most severe financial leakage occurred in Hlaingtharyar (East) and Hlaingtharyar (West), with revenue collection gaps exceeding 600,000 kWh, highlighting critical non-technical losses and localized collection inefficiencies</w:t>
      </w:r>
      <w:r w:rsidRPr="00F74FC4">
        <w:rPr>
          <w:rFonts w:ascii="Arial" w:hAnsi="Arial" w:cs="Arial"/>
          <w:color w:val="FF0000"/>
        </w:rPr>
        <w:t>.</w:t>
      </w:r>
    </w:p>
    <w:p w14:paraId="0F3CEB48" w14:textId="77777777" w:rsidR="002F377D" w:rsidRPr="002F377D" w:rsidRDefault="008B3E81" w:rsidP="0018366A">
      <w:pPr>
        <w:pStyle w:val="Body"/>
        <w:spacing w:after="0"/>
        <w:rPr>
          <w:rFonts w:ascii="Arial" w:hAnsi="Arial" w:cs="Arial"/>
          <w:b/>
          <w:bCs/>
        </w:rPr>
      </w:pPr>
      <w:r>
        <w:rPr>
          <w:rFonts w:ascii="Arial" w:hAnsi="Arial" w:cs="Arial"/>
          <w:b/>
          <w:bCs/>
        </w:rPr>
        <w:t>Figure:4</w:t>
      </w:r>
      <w:r w:rsidR="002F377D" w:rsidRPr="002F377D">
        <w:rPr>
          <w:rFonts w:ascii="Arial" w:hAnsi="Arial" w:cs="Arial"/>
          <w:b/>
          <w:bCs/>
        </w:rPr>
        <w:t xml:space="preserve"> AMI Meter Installation and Reduction in Distribution Losses (%)</w:t>
      </w:r>
    </w:p>
    <w:p w14:paraId="2F1ADC09" w14:textId="77777777" w:rsidR="002F377D" w:rsidRDefault="00D853F8" w:rsidP="0018366A">
      <w:pPr>
        <w:pStyle w:val="Body"/>
        <w:spacing w:after="0"/>
        <w:rPr>
          <w:rFonts w:ascii="Arial" w:hAnsi="Arial" w:cs="Arial"/>
          <w:color w:val="FF0000"/>
        </w:rPr>
      </w:pPr>
      <w:r>
        <w:rPr>
          <w:noProof/>
          <w:lang w:bidi="my-MM"/>
        </w:rPr>
        <w:drawing>
          <wp:inline distT="0" distB="0" distL="0" distR="0" wp14:anchorId="08C2C22C" wp14:editId="0C4F5099">
            <wp:extent cx="5778500" cy="2194560"/>
            <wp:effectExtent l="0" t="0" r="12700" b="152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78058F" w14:textId="77777777" w:rsidR="007020E6" w:rsidRPr="00B37A72" w:rsidRDefault="007020E6" w:rsidP="007020E6">
      <w:pPr>
        <w:spacing w:before="100" w:beforeAutospacing="1" w:after="100" w:afterAutospacing="1"/>
        <w:jc w:val="both"/>
        <w:rPr>
          <w:rFonts w:ascii="Arial" w:hAnsi="Arial" w:cs="Arial"/>
        </w:rPr>
      </w:pPr>
      <w:r w:rsidRPr="00B37A72">
        <w:rPr>
          <w:rFonts w:ascii="Arial" w:hAnsi="Arial" w:cs="Arial"/>
        </w:rPr>
        <w:t>In</w:t>
      </w:r>
      <w:r w:rsidRPr="00541F96">
        <w:rPr>
          <w:rFonts w:ascii="Arial" w:hAnsi="Arial" w:cs="Arial"/>
        </w:rPr>
        <w:t xml:space="preserve"> Figure </w:t>
      </w:r>
      <w:proofErr w:type="gramStart"/>
      <w:r w:rsidRPr="00541F96">
        <w:rPr>
          <w:rFonts w:ascii="Arial" w:hAnsi="Arial" w:cs="Arial"/>
        </w:rPr>
        <w:t>4 :</w:t>
      </w:r>
      <w:proofErr w:type="gramEnd"/>
      <w:r w:rsidRPr="00541F96">
        <w:rPr>
          <w:rFonts w:ascii="Arial" w:hAnsi="Arial" w:cs="Arial"/>
        </w:rPr>
        <w:t xml:space="preserve"> T</w:t>
      </w:r>
      <w:r w:rsidRPr="00B37A72">
        <w:rPr>
          <w:rFonts w:ascii="Arial" w:hAnsi="Arial" w:cs="Arial"/>
        </w:rPr>
        <w:t xml:space="preserve">he majority of the listed townships, the red line (System Loss After Installation) sits consistently higher than the blue line (System Loss Before Installation). This indicates that system losses generally increased after the installation took place. The </w:t>
      </w:r>
      <w:r w:rsidRPr="00B37A72">
        <w:rPr>
          <w:rFonts w:ascii="Arial" w:hAnsi="Arial" w:cs="Arial"/>
          <w:b/>
          <w:bCs/>
        </w:rPr>
        <w:t>Dagon</w:t>
      </w:r>
      <w:r w:rsidRPr="00B37A72">
        <w:rPr>
          <w:rFonts w:ascii="Arial" w:hAnsi="Arial" w:cs="Arial"/>
        </w:rPr>
        <w:t xml:space="preserve"> area </w:t>
      </w:r>
      <w:r w:rsidRPr="00B37A72">
        <w:rPr>
          <w:rFonts w:ascii="Arial" w:hAnsi="Arial" w:cs="Arial"/>
        </w:rPr>
        <w:lastRenderedPageBreak/>
        <w:t xml:space="preserve">(likely Dagon </w:t>
      </w:r>
      <w:proofErr w:type="spellStart"/>
      <w:r w:rsidRPr="00B37A72">
        <w:rPr>
          <w:rFonts w:ascii="Arial" w:hAnsi="Arial" w:cs="Arial"/>
        </w:rPr>
        <w:t>Seikkan</w:t>
      </w:r>
      <w:proofErr w:type="spellEnd"/>
      <w:r w:rsidRPr="00B37A72">
        <w:rPr>
          <w:rFonts w:ascii="Arial" w:hAnsi="Arial" w:cs="Arial"/>
        </w:rPr>
        <w:t xml:space="preserve"> or similar) shows the highest peak on the chart, with post-installation system losses surging close to </w:t>
      </w:r>
      <w:r w:rsidRPr="00B37A72">
        <w:rPr>
          <w:rFonts w:ascii="Arial" w:hAnsi="Arial" w:cs="Arial"/>
          <w:b/>
          <w:bCs/>
        </w:rPr>
        <w:t>40.00%</w:t>
      </w:r>
      <w:r w:rsidRPr="00B37A72">
        <w:rPr>
          <w:rFonts w:ascii="Arial" w:hAnsi="Arial" w:cs="Arial"/>
        </w:rPr>
        <w:t xml:space="preserve">. </w:t>
      </w:r>
      <w:r w:rsidRPr="00B37A72">
        <w:rPr>
          <w:rFonts w:ascii="Arial" w:hAnsi="Arial" w:cs="Arial"/>
          <w:b/>
          <w:bCs/>
        </w:rPr>
        <w:t>Hlaingthaya</w:t>
      </w:r>
      <w:r w:rsidRPr="00B37A72">
        <w:rPr>
          <w:rFonts w:ascii="Arial" w:hAnsi="Arial" w:cs="Arial"/>
        </w:rPr>
        <w:t xml:space="preserve"> areas also rank among the highest in system losses.</w:t>
      </w:r>
      <w:r w:rsidR="005A3A51">
        <w:rPr>
          <w:rFonts w:ascii="Arial" w:hAnsi="Arial" w:cs="Arial"/>
        </w:rPr>
        <w:t xml:space="preserve"> </w:t>
      </w:r>
      <w:r w:rsidRPr="00B37A72">
        <w:rPr>
          <w:rFonts w:ascii="Arial" w:hAnsi="Arial" w:cs="Arial"/>
          <w:b/>
          <w:bCs/>
        </w:rPr>
        <w:t>Shwelinpan</w:t>
      </w:r>
      <w:r w:rsidRPr="00B37A72">
        <w:rPr>
          <w:rFonts w:ascii="Arial" w:hAnsi="Arial" w:cs="Arial"/>
        </w:rPr>
        <w:t xml:space="preserve"> maintains the lowest system loss on the chart, remaining well </w:t>
      </w:r>
      <w:r w:rsidRPr="00B37A72">
        <w:rPr>
          <w:rFonts w:ascii="Arial" w:hAnsi="Arial" w:cs="Arial"/>
          <w:b/>
          <w:bCs/>
        </w:rPr>
        <w:t>below 5.00%</w:t>
      </w:r>
      <w:r w:rsidRPr="00B37A72">
        <w:rPr>
          <w:rFonts w:ascii="Arial" w:hAnsi="Arial" w:cs="Arial"/>
        </w:rPr>
        <w:t xml:space="preserve"> both before and after the installation.</w:t>
      </w:r>
      <w:r w:rsidRPr="00541F96">
        <w:rPr>
          <w:rFonts w:ascii="Arial" w:hAnsi="Arial" w:cs="Arial"/>
        </w:rPr>
        <w:t xml:space="preserve"> </w:t>
      </w:r>
      <w:r w:rsidRPr="00B37A72">
        <w:rPr>
          <w:rFonts w:ascii="Arial" w:hAnsi="Arial" w:cs="Arial"/>
        </w:rPr>
        <w:t xml:space="preserve">In </w:t>
      </w:r>
      <w:r w:rsidRPr="00B37A72">
        <w:rPr>
          <w:rFonts w:ascii="Arial" w:hAnsi="Arial" w:cs="Arial"/>
          <w:b/>
          <w:bCs/>
        </w:rPr>
        <w:t>Shwepaukkan</w:t>
      </w:r>
      <w:r w:rsidRPr="00B37A72">
        <w:rPr>
          <w:rFonts w:ascii="Arial" w:hAnsi="Arial" w:cs="Arial"/>
        </w:rPr>
        <w:t xml:space="preserve">, the blue line and red line overlap perfectly at around </w:t>
      </w:r>
      <w:r w:rsidRPr="00B37A72">
        <w:rPr>
          <w:rFonts w:ascii="Arial" w:hAnsi="Arial" w:cs="Arial"/>
          <w:b/>
          <w:bCs/>
        </w:rPr>
        <w:t>17.00%</w:t>
      </w:r>
      <w:r w:rsidRPr="00B37A72">
        <w:rPr>
          <w:rFonts w:ascii="Arial" w:hAnsi="Arial" w:cs="Arial"/>
        </w:rPr>
        <w:t>. This indicates that the installation had no impact on changing the system loss percentage in this specific township.</w:t>
      </w:r>
      <w:r w:rsidRPr="00541F96">
        <w:rPr>
          <w:rFonts w:ascii="Arial" w:hAnsi="Arial" w:cs="Arial"/>
        </w:rPr>
        <w:t xml:space="preserve"> </w:t>
      </w:r>
      <w:r w:rsidRPr="00B37A72">
        <w:rPr>
          <w:rFonts w:ascii="Arial" w:hAnsi="Arial" w:cs="Arial"/>
        </w:rPr>
        <w:t xml:space="preserve">While a system upgrade or new installation typically aims to mitigate energy losses, the data trended in this chart reveals an inverse effect: </w:t>
      </w:r>
      <w:r w:rsidRPr="00B37A72">
        <w:rPr>
          <w:rFonts w:ascii="Arial" w:hAnsi="Arial" w:cs="Arial"/>
          <w:b/>
          <w:bCs/>
        </w:rPr>
        <w:t>power system losses noticeably increased in most townships after the installation was implemented.</w:t>
      </w:r>
    </w:p>
    <w:p w14:paraId="7B7A12F1" w14:textId="77777777" w:rsidR="00506042" w:rsidRPr="00F74FC4" w:rsidRDefault="0074219D" w:rsidP="0018366A">
      <w:pPr>
        <w:jc w:val="both"/>
        <w:outlineLvl w:val="2"/>
        <w:rPr>
          <w:rFonts w:ascii="Arial" w:hAnsi="Arial" w:cs="Arial"/>
          <w:b/>
          <w:bCs/>
          <w:lang w:bidi="my-MM"/>
        </w:rPr>
      </w:pPr>
      <w:r w:rsidRPr="00F74FC4">
        <w:rPr>
          <w:rFonts w:ascii="Arial" w:hAnsi="Arial" w:cs="Arial"/>
          <w:b/>
          <w:bCs/>
          <w:lang w:bidi="my-MM"/>
        </w:rPr>
        <w:t>3.</w:t>
      </w:r>
      <w:r w:rsidR="00894500" w:rsidRPr="00F74FC4">
        <w:rPr>
          <w:rFonts w:ascii="Arial" w:hAnsi="Arial" w:cs="Arial"/>
          <w:b/>
          <w:bCs/>
          <w:lang w:bidi="my-MM"/>
        </w:rPr>
        <w:t>3</w:t>
      </w:r>
      <w:r w:rsidR="00506042" w:rsidRPr="00F74FC4">
        <w:rPr>
          <w:rFonts w:ascii="Arial" w:hAnsi="Arial" w:cs="Arial"/>
          <w:b/>
          <w:bCs/>
          <w:lang w:bidi="my-MM"/>
        </w:rPr>
        <w:t>. Analysis of Distribution Losses and Collection Efficiency Across Townships</w:t>
      </w:r>
    </w:p>
    <w:p w14:paraId="15359925" w14:textId="77777777" w:rsidR="00506042" w:rsidRPr="00F74FC4" w:rsidRDefault="00506042" w:rsidP="0018366A">
      <w:pPr>
        <w:jc w:val="both"/>
        <w:rPr>
          <w:rFonts w:ascii="Arial" w:hAnsi="Arial" w:cs="Arial"/>
          <w:lang w:bidi="my-MM"/>
        </w:rPr>
      </w:pPr>
      <w:r w:rsidRPr="00F74FC4">
        <w:rPr>
          <w:rFonts w:ascii="Arial" w:hAnsi="Arial" w:cs="Arial"/>
          <w:lang w:bidi="my-MM"/>
        </w:rPr>
        <w:t>To evaluate the operational efficiency of the electrical grid and revenue collection performance, data from 22 distinct townships were systematically evaluated. The analysis focuses on the divergence between high-intensity demand zones and low-loss residential zones, supplemented by statistical testing to uncover the primary drivers of energy losses.</w:t>
      </w:r>
    </w:p>
    <w:p w14:paraId="4440E201" w14:textId="77777777" w:rsidR="00D942EA" w:rsidRPr="00F74FC4" w:rsidRDefault="00D942EA" w:rsidP="0018366A">
      <w:pPr>
        <w:jc w:val="both"/>
        <w:rPr>
          <w:rFonts w:ascii="Arial" w:hAnsi="Arial" w:cs="Arial"/>
          <w:lang w:bidi="my-MM"/>
        </w:rPr>
      </w:pPr>
    </w:p>
    <w:p w14:paraId="082B17BC" w14:textId="77777777" w:rsidR="00506042" w:rsidRPr="00F74FC4" w:rsidRDefault="00B67EB1" w:rsidP="0018366A">
      <w:pPr>
        <w:jc w:val="both"/>
        <w:outlineLvl w:val="3"/>
        <w:rPr>
          <w:rFonts w:ascii="Arial" w:hAnsi="Arial" w:cs="Arial"/>
          <w:b/>
          <w:bCs/>
          <w:lang w:bidi="my-MM"/>
        </w:rPr>
      </w:pPr>
      <w:r w:rsidRPr="00F74FC4">
        <w:rPr>
          <w:rFonts w:ascii="Arial" w:hAnsi="Arial" w:cs="Arial"/>
          <w:b/>
          <w:bCs/>
          <w:lang w:bidi="my-MM"/>
        </w:rPr>
        <w:t>3.1</w:t>
      </w:r>
      <w:r w:rsidR="00506042" w:rsidRPr="00F74FC4">
        <w:rPr>
          <w:rFonts w:ascii="Arial" w:hAnsi="Arial" w:cs="Arial"/>
          <w:b/>
          <w:bCs/>
          <w:lang w:bidi="my-MM"/>
        </w:rPr>
        <w:t>.1. Comparative Analysis of High-Intensity and Low-Loss Zones</w:t>
      </w:r>
    </w:p>
    <w:p w14:paraId="783A32D4" w14:textId="77777777" w:rsidR="00506042" w:rsidRPr="00F74FC4" w:rsidRDefault="00506042" w:rsidP="0018366A">
      <w:pPr>
        <w:jc w:val="both"/>
        <w:rPr>
          <w:rFonts w:ascii="Arial" w:hAnsi="Arial" w:cs="Arial"/>
          <w:lang w:bidi="my-MM"/>
        </w:rPr>
      </w:pPr>
      <w:r w:rsidRPr="00F74FC4">
        <w:rPr>
          <w:rFonts w:ascii="Arial" w:hAnsi="Arial" w:cs="Arial"/>
          <w:lang w:bidi="my-MM"/>
        </w:rPr>
        <w:t>The empirical data reveals a stark contrast in efficiency across different consumption zones:</w:t>
      </w:r>
    </w:p>
    <w:p w14:paraId="6BBCDD4F" w14:textId="77777777" w:rsidR="00506042" w:rsidRPr="00F74FC4" w:rsidRDefault="00506042" w:rsidP="0018366A">
      <w:pPr>
        <w:numPr>
          <w:ilvl w:val="0"/>
          <w:numId w:val="33"/>
        </w:numPr>
        <w:jc w:val="both"/>
        <w:rPr>
          <w:rFonts w:ascii="Arial" w:hAnsi="Arial" w:cs="Arial"/>
          <w:lang w:bidi="my-MM"/>
        </w:rPr>
      </w:pPr>
      <w:r w:rsidRPr="00F74FC4">
        <w:rPr>
          <w:rFonts w:ascii="Arial" w:hAnsi="Arial" w:cs="Arial"/>
          <w:b/>
          <w:bCs/>
          <w:lang w:bidi="my-MM"/>
        </w:rPr>
        <w:t>High-Demand / High-Loss Industrial and Suburban Clusters:</w:t>
      </w:r>
      <w:r w:rsidRPr="00F74FC4">
        <w:rPr>
          <w:rFonts w:ascii="Arial" w:hAnsi="Arial" w:cs="Arial"/>
          <w:lang w:bidi="my-MM"/>
        </w:rPr>
        <w:t xml:space="preserve"> Townships such as </w:t>
      </w:r>
      <w:r w:rsidRPr="00F74FC4">
        <w:rPr>
          <w:rFonts w:ascii="Arial" w:hAnsi="Arial" w:cs="Arial"/>
          <w:b/>
          <w:bCs/>
          <w:lang w:bidi="my-MM"/>
        </w:rPr>
        <w:t>Hlaingtharyar (East)</w:t>
      </w:r>
      <w:r w:rsidRPr="00F74FC4">
        <w:rPr>
          <w:rFonts w:ascii="Arial" w:hAnsi="Arial" w:cs="Arial"/>
          <w:lang w:bidi="my-MM"/>
        </w:rPr>
        <w:t xml:space="preserve"> and </w:t>
      </w:r>
      <w:r w:rsidRPr="00F74FC4">
        <w:rPr>
          <w:rFonts w:ascii="Arial" w:hAnsi="Arial" w:cs="Arial"/>
          <w:b/>
          <w:bCs/>
          <w:lang w:bidi="my-MM"/>
        </w:rPr>
        <w:t>Hlaingtharyar (West)</w:t>
      </w:r>
      <w:r w:rsidRPr="00F74FC4">
        <w:rPr>
          <w:rFonts w:ascii="Arial" w:hAnsi="Arial" w:cs="Arial"/>
          <w:lang w:bidi="my-MM"/>
        </w:rPr>
        <w:t xml:space="preserve"> exhibit massive energy distribution volumes, reaching 12,300,000 kWh and 9,220,500 kWh respectively. Concurrently, Hlaingtharyar (West) exhibits the highest system losses at </w:t>
      </w:r>
      <w:r w:rsidRPr="00F74FC4">
        <w:rPr>
          <w:rFonts w:ascii="Arial" w:hAnsi="Arial" w:cs="Arial"/>
          <w:b/>
          <w:bCs/>
          <w:lang w:bidi="my-MM"/>
        </w:rPr>
        <w:t>15.2%</w:t>
      </w:r>
      <w:r w:rsidRPr="00F74FC4">
        <w:rPr>
          <w:rFonts w:ascii="Arial" w:hAnsi="Arial" w:cs="Arial"/>
          <w:lang w:bidi="my-MM"/>
        </w:rPr>
        <w:t xml:space="preserve">, followed closely by Shwepyitha at </w:t>
      </w:r>
      <w:r w:rsidRPr="00F74FC4">
        <w:rPr>
          <w:rFonts w:ascii="Arial" w:hAnsi="Arial" w:cs="Arial"/>
          <w:b/>
          <w:bCs/>
          <w:lang w:bidi="my-MM"/>
        </w:rPr>
        <w:t>14.5%</w:t>
      </w:r>
      <w:r w:rsidRPr="00F74FC4">
        <w:rPr>
          <w:rFonts w:ascii="Arial" w:hAnsi="Arial" w:cs="Arial"/>
          <w:lang w:bidi="my-MM"/>
        </w:rPr>
        <w:t>. These regions suffer from the largest uncollected energy gaps, with a 'Difference' of 650,000 kWh and 616,000 kWh. This indicates severe commercial and technical challenges in high-density, rapidly expanding industrial and peri-urban sectors.</w:t>
      </w:r>
    </w:p>
    <w:p w14:paraId="478307ED" w14:textId="77777777" w:rsidR="00506042" w:rsidRPr="00F74FC4" w:rsidRDefault="00506042" w:rsidP="0018366A">
      <w:pPr>
        <w:numPr>
          <w:ilvl w:val="0"/>
          <w:numId w:val="33"/>
        </w:numPr>
        <w:jc w:val="both"/>
        <w:rPr>
          <w:rFonts w:ascii="Arial" w:hAnsi="Arial" w:cs="Arial"/>
          <w:lang w:bidi="my-MM"/>
        </w:rPr>
      </w:pPr>
      <w:r w:rsidRPr="00F74FC4">
        <w:rPr>
          <w:rFonts w:ascii="Arial" w:hAnsi="Arial" w:cs="Arial"/>
          <w:b/>
          <w:bCs/>
          <w:lang w:bidi="my-MM"/>
        </w:rPr>
        <w:t>Highly Efficient / Low-Loss Urban Centers:</w:t>
      </w:r>
      <w:r w:rsidRPr="00F74FC4">
        <w:rPr>
          <w:rFonts w:ascii="Arial" w:hAnsi="Arial" w:cs="Arial"/>
          <w:lang w:bidi="my-MM"/>
        </w:rPr>
        <w:t xml:space="preserve"> In contrast, developed residential urban centers demonstrate superior grid management. </w:t>
      </w:r>
      <w:r w:rsidRPr="00F74FC4">
        <w:rPr>
          <w:rFonts w:ascii="Arial" w:hAnsi="Arial" w:cs="Arial"/>
          <w:b/>
          <w:bCs/>
          <w:lang w:bidi="my-MM"/>
        </w:rPr>
        <w:t>Dagon township</w:t>
      </w:r>
      <w:r w:rsidRPr="00F74FC4">
        <w:rPr>
          <w:rFonts w:ascii="Arial" w:hAnsi="Arial" w:cs="Arial"/>
          <w:lang w:bidi="my-MM"/>
        </w:rPr>
        <w:t xml:space="preserve">, despite managing a substantial energy distribution of 5,301,979 kWh, achieves the lowest system loss of only </w:t>
      </w:r>
      <w:r w:rsidRPr="00F74FC4">
        <w:rPr>
          <w:rFonts w:ascii="Arial" w:hAnsi="Arial" w:cs="Arial"/>
          <w:b/>
          <w:bCs/>
          <w:lang w:bidi="my-MM"/>
        </w:rPr>
        <w:t>5.07%</w:t>
      </w:r>
      <w:r w:rsidRPr="00F74FC4">
        <w:rPr>
          <w:rFonts w:ascii="Arial" w:hAnsi="Arial" w:cs="Arial"/>
          <w:lang w:bidi="my-MM"/>
        </w:rPr>
        <w:t xml:space="preserve"> and a minimal uncollected gap of 55,566 kWh. Similar high-efficiency patterns are observed in Ahlone (6.0% loss) and Yankin (7.2% loss), serving as local benchmarks for optimized power distribution.</w:t>
      </w:r>
    </w:p>
    <w:p w14:paraId="08D3DC0D" w14:textId="77777777" w:rsidR="00506042" w:rsidRPr="00F74FC4" w:rsidRDefault="008E25F0" w:rsidP="0018366A">
      <w:pPr>
        <w:jc w:val="both"/>
        <w:outlineLvl w:val="2"/>
        <w:rPr>
          <w:rFonts w:ascii="Arial" w:hAnsi="Arial" w:cs="Arial"/>
          <w:b/>
          <w:bCs/>
          <w:lang w:bidi="my-MM"/>
        </w:rPr>
      </w:pPr>
      <w:r w:rsidRPr="00F74FC4">
        <w:rPr>
          <w:rFonts w:ascii="Arial" w:hAnsi="Arial" w:cs="Arial"/>
          <w:b/>
          <w:bCs/>
          <w:lang w:bidi="my-MM"/>
        </w:rPr>
        <w:t>3.1</w:t>
      </w:r>
      <w:r w:rsidR="00506042" w:rsidRPr="00F74FC4">
        <w:rPr>
          <w:rFonts w:ascii="Arial" w:hAnsi="Arial" w:cs="Arial"/>
          <w:b/>
          <w:bCs/>
          <w:lang w:bidi="my-MM"/>
        </w:rPr>
        <w:t>.2. Statistical Evaluation: Correlation and Regression Analysis</w:t>
      </w:r>
    </w:p>
    <w:p w14:paraId="42ADA71B" w14:textId="77777777" w:rsidR="00506042" w:rsidRPr="00F74FC4" w:rsidRDefault="00506042" w:rsidP="0018366A">
      <w:pPr>
        <w:jc w:val="both"/>
        <w:rPr>
          <w:rFonts w:ascii="Arial" w:hAnsi="Arial" w:cs="Arial"/>
          <w:lang w:bidi="my-MM"/>
        </w:rPr>
      </w:pPr>
      <w:r w:rsidRPr="00F74FC4">
        <w:rPr>
          <w:rFonts w:ascii="Arial" w:hAnsi="Arial" w:cs="Arial"/>
          <w:lang w:bidi="my-MM"/>
        </w:rPr>
        <w:t>To establish quantifiable relationships between the variables, Pearson correlation and ordinary least squares (OLS) linear regression analyses were conducted.</w:t>
      </w:r>
    </w:p>
    <w:p w14:paraId="1AF07C1F" w14:textId="77777777" w:rsidR="00506042" w:rsidRPr="00F74FC4" w:rsidRDefault="00506042" w:rsidP="0018366A">
      <w:pPr>
        <w:jc w:val="both"/>
        <w:outlineLvl w:val="3"/>
        <w:rPr>
          <w:rFonts w:ascii="Arial" w:hAnsi="Arial" w:cs="Arial"/>
          <w:b/>
          <w:bCs/>
          <w:lang w:bidi="my-MM"/>
        </w:rPr>
      </w:pPr>
      <w:r w:rsidRPr="00F74FC4">
        <w:rPr>
          <w:rFonts w:ascii="Arial" w:hAnsi="Arial" w:cs="Arial"/>
          <w:b/>
          <w:bCs/>
          <w:lang w:bidi="my-MM"/>
        </w:rPr>
        <w:t>Correlation Analysis</w:t>
      </w:r>
    </w:p>
    <w:p w14:paraId="16D6656A" w14:textId="77777777" w:rsidR="00506042" w:rsidRPr="00F74FC4" w:rsidRDefault="00506042" w:rsidP="0018366A">
      <w:pPr>
        <w:jc w:val="both"/>
        <w:rPr>
          <w:rFonts w:ascii="Arial" w:hAnsi="Arial" w:cs="Arial"/>
          <w:lang w:bidi="my-MM"/>
        </w:rPr>
      </w:pPr>
      <w:r w:rsidRPr="00F74FC4">
        <w:rPr>
          <w:rFonts w:ascii="Arial" w:hAnsi="Arial" w:cs="Arial"/>
          <w:lang w:bidi="my-MM"/>
        </w:rPr>
        <w:t>The correlation coefficients (r) yield critical insights into grid dynamics:</w:t>
      </w:r>
    </w:p>
    <w:p w14:paraId="39FD572B" w14:textId="77777777" w:rsidR="00506042" w:rsidRPr="00F74FC4" w:rsidRDefault="00506042" w:rsidP="0018366A">
      <w:pPr>
        <w:numPr>
          <w:ilvl w:val="0"/>
          <w:numId w:val="34"/>
        </w:numPr>
        <w:jc w:val="both"/>
        <w:rPr>
          <w:rFonts w:ascii="Arial" w:hAnsi="Arial" w:cs="Arial"/>
          <w:lang w:bidi="my-MM"/>
        </w:rPr>
      </w:pPr>
      <w:r w:rsidRPr="00F74FC4">
        <w:rPr>
          <w:rFonts w:ascii="Arial" w:hAnsi="Arial" w:cs="Arial"/>
          <w:lang w:bidi="my-MM"/>
        </w:rPr>
        <w:t xml:space="preserve">The correlation between </w:t>
      </w:r>
      <w:r w:rsidRPr="00F74FC4">
        <w:rPr>
          <w:rFonts w:ascii="Arial" w:hAnsi="Arial" w:cs="Arial"/>
          <w:b/>
          <w:bCs/>
          <w:lang w:bidi="my-MM"/>
        </w:rPr>
        <w:t>Energy Distributed</w:t>
      </w:r>
      <w:r w:rsidRPr="00F74FC4">
        <w:rPr>
          <w:rFonts w:ascii="Arial" w:hAnsi="Arial" w:cs="Arial"/>
          <w:lang w:bidi="my-MM"/>
        </w:rPr>
        <w:t xml:space="preserve"> and the </w:t>
      </w:r>
      <w:r w:rsidRPr="00F74FC4">
        <w:rPr>
          <w:rFonts w:ascii="Arial" w:hAnsi="Arial" w:cs="Arial"/>
          <w:b/>
          <w:bCs/>
          <w:lang w:bidi="my-MM"/>
        </w:rPr>
        <w:t>Difference (Collection Gap)</w:t>
      </w:r>
      <w:r w:rsidRPr="00F74FC4">
        <w:rPr>
          <w:rFonts w:ascii="Arial" w:hAnsi="Arial" w:cs="Arial"/>
          <w:lang w:bidi="my-MM"/>
        </w:rPr>
        <w:t xml:space="preserve"> is exceptionally strong and positive (r=0.8829). This implies that as the absolute volume of supplied energy expands, the post-billing revenue leakage scales up substantially.</w:t>
      </w:r>
    </w:p>
    <w:p w14:paraId="4705E749" w14:textId="77777777" w:rsidR="00506042" w:rsidRPr="00F74FC4" w:rsidRDefault="00506042" w:rsidP="0018366A">
      <w:pPr>
        <w:numPr>
          <w:ilvl w:val="0"/>
          <w:numId w:val="34"/>
        </w:numPr>
        <w:jc w:val="both"/>
        <w:rPr>
          <w:rFonts w:ascii="Arial" w:hAnsi="Arial" w:cs="Arial"/>
          <w:lang w:bidi="my-MM"/>
        </w:rPr>
      </w:pPr>
      <w:r w:rsidRPr="00F74FC4">
        <w:rPr>
          <w:rFonts w:ascii="Arial" w:hAnsi="Arial" w:cs="Arial"/>
          <w:lang w:bidi="my-MM"/>
        </w:rPr>
        <w:t xml:space="preserve">The correlation between </w:t>
      </w:r>
      <w:r w:rsidRPr="00F74FC4">
        <w:rPr>
          <w:rFonts w:ascii="Arial" w:hAnsi="Arial" w:cs="Arial"/>
          <w:b/>
          <w:bCs/>
          <w:lang w:bidi="my-MM"/>
        </w:rPr>
        <w:t>Losses (%)</w:t>
      </w:r>
      <w:r w:rsidRPr="00F74FC4">
        <w:rPr>
          <w:rFonts w:ascii="Arial" w:hAnsi="Arial" w:cs="Arial"/>
          <w:lang w:bidi="my-MM"/>
        </w:rPr>
        <w:t xml:space="preserve"> and the </w:t>
      </w:r>
      <w:r w:rsidRPr="00F74FC4">
        <w:rPr>
          <w:rFonts w:ascii="Arial" w:hAnsi="Arial" w:cs="Arial"/>
          <w:b/>
          <w:bCs/>
          <w:lang w:bidi="my-MM"/>
        </w:rPr>
        <w:t>Difference</w:t>
      </w:r>
      <w:r w:rsidRPr="00F74FC4">
        <w:rPr>
          <w:rFonts w:ascii="Arial" w:hAnsi="Arial" w:cs="Arial"/>
          <w:lang w:bidi="my-MM"/>
        </w:rPr>
        <w:t xml:space="preserve"> is moderately positive (r=0.4014), showing that technical/distribution line losses and commercial collection failures tend to move in the same direction but are driven by distinct operational factors.</w:t>
      </w:r>
    </w:p>
    <w:p w14:paraId="4886AD1E" w14:textId="77777777" w:rsidR="00506042" w:rsidRPr="00F74FC4" w:rsidRDefault="00506042" w:rsidP="0018366A">
      <w:pPr>
        <w:jc w:val="both"/>
        <w:outlineLvl w:val="3"/>
        <w:rPr>
          <w:rFonts w:ascii="Arial" w:hAnsi="Arial" w:cs="Arial"/>
          <w:b/>
          <w:bCs/>
          <w:lang w:bidi="my-MM"/>
        </w:rPr>
      </w:pPr>
      <w:r w:rsidRPr="00F74FC4">
        <w:rPr>
          <w:rFonts w:ascii="Arial" w:hAnsi="Arial" w:cs="Arial"/>
          <w:b/>
          <w:bCs/>
          <w:lang w:bidi="my-MM"/>
        </w:rPr>
        <w:t>Regression Analysis</w:t>
      </w:r>
    </w:p>
    <w:p w14:paraId="71AC2A51" w14:textId="77777777" w:rsidR="00506042" w:rsidRPr="00F74FC4" w:rsidRDefault="00506042" w:rsidP="0018366A">
      <w:pPr>
        <w:jc w:val="both"/>
        <w:rPr>
          <w:rFonts w:ascii="Arial" w:hAnsi="Arial" w:cs="Arial"/>
          <w:lang w:bidi="my-MM"/>
        </w:rPr>
      </w:pPr>
      <w:r w:rsidRPr="00F74FC4">
        <w:rPr>
          <w:rFonts w:ascii="Arial" w:hAnsi="Arial" w:cs="Arial"/>
          <w:lang w:bidi="my-MM"/>
        </w:rPr>
        <w:t>A linear regression model was established to predict the revenue collection gap (Difference) based on the total Energy Distributed across the 22 townships. The estimated regression equation is formulated as:</w:t>
      </w:r>
    </w:p>
    <w:p w14:paraId="74E05E22" w14:textId="77777777" w:rsidR="00DF457F" w:rsidRPr="00F74FC4" w:rsidRDefault="00506042" w:rsidP="0018366A">
      <w:pPr>
        <w:jc w:val="both"/>
        <w:rPr>
          <w:rFonts w:ascii="Arial" w:hAnsi="Arial" w:cs="Arial"/>
          <w:b/>
          <w:bCs/>
          <w:lang w:bidi="my-MM"/>
        </w:rPr>
      </w:pPr>
      <w:r w:rsidRPr="00F74FC4">
        <w:rPr>
          <w:rFonts w:ascii="Arial" w:hAnsi="Arial" w:cs="Arial"/>
          <w:b/>
          <w:bCs/>
          <w:lang w:bidi="my-MM"/>
        </w:rPr>
        <w:t>Difference (kWh)=0.0548</w:t>
      </w:r>
      <w:proofErr w:type="gramStart"/>
      <w:r w:rsidRPr="00F74FC4">
        <w:rPr>
          <w:rFonts w:ascii="Arial" w:hAnsi="Arial" w:cs="Arial"/>
          <w:b/>
          <w:bCs/>
          <w:lang w:bidi="my-MM"/>
        </w:rPr>
        <w:t>×(</w:t>
      </w:r>
      <w:proofErr w:type="gramEnd"/>
      <w:r w:rsidRPr="00F74FC4">
        <w:rPr>
          <w:rFonts w:ascii="Arial" w:hAnsi="Arial" w:cs="Arial"/>
          <w:b/>
          <w:bCs/>
          <w:lang w:bidi="my-MM"/>
        </w:rPr>
        <w:t>Energy </w:t>
      </w:r>
      <w:proofErr w:type="gramStart"/>
      <w:r w:rsidRPr="00F74FC4">
        <w:rPr>
          <w:rFonts w:ascii="Arial" w:hAnsi="Arial" w:cs="Arial"/>
          <w:b/>
          <w:bCs/>
          <w:lang w:bidi="my-MM"/>
        </w:rPr>
        <w:t>Distributed)−</w:t>
      </w:r>
      <w:proofErr w:type="gramEnd"/>
      <w:r w:rsidRPr="00F74FC4">
        <w:rPr>
          <w:rFonts w:ascii="Arial" w:hAnsi="Arial" w:cs="Arial"/>
          <w:b/>
          <w:bCs/>
          <w:lang w:bidi="my-MM"/>
        </w:rPr>
        <w:t>13,668.61</w:t>
      </w:r>
      <w:r w:rsidR="00DF457F" w:rsidRPr="00F74FC4">
        <w:rPr>
          <w:rFonts w:ascii="Arial" w:hAnsi="Arial" w:cs="Arial"/>
          <w:b/>
          <w:bCs/>
          <w:lang w:bidi="my-MM"/>
        </w:rPr>
        <w:t xml:space="preserve"> </w:t>
      </w:r>
    </w:p>
    <w:p w14:paraId="5E88302B" w14:textId="77777777" w:rsidR="00506042" w:rsidRPr="00F74FC4" w:rsidRDefault="00506042" w:rsidP="0018366A">
      <w:pPr>
        <w:jc w:val="both"/>
        <w:rPr>
          <w:rFonts w:ascii="Arial" w:hAnsi="Arial" w:cs="Arial"/>
          <w:lang w:bidi="my-MM"/>
        </w:rPr>
      </w:pPr>
      <w:r w:rsidRPr="00F74FC4">
        <w:rPr>
          <w:rFonts w:ascii="Arial" w:hAnsi="Arial" w:cs="Arial"/>
          <w:b/>
          <w:bCs/>
          <w:lang w:bidi="my-MM"/>
        </w:rPr>
        <w:t>Model Fit (R</w:t>
      </w:r>
      <w:r w:rsidRPr="00F74FC4">
        <w:rPr>
          <w:rFonts w:ascii="Arial" w:hAnsi="Arial" w:cs="Arial"/>
          <w:b/>
          <w:bCs/>
          <w:vertAlign w:val="superscript"/>
          <w:lang w:bidi="my-MM"/>
        </w:rPr>
        <w:t>2</w:t>
      </w:r>
      <w:r w:rsidRPr="00F74FC4">
        <w:rPr>
          <w:rFonts w:ascii="Arial" w:hAnsi="Arial" w:cs="Arial"/>
          <w:b/>
          <w:bCs/>
          <w:lang w:bidi="my-MM"/>
        </w:rPr>
        <w:t>):</w:t>
      </w:r>
      <w:r w:rsidRPr="00F74FC4">
        <w:rPr>
          <w:rFonts w:ascii="Arial" w:hAnsi="Arial" w:cs="Arial"/>
          <w:lang w:bidi="my-MM"/>
        </w:rPr>
        <w:t xml:space="preserve"> The coefficient of determination (R</w:t>
      </w:r>
      <w:r w:rsidRPr="00F74FC4">
        <w:rPr>
          <w:rFonts w:ascii="Arial" w:hAnsi="Arial" w:cs="Arial"/>
          <w:vertAlign w:val="superscript"/>
          <w:lang w:bidi="my-MM"/>
        </w:rPr>
        <w:t>2</w:t>
      </w:r>
      <w:r w:rsidRPr="00F74FC4">
        <w:rPr>
          <w:rFonts w:ascii="Arial" w:hAnsi="Arial" w:cs="Arial"/>
          <w:lang w:bidi="my-MM"/>
        </w:rPr>
        <w:t xml:space="preserve">=0.7796) indicates that </w:t>
      </w:r>
      <w:r w:rsidRPr="00F74FC4">
        <w:rPr>
          <w:rFonts w:ascii="Arial" w:hAnsi="Arial" w:cs="Arial"/>
          <w:b/>
          <w:bCs/>
          <w:lang w:bidi="my-MM"/>
        </w:rPr>
        <w:t>77.96%</w:t>
      </w:r>
      <w:r w:rsidRPr="00F74FC4">
        <w:rPr>
          <w:rFonts w:ascii="Arial" w:hAnsi="Arial" w:cs="Arial"/>
          <w:lang w:bidi="my-MM"/>
        </w:rPr>
        <w:t xml:space="preserve"> of the variance in the township-level uncollected energy gap can be explained solely by the volume of energy distributed.</w:t>
      </w:r>
      <w:r w:rsidR="00DF457F" w:rsidRPr="00F74FC4">
        <w:rPr>
          <w:rFonts w:ascii="Arial" w:hAnsi="Arial" w:cs="Arial"/>
          <w:lang w:bidi="my-MM"/>
        </w:rPr>
        <w:t xml:space="preserve"> </w:t>
      </w:r>
      <w:r w:rsidRPr="00F74FC4">
        <w:rPr>
          <w:rFonts w:ascii="Arial" w:hAnsi="Arial" w:cs="Arial"/>
          <w:b/>
          <w:bCs/>
          <w:lang w:bidi="my-MM"/>
        </w:rPr>
        <w:t>Statistical Significance:</w:t>
      </w:r>
      <w:r w:rsidRPr="00F74FC4">
        <w:rPr>
          <w:rFonts w:ascii="Arial" w:hAnsi="Arial" w:cs="Arial"/>
          <w:lang w:bidi="my-MM"/>
        </w:rPr>
        <w:t xml:space="preserve"> The F-statistic demonstrates an extremely </w:t>
      </w:r>
      <w:r w:rsidRPr="00F74FC4">
        <w:rPr>
          <w:rFonts w:ascii="Arial" w:hAnsi="Arial" w:cs="Arial"/>
          <w:lang w:bidi="my-MM"/>
        </w:rPr>
        <w:lastRenderedPageBreak/>
        <w:t>high significance level (p&lt;0.001), rejecting the null hypothesis and confirming that energy throughput is an incredibly robust predictor of total revenue leakage.</w:t>
      </w:r>
    </w:p>
    <w:p w14:paraId="29ACB82A" w14:textId="77777777" w:rsidR="00506042" w:rsidRPr="00F74FC4" w:rsidRDefault="00546225" w:rsidP="0018366A">
      <w:pPr>
        <w:jc w:val="both"/>
        <w:outlineLvl w:val="2"/>
        <w:rPr>
          <w:rFonts w:ascii="Arial" w:hAnsi="Arial" w:cs="Arial"/>
          <w:b/>
          <w:bCs/>
          <w:lang w:bidi="my-MM"/>
        </w:rPr>
      </w:pPr>
      <w:r w:rsidRPr="00F74FC4">
        <w:rPr>
          <w:rFonts w:ascii="Arial" w:hAnsi="Arial" w:cs="Arial"/>
          <w:b/>
          <w:bCs/>
          <w:lang w:bidi="my-MM"/>
        </w:rPr>
        <w:t>3.1</w:t>
      </w:r>
      <w:r w:rsidR="00506042" w:rsidRPr="00F74FC4">
        <w:rPr>
          <w:rFonts w:ascii="Arial" w:hAnsi="Arial" w:cs="Arial"/>
          <w:b/>
          <w:bCs/>
          <w:lang w:bidi="my-MM"/>
        </w:rPr>
        <w:t>.3. Policy Implications for Advanced Metering Infrastructure (AMI) Rollout</w:t>
      </w:r>
    </w:p>
    <w:p w14:paraId="6221F53A" w14:textId="77777777" w:rsidR="00824AE8" w:rsidRPr="00F74FC4" w:rsidRDefault="00506042" w:rsidP="0018366A">
      <w:pPr>
        <w:jc w:val="both"/>
        <w:rPr>
          <w:rFonts w:ascii="Arial" w:hAnsi="Arial" w:cs="Arial"/>
          <w:lang w:bidi="my-MM"/>
        </w:rPr>
      </w:pPr>
      <w:r w:rsidRPr="00F74FC4">
        <w:rPr>
          <w:rFonts w:ascii="Arial" w:hAnsi="Arial" w:cs="Arial"/>
          <w:lang w:bidi="my-MM"/>
        </w:rPr>
        <w:t>The empirical and statistical findings offer powerful strategic directions for energy planning and grid modernization in Myanmar:</w:t>
      </w:r>
      <w:r w:rsidR="00A12A9D" w:rsidRPr="00F74FC4">
        <w:rPr>
          <w:rFonts w:ascii="Arial" w:hAnsi="Arial" w:cs="Arial"/>
          <w:lang w:bidi="my-MM"/>
        </w:rPr>
        <w:t xml:space="preserve"> </w:t>
      </w:r>
      <w:r w:rsidRPr="00F74FC4">
        <w:rPr>
          <w:rFonts w:ascii="Arial" w:hAnsi="Arial" w:cs="Arial"/>
          <w:b/>
          <w:bCs/>
          <w:lang w:bidi="my-MM"/>
        </w:rPr>
        <w:t>Targeted High-Impact Deployments:</w:t>
      </w:r>
      <w:r w:rsidRPr="00F74FC4">
        <w:rPr>
          <w:rFonts w:ascii="Arial" w:hAnsi="Arial" w:cs="Arial"/>
          <w:lang w:bidi="my-MM"/>
        </w:rPr>
        <w:t xml:space="preserve"> The strong linear relationship (R</w:t>
      </w:r>
      <w:r w:rsidRPr="00F74FC4">
        <w:rPr>
          <w:rFonts w:ascii="Arial" w:hAnsi="Arial" w:cs="Arial"/>
          <w:vertAlign w:val="superscript"/>
          <w:lang w:bidi="my-MM"/>
        </w:rPr>
        <w:t>2</w:t>
      </w:r>
      <w:r w:rsidRPr="00F74FC4">
        <w:rPr>
          <w:rFonts w:ascii="Arial" w:hAnsi="Arial" w:cs="Arial"/>
          <w:lang w:bidi="my-MM"/>
        </w:rPr>
        <w:t>=0.7796) proves that prioritizing Advanced Metering Infrastructure (AMI) smart meters should not be done uniformly. Instead, policy mandates must prioritize high-throughput, high-lo</w:t>
      </w:r>
      <w:r w:rsidR="00950AF3" w:rsidRPr="00F74FC4">
        <w:rPr>
          <w:rFonts w:ascii="Arial" w:hAnsi="Arial" w:cs="Arial"/>
          <w:lang w:bidi="my-MM"/>
        </w:rPr>
        <w:t xml:space="preserve">ss clusters like Hlaingtharyar, </w:t>
      </w:r>
      <w:r w:rsidRPr="00F74FC4">
        <w:rPr>
          <w:rFonts w:ascii="Arial" w:hAnsi="Arial" w:cs="Arial"/>
          <w:lang w:bidi="my-MM"/>
        </w:rPr>
        <w:t>Shwepyitha, and Mingaladon. Implementing AMI in these areas will yield the highest return on investment (ROI) by immediately curbing non-technical commercial losses.</w:t>
      </w:r>
      <w:r w:rsidR="00A12A9D" w:rsidRPr="00F74FC4">
        <w:rPr>
          <w:rFonts w:ascii="Arial" w:hAnsi="Arial" w:cs="Arial"/>
          <w:lang w:bidi="my-MM"/>
        </w:rPr>
        <w:t xml:space="preserve"> </w:t>
      </w:r>
    </w:p>
    <w:p w14:paraId="4BC9A755" w14:textId="624D1C8C" w:rsidR="00506042" w:rsidRDefault="00506042" w:rsidP="0018366A">
      <w:pPr>
        <w:jc w:val="both"/>
        <w:rPr>
          <w:rFonts w:ascii="Arial" w:hAnsi="Arial" w:cs="Arial"/>
          <w:lang w:bidi="my-MM"/>
        </w:rPr>
      </w:pPr>
      <w:r w:rsidRPr="00F74FC4">
        <w:rPr>
          <w:rFonts w:ascii="Arial" w:hAnsi="Arial" w:cs="Arial"/>
          <w:b/>
          <w:bCs/>
          <w:lang w:bidi="my-MM"/>
        </w:rPr>
        <w:t>Transition to Smart Pre-paid Frameworks:</w:t>
      </w:r>
      <w:r w:rsidRPr="00F74FC4">
        <w:rPr>
          <w:rFonts w:ascii="Arial" w:hAnsi="Arial" w:cs="Arial"/>
          <w:lang w:bidi="my-MM"/>
        </w:rPr>
        <w:t xml:space="preserve"> Transitioning high-loss zones into AMI-enabled smart pre-paid frameworks will completely eradicate the post-billing collection risk, ensuring immediate financial liquidity for utility providers to reinvest in grid expansion and strategic energy sustainability.</w:t>
      </w:r>
    </w:p>
    <w:p w14:paraId="434D1108" w14:textId="7FB8C5E5" w:rsidR="001C7BA8" w:rsidRDefault="001C7BA8" w:rsidP="0018366A">
      <w:pPr>
        <w:jc w:val="both"/>
        <w:rPr>
          <w:rFonts w:ascii="Arial" w:hAnsi="Arial" w:cs="Arial"/>
          <w:lang w:bidi="my-MM"/>
        </w:rPr>
      </w:pPr>
    </w:p>
    <w:p w14:paraId="5540EBA7" w14:textId="77777777" w:rsidR="001C7BA8" w:rsidRPr="001C7BA8" w:rsidRDefault="001C7BA8" w:rsidP="001C7BA8">
      <w:pPr>
        <w:spacing w:after="160" w:line="259" w:lineRule="auto"/>
        <w:rPr>
          <w:rFonts w:ascii="Calibri" w:eastAsia="Calibri" w:hAnsi="Calibri"/>
          <w:sz w:val="22"/>
          <w:szCs w:val="22"/>
          <w:lang w:val="en-IN"/>
        </w:rPr>
      </w:pPr>
      <w:r w:rsidRPr="001C7BA8">
        <w:rPr>
          <w:rFonts w:ascii="Calibri" w:eastAsia="Calibri" w:hAnsi="Calibri"/>
          <w:sz w:val="22"/>
          <w:szCs w:val="22"/>
          <w:lang w:val="en-IN"/>
        </w:rPr>
        <w:t>Conclusion</w:t>
      </w:r>
    </w:p>
    <w:p w14:paraId="369D5337" w14:textId="77777777" w:rsidR="001C7BA8" w:rsidRPr="001C7BA8" w:rsidRDefault="001C7BA8" w:rsidP="001C7BA8">
      <w:pPr>
        <w:spacing w:after="160" w:line="259" w:lineRule="auto"/>
        <w:rPr>
          <w:rFonts w:ascii="Calibri" w:eastAsia="Calibri" w:hAnsi="Calibri"/>
          <w:sz w:val="22"/>
          <w:szCs w:val="22"/>
          <w:lang w:val="en-IN"/>
        </w:rPr>
      </w:pPr>
      <w:r w:rsidRPr="001C7BA8">
        <w:rPr>
          <w:rFonts w:ascii="Calibri" w:eastAsia="Calibri" w:hAnsi="Calibri"/>
          <w:sz w:val="22"/>
          <w:szCs w:val="22"/>
          <w:lang w:val="en-IN"/>
        </w:rPr>
        <w:t>The study shows that Advanced Metering Infrastructure can support modernization of electricity distribution management by improving real-time monitoring, billing transparency, and identification of technical and commercial losses. The AMI system evaluated in Yangon integrated smart meters, data concentrator units, communication networks, centralized servers, and meter data management functions to support automated data collection and utility decision-making. The reported energy data showed a measurable difference between distributed, billed, and collected electricity, indicating that revenue recovery and loss reduction remain important operational challenges. The study also reported MMK 13.38 billion in revenue recovery during the 2023–2024 fiscal year, suggesting potential financial benefits from digital metering infrastructure. High-load townships require priority attention because larger distribution volumes were associated with greater collection gaps. Overall, AMI can provide a practical framework for improving electricity accounting and distribution efficiency, but its effectiveness depends on accurate data, secure communication systems, consumer acceptance, and transparent implementation.</w:t>
      </w:r>
    </w:p>
    <w:p w14:paraId="4C8E2DE3" w14:textId="77777777" w:rsidR="001C7BA8" w:rsidRPr="001C7BA8" w:rsidRDefault="001C7BA8" w:rsidP="001C7BA8">
      <w:pPr>
        <w:spacing w:after="160" w:line="259" w:lineRule="auto"/>
        <w:rPr>
          <w:rFonts w:ascii="Calibri" w:eastAsia="Calibri" w:hAnsi="Calibri"/>
          <w:sz w:val="22"/>
          <w:szCs w:val="22"/>
          <w:lang w:val="en-IN"/>
        </w:rPr>
      </w:pPr>
      <w:r w:rsidRPr="001C7BA8">
        <w:rPr>
          <w:rFonts w:ascii="Calibri" w:eastAsia="Calibri" w:hAnsi="Calibri"/>
          <w:sz w:val="22"/>
          <w:szCs w:val="22"/>
          <w:lang w:val="en-IN"/>
        </w:rPr>
        <w:t>Limitation</w:t>
      </w:r>
    </w:p>
    <w:p w14:paraId="05832D31" w14:textId="77777777" w:rsidR="001C7BA8" w:rsidRPr="001C7BA8" w:rsidRDefault="001C7BA8" w:rsidP="001C7BA8">
      <w:pPr>
        <w:spacing w:after="160" w:line="259" w:lineRule="auto"/>
        <w:rPr>
          <w:rFonts w:ascii="Calibri" w:eastAsia="Calibri" w:hAnsi="Calibri"/>
          <w:sz w:val="22"/>
          <w:szCs w:val="22"/>
          <w:lang w:val="en-IN"/>
        </w:rPr>
      </w:pPr>
      <w:r w:rsidRPr="001C7BA8">
        <w:rPr>
          <w:rFonts w:ascii="Calibri" w:eastAsia="Calibri" w:hAnsi="Calibri"/>
          <w:sz w:val="22"/>
          <w:szCs w:val="22"/>
          <w:lang w:val="en-IN"/>
        </w:rPr>
        <w:t>This study is limited by incomplete reporting of the underlying township-level dataset and inconsistencies between some summary values, tables, and figures. The SARIMA forecasting model is mentioned, but detailed model parameters, diagnostics, and forecast accuracy measures are not presented. The analysis focuses mainly on operational and financial indicators and does not fully assess cybersecurity, data privacy, consumer acceptance, installation cost, maintenance cost, or long-term return on investment. The results are based on selected townships in Yangon and may not represent all regions of Myanmar. Future studies should provide complete raw data, verified calculations, model validation, and broader technical and economic assessment.</w:t>
      </w:r>
    </w:p>
    <w:p w14:paraId="6E8CE696" w14:textId="77777777" w:rsidR="001C7BA8" w:rsidRDefault="001C7BA8" w:rsidP="0018366A">
      <w:pPr>
        <w:jc w:val="both"/>
        <w:rPr>
          <w:rFonts w:ascii="Arial" w:hAnsi="Arial" w:cs="Arial"/>
          <w:lang w:bidi="my-MM"/>
        </w:rPr>
      </w:pPr>
    </w:p>
    <w:p w14:paraId="48B820C9" w14:textId="77777777" w:rsidR="00366005" w:rsidRDefault="00366005" w:rsidP="00F608E5">
      <w:pPr>
        <w:pStyle w:val="ConcHead"/>
        <w:spacing w:after="0"/>
        <w:jc w:val="both"/>
        <w:rPr>
          <w:rFonts w:ascii="Arial" w:hAnsi="Arial" w:cs="Arial"/>
        </w:rPr>
      </w:pPr>
    </w:p>
    <w:p w14:paraId="2BF9BE91" w14:textId="77777777" w:rsidR="009E3823" w:rsidRDefault="009E3823" w:rsidP="00F608E5">
      <w:pPr>
        <w:pStyle w:val="ConcHead"/>
        <w:spacing w:after="0"/>
        <w:jc w:val="both"/>
        <w:rPr>
          <w:rFonts w:ascii="Arial" w:hAnsi="Arial" w:cs="Arial"/>
        </w:rPr>
      </w:pPr>
    </w:p>
    <w:p w14:paraId="58DC8EB0" w14:textId="77777777" w:rsidR="00366005" w:rsidRPr="00366005" w:rsidRDefault="00366005" w:rsidP="00366005">
      <w:pPr>
        <w:rPr>
          <w:rFonts w:ascii="Times New Roman" w:eastAsia="Calibri" w:hAnsi="Times New Roman"/>
          <w:b/>
          <w:sz w:val="22"/>
          <w:szCs w:val="22"/>
        </w:rPr>
      </w:pPr>
      <w:r w:rsidRPr="00366005">
        <w:rPr>
          <w:rFonts w:ascii="Times New Roman" w:eastAsia="Calibri" w:hAnsi="Times New Roman"/>
          <w:b/>
          <w:sz w:val="22"/>
          <w:szCs w:val="22"/>
        </w:rPr>
        <w:t>Declaration of AI Use</w:t>
      </w:r>
    </w:p>
    <w:p w14:paraId="205AE535" w14:textId="77777777" w:rsidR="00366005" w:rsidRPr="00366005" w:rsidRDefault="00366005" w:rsidP="00366005">
      <w:pPr>
        <w:rPr>
          <w:rFonts w:ascii="Times New Roman" w:eastAsia="Calibri" w:hAnsi="Times New Roman"/>
          <w:sz w:val="22"/>
          <w:szCs w:val="22"/>
        </w:rPr>
      </w:pPr>
    </w:p>
    <w:p w14:paraId="5A17F1FA" w14:textId="77777777" w:rsidR="00366005" w:rsidRPr="00366005" w:rsidRDefault="00366005" w:rsidP="00366005">
      <w:pPr>
        <w:jc w:val="both"/>
        <w:rPr>
          <w:rFonts w:ascii="Times New Roman" w:eastAsia="Calibri" w:hAnsi="Times New Roman"/>
          <w:sz w:val="22"/>
          <w:szCs w:val="22"/>
        </w:rPr>
      </w:pPr>
      <w:r w:rsidRPr="00366005">
        <w:rPr>
          <w:rFonts w:ascii="Times New Roman" w:eastAsia="Calibri" w:hAnsi="Times New Roman"/>
          <w:sz w:val="22"/>
          <w:szCs w:val="22"/>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p w14:paraId="76ED6DAC" w14:textId="77777777" w:rsidR="00366005" w:rsidRPr="00F74FC4" w:rsidRDefault="00366005" w:rsidP="00F608E5">
      <w:pPr>
        <w:pStyle w:val="ConcHead"/>
        <w:spacing w:after="0"/>
        <w:jc w:val="both"/>
        <w:rPr>
          <w:rFonts w:ascii="Arial" w:hAnsi="Arial" w:cs="Arial"/>
        </w:rPr>
      </w:pPr>
    </w:p>
    <w:p w14:paraId="55A9E3F7" w14:textId="77777777" w:rsidR="005664BD" w:rsidRPr="00F74FC4" w:rsidRDefault="005664BD" w:rsidP="0018366A">
      <w:pPr>
        <w:jc w:val="both"/>
        <w:rPr>
          <w:rFonts w:ascii="Arial" w:hAnsi="Arial" w:cs="Arial"/>
        </w:rPr>
      </w:pPr>
    </w:p>
    <w:p w14:paraId="719B5371" w14:textId="77777777" w:rsidR="00F476D6" w:rsidRPr="00F74FC4" w:rsidRDefault="00860000" w:rsidP="0018366A">
      <w:pPr>
        <w:jc w:val="both"/>
        <w:rPr>
          <w:rFonts w:ascii="Arial" w:hAnsi="Arial" w:cs="Arial"/>
          <w:b/>
        </w:rPr>
      </w:pPr>
      <w:r w:rsidRPr="00F74FC4">
        <w:rPr>
          <w:rFonts w:ascii="Arial" w:hAnsi="Arial" w:cs="Arial"/>
          <w:b/>
        </w:rPr>
        <w:t>Competing interests</w:t>
      </w:r>
    </w:p>
    <w:p w14:paraId="6EDD18A6" w14:textId="77777777" w:rsidR="00860000" w:rsidRPr="00F74FC4" w:rsidRDefault="00E66E10" w:rsidP="0018366A">
      <w:pPr>
        <w:jc w:val="both"/>
        <w:rPr>
          <w:rFonts w:ascii="Arial" w:hAnsi="Arial" w:cs="Arial"/>
          <w:b/>
          <w:caps/>
        </w:rPr>
      </w:pPr>
      <w:r w:rsidRPr="00F74FC4">
        <w:rPr>
          <w:rFonts w:ascii="Arial" w:hAnsi="Arial" w:cs="Arial"/>
        </w:rPr>
        <w:t xml:space="preserve">Declaration of competing interest should be placed here. </w:t>
      </w:r>
      <w:r w:rsidR="001A29D8" w:rsidRPr="00F74FC4">
        <w:rPr>
          <w:rFonts w:ascii="Arial" w:hAnsi="Arial" w:cs="Arial"/>
        </w:rPr>
        <w:t>All authors must disclose any financial and personal relationships with other people or organizations that could inappropriately influence (bias) their work. Examples of potential conflicts of interest include employment, consultancies, honoraria, paid expert testimony, patent applications/</w:t>
      </w:r>
      <w:r w:rsidR="00775394" w:rsidRPr="00F74FC4">
        <w:rPr>
          <w:rFonts w:ascii="Arial" w:hAnsi="Arial" w:cs="Arial"/>
        </w:rPr>
        <w:t xml:space="preserve"> </w:t>
      </w:r>
      <w:r w:rsidR="001A29D8" w:rsidRPr="00F74FC4">
        <w:rPr>
          <w:rFonts w:ascii="Arial" w:hAnsi="Arial" w:cs="Arial"/>
        </w:rPr>
        <w:t xml:space="preserve">registrations, and grants or other funding. </w:t>
      </w:r>
      <w:r w:rsidRPr="00F74FC4">
        <w:rPr>
          <w:rFonts w:ascii="Arial" w:hAnsi="Arial" w:cs="Arial"/>
        </w:rPr>
        <w:t>If no such declaration has been made by the authors, SDI reserves to assume and write this sentence: “Authors have declared that no competing interests exist.”</w:t>
      </w:r>
    </w:p>
    <w:p w14:paraId="1B0D822C" w14:textId="5488A655" w:rsidR="005545B6" w:rsidRDefault="005545B6" w:rsidP="0018366A">
      <w:pPr>
        <w:pStyle w:val="ReferHead"/>
        <w:spacing w:after="0"/>
        <w:jc w:val="both"/>
        <w:rPr>
          <w:rFonts w:ascii="Arial" w:hAnsi="Arial" w:cs="Arial"/>
        </w:rPr>
      </w:pPr>
    </w:p>
    <w:p w14:paraId="095E362E" w14:textId="77777777" w:rsidR="005545B6" w:rsidRPr="00F74FC4" w:rsidRDefault="005545B6" w:rsidP="005545B6">
      <w:pPr>
        <w:pStyle w:val="DefAcrHead"/>
        <w:spacing w:after="0"/>
        <w:jc w:val="both"/>
        <w:rPr>
          <w:rFonts w:ascii="Arial" w:hAnsi="Arial" w:cs="Arial"/>
          <w:sz w:val="20"/>
        </w:rPr>
      </w:pPr>
      <w:r w:rsidRPr="00F74FC4">
        <w:rPr>
          <w:rFonts w:ascii="Arial" w:hAnsi="Arial" w:cs="Arial"/>
          <w:sz w:val="20"/>
        </w:rPr>
        <w:t>Abbreviations</w:t>
      </w:r>
    </w:p>
    <w:p w14:paraId="7E514AA3" w14:textId="77777777" w:rsidR="005545B6" w:rsidRPr="00F74FC4" w:rsidRDefault="005545B6" w:rsidP="005545B6">
      <w:pPr>
        <w:pStyle w:val="NormalWeb"/>
        <w:numPr>
          <w:ilvl w:val="0"/>
          <w:numId w:val="31"/>
        </w:numPr>
        <w:spacing w:before="0" w:beforeAutospacing="0" w:after="0" w:afterAutospacing="0"/>
        <w:jc w:val="both"/>
        <w:rPr>
          <w:rFonts w:ascii="Arial" w:hAnsi="Arial" w:cs="Arial"/>
          <w:sz w:val="20"/>
          <w:szCs w:val="20"/>
        </w:rPr>
      </w:pPr>
      <w:r w:rsidRPr="00F74FC4">
        <w:rPr>
          <w:rFonts w:ascii="Arial" w:hAnsi="Arial" w:cs="Arial"/>
          <w:sz w:val="20"/>
          <w:szCs w:val="20"/>
        </w:rPr>
        <w:t>AMI: Advanced Metering Infrastructure</w:t>
      </w:r>
    </w:p>
    <w:p w14:paraId="0FA95DCF" w14:textId="77777777" w:rsidR="005545B6" w:rsidRPr="00F74FC4" w:rsidRDefault="005545B6" w:rsidP="005545B6">
      <w:pPr>
        <w:pStyle w:val="NormalWeb"/>
        <w:numPr>
          <w:ilvl w:val="0"/>
          <w:numId w:val="31"/>
        </w:numPr>
        <w:spacing w:before="0" w:beforeAutospacing="0" w:after="0" w:afterAutospacing="0"/>
        <w:jc w:val="both"/>
        <w:rPr>
          <w:rFonts w:ascii="Arial" w:hAnsi="Arial" w:cs="Arial"/>
          <w:sz w:val="20"/>
          <w:szCs w:val="20"/>
        </w:rPr>
      </w:pPr>
      <w:r w:rsidRPr="00F74FC4">
        <w:rPr>
          <w:rFonts w:ascii="Arial" w:hAnsi="Arial" w:cs="Arial"/>
          <w:sz w:val="20"/>
          <w:szCs w:val="20"/>
        </w:rPr>
        <w:t>DCU: Data Concentrator Unit</w:t>
      </w:r>
    </w:p>
    <w:p w14:paraId="6F8074C9" w14:textId="77777777" w:rsidR="005545B6" w:rsidRPr="00F74FC4" w:rsidRDefault="005545B6" w:rsidP="005545B6">
      <w:pPr>
        <w:pStyle w:val="NormalWeb"/>
        <w:numPr>
          <w:ilvl w:val="0"/>
          <w:numId w:val="31"/>
        </w:numPr>
        <w:spacing w:before="0" w:beforeAutospacing="0" w:after="0" w:afterAutospacing="0"/>
        <w:jc w:val="both"/>
        <w:rPr>
          <w:rFonts w:ascii="Arial" w:hAnsi="Arial" w:cs="Arial"/>
          <w:sz w:val="20"/>
          <w:szCs w:val="20"/>
        </w:rPr>
      </w:pPr>
      <w:r w:rsidRPr="00F74FC4">
        <w:rPr>
          <w:rFonts w:ascii="Arial" w:hAnsi="Arial" w:cs="Arial"/>
          <w:sz w:val="20"/>
          <w:szCs w:val="20"/>
        </w:rPr>
        <w:t>MDMS: Meter Data Management System</w:t>
      </w:r>
    </w:p>
    <w:p w14:paraId="2E0D31C4" w14:textId="77777777" w:rsidR="005545B6" w:rsidRPr="00F74FC4" w:rsidRDefault="005545B6" w:rsidP="005545B6">
      <w:pPr>
        <w:pStyle w:val="NormalWeb"/>
        <w:numPr>
          <w:ilvl w:val="0"/>
          <w:numId w:val="31"/>
        </w:numPr>
        <w:spacing w:before="0" w:beforeAutospacing="0" w:after="0" w:afterAutospacing="0"/>
        <w:jc w:val="both"/>
        <w:rPr>
          <w:rFonts w:ascii="Arial" w:hAnsi="Arial" w:cs="Arial"/>
          <w:sz w:val="20"/>
          <w:szCs w:val="20"/>
        </w:rPr>
      </w:pPr>
      <w:r w:rsidRPr="00F74FC4">
        <w:rPr>
          <w:rFonts w:ascii="Arial" w:hAnsi="Arial" w:cs="Arial"/>
          <w:sz w:val="20"/>
          <w:szCs w:val="20"/>
        </w:rPr>
        <w:t>SARIMA: Seasonal Autoregressive Integrated Moving Average</w:t>
      </w:r>
    </w:p>
    <w:p w14:paraId="4B3AF1A9" w14:textId="77777777" w:rsidR="005545B6" w:rsidRPr="00F74FC4" w:rsidRDefault="005545B6" w:rsidP="005545B6">
      <w:pPr>
        <w:pStyle w:val="NormalWeb"/>
        <w:numPr>
          <w:ilvl w:val="0"/>
          <w:numId w:val="31"/>
        </w:numPr>
        <w:spacing w:before="0" w:beforeAutospacing="0" w:after="0" w:afterAutospacing="0"/>
        <w:jc w:val="both"/>
        <w:rPr>
          <w:rFonts w:ascii="Arial" w:hAnsi="Arial" w:cs="Arial"/>
          <w:sz w:val="20"/>
          <w:szCs w:val="20"/>
        </w:rPr>
      </w:pPr>
      <w:r w:rsidRPr="00F74FC4">
        <w:rPr>
          <w:rFonts w:ascii="Arial" w:hAnsi="Arial" w:cs="Arial"/>
          <w:sz w:val="20"/>
          <w:szCs w:val="20"/>
        </w:rPr>
        <w:t>MMK: Myanmar Kyat</w:t>
      </w:r>
    </w:p>
    <w:p w14:paraId="2F55C8D9" w14:textId="77777777" w:rsidR="005545B6" w:rsidRPr="00F74FC4" w:rsidRDefault="005545B6" w:rsidP="005545B6">
      <w:pPr>
        <w:pStyle w:val="NormalWeb"/>
        <w:numPr>
          <w:ilvl w:val="0"/>
          <w:numId w:val="31"/>
        </w:numPr>
        <w:spacing w:before="0" w:beforeAutospacing="0" w:after="0" w:afterAutospacing="0"/>
        <w:jc w:val="both"/>
        <w:rPr>
          <w:rFonts w:ascii="Arial" w:hAnsi="Arial" w:cs="Arial"/>
          <w:sz w:val="20"/>
          <w:szCs w:val="20"/>
        </w:rPr>
      </w:pPr>
      <w:r w:rsidRPr="00F74FC4">
        <w:rPr>
          <w:rFonts w:ascii="Arial" w:hAnsi="Arial" w:cs="Arial"/>
          <w:sz w:val="20"/>
          <w:szCs w:val="20"/>
        </w:rPr>
        <w:t>FDI: Foreign Direct Investment</w:t>
      </w:r>
    </w:p>
    <w:p w14:paraId="0906E841" w14:textId="77777777" w:rsidR="005545B6" w:rsidRPr="00F74FC4" w:rsidRDefault="005545B6" w:rsidP="005545B6">
      <w:pPr>
        <w:pStyle w:val="NormalWeb"/>
        <w:numPr>
          <w:ilvl w:val="0"/>
          <w:numId w:val="31"/>
        </w:numPr>
        <w:spacing w:before="0" w:beforeAutospacing="0" w:after="0" w:afterAutospacing="0"/>
        <w:jc w:val="both"/>
        <w:rPr>
          <w:rFonts w:ascii="Arial" w:hAnsi="Arial" w:cs="Arial"/>
          <w:sz w:val="20"/>
          <w:szCs w:val="20"/>
        </w:rPr>
      </w:pPr>
      <w:r w:rsidRPr="00F74FC4">
        <w:rPr>
          <w:rFonts w:ascii="Arial" w:hAnsi="Arial" w:cs="Arial"/>
          <w:sz w:val="20"/>
          <w:szCs w:val="20"/>
        </w:rPr>
        <w:t>PPP: Public-Private Partnership</w:t>
      </w:r>
    </w:p>
    <w:p w14:paraId="1961F9ED" w14:textId="77777777" w:rsidR="005545B6" w:rsidRPr="00F74FC4" w:rsidRDefault="005545B6" w:rsidP="0018366A">
      <w:pPr>
        <w:pStyle w:val="ReferHead"/>
        <w:spacing w:after="0"/>
        <w:jc w:val="both"/>
        <w:rPr>
          <w:rFonts w:ascii="Arial" w:hAnsi="Arial" w:cs="Arial"/>
        </w:rPr>
      </w:pPr>
    </w:p>
    <w:p w14:paraId="7547C31E" w14:textId="77777777" w:rsidR="00B01FCD" w:rsidRPr="00F74FC4" w:rsidRDefault="00B01FCD" w:rsidP="0018366A">
      <w:pPr>
        <w:pStyle w:val="ReferHead"/>
        <w:spacing w:after="0"/>
        <w:ind w:left="270" w:hanging="270"/>
        <w:jc w:val="both"/>
        <w:rPr>
          <w:rFonts w:ascii="Arial" w:hAnsi="Arial" w:cs="Arial"/>
          <w:sz w:val="20"/>
        </w:rPr>
      </w:pPr>
      <w:r w:rsidRPr="00F74FC4">
        <w:rPr>
          <w:rFonts w:ascii="Arial" w:hAnsi="Arial" w:cs="Arial"/>
          <w:sz w:val="20"/>
        </w:rPr>
        <w:t>References</w:t>
      </w:r>
    </w:p>
    <w:p w14:paraId="5D1546AA" w14:textId="77777777" w:rsidR="004C1551" w:rsidRPr="00F74FC4" w:rsidRDefault="004C1551" w:rsidP="0018366A">
      <w:pPr>
        <w:ind w:left="270" w:hanging="270"/>
        <w:jc w:val="both"/>
        <w:rPr>
          <w:rFonts w:ascii="Arial" w:hAnsi="Arial" w:cs="Arial"/>
        </w:rPr>
      </w:pPr>
      <w:r w:rsidRPr="00F74FC4">
        <w:rPr>
          <w:rFonts w:ascii="Arial" w:hAnsi="Arial" w:cs="Arial"/>
        </w:rPr>
        <w:t xml:space="preserve">1. Darby, S. (2010). Smart metering: What potential for householder engagement? </w:t>
      </w:r>
      <w:r w:rsidRPr="00F74FC4">
        <w:rPr>
          <w:rFonts w:ascii="Arial" w:hAnsi="Arial" w:cs="Arial"/>
          <w:i/>
          <w:iCs/>
        </w:rPr>
        <w:t>Building Research &amp; Information</w:t>
      </w:r>
      <w:r w:rsidRPr="00F74FC4">
        <w:rPr>
          <w:rFonts w:ascii="Arial" w:hAnsi="Arial" w:cs="Arial"/>
        </w:rPr>
        <w:t xml:space="preserve">, 38(5), 442–457. </w:t>
      </w:r>
    </w:p>
    <w:p w14:paraId="1444CFD6" w14:textId="77777777" w:rsidR="004C1551" w:rsidRPr="00F74FC4" w:rsidRDefault="004C1551" w:rsidP="0018366A">
      <w:pPr>
        <w:ind w:left="270" w:hanging="270"/>
        <w:jc w:val="both"/>
        <w:rPr>
          <w:rFonts w:ascii="Arial" w:hAnsi="Arial" w:cs="Arial"/>
        </w:rPr>
      </w:pPr>
      <w:r w:rsidRPr="00F74FC4">
        <w:rPr>
          <w:rFonts w:ascii="Arial" w:hAnsi="Arial" w:cs="Arial"/>
        </w:rPr>
        <w:t xml:space="preserve">2. Depuru, S. S. S. R., Wang, L., &amp; Devabhaktuni, V. (2011). Electricity theft: Overview, issues, prevention and a smart meter-based approach. </w:t>
      </w:r>
      <w:r w:rsidRPr="00F74FC4">
        <w:rPr>
          <w:rFonts w:ascii="Arial" w:hAnsi="Arial" w:cs="Arial"/>
          <w:i/>
          <w:iCs/>
        </w:rPr>
        <w:t>Energy Policy</w:t>
      </w:r>
      <w:r w:rsidRPr="00F74FC4">
        <w:rPr>
          <w:rFonts w:ascii="Arial" w:hAnsi="Arial" w:cs="Arial"/>
        </w:rPr>
        <w:t xml:space="preserve">, 39(2), 1007–1015. </w:t>
      </w:r>
    </w:p>
    <w:p w14:paraId="2EE603AF" w14:textId="77777777" w:rsidR="004C1551" w:rsidRPr="00F74FC4" w:rsidRDefault="004C1551" w:rsidP="0018366A">
      <w:pPr>
        <w:ind w:left="270" w:hanging="270"/>
        <w:jc w:val="both"/>
        <w:rPr>
          <w:rFonts w:ascii="Arial" w:hAnsi="Arial" w:cs="Arial"/>
        </w:rPr>
      </w:pPr>
      <w:r w:rsidRPr="00F74FC4">
        <w:rPr>
          <w:rFonts w:ascii="Arial" w:hAnsi="Arial" w:cs="Arial"/>
        </w:rPr>
        <w:t xml:space="preserve">3. Faruqui, A., Sergici, S., &amp; Sharif, A. (2010). The impact of informational feedback on energy consumption. </w:t>
      </w:r>
      <w:r w:rsidRPr="00F74FC4">
        <w:rPr>
          <w:rFonts w:ascii="Arial" w:hAnsi="Arial" w:cs="Arial"/>
          <w:i/>
          <w:iCs/>
        </w:rPr>
        <w:t>Energy</w:t>
      </w:r>
      <w:r w:rsidRPr="00F74FC4">
        <w:rPr>
          <w:rFonts w:ascii="Arial" w:hAnsi="Arial" w:cs="Arial"/>
        </w:rPr>
        <w:t xml:space="preserve">, 35(4), 1598–1608. </w:t>
      </w:r>
    </w:p>
    <w:p w14:paraId="49281A3A" w14:textId="77777777" w:rsidR="004C1551" w:rsidRPr="00F74FC4" w:rsidRDefault="004C1551" w:rsidP="0018366A">
      <w:pPr>
        <w:ind w:left="270" w:hanging="270"/>
        <w:jc w:val="both"/>
        <w:rPr>
          <w:rFonts w:ascii="Arial" w:hAnsi="Arial" w:cs="Arial"/>
        </w:rPr>
      </w:pPr>
      <w:r w:rsidRPr="00F74FC4">
        <w:rPr>
          <w:rFonts w:ascii="Arial" w:hAnsi="Arial" w:cs="Arial"/>
        </w:rPr>
        <w:t xml:space="preserve">4. Gaur, V., &amp; Gupta, E. (2016). The determinants of electricity theft: An empirical analysis. </w:t>
      </w:r>
      <w:r w:rsidRPr="00F74FC4">
        <w:rPr>
          <w:rFonts w:ascii="Arial" w:hAnsi="Arial" w:cs="Arial"/>
          <w:i/>
          <w:iCs/>
        </w:rPr>
        <w:t>Energy Policy</w:t>
      </w:r>
      <w:r w:rsidRPr="00F74FC4">
        <w:rPr>
          <w:rFonts w:ascii="Arial" w:hAnsi="Arial" w:cs="Arial"/>
        </w:rPr>
        <w:t xml:space="preserve">, 93, 127–136. </w:t>
      </w:r>
    </w:p>
    <w:p w14:paraId="2283121E" w14:textId="77777777" w:rsidR="004C1551" w:rsidRPr="00F74FC4" w:rsidRDefault="004C1551" w:rsidP="0018366A">
      <w:pPr>
        <w:ind w:left="270" w:hanging="270"/>
        <w:jc w:val="both"/>
        <w:rPr>
          <w:rFonts w:ascii="Arial" w:hAnsi="Arial" w:cs="Arial"/>
        </w:rPr>
      </w:pPr>
      <w:r w:rsidRPr="00F74FC4">
        <w:rPr>
          <w:rFonts w:ascii="Arial" w:hAnsi="Arial" w:cs="Arial"/>
        </w:rPr>
        <w:t xml:space="preserve">5. Hippert, H. S., Pedreira, C. E., &amp; Souza, R. C. (2001). Neural networks for short-term load forecasting. </w:t>
      </w:r>
      <w:r w:rsidRPr="00F74FC4">
        <w:rPr>
          <w:rFonts w:ascii="Arial" w:hAnsi="Arial" w:cs="Arial"/>
          <w:i/>
          <w:iCs/>
        </w:rPr>
        <w:t>IEEE Transactions on Power Systems</w:t>
      </w:r>
      <w:r w:rsidRPr="00F74FC4">
        <w:rPr>
          <w:rFonts w:ascii="Arial" w:hAnsi="Arial" w:cs="Arial"/>
        </w:rPr>
        <w:t xml:space="preserve">, 16(1), 44–55. </w:t>
      </w:r>
    </w:p>
    <w:p w14:paraId="195AC3B8" w14:textId="77777777" w:rsidR="004C1551" w:rsidRPr="00F74FC4" w:rsidRDefault="004C1551" w:rsidP="0018366A">
      <w:pPr>
        <w:ind w:left="270" w:hanging="270"/>
        <w:jc w:val="both"/>
        <w:rPr>
          <w:rFonts w:ascii="Arial" w:hAnsi="Arial" w:cs="Arial"/>
        </w:rPr>
      </w:pPr>
      <w:r w:rsidRPr="00F74FC4">
        <w:rPr>
          <w:rFonts w:ascii="Arial" w:hAnsi="Arial" w:cs="Arial"/>
        </w:rPr>
        <w:t xml:space="preserve">6. Hong, T., &amp; Fan, S. (2016). Probabilistic electric load forecasting: A tutorial review. </w:t>
      </w:r>
      <w:r w:rsidRPr="00F74FC4">
        <w:rPr>
          <w:rFonts w:ascii="Arial" w:hAnsi="Arial" w:cs="Arial"/>
          <w:i/>
          <w:iCs/>
        </w:rPr>
        <w:t>International Journal of Forecasting</w:t>
      </w:r>
      <w:r w:rsidRPr="00F74FC4">
        <w:rPr>
          <w:rFonts w:ascii="Arial" w:hAnsi="Arial" w:cs="Arial"/>
        </w:rPr>
        <w:t xml:space="preserve">, 32(3), 914–938. </w:t>
      </w:r>
    </w:p>
    <w:p w14:paraId="4A1333DF" w14:textId="77777777" w:rsidR="004C1551" w:rsidRPr="00F74FC4" w:rsidRDefault="004C1551" w:rsidP="0018366A">
      <w:pPr>
        <w:ind w:left="270" w:hanging="270"/>
        <w:jc w:val="both"/>
        <w:rPr>
          <w:rFonts w:ascii="Arial" w:hAnsi="Arial" w:cs="Arial"/>
        </w:rPr>
      </w:pPr>
      <w:r w:rsidRPr="00F74FC4">
        <w:rPr>
          <w:rFonts w:ascii="Arial" w:hAnsi="Arial" w:cs="Arial"/>
        </w:rPr>
        <w:t xml:space="preserve">7. Jamasb, </w:t>
      </w:r>
      <w:proofErr w:type="gramStart"/>
      <w:r w:rsidRPr="00F74FC4">
        <w:rPr>
          <w:rFonts w:ascii="Arial" w:hAnsi="Arial" w:cs="Arial"/>
        </w:rPr>
        <w:t>T.,&amp;</w:t>
      </w:r>
      <w:proofErr w:type="gramEnd"/>
      <w:r w:rsidRPr="00F74FC4">
        <w:rPr>
          <w:rFonts w:ascii="Arial" w:hAnsi="Arial" w:cs="Arial"/>
        </w:rPr>
        <w:t xml:space="preserve"> Pollitt, </w:t>
      </w:r>
      <w:proofErr w:type="gramStart"/>
      <w:r w:rsidRPr="00F74FC4">
        <w:rPr>
          <w:rFonts w:ascii="Arial" w:hAnsi="Arial" w:cs="Arial"/>
        </w:rPr>
        <w:t>M.(</w:t>
      </w:r>
      <w:proofErr w:type="gramEnd"/>
      <w:r w:rsidRPr="00F74FC4">
        <w:rPr>
          <w:rFonts w:ascii="Arial" w:hAnsi="Arial" w:cs="Arial"/>
        </w:rPr>
        <w:t>2015</w:t>
      </w:r>
      <w:proofErr w:type="gramStart"/>
      <w:r w:rsidRPr="00F74FC4">
        <w:rPr>
          <w:rFonts w:ascii="Arial" w:hAnsi="Arial" w:cs="Arial"/>
        </w:rPr>
        <w:t>).Why</w:t>
      </w:r>
      <w:proofErr w:type="gramEnd"/>
      <w:r w:rsidRPr="00F74FC4">
        <w:rPr>
          <w:rFonts w:ascii="Arial" w:hAnsi="Arial" w:cs="Arial"/>
        </w:rPr>
        <w:t xml:space="preserve"> and how to subsidize energy access. </w:t>
      </w:r>
      <w:r w:rsidRPr="00F74FC4">
        <w:rPr>
          <w:rFonts w:ascii="Arial" w:hAnsi="Arial" w:cs="Arial"/>
          <w:i/>
          <w:iCs/>
        </w:rPr>
        <w:t>Energy Policy</w:t>
      </w:r>
      <w:r w:rsidRPr="00F74FC4">
        <w:rPr>
          <w:rFonts w:ascii="Arial" w:hAnsi="Arial" w:cs="Arial"/>
        </w:rPr>
        <w:t xml:space="preserve">,87, 305–312. </w:t>
      </w:r>
    </w:p>
    <w:p w14:paraId="5DB9DD88" w14:textId="77777777" w:rsidR="000E1177" w:rsidRPr="00F74FC4" w:rsidRDefault="004C1551" w:rsidP="0018366A">
      <w:pPr>
        <w:ind w:left="270" w:hanging="270"/>
        <w:jc w:val="both"/>
        <w:rPr>
          <w:rFonts w:ascii="Arial" w:hAnsi="Arial" w:cs="Arial"/>
        </w:rPr>
      </w:pPr>
      <w:r w:rsidRPr="00F74FC4">
        <w:rPr>
          <w:rFonts w:ascii="Arial" w:hAnsi="Arial" w:cs="Arial"/>
        </w:rPr>
        <w:t xml:space="preserve">8. International Energy Agency (IEA). (2021). </w:t>
      </w:r>
      <w:r w:rsidRPr="00F74FC4">
        <w:rPr>
          <w:rFonts w:ascii="Arial" w:hAnsi="Arial" w:cs="Arial"/>
          <w:i/>
          <w:iCs/>
        </w:rPr>
        <w:t>Smart Grids and Digitalisation Report</w:t>
      </w:r>
      <w:r w:rsidRPr="00F74FC4">
        <w:rPr>
          <w:rFonts w:ascii="Arial" w:hAnsi="Arial" w:cs="Arial"/>
        </w:rPr>
        <w:t xml:space="preserve">. </w:t>
      </w:r>
    </w:p>
    <w:p w14:paraId="3E749D59" w14:textId="77777777" w:rsidR="004C1551" w:rsidRPr="00F74FC4" w:rsidRDefault="004C1551" w:rsidP="0018366A">
      <w:pPr>
        <w:ind w:left="270" w:hanging="270"/>
        <w:jc w:val="both"/>
        <w:rPr>
          <w:rFonts w:ascii="Arial" w:hAnsi="Arial" w:cs="Arial"/>
        </w:rPr>
      </w:pPr>
      <w:r w:rsidRPr="00F74FC4">
        <w:rPr>
          <w:rFonts w:ascii="Arial" w:hAnsi="Arial" w:cs="Arial"/>
        </w:rPr>
        <w:t xml:space="preserve">9. World Bank. (2019). </w:t>
      </w:r>
      <w:r w:rsidRPr="00F74FC4">
        <w:rPr>
          <w:rFonts w:ascii="Arial" w:hAnsi="Arial" w:cs="Arial"/>
          <w:i/>
          <w:iCs/>
        </w:rPr>
        <w:t>Advanced Metering Infrastructure and Loss Reduction Report</w:t>
      </w:r>
      <w:r w:rsidRPr="00F74FC4">
        <w:rPr>
          <w:rFonts w:ascii="Arial" w:hAnsi="Arial" w:cs="Arial"/>
        </w:rPr>
        <w:t>.</w:t>
      </w:r>
    </w:p>
    <w:p w14:paraId="1AC52B3D" w14:textId="77777777" w:rsidR="00B545F9" w:rsidRPr="00F74FC4" w:rsidRDefault="00F64167" w:rsidP="0018366A">
      <w:pPr>
        <w:ind w:left="270" w:hanging="270"/>
        <w:jc w:val="both"/>
        <w:rPr>
          <w:rFonts w:ascii="Arial" w:hAnsi="Arial" w:cs="Arial"/>
        </w:rPr>
      </w:pPr>
      <w:r w:rsidRPr="00F74FC4">
        <w:rPr>
          <w:rFonts w:ascii="Arial" w:hAnsi="Arial" w:cs="Arial"/>
        </w:rPr>
        <w:t>10.</w:t>
      </w:r>
      <w:r w:rsidR="00B545F9" w:rsidRPr="00F74FC4">
        <w:rPr>
          <w:rFonts w:ascii="Arial" w:hAnsi="Arial" w:cs="Arial"/>
        </w:rPr>
        <w:t>DrC.R. Bayliss CEng FIET, B.J. Hardy CEng FIET, in Transmission and Distribution Electrical Engineering (Fourth Edition), 2012</w:t>
      </w:r>
    </w:p>
    <w:p w14:paraId="191876B7" w14:textId="77777777" w:rsidR="00B545F9" w:rsidRPr="00F74FC4" w:rsidRDefault="00F64167" w:rsidP="0018366A">
      <w:pPr>
        <w:ind w:left="270" w:hanging="270"/>
        <w:jc w:val="both"/>
        <w:rPr>
          <w:rFonts w:ascii="Arial" w:hAnsi="Arial" w:cs="Arial"/>
        </w:rPr>
      </w:pPr>
      <w:r w:rsidRPr="00F74FC4">
        <w:rPr>
          <w:rFonts w:ascii="Arial" w:hAnsi="Arial" w:cs="Arial"/>
        </w:rPr>
        <w:lastRenderedPageBreak/>
        <w:t>11.</w:t>
      </w:r>
      <w:r w:rsidR="00B545F9" w:rsidRPr="00F74FC4">
        <w:rPr>
          <w:rFonts w:ascii="Arial" w:hAnsi="Arial" w:cs="Arial"/>
        </w:rPr>
        <w:t>Stuart Bresler, ... Paul Sotkiewicz, in Energy Efficiency, 2013</w:t>
      </w:r>
    </w:p>
    <w:p w14:paraId="5A8EFCC2" w14:textId="77777777" w:rsidR="00B545F9" w:rsidRPr="00F74FC4" w:rsidRDefault="00F64167" w:rsidP="0018366A">
      <w:pPr>
        <w:ind w:left="270" w:hanging="270"/>
        <w:jc w:val="both"/>
        <w:rPr>
          <w:rFonts w:ascii="Arial" w:hAnsi="Arial" w:cs="Arial"/>
        </w:rPr>
      </w:pPr>
      <w:r w:rsidRPr="00F74FC4">
        <w:rPr>
          <w:rFonts w:ascii="Arial" w:hAnsi="Arial" w:cs="Arial"/>
        </w:rPr>
        <w:t>12.</w:t>
      </w:r>
      <w:r w:rsidR="00B545F9" w:rsidRPr="00F74FC4">
        <w:rPr>
          <w:rFonts w:ascii="Arial" w:hAnsi="Arial" w:cs="Arial"/>
        </w:rPr>
        <w:t>Alireza Chasempour, 2016; Kumar, Ganesh, Sankar, &amp; Shaiju Kumar, 2013; Popovic &amp; Cackovic, 2014</w:t>
      </w:r>
    </w:p>
    <w:p w14:paraId="3A8373BF" w14:textId="77777777" w:rsidR="00B545F9" w:rsidRPr="00F74FC4" w:rsidRDefault="00F64167" w:rsidP="0018366A">
      <w:pPr>
        <w:ind w:left="270" w:hanging="270"/>
        <w:jc w:val="both"/>
        <w:rPr>
          <w:rFonts w:ascii="Arial" w:hAnsi="Arial" w:cs="Arial"/>
        </w:rPr>
      </w:pPr>
      <w:r w:rsidRPr="00F74FC4">
        <w:rPr>
          <w:rFonts w:ascii="Arial" w:hAnsi="Arial" w:cs="Arial"/>
        </w:rPr>
        <w:t>13.</w:t>
      </w:r>
      <w:r w:rsidR="00B545F9" w:rsidRPr="00F74FC4">
        <w:rPr>
          <w:rFonts w:ascii="Arial" w:hAnsi="Arial" w:cs="Arial"/>
        </w:rPr>
        <w:t>Phillippe Mack, in Renewable Energy Integration, 2014</w:t>
      </w:r>
    </w:p>
    <w:p w14:paraId="5FFC34FC" w14:textId="77777777" w:rsidR="00B545F9" w:rsidRPr="00F74FC4" w:rsidRDefault="00B545F9" w:rsidP="0018366A">
      <w:pPr>
        <w:ind w:left="270" w:hanging="270"/>
        <w:jc w:val="both"/>
        <w:rPr>
          <w:rFonts w:ascii="Arial" w:hAnsi="Arial" w:cs="Arial"/>
        </w:rPr>
      </w:pPr>
    </w:p>
    <w:p w14:paraId="69899624" w14:textId="77777777" w:rsidR="00B545F9" w:rsidRPr="00F74FC4" w:rsidRDefault="00F64167" w:rsidP="0018366A">
      <w:pPr>
        <w:ind w:left="270" w:hanging="270"/>
        <w:jc w:val="both"/>
        <w:rPr>
          <w:rFonts w:ascii="Arial" w:hAnsi="Arial" w:cs="Arial"/>
        </w:rPr>
      </w:pPr>
      <w:r w:rsidRPr="00F74FC4">
        <w:rPr>
          <w:rFonts w:ascii="Arial" w:hAnsi="Arial" w:cs="Arial"/>
        </w:rPr>
        <w:t>14.</w:t>
      </w:r>
      <w:r w:rsidR="00B545F9" w:rsidRPr="00F74FC4">
        <w:rPr>
          <w:rFonts w:ascii="Arial" w:hAnsi="Arial" w:cs="Arial"/>
        </w:rPr>
        <w:t>Jerry Jackson, in Future Energy (Second Edition), 2014</w:t>
      </w:r>
    </w:p>
    <w:p w14:paraId="5E51C0D0" w14:textId="77777777" w:rsidR="00B545F9" w:rsidRPr="00F74FC4" w:rsidRDefault="00B545F9" w:rsidP="0018366A">
      <w:pPr>
        <w:ind w:left="270" w:hanging="270"/>
        <w:jc w:val="both"/>
        <w:rPr>
          <w:rFonts w:ascii="Arial" w:hAnsi="Arial" w:cs="Arial"/>
        </w:rPr>
      </w:pPr>
    </w:p>
    <w:p w14:paraId="015ECE52" w14:textId="77777777" w:rsidR="00B545F9" w:rsidRPr="00F74FC4" w:rsidRDefault="00F64167" w:rsidP="0018366A">
      <w:pPr>
        <w:ind w:left="270" w:hanging="270"/>
        <w:jc w:val="both"/>
        <w:rPr>
          <w:rFonts w:ascii="Arial" w:hAnsi="Arial" w:cs="Arial"/>
        </w:rPr>
      </w:pPr>
      <w:r w:rsidRPr="00F74FC4">
        <w:rPr>
          <w:rFonts w:ascii="Arial" w:hAnsi="Arial" w:cs="Arial"/>
        </w:rPr>
        <w:t>15.</w:t>
      </w:r>
      <w:r w:rsidR="00B545F9" w:rsidRPr="00F74FC4">
        <w:rPr>
          <w:rFonts w:ascii="Arial" w:hAnsi="Arial" w:cs="Arial"/>
        </w:rPr>
        <w:t>Moein Manbachi, in Operation of Distributed Energy Resources in Smart Distribution Networks, 2018</w:t>
      </w:r>
    </w:p>
    <w:p w14:paraId="2D1DE2B4" w14:textId="77777777" w:rsidR="00B545F9" w:rsidRPr="00F74FC4" w:rsidRDefault="00F64167" w:rsidP="0018366A">
      <w:pPr>
        <w:ind w:left="270" w:hanging="270"/>
        <w:jc w:val="both"/>
        <w:rPr>
          <w:rFonts w:ascii="Arial" w:hAnsi="Arial" w:cs="Arial"/>
        </w:rPr>
      </w:pPr>
      <w:r w:rsidRPr="00F74FC4">
        <w:rPr>
          <w:rFonts w:ascii="Arial" w:hAnsi="Arial" w:cs="Arial"/>
        </w:rPr>
        <w:t>16.</w:t>
      </w:r>
      <w:r w:rsidR="00B545F9" w:rsidRPr="00F74FC4">
        <w:rPr>
          <w:rFonts w:ascii="Arial" w:hAnsi="Arial" w:cs="Arial"/>
        </w:rPr>
        <w:t>Dixon, Elders, &amp; Bell, 2020; Jain and Singabhattu, 2019</w:t>
      </w:r>
    </w:p>
    <w:p w14:paraId="6E8ECEBC" w14:textId="77777777" w:rsidR="00B545F9" w:rsidRPr="00F74FC4" w:rsidRDefault="00F64167" w:rsidP="0018366A">
      <w:pPr>
        <w:ind w:left="270" w:hanging="270"/>
        <w:jc w:val="both"/>
        <w:rPr>
          <w:rFonts w:ascii="Arial" w:hAnsi="Arial" w:cs="Arial"/>
        </w:rPr>
      </w:pPr>
      <w:r w:rsidRPr="00F74FC4">
        <w:rPr>
          <w:rFonts w:ascii="Arial" w:hAnsi="Arial" w:cs="Arial"/>
        </w:rPr>
        <w:t xml:space="preserve">17 </w:t>
      </w:r>
      <w:r w:rsidR="00B545F9" w:rsidRPr="00F74FC4">
        <w:rPr>
          <w:rFonts w:ascii="Arial" w:hAnsi="Arial" w:cs="Arial"/>
        </w:rPr>
        <w:t>Myanmar Statistical Year Book 2019</w:t>
      </w:r>
    </w:p>
    <w:p w14:paraId="779DE23D" w14:textId="77777777" w:rsidR="00B545F9" w:rsidRPr="00F74FC4" w:rsidRDefault="00F64167" w:rsidP="0018366A">
      <w:pPr>
        <w:ind w:left="270" w:hanging="270"/>
        <w:jc w:val="both"/>
        <w:rPr>
          <w:rFonts w:ascii="Arial" w:hAnsi="Arial" w:cs="Arial"/>
        </w:rPr>
      </w:pPr>
      <w:r w:rsidRPr="00F74FC4">
        <w:rPr>
          <w:rFonts w:ascii="Arial" w:hAnsi="Arial" w:cs="Arial"/>
        </w:rPr>
        <w:t xml:space="preserve">18 </w:t>
      </w:r>
      <w:r w:rsidR="003B3416" w:rsidRPr="00F74FC4">
        <w:rPr>
          <w:rFonts w:ascii="Arial" w:hAnsi="Arial" w:cs="Arial"/>
        </w:rPr>
        <w:t>ahya Naderi, ...</w:t>
      </w:r>
      <w:r w:rsidR="00B545F9" w:rsidRPr="00F74FC4">
        <w:rPr>
          <w:rFonts w:ascii="Arial" w:hAnsi="Arial" w:cs="Arial"/>
        </w:rPr>
        <w:t>Josep M Guerrero, in Decision Making Applications in Modern Power Systems, 2020</w:t>
      </w:r>
    </w:p>
    <w:p w14:paraId="7EFD41F5" w14:textId="77777777" w:rsidR="00B545F9" w:rsidRPr="00F74FC4" w:rsidRDefault="003B3416" w:rsidP="0018366A">
      <w:pPr>
        <w:ind w:left="270" w:hanging="270"/>
        <w:jc w:val="both"/>
        <w:rPr>
          <w:rFonts w:ascii="Arial" w:hAnsi="Arial" w:cs="Arial"/>
        </w:rPr>
      </w:pPr>
      <w:r w:rsidRPr="00F74FC4">
        <w:rPr>
          <w:rFonts w:ascii="Arial" w:hAnsi="Arial" w:cs="Arial"/>
        </w:rPr>
        <w:t>19.</w:t>
      </w:r>
      <w:r w:rsidR="00B545F9" w:rsidRPr="00F74FC4">
        <w:rPr>
          <w:rFonts w:ascii="Arial" w:hAnsi="Arial" w:cs="Arial"/>
        </w:rPr>
        <w:t>nderpreet Kaur, in Design, Analysis</w:t>
      </w:r>
      <w:r w:rsidRPr="00F74FC4">
        <w:rPr>
          <w:rFonts w:ascii="Arial" w:hAnsi="Arial" w:cs="Arial"/>
        </w:rPr>
        <w:t xml:space="preserve">, and Applications of Renewable </w:t>
      </w:r>
      <w:r w:rsidR="00B545F9" w:rsidRPr="00F74FC4">
        <w:rPr>
          <w:rFonts w:ascii="Arial" w:hAnsi="Arial" w:cs="Arial"/>
        </w:rPr>
        <w:t>Energy Systems, 2021</w:t>
      </w:r>
    </w:p>
    <w:p w14:paraId="54D84153" w14:textId="77777777" w:rsidR="00A4089A" w:rsidRPr="00F74FC4" w:rsidRDefault="00A4089A" w:rsidP="0018366A">
      <w:pPr>
        <w:ind w:left="270" w:hanging="270"/>
        <w:jc w:val="both"/>
        <w:rPr>
          <w:rFonts w:ascii="Arial" w:hAnsi="Arial" w:cs="Arial"/>
          <w:sz w:val="18"/>
          <w:szCs w:val="18"/>
        </w:rPr>
      </w:pPr>
      <w:r w:rsidRPr="00F74FC4">
        <w:rPr>
          <w:rFonts w:ascii="Arial" w:hAnsi="Arial" w:cs="Arial"/>
          <w:sz w:val="18"/>
          <w:szCs w:val="18"/>
        </w:rPr>
        <w:t xml:space="preserve">20.Barai, G.; Raahemifar, K. Optimization of distributed communication architectures in advanced metering infrastructure of smart grid. In Proceedings of the 2014 IEEE 27th Canadian </w:t>
      </w:r>
    </w:p>
    <w:p w14:paraId="074EE798" w14:textId="77777777" w:rsidR="00A4089A" w:rsidRPr="00F74FC4" w:rsidRDefault="008F7941" w:rsidP="0018366A">
      <w:pPr>
        <w:ind w:left="270" w:hanging="270"/>
        <w:jc w:val="both"/>
        <w:rPr>
          <w:rFonts w:ascii="Arial" w:hAnsi="Arial" w:cs="Arial"/>
          <w:sz w:val="18"/>
          <w:szCs w:val="18"/>
        </w:rPr>
      </w:pPr>
      <w:r w:rsidRPr="00F74FC4">
        <w:rPr>
          <w:rFonts w:ascii="Arial" w:hAnsi="Arial" w:cs="Arial"/>
          <w:sz w:val="18"/>
          <w:szCs w:val="18"/>
        </w:rPr>
        <w:t>21.</w:t>
      </w:r>
      <w:r w:rsidR="00A4089A" w:rsidRPr="00F74FC4">
        <w:rPr>
          <w:rFonts w:ascii="Arial" w:hAnsi="Arial" w:cs="Arial"/>
          <w:sz w:val="18"/>
          <w:szCs w:val="18"/>
        </w:rPr>
        <w:t>Conference on Electrical and Computer Engineering (CCECE), Toronto, ON, Canada, 4–7 May 2014; pp. 1–6. [</w:t>
      </w:r>
      <w:hyperlink r:id="rId13" w:tgtFrame="_blank" w:history="1">
        <w:r w:rsidR="00A4089A" w:rsidRPr="00F74FC4">
          <w:rPr>
            <w:rStyle w:val="Hyperlink"/>
            <w:rFonts w:ascii="Arial" w:hAnsi="Arial" w:cs="Arial"/>
            <w:sz w:val="18"/>
            <w:szCs w:val="18"/>
          </w:rPr>
          <w:t>Google Scholar</w:t>
        </w:r>
      </w:hyperlink>
      <w:r w:rsidR="00A4089A" w:rsidRPr="00F74FC4">
        <w:rPr>
          <w:rFonts w:ascii="Arial" w:hAnsi="Arial" w:cs="Arial"/>
          <w:sz w:val="18"/>
          <w:szCs w:val="18"/>
        </w:rPr>
        <w:t>]</w:t>
      </w:r>
    </w:p>
    <w:p w14:paraId="79176EE8" w14:textId="77777777" w:rsidR="00A4089A" w:rsidRPr="00F74FC4" w:rsidRDefault="00A4089A" w:rsidP="0018366A">
      <w:pPr>
        <w:ind w:left="270" w:hanging="270"/>
        <w:jc w:val="both"/>
        <w:rPr>
          <w:rFonts w:ascii="Arial" w:hAnsi="Arial" w:cs="Arial"/>
          <w:sz w:val="18"/>
          <w:szCs w:val="18"/>
        </w:rPr>
      </w:pPr>
      <w:r w:rsidRPr="00F74FC4">
        <w:rPr>
          <w:rFonts w:ascii="Arial" w:hAnsi="Arial" w:cs="Arial"/>
          <w:sz w:val="18"/>
          <w:szCs w:val="18"/>
        </w:rPr>
        <w:t xml:space="preserve">22. Uribe-Pérez, N.; Angulo, I.; de la Vega, D.; Arzuaga, T.; Fernández, I.; Arrinda, A. Smart grid applications for a practical implementation of IP over narrowband power line communications. Energies </w:t>
      </w:r>
      <w:r w:rsidRPr="00F74FC4">
        <w:rPr>
          <w:rFonts w:ascii="Arial" w:hAnsi="Arial" w:cs="Arial"/>
          <w:b/>
          <w:bCs/>
          <w:sz w:val="18"/>
          <w:szCs w:val="18"/>
        </w:rPr>
        <w:t>2017</w:t>
      </w:r>
      <w:r w:rsidRPr="00F74FC4">
        <w:rPr>
          <w:rFonts w:ascii="Arial" w:hAnsi="Arial" w:cs="Arial"/>
          <w:sz w:val="18"/>
          <w:szCs w:val="18"/>
        </w:rPr>
        <w:t>, 10, 1782. [</w:t>
      </w:r>
      <w:hyperlink r:id="rId14" w:tgtFrame="_blank" w:history="1">
        <w:r w:rsidRPr="00F74FC4">
          <w:rPr>
            <w:rStyle w:val="Hyperlink"/>
            <w:rFonts w:ascii="Arial" w:hAnsi="Arial" w:cs="Arial"/>
            <w:sz w:val="18"/>
            <w:szCs w:val="18"/>
          </w:rPr>
          <w:t>Google Scholar</w:t>
        </w:r>
      </w:hyperlink>
      <w:r w:rsidRPr="00F74FC4">
        <w:rPr>
          <w:rFonts w:ascii="Arial" w:hAnsi="Arial" w:cs="Arial"/>
          <w:sz w:val="18"/>
          <w:szCs w:val="18"/>
        </w:rPr>
        <w:t>] [</w:t>
      </w:r>
      <w:hyperlink r:id="rId15" w:tgtFrame="_blank" w:history="1">
        <w:r w:rsidRPr="00F74FC4">
          <w:rPr>
            <w:rStyle w:val="Hyperlink"/>
            <w:rFonts w:ascii="Arial" w:hAnsi="Arial" w:cs="Arial"/>
            <w:sz w:val="18"/>
            <w:szCs w:val="18"/>
          </w:rPr>
          <w:t>CrossRef</w:t>
        </w:r>
      </w:hyperlink>
      <w:r w:rsidRPr="00F74FC4">
        <w:rPr>
          <w:rFonts w:ascii="Arial" w:hAnsi="Arial" w:cs="Arial"/>
          <w:sz w:val="18"/>
          <w:szCs w:val="18"/>
        </w:rPr>
        <w:t>]</w:t>
      </w:r>
    </w:p>
    <w:p w14:paraId="1306BF6F" w14:textId="77777777" w:rsidR="00A4089A" w:rsidRPr="00F74FC4" w:rsidRDefault="00A4089A" w:rsidP="0018366A">
      <w:pPr>
        <w:ind w:left="270" w:hanging="270"/>
        <w:jc w:val="both"/>
        <w:rPr>
          <w:rFonts w:ascii="Arial" w:hAnsi="Arial" w:cs="Arial"/>
          <w:sz w:val="18"/>
          <w:szCs w:val="18"/>
        </w:rPr>
      </w:pPr>
      <w:r w:rsidRPr="00F74FC4">
        <w:rPr>
          <w:rFonts w:ascii="Arial" w:hAnsi="Arial" w:cs="Arial"/>
          <w:sz w:val="18"/>
          <w:szCs w:val="18"/>
        </w:rPr>
        <w:t xml:space="preserve">23. Kim, D.S.; Chung, B.J.; Chung, Y.M. Statistical learning for service quality estimation in broadband PLC AMI. Energies </w:t>
      </w:r>
      <w:r w:rsidRPr="00F74FC4">
        <w:rPr>
          <w:rFonts w:ascii="Arial" w:hAnsi="Arial" w:cs="Arial"/>
          <w:b/>
          <w:bCs/>
          <w:sz w:val="18"/>
          <w:szCs w:val="18"/>
        </w:rPr>
        <w:t>2019</w:t>
      </w:r>
      <w:r w:rsidRPr="00F74FC4">
        <w:rPr>
          <w:rFonts w:ascii="Arial" w:hAnsi="Arial" w:cs="Arial"/>
          <w:sz w:val="18"/>
          <w:szCs w:val="18"/>
        </w:rPr>
        <w:t>, 12, 684. [</w:t>
      </w:r>
      <w:hyperlink r:id="rId16" w:tgtFrame="_blank" w:history="1">
        <w:r w:rsidRPr="00F74FC4">
          <w:rPr>
            <w:rStyle w:val="Hyperlink"/>
            <w:rFonts w:ascii="Arial" w:hAnsi="Arial" w:cs="Arial"/>
            <w:sz w:val="18"/>
            <w:szCs w:val="18"/>
          </w:rPr>
          <w:t>Google Scholar</w:t>
        </w:r>
      </w:hyperlink>
      <w:r w:rsidRPr="00F74FC4">
        <w:rPr>
          <w:rFonts w:ascii="Arial" w:hAnsi="Arial" w:cs="Arial"/>
          <w:sz w:val="18"/>
          <w:szCs w:val="18"/>
        </w:rPr>
        <w:t>] [</w:t>
      </w:r>
      <w:hyperlink r:id="rId17" w:tgtFrame="_blank" w:history="1">
        <w:r w:rsidRPr="00F74FC4">
          <w:rPr>
            <w:rStyle w:val="Hyperlink"/>
            <w:rFonts w:ascii="Arial" w:hAnsi="Arial" w:cs="Arial"/>
            <w:sz w:val="18"/>
            <w:szCs w:val="18"/>
          </w:rPr>
          <w:t>CrossRef</w:t>
        </w:r>
      </w:hyperlink>
      <w:r w:rsidRPr="00F74FC4">
        <w:rPr>
          <w:rFonts w:ascii="Arial" w:hAnsi="Arial" w:cs="Arial"/>
          <w:sz w:val="18"/>
          <w:szCs w:val="18"/>
        </w:rPr>
        <w:t>]</w:t>
      </w:r>
    </w:p>
    <w:p w14:paraId="04EAB043" w14:textId="77777777" w:rsidR="00A4089A" w:rsidRPr="00F74FC4" w:rsidRDefault="00A4089A" w:rsidP="0018366A">
      <w:pPr>
        <w:ind w:left="270" w:hanging="270"/>
        <w:jc w:val="both"/>
        <w:rPr>
          <w:rFonts w:ascii="Arial" w:hAnsi="Arial" w:cs="Arial"/>
        </w:rPr>
      </w:pPr>
    </w:p>
    <w:p w14:paraId="3A78B0E3" w14:textId="77777777" w:rsidR="00B01FCD" w:rsidRPr="00F74FC4" w:rsidRDefault="00B01FCD" w:rsidP="0018366A">
      <w:pPr>
        <w:pStyle w:val="Reference"/>
        <w:numPr>
          <w:ilvl w:val="0"/>
          <w:numId w:val="0"/>
        </w:numPr>
        <w:spacing w:line="240" w:lineRule="auto"/>
        <w:rPr>
          <w:rFonts w:ascii="Arial" w:hAnsi="Arial" w:cs="Arial"/>
        </w:rPr>
      </w:pPr>
    </w:p>
    <w:p w14:paraId="5ABDBEDE" w14:textId="77777777" w:rsidR="00997B6E" w:rsidRPr="00F74FC4" w:rsidRDefault="00997B6E" w:rsidP="005545B6">
      <w:pPr>
        <w:pStyle w:val="NormalWeb"/>
        <w:spacing w:before="0" w:beforeAutospacing="0" w:after="0" w:afterAutospacing="0"/>
        <w:jc w:val="both"/>
        <w:rPr>
          <w:rFonts w:ascii="Arial" w:hAnsi="Arial" w:cs="Arial"/>
          <w:sz w:val="20"/>
          <w:szCs w:val="20"/>
        </w:rPr>
      </w:pPr>
    </w:p>
    <w:p w14:paraId="3C50441C" w14:textId="77777777" w:rsidR="009247F9" w:rsidRDefault="009247F9" w:rsidP="0018366A">
      <w:pPr>
        <w:pStyle w:val="Appendix"/>
        <w:spacing w:after="0"/>
        <w:jc w:val="both"/>
        <w:rPr>
          <w:noProof/>
          <w:lang w:bidi="my-MM"/>
        </w:rPr>
      </w:pPr>
    </w:p>
    <w:p w14:paraId="6E51AA81" w14:textId="77777777" w:rsidR="004D4277" w:rsidRPr="00F74FC4" w:rsidRDefault="00B01FCD" w:rsidP="0018366A">
      <w:pPr>
        <w:pStyle w:val="Appendix"/>
        <w:spacing w:after="0"/>
        <w:jc w:val="both"/>
        <w:rPr>
          <w:rFonts w:ascii="Arial" w:hAnsi="Arial" w:cs="Arial"/>
          <w:sz w:val="20"/>
        </w:rPr>
      </w:pPr>
      <w:r w:rsidRPr="00F74FC4">
        <w:rPr>
          <w:rFonts w:ascii="Arial" w:hAnsi="Arial" w:cs="Arial"/>
          <w:sz w:val="20"/>
        </w:rPr>
        <w:t>APPENDIX</w:t>
      </w:r>
    </w:p>
    <w:p w14:paraId="4E0709E1" w14:textId="77777777" w:rsidR="00323F85" w:rsidRPr="00F74FC4" w:rsidRDefault="00323F85" w:rsidP="0018366A">
      <w:pPr>
        <w:pStyle w:val="Appendix"/>
        <w:spacing w:after="0"/>
        <w:jc w:val="both"/>
        <w:rPr>
          <w:rFonts w:ascii="Arial" w:hAnsi="Arial" w:cs="Arial"/>
          <w:b w:val="0"/>
          <w:sz w:val="20"/>
        </w:rPr>
        <w:sectPr w:rsidR="00323F85" w:rsidRPr="00F74FC4" w:rsidSect="009E3823">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2016" w:bottom="1872" w:left="2016" w:header="720" w:footer="1123" w:gutter="0"/>
          <w:cols w:space="720"/>
          <w:docGrid w:linePitch="272"/>
        </w:sectPr>
      </w:pPr>
    </w:p>
    <w:p w14:paraId="7F12CFAE" w14:textId="77777777" w:rsidR="005E49BE" w:rsidRPr="00F74FC4" w:rsidRDefault="00865B6F" w:rsidP="0018366A">
      <w:pPr>
        <w:pStyle w:val="Appendix"/>
        <w:spacing w:after="0"/>
        <w:jc w:val="both"/>
        <w:rPr>
          <w:rFonts w:ascii="Arial" w:hAnsi="Arial" w:cs="Arial"/>
          <w:b w:val="0"/>
          <w:sz w:val="20"/>
        </w:rPr>
      </w:pPr>
      <w:r w:rsidRPr="00F74FC4">
        <w:rPr>
          <w:rFonts w:ascii="Arial" w:hAnsi="Arial" w:cs="Arial"/>
          <w:b w:val="0"/>
          <w:sz w:val="20"/>
        </w:rPr>
        <w:tab/>
      </w:r>
      <w:r w:rsidR="00DB2820" w:rsidRPr="00F74FC4">
        <w:rPr>
          <w:rFonts w:ascii="Arial" w:hAnsi="Arial" w:cs="Arial"/>
          <w:b w:val="0"/>
          <w:sz w:val="20"/>
        </w:rPr>
        <w:tab/>
      </w:r>
    </w:p>
    <w:p w14:paraId="0FB64957" w14:textId="77777777" w:rsidR="00671118" w:rsidRDefault="00671118" w:rsidP="0018366A">
      <w:pPr>
        <w:pStyle w:val="Appendix"/>
        <w:spacing w:after="0"/>
        <w:jc w:val="both"/>
        <w:rPr>
          <w:noProof/>
          <w:lang w:bidi="my-MM"/>
        </w:rPr>
      </w:pPr>
    </w:p>
    <w:p w14:paraId="5F283D49" w14:textId="77777777" w:rsidR="00F64167" w:rsidRPr="00F74FC4" w:rsidRDefault="009247F9" w:rsidP="0018366A">
      <w:pPr>
        <w:pStyle w:val="Appendix"/>
        <w:spacing w:after="0"/>
        <w:jc w:val="both"/>
        <w:rPr>
          <w:rFonts w:ascii="Arial" w:hAnsi="Arial" w:cs="Arial"/>
          <w:b w:val="0"/>
          <w:sz w:val="20"/>
        </w:rPr>
      </w:pPr>
      <w:r w:rsidRPr="00E36B9C">
        <w:rPr>
          <w:noProof/>
          <w:lang w:bidi="my-MM"/>
        </w:rPr>
        <w:drawing>
          <wp:anchor distT="0" distB="0" distL="114300" distR="114300" simplePos="0" relativeHeight="251666432" behindDoc="0" locked="0" layoutInCell="1" allowOverlap="1" wp14:anchorId="7B02801A" wp14:editId="29F94F65">
            <wp:simplePos x="0" y="0"/>
            <wp:positionH relativeFrom="column">
              <wp:posOffset>922655</wp:posOffset>
            </wp:positionH>
            <wp:positionV relativeFrom="paragraph">
              <wp:posOffset>6350</wp:posOffset>
            </wp:positionV>
            <wp:extent cx="4218305" cy="4192270"/>
            <wp:effectExtent l="19050" t="19050" r="10795" b="177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4">
                      <a:extLst>
                        <a:ext uri="{28A0092B-C50C-407E-A947-70E740481C1C}">
                          <a14:useLocalDpi xmlns:a14="http://schemas.microsoft.com/office/drawing/2010/main" val="0"/>
                        </a:ext>
                      </a:extLst>
                    </a:blip>
                    <a:srcRect l="907" t="8646" r="35735"/>
                    <a:stretch/>
                  </pic:blipFill>
                  <pic:spPr bwMode="auto">
                    <a:xfrm>
                      <a:off x="0" y="0"/>
                      <a:ext cx="4218305" cy="419227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F64167" w:rsidRPr="00F74FC4" w:rsidSect="009E38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0EF9" w14:textId="77777777" w:rsidR="00120771" w:rsidRDefault="00120771" w:rsidP="00C37E61">
      <w:r>
        <w:separator/>
      </w:r>
    </w:p>
  </w:endnote>
  <w:endnote w:type="continuationSeparator" w:id="0">
    <w:p w14:paraId="1BEB4FDE" w14:textId="77777777" w:rsidR="00120771" w:rsidRDefault="0012077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3637" w14:textId="77777777" w:rsidR="00AF0798" w:rsidRDefault="00AF0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822A" w14:textId="77777777" w:rsidR="00AF0798" w:rsidRDefault="00AF0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505A" w14:textId="77777777" w:rsidR="00AF0798" w:rsidRDefault="00AF0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B36E7" w14:textId="77777777" w:rsidR="00120771" w:rsidRDefault="00120771" w:rsidP="00C37E61">
      <w:r>
        <w:separator/>
      </w:r>
    </w:p>
  </w:footnote>
  <w:footnote w:type="continuationSeparator" w:id="0">
    <w:p w14:paraId="28C9DE2F" w14:textId="77777777" w:rsidR="00120771" w:rsidRDefault="0012077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9093" w14:textId="0C26B4D3" w:rsidR="00AF0798" w:rsidRDefault="00AF0798">
    <w:pPr>
      <w:pStyle w:val="Header"/>
    </w:pPr>
    <w:r>
      <w:rPr>
        <w:noProof/>
      </w:rPr>
      <w:pict w14:anchorId="07636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295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794A" w14:textId="5AE3D83D" w:rsidR="00AF0798" w:rsidRDefault="00AF0798">
    <w:pPr>
      <w:pStyle w:val="Header"/>
    </w:pPr>
    <w:r>
      <w:rPr>
        <w:noProof/>
      </w:rPr>
      <w:pict w14:anchorId="77C4F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295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E64E" w14:textId="22A463AC" w:rsidR="00AF0798" w:rsidRDefault="00AF0798">
    <w:pPr>
      <w:pStyle w:val="Header"/>
    </w:pPr>
    <w:r>
      <w:rPr>
        <w:noProof/>
      </w:rPr>
      <w:pict w14:anchorId="64581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29546"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43426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0D66128"/>
    <w:multiLevelType w:val="multilevel"/>
    <w:tmpl w:val="E854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B6B52F0"/>
    <w:multiLevelType w:val="hybridMultilevel"/>
    <w:tmpl w:val="09985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20C21EF"/>
    <w:multiLevelType w:val="multilevel"/>
    <w:tmpl w:val="F01A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BC25A7"/>
    <w:multiLevelType w:val="multilevel"/>
    <w:tmpl w:val="6730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C423C48"/>
    <w:multiLevelType w:val="multilevel"/>
    <w:tmpl w:val="8AE0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FA4706"/>
    <w:multiLevelType w:val="hybridMultilevel"/>
    <w:tmpl w:val="C19E48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67796F"/>
    <w:multiLevelType w:val="multilevel"/>
    <w:tmpl w:val="BE042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BDA4EE6"/>
    <w:multiLevelType w:val="multilevel"/>
    <w:tmpl w:val="4134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65743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9957859">
    <w:abstractNumId w:val="20"/>
  </w:num>
  <w:num w:numId="3" w16cid:durableId="1855873712">
    <w:abstractNumId w:val="32"/>
  </w:num>
  <w:num w:numId="4" w16cid:durableId="47213610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40107219">
    <w:abstractNumId w:val="7"/>
  </w:num>
  <w:num w:numId="6" w16cid:durableId="687146409">
    <w:abstractNumId w:val="6"/>
  </w:num>
  <w:num w:numId="7" w16cid:durableId="1963338074">
    <w:abstractNumId w:val="1"/>
  </w:num>
  <w:num w:numId="8" w16cid:durableId="1665863645">
    <w:abstractNumId w:val="15"/>
  </w:num>
  <w:num w:numId="9" w16cid:durableId="1800759583">
    <w:abstractNumId w:val="34"/>
  </w:num>
  <w:num w:numId="10" w16cid:durableId="1051001009">
    <w:abstractNumId w:val="2"/>
  </w:num>
  <w:num w:numId="11" w16cid:durableId="491024301">
    <w:abstractNumId w:val="26"/>
  </w:num>
  <w:num w:numId="12" w16cid:durableId="24523229">
    <w:abstractNumId w:val="3"/>
  </w:num>
  <w:num w:numId="13" w16cid:durableId="1805731016">
    <w:abstractNumId w:val="25"/>
  </w:num>
  <w:num w:numId="14" w16cid:durableId="987976313">
    <w:abstractNumId w:val="9"/>
  </w:num>
  <w:num w:numId="15" w16cid:durableId="117457086">
    <w:abstractNumId w:val="30"/>
  </w:num>
  <w:num w:numId="16" w16cid:durableId="145516686">
    <w:abstractNumId w:val="5"/>
  </w:num>
  <w:num w:numId="17" w16cid:durableId="1710688812">
    <w:abstractNumId w:val="31"/>
  </w:num>
  <w:num w:numId="18" w16cid:durableId="434133627">
    <w:abstractNumId w:val="17"/>
  </w:num>
  <w:num w:numId="19" w16cid:durableId="1865561008">
    <w:abstractNumId w:val="37"/>
  </w:num>
  <w:num w:numId="20" w16cid:durableId="965966932">
    <w:abstractNumId w:val="13"/>
  </w:num>
  <w:num w:numId="21" w16cid:durableId="353310754">
    <w:abstractNumId w:val="11"/>
  </w:num>
  <w:num w:numId="22" w16cid:durableId="677583987">
    <w:abstractNumId w:val="16"/>
  </w:num>
  <w:num w:numId="23" w16cid:durableId="1481457258">
    <w:abstractNumId w:val="28"/>
  </w:num>
  <w:num w:numId="24" w16cid:durableId="1572153079">
    <w:abstractNumId w:val="35"/>
  </w:num>
  <w:num w:numId="25" w16cid:durableId="1518234937">
    <w:abstractNumId w:val="4"/>
  </w:num>
  <w:num w:numId="26" w16cid:durableId="1323123989">
    <w:abstractNumId w:val="23"/>
  </w:num>
  <w:num w:numId="27" w16cid:durableId="1262182445">
    <w:abstractNumId w:val="29"/>
  </w:num>
  <w:num w:numId="28" w16cid:durableId="405344802">
    <w:abstractNumId w:val="36"/>
  </w:num>
  <w:num w:numId="29" w16cid:durableId="271137324">
    <w:abstractNumId w:val="33"/>
  </w:num>
  <w:num w:numId="30" w16cid:durableId="327098315">
    <w:abstractNumId w:val="12"/>
  </w:num>
  <w:num w:numId="31" w16cid:durableId="210002359">
    <w:abstractNumId w:val="8"/>
  </w:num>
  <w:num w:numId="32" w16cid:durableId="1772504151">
    <w:abstractNumId w:val="22"/>
  </w:num>
  <w:num w:numId="33" w16cid:durableId="2129472710">
    <w:abstractNumId w:val="21"/>
  </w:num>
  <w:num w:numId="34" w16cid:durableId="1952278269">
    <w:abstractNumId w:val="10"/>
  </w:num>
  <w:num w:numId="35" w16cid:durableId="2024819228">
    <w:abstractNumId w:val="19"/>
  </w:num>
  <w:num w:numId="36" w16cid:durableId="1455055465">
    <w:abstractNumId w:val="27"/>
  </w:num>
  <w:num w:numId="37" w16cid:durableId="427195180">
    <w:abstractNumId w:val="14"/>
  </w:num>
  <w:num w:numId="38" w16cid:durableId="969823498">
    <w:abstractNumId w:val="24"/>
  </w:num>
  <w:num w:numId="39" w16cid:durableId="1839028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33F3E"/>
    <w:rsid w:val="00037204"/>
    <w:rsid w:val="00040377"/>
    <w:rsid w:val="000421CC"/>
    <w:rsid w:val="00043305"/>
    <w:rsid w:val="00044E47"/>
    <w:rsid w:val="0004579C"/>
    <w:rsid w:val="000536EC"/>
    <w:rsid w:val="0005480F"/>
    <w:rsid w:val="00060C2E"/>
    <w:rsid w:val="00066F27"/>
    <w:rsid w:val="00074192"/>
    <w:rsid w:val="00082C04"/>
    <w:rsid w:val="00093A9A"/>
    <w:rsid w:val="00094B58"/>
    <w:rsid w:val="00097831"/>
    <w:rsid w:val="000A3AB1"/>
    <w:rsid w:val="000A47FA"/>
    <w:rsid w:val="000A65D3"/>
    <w:rsid w:val="000B0B3D"/>
    <w:rsid w:val="000B0C8C"/>
    <w:rsid w:val="000B1E33"/>
    <w:rsid w:val="000B58C2"/>
    <w:rsid w:val="000C086E"/>
    <w:rsid w:val="000C10F7"/>
    <w:rsid w:val="000C1913"/>
    <w:rsid w:val="000C5A60"/>
    <w:rsid w:val="000D2182"/>
    <w:rsid w:val="000D689F"/>
    <w:rsid w:val="000E1177"/>
    <w:rsid w:val="000E2974"/>
    <w:rsid w:val="000E3FAF"/>
    <w:rsid w:val="000E7B7B"/>
    <w:rsid w:val="000E7D62"/>
    <w:rsid w:val="00103357"/>
    <w:rsid w:val="00110A13"/>
    <w:rsid w:val="001122AE"/>
    <w:rsid w:val="00115174"/>
    <w:rsid w:val="00120771"/>
    <w:rsid w:val="00123C9F"/>
    <w:rsid w:val="00123F2B"/>
    <w:rsid w:val="00126190"/>
    <w:rsid w:val="00130F17"/>
    <w:rsid w:val="001320BF"/>
    <w:rsid w:val="0013640C"/>
    <w:rsid w:val="0013665C"/>
    <w:rsid w:val="0014098E"/>
    <w:rsid w:val="0014446D"/>
    <w:rsid w:val="001507F2"/>
    <w:rsid w:val="00152331"/>
    <w:rsid w:val="00153FE7"/>
    <w:rsid w:val="0016347B"/>
    <w:rsid w:val="00163BC4"/>
    <w:rsid w:val="00165DFB"/>
    <w:rsid w:val="00182C57"/>
    <w:rsid w:val="0018366A"/>
    <w:rsid w:val="00191062"/>
    <w:rsid w:val="0019294E"/>
    <w:rsid w:val="00192B72"/>
    <w:rsid w:val="00196E5E"/>
    <w:rsid w:val="001A122C"/>
    <w:rsid w:val="001A29D8"/>
    <w:rsid w:val="001A4E30"/>
    <w:rsid w:val="001A5CAA"/>
    <w:rsid w:val="001B0427"/>
    <w:rsid w:val="001B1A74"/>
    <w:rsid w:val="001C7BA8"/>
    <w:rsid w:val="001D03D6"/>
    <w:rsid w:val="001D3A51"/>
    <w:rsid w:val="001D4EBC"/>
    <w:rsid w:val="001E10D2"/>
    <w:rsid w:val="001E25B4"/>
    <w:rsid w:val="001E44FE"/>
    <w:rsid w:val="001F2127"/>
    <w:rsid w:val="001F78A3"/>
    <w:rsid w:val="00200595"/>
    <w:rsid w:val="00204835"/>
    <w:rsid w:val="0020510F"/>
    <w:rsid w:val="00213ABB"/>
    <w:rsid w:val="002178B6"/>
    <w:rsid w:val="00217F29"/>
    <w:rsid w:val="00225FD9"/>
    <w:rsid w:val="002301E3"/>
    <w:rsid w:val="00231920"/>
    <w:rsid w:val="0023195C"/>
    <w:rsid w:val="00235242"/>
    <w:rsid w:val="0024282C"/>
    <w:rsid w:val="002437E9"/>
    <w:rsid w:val="002460DC"/>
    <w:rsid w:val="00246F8F"/>
    <w:rsid w:val="00250985"/>
    <w:rsid w:val="002556F6"/>
    <w:rsid w:val="00260686"/>
    <w:rsid w:val="00266749"/>
    <w:rsid w:val="00281629"/>
    <w:rsid w:val="00283105"/>
    <w:rsid w:val="00284C4C"/>
    <w:rsid w:val="002877FE"/>
    <w:rsid w:val="00287E68"/>
    <w:rsid w:val="00291573"/>
    <w:rsid w:val="0029421F"/>
    <w:rsid w:val="00296529"/>
    <w:rsid w:val="00297372"/>
    <w:rsid w:val="002B27FB"/>
    <w:rsid w:val="002B685A"/>
    <w:rsid w:val="002B6AE0"/>
    <w:rsid w:val="002C57D2"/>
    <w:rsid w:val="002C7C5C"/>
    <w:rsid w:val="002D543F"/>
    <w:rsid w:val="002E0A92"/>
    <w:rsid w:val="002E0D56"/>
    <w:rsid w:val="002E31F6"/>
    <w:rsid w:val="002E6A43"/>
    <w:rsid w:val="002F1DD7"/>
    <w:rsid w:val="002F2BD9"/>
    <w:rsid w:val="002F2F57"/>
    <w:rsid w:val="002F377D"/>
    <w:rsid w:val="00301390"/>
    <w:rsid w:val="00305222"/>
    <w:rsid w:val="00307277"/>
    <w:rsid w:val="00315186"/>
    <w:rsid w:val="00316E92"/>
    <w:rsid w:val="00323F85"/>
    <w:rsid w:val="0033343E"/>
    <w:rsid w:val="00347519"/>
    <w:rsid w:val="003508AF"/>
    <w:rsid w:val="003512C2"/>
    <w:rsid w:val="003530E2"/>
    <w:rsid w:val="00357166"/>
    <w:rsid w:val="0036373A"/>
    <w:rsid w:val="00365780"/>
    <w:rsid w:val="00366005"/>
    <w:rsid w:val="00371FB6"/>
    <w:rsid w:val="003763C1"/>
    <w:rsid w:val="00376BBE"/>
    <w:rsid w:val="00380B96"/>
    <w:rsid w:val="00384E5C"/>
    <w:rsid w:val="003921D8"/>
    <w:rsid w:val="0039224F"/>
    <w:rsid w:val="0039453A"/>
    <w:rsid w:val="003A070C"/>
    <w:rsid w:val="003A43A4"/>
    <w:rsid w:val="003A7E18"/>
    <w:rsid w:val="003B3416"/>
    <w:rsid w:val="003B7E1D"/>
    <w:rsid w:val="003C4C86"/>
    <w:rsid w:val="003C5B4D"/>
    <w:rsid w:val="003C6258"/>
    <w:rsid w:val="003D378D"/>
    <w:rsid w:val="003D397C"/>
    <w:rsid w:val="003D4FCE"/>
    <w:rsid w:val="003D5516"/>
    <w:rsid w:val="003D7F86"/>
    <w:rsid w:val="003E2904"/>
    <w:rsid w:val="003E29C4"/>
    <w:rsid w:val="003F11AB"/>
    <w:rsid w:val="003F5971"/>
    <w:rsid w:val="003F5991"/>
    <w:rsid w:val="00401927"/>
    <w:rsid w:val="0041027F"/>
    <w:rsid w:val="00412475"/>
    <w:rsid w:val="00420B16"/>
    <w:rsid w:val="00423789"/>
    <w:rsid w:val="00426873"/>
    <w:rsid w:val="00437A79"/>
    <w:rsid w:val="00440F43"/>
    <w:rsid w:val="00441B6F"/>
    <w:rsid w:val="00445D7B"/>
    <w:rsid w:val="00446221"/>
    <w:rsid w:val="00446307"/>
    <w:rsid w:val="004479BB"/>
    <w:rsid w:val="00450E62"/>
    <w:rsid w:val="004539DB"/>
    <w:rsid w:val="00454B03"/>
    <w:rsid w:val="00460638"/>
    <w:rsid w:val="004623D2"/>
    <w:rsid w:val="004704CB"/>
    <w:rsid w:val="00471A80"/>
    <w:rsid w:val="00474B77"/>
    <w:rsid w:val="00477B53"/>
    <w:rsid w:val="00481A8A"/>
    <w:rsid w:val="00482697"/>
    <w:rsid w:val="00484673"/>
    <w:rsid w:val="00486FB8"/>
    <w:rsid w:val="004872C5"/>
    <w:rsid w:val="00491A90"/>
    <w:rsid w:val="004B395F"/>
    <w:rsid w:val="004C1551"/>
    <w:rsid w:val="004C3DD5"/>
    <w:rsid w:val="004C4EA8"/>
    <w:rsid w:val="004D305E"/>
    <w:rsid w:val="004D4277"/>
    <w:rsid w:val="004E1518"/>
    <w:rsid w:val="004E59F5"/>
    <w:rsid w:val="004F3398"/>
    <w:rsid w:val="004F4AEA"/>
    <w:rsid w:val="005021C7"/>
    <w:rsid w:val="00502516"/>
    <w:rsid w:val="00505F06"/>
    <w:rsid w:val="00506042"/>
    <w:rsid w:val="00506828"/>
    <w:rsid w:val="0051065F"/>
    <w:rsid w:val="00524D31"/>
    <w:rsid w:val="005277DB"/>
    <w:rsid w:val="005303DA"/>
    <w:rsid w:val="0053056E"/>
    <w:rsid w:val="00530ECD"/>
    <w:rsid w:val="00541F96"/>
    <w:rsid w:val="00546225"/>
    <w:rsid w:val="00546DB3"/>
    <w:rsid w:val="005473F3"/>
    <w:rsid w:val="0055045E"/>
    <w:rsid w:val="00551ACF"/>
    <w:rsid w:val="005545B6"/>
    <w:rsid w:val="00554FDA"/>
    <w:rsid w:val="005641CA"/>
    <w:rsid w:val="005664BD"/>
    <w:rsid w:val="0057788D"/>
    <w:rsid w:val="00581718"/>
    <w:rsid w:val="00594F05"/>
    <w:rsid w:val="005A3A51"/>
    <w:rsid w:val="005B6827"/>
    <w:rsid w:val="005B6A20"/>
    <w:rsid w:val="005C2EC9"/>
    <w:rsid w:val="005C784C"/>
    <w:rsid w:val="005D17F6"/>
    <w:rsid w:val="005D61EB"/>
    <w:rsid w:val="005E4567"/>
    <w:rsid w:val="005E4673"/>
    <w:rsid w:val="005E49BE"/>
    <w:rsid w:val="005E5539"/>
    <w:rsid w:val="005E668F"/>
    <w:rsid w:val="005F0CA5"/>
    <w:rsid w:val="00602BF5"/>
    <w:rsid w:val="00617FDD"/>
    <w:rsid w:val="00633614"/>
    <w:rsid w:val="00633F68"/>
    <w:rsid w:val="00634C58"/>
    <w:rsid w:val="00636EB2"/>
    <w:rsid w:val="006375B8"/>
    <w:rsid w:val="00651E9B"/>
    <w:rsid w:val="0066181B"/>
    <w:rsid w:val="00663920"/>
    <w:rsid w:val="0066510A"/>
    <w:rsid w:val="00670D32"/>
    <w:rsid w:val="00671118"/>
    <w:rsid w:val="00671816"/>
    <w:rsid w:val="00672ABF"/>
    <w:rsid w:val="00673F9F"/>
    <w:rsid w:val="0068318A"/>
    <w:rsid w:val="00686953"/>
    <w:rsid w:val="00687DEA"/>
    <w:rsid w:val="00687E67"/>
    <w:rsid w:val="00690BDD"/>
    <w:rsid w:val="00691162"/>
    <w:rsid w:val="006928AD"/>
    <w:rsid w:val="006967F7"/>
    <w:rsid w:val="006A10B4"/>
    <w:rsid w:val="006A250C"/>
    <w:rsid w:val="006A7823"/>
    <w:rsid w:val="006A79F4"/>
    <w:rsid w:val="006B21D3"/>
    <w:rsid w:val="006B57D0"/>
    <w:rsid w:val="006C515C"/>
    <w:rsid w:val="006C7A59"/>
    <w:rsid w:val="006D30FF"/>
    <w:rsid w:val="006D6940"/>
    <w:rsid w:val="006D797A"/>
    <w:rsid w:val="006E0BEB"/>
    <w:rsid w:val="006F11EC"/>
    <w:rsid w:val="006F22C9"/>
    <w:rsid w:val="006F3A39"/>
    <w:rsid w:val="0070082C"/>
    <w:rsid w:val="0070117D"/>
    <w:rsid w:val="007020E6"/>
    <w:rsid w:val="00705E63"/>
    <w:rsid w:val="007135F6"/>
    <w:rsid w:val="0072755F"/>
    <w:rsid w:val="00734993"/>
    <w:rsid w:val="007369E6"/>
    <w:rsid w:val="00736B3B"/>
    <w:rsid w:val="007370F5"/>
    <w:rsid w:val="0074219D"/>
    <w:rsid w:val="00744C28"/>
    <w:rsid w:val="00746E59"/>
    <w:rsid w:val="00754C9A"/>
    <w:rsid w:val="0075599A"/>
    <w:rsid w:val="00761D52"/>
    <w:rsid w:val="00766FB6"/>
    <w:rsid w:val="00767DDF"/>
    <w:rsid w:val="0077262B"/>
    <w:rsid w:val="00775394"/>
    <w:rsid w:val="0077749E"/>
    <w:rsid w:val="00790ADA"/>
    <w:rsid w:val="007922B0"/>
    <w:rsid w:val="007A36FB"/>
    <w:rsid w:val="007A44D4"/>
    <w:rsid w:val="007B1BA7"/>
    <w:rsid w:val="007B1CBD"/>
    <w:rsid w:val="007C35A4"/>
    <w:rsid w:val="007D2288"/>
    <w:rsid w:val="007D3DC6"/>
    <w:rsid w:val="007E088F"/>
    <w:rsid w:val="007E1293"/>
    <w:rsid w:val="007E5BF6"/>
    <w:rsid w:val="007E7F64"/>
    <w:rsid w:val="007F505E"/>
    <w:rsid w:val="007F77C8"/>
    <w:rsid w:val="007F7B32"/>
    <w:rsid w:val="008013AD"/>
    <w:rsid w:val="00804BC2"/>
    <w:rsid w:val="008068C0"/>
    <w:rsid w:val="00807EFD"/>
    <w:rsid w:val="0081431A"/>
    <w:rsid w:val="008174B7"/>
    <w:rsid w:val="00824AE8"/>
    <w:rsid w:val="00831B30"/>
    <w:rsid w:val="0083216F"/>
    <w:rsid w:val="00840817"/>
    <w:rsid w:val="00853F4B"/>
    <w:rsid w:val="00860000"/>
    <w:rsid w:val="00860BC0"/>
    <w:rsid w:val="00861A0D"/>
    <w:rsid w:val="00863BD3"/>
    <w:rsid w:val="008641ED"/>
    <w:rsid w:val="008644DF"/>
    <w:rsid w:val="00865B6F"/>
    <w:rsid w:val="00866B94"/>
    <w:rsid w:val="00866D66"/>
    <w:rsid w:val="008671C6"/>
    <w:rsid w:val="00875803"/>
    <w:rsid w:val="00882949"/>
    <w:rsid w:val="00882CB3"/>
    <w:rsid w:val="00884958"/>
    <w:rsid w:val="008849C7"/>
    <w:rsid w:val="0089131A"/>
    <w:rsid w:val="00894500"/>
    <w:rsid w:val="008976DD"/>
    <w:rsid w:val="008A009B"/>
    <w:rsid w:val="008B0CF3"/>
    <w:rsid w:val="008B3E81"/>
    <w:rsid w:val="008B459E"/>
    <w:rsid w:val="008D4146"/>
    <w:rsid w:val="008E0C1D"/>
    <w:rsid w:val="008E13AE"/>
    <w:rsid w:val="008E1506"/>
    <w:rsid w:val="008E25F0"/>
    <w:rsid w:val="008E62E5"/>
    <w:rsid w:val="008E69E0"/>
    <w:rsid w:val="008E710C"/>
    <w:rsid w:val="008E7E12"/>
    <w:rsid w:val="008F069A"/>
    <w:rsid w:val="008F12DC"/>
    <w:rsid w:val="008F3503"/>
    <w:rsid w:val="008F60F6"/>
    <w:rsid w:val="008F69D6"/>
    <w:rsid w:val="008F787E"/>
    <w:rsid w:val="008F7941"/>
    <w:rsid w:val="00902823"/>
    <w:rsid w:val="009061C5"/>
    <w:rsid w:val="009157D5"/>
    <w:rsid w:val="00915CA6"/>
    <w:rsid w:val="00916BAD"/>
    <w:rsid w:val="009247F9"/>
    <w:rsid w:val="00927834"/>
    <w:rsid w:val="00944742"/>
    <w:rsid w:val="00947441"/>
    <w:rsid w:val="009500A6"/>
    <w:rsid w:val="00950AF3"/>
    <w:rsid w:val="00952D68"/>
    <w:rsid w:val="00957C18"/>
    <w:rsid w:val="009612E5"/>
    <w:rsid w:val="009659BA"/>
    <w:rsid w:val="009663D7"/>
    <w:rsid w:val="00973DED"/>
    <w:rsid w:val="00983040"/>
    <w:rsid w:val="00994BA5"/>
    <w:rsid w:val="00997B6E"/>
    <w:rsid w:val="009A79BC"/>
    <w:rsid w:val="009B3FB9"/>
    <w:rsid w:val="009C2465"/>
    <w:rsid w:val="009C5DE9"/>
    <w:rsid w:val="009D0232"/>
    <w:rsid w:val="009D1747"/>
    <w:rsid w:val="009D35A0"/>
    <w:rsid w:val="009D7873"/>
    <w:rsid w:val="009D7EB7"/>
    <w:rsid w:val="009E048A"/>
    <w:rsid w:val="009E08E9"/>
    <w:rsid w:val="009E3823"/>
    <w:rsid w:val="009E3DB9"/>
    <w:rsid w:val="009E5323"/>
    <w:rsid w:val="009E6E35"/>
    <w:rsid w:val="009F0731"/>
    <w:rsid w:val="009F0EDA"/>
    <w:rsid w:val="009F1006"/>
    <w:rsid w:val="00A00C95"/>
    <w:rsid w:val="00A03B96"/>
    <w:rsid w:val="00A03D60"/>
    <w:rsid w:val="00A05B19"/>
    <w:rsid w:val="00A1134E"/>
    <w:rsid w:val="00A12A9D"/>
    <w:rsid w:val="00A15747"/>
    <w:rsid w:val="00A24D7A"/>
    <w:rsid w:val="00A24E7E"/>
    <w:rsid w:val="00A258C3"/>
    <w:rsid w:val="00A258FF"/>
    <w:rsid w:val="00A347C0"/>
    <w:rsid w:val="00A34A70"/>
    <w:rsid w:val="00A4089A"/>
    <w:rsid w:val="00A440E0"/>
    <w:rsid w:val="00A51431"/>
    <w:rsid w:val="00A539AD"/>
    <w:rsid w:val="00A843C8"/>
    <w:rsid w:val="00A94063"/>
    <w:rsid w:val="00A959B0"/>
    <w:rsid w:val="00A969B0"/>
    <w:rsid w:val="00AA4147"/>
    <w:rsid w:val="00AA6219"/>
    <w:rsid w:val="00AA74E0"/>
    <w:rsid w:val="00AB55B6"/>
    <w:rsid w:val="00AB703F"/>
    <w:rsid w:val="00AC6BB8"/>
    <w:rsid w:val="00AD0A99"/>
    <w:rsid w:val="00AD38A0"/>
    <w:rsid w:val="00AD5D7C"/>
    <w:rsid w:val="00AE008F"/>
    <w:rsid w:val="00AE15ED"/>
    <w:rsid w:val="00AF0798"/>
    <w:rsid w:val="00B0072B"/>
    <w:rsid w:val="00B01FCD"/>
    <w:rsid w:val="00B05612"/>
    <w:rsid w:val="00B06C4F"/>
    <w:rsid w:val="00B12A65"/>
    <w:rsid w:val="00B1776C"/>
    <w:rsid w:val="00B256E1"/>
    <w:rsid w:val="00B431F8"/>
    <w:rsid w:val="00B52583"/>
    <w:rsid w:val="00B52896"/>
    <w:rsid w:val="00B545F9"/>
    <w:rsid w:val="00B56AB2"/>
    <w:rsid w:val="00B67EB1"/>
    <w:rsid w:val="00B71E1C"/>
    <w:rsid w:val="00B76B67"/>
    <w:rsid w:val="00B95236"/>
    <w:rsid w:val="00B95DFB"/>
    <w:rsid w:val="00B96BD9"/>
    <w:rsid w:val="00BA1B01"/>
    <w:rsid w:val="00BA2641"/>
    <w:rsid w:val="00BB0D60"/>
    <w:rsid w:val="00BB37AA"/>
    <w:rsid w:val="00BB6ABA"/>
    <w:rsid w:val="00BC0F78"/>
    <w:rsid w:val="00BC53A0"/>
    <w:rsid w:val="00BC5B34"/>
    <w:rsid w:val="00BC6BA3"/>
    <w:rsid w:val="00BD3918"/>
    <w:rsid w:val="00BE0239"/>
    <w:rsid w:val="00BE0AC5"/>
    <w:rsid w:val="00BE3A8A"/>
    <w:rsid w:val="00BE62AD"/>
    <w:rsid w:val="00BF121F"/>
    <w:rsid w:val="00BF1F80"/>
    <w:rsid w:val="00BF4384"/>
    <w:rsid w:val="00C05735"/>
    <w:rsid w:val="00C13858"/>
    <w:rsid w:val="00C166EF"/>
    <w:rsid w:val="00C17B6B"/>
    <w:rsid w:val="00C17EB0"/>
    <w:rsid w:val="00C24A9E"/>
    <w:rsid w:val="00C253A2"/>
    <w:rsid w:val="00C27F5F"/>
    <w:rsid w:val="00C30A0F"/>
    <w:rsid w:val="00C36485"/>
    <w:rsid w:val="00C37E61"/>
    <w:rsid w:val="00C5229C"/>
    <w:rsid w:val="00C53B27"/>
    <w:rsid w:val="00C6102E"/>
    <w:rsid w:val="00C62AE8"/>
    <w:rsid w:val="00C700C1"/>
    <w:rsid w:val="00C70F1B"/>
    <w:rsid w:val="00C71231"/>
    <w:rsid w:val="00C71A47"/>
    <w:rsid w:val="00C73094"/>
    <w:rsid w:val="00C7464C"/>
    <w:rsid w:val="00C82C17"/>
    <w:rsid w:val="00C83857"/>
    <w:rsid w:val="00C85588"/>
    <w:rsid w:val="00C93595"/>
    <w:rsid w:val="00C943D3"/>
    <w:rsid w:val="00C94660"/>
    <w:rsid w:val="00C94970"/>
    <w:rsid w:val="00C949C4"/>
    <w:rsid w:val="00C94F3C"/>
    <w:rsid w:val="00C97139"/>
    <w:rsid w:val="00CB70C1"/>
    <w:rsid w:val="00CC2A2D"/>
    <w:rsid w:val="00CC2EEF"/>
    <w:rsid w:val="00CC4241"/>
    <w:rsid w:val="00CC6284"/>
    <w:rsid w:val="00CC7917"/>
    <w:rsid w:val="00CD3B80"/>
    <w:rsid w:val="00CD6755"/>
    <w:rsid w:val="00CD6856"/>
    <w:rsid w:val="00CE0089"/>
    <w:rsid w:val="00CE5AB3"/>
    <w:rsid w:val="00CE793C"/>
    <w:rsid w:val="00CF08EB"/>
    <w:rsid w:val="00CF193C"/>
    <w:rsid w:val="00D01C34"/>
    <w:rsid w:val="00D11E4A"/>
    <w:rsid w:val="00D14FC7"/>
    <w:rsid w:val="00D173F1"/>
    <w:rsid w:val="00D24E81"/>
    <w:rsid w:val="00D260FC"/>
    <w:rsid w:val="00D27146"/>
    <w:rsid w:val="00D279E5"/>
    <w:rsid w:val="00D4287C"/>
    <w:rsid w:val="00D461DE"/>
    <w:rsid w:val="00D47F48"/>
    <w:rsid w:val="00D545E8"/>
    <w:rsid w:val="00D5528B"/>
    <w:rsid w:val="00D62A29"/>
    <w:rsid w:val="00D74CB0"/>
    <w:rsid w:val="00D80034"/>
    <w:rsid w:val="00D8295D"/>
    <w:rsid w:val="00D853F8"/>
    <w:rsid w:val="00D942EA"/>
    <w:rsid w:val="00DA00E3"/>
    <w:rsid w:val="00DA1907"/>
    <w:rsid w:val="00DA6B5C"/>
    <w:rsid w:val="00DB0CAD"/>
    <w:rsid w:val="00DB2820"/>
    <w:rsid w:val="00DC278B"/>
    <w:rsid w:val="00DC2A65"/>
    <w:rsid w:val="00DD2D8E"/>
    <w:rsid w:val="00DE15F0"/>
    <w:rsid w:val="00DE243E"/>
    <w:rsid w:val="00DE5663"/>
    <w:rsid w:val="00DE78AA"/>
    <w:rsid w:val="00DF0E5F"/>
    <w:rsid w:val="00DF457F"/>
    <w:rsid w:val="00DF544B"/>
    <w:rsid w:val="00DF7910"/>
    <w:rsid w:val="00E053D0"/>
    <w:rsid w:val="00E10362"/>
    <w:rsid w:val="00E1493A"/>
    <w:rsid w:val="00E15994"/>
    <w:rsid w:val="00E16110"/>
    <w:rsid w:val="00E2515C"/>
    <w:rsid w:val="00E25FBC"/>
    <w:rsid w:val="00E3114E"/>
    <w:rsid w:val="00E313EE"/>
    <w:rsid w:val="00E31A70"/>
    <w:rsid w:val="00E323BC"/>
    <w:rsid w:val="00E35B02"/>
    <w:rsid w:val="00E36B9C"/>
    <w:rsid w:val="00E4218C"/>
    <w:rsid w:val="00E4228A"/>
    <w:rsid w:val="00E45ED1"/>
    <w:rsid w:val="00E47A03"/>
    <w:rsid w:val="00E64085"/>
    <w:rsid w:val="00E66496"/>
    <w:rsid w:val="00E66B35"/>
    <w:rsid w:val="00E66E10"/>
    <w:rsid w:val="00E71FC2"/>
    <w:rsid w:val="00E769F6"/>
    <w:rsid w:val="00E8407C"/>
    <w:rsid w:val="00E841CB"/>
    <w:rsid w:val="00E84573"/>
    <w:rsid w:val="00E84F3C"/>
    <w:rsid w:val="00E87DAC"/>
    <w:rsid w:val="00E96D81"/>
    <w:rsid w:val="00EA012C"/>
    <w:rsid w:val="00EB3604"/>
    <w:rsid w:val="00EC6A55"/>
    <w:rsid w:val="00ED0288"/>
    <w:rsid w:val="00EE52CB"/>
    <w:rsid w:val="00EE69FE"/>
    <w:rsid w:val="00EE6B5E"/>
    <w:rsid w:val="00EF581D"/>
    <w:rsid w:val="00EF7FD8"/>
    <w:rsid w:val="00F06F59"/>
    <w:rsid w:val="00F10FD4"/>
    <w:rsid w:val="00F17988"/>
    <w:rsid w:val="00F17F58"/>
    <w:rsid w:val="00F23B6F"/>
    <w:rsid w:val="00F469F0"/>
    <w:rsid w:val="00F476D6"/>
    <w:rsid w:val="00F477AA"/>
    <w:rsid w:val="00F52D80"/>
    <w:rsid w:val="00F53273"/>
    <w:rsid w:val="00F558B8"/>
    <w:rsid w:val="00F608E5"/>
    <w:rsid w:val="00F64167"/>
    <w:rsid w:val="00F67542"/>
    <w:rsid w:val="00F7115A"/>
    <w:rsid w:val="00F74FC4"/>
    <w:rsid w:val="00F755E4"/>
    <w:rsid w:val="00F77D02"/>
    <w:rsid w:val="00F84F6E"/>
    <w:rsid w:val="00F948A9"/>
    <w:rsid w:val="00F9648B"/>
    <w:rsid w:val="00FA1F57"/>
    <w:rsid w:val="00FA7B70"/>
    <w:rsid w:val="00FB15E7"/>
    <w:rsid w:val="00FB32D2"/>
    <w:rsid w:val="00FB3A86"/>
    <w:rsid w:val="00FB4A1A"/>
    <w:rsid w:val="00FC73F4"/>
    <w:rsid w:val="00FD0AD5"/>
    <w:rsid w:val="00FD2E4B"/>
    <w:rsid w:val="00FD36C8"/>
    <w:rsid w:val="00FD39B7"/>
    <w:rsid w:val="00FD3F25"/>
    <w:rsid w:val="00FD6827"/>
    <w:rsid w:val="00FF5029"/>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530FB"/>
  <w15:docId w15:val="{9473C9BB-85FC-4AB0-976F-FCFE1DD0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663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0604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5060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C278B"/>
    <w:pPr>
      <w:spacing w:before="100" w:beforeAutospacing="1" w:after="100" w:afterAutospacing="1"/>
    </w:pPr>
    <w:rPr>
      <w:rFonts w:ascii="Times New Roman" w:hAnsi="Times New Roman"/>
      <w:sz w:val="24"/>
      <w:szCs w:val="24"/>
      <w:lang w:bidi="my-MM"/>
    </w:rPr>
  </w:style>
  <w:style w:type="character" w:customStyle="1" w:styleId="citation-97">
    <w:name w:val="citation-97"/>
    <w:basedOn w:val="DefaultParagraphFont"/>
    <w:rsid w:val="00DC278B"/>
  </w:style>
  <w:style w:type="character" w:customStyle="1" w:styleId="citation-96">
    <w:name w:val="citation-96"/>
    <w:basedOn w:val="DefaultParagraphFont"/>
    <w:rsid w:val="00DC278B"/>
  </w:style>
  <w:style w:type="character" w:customStyle="1" w:styleId="citation-95">
    <w:name w:val="citation-95"/>
    <w:basedOn w:val="DefaultParagraphFont"/>
    <w:rsid w:val="00DC278B"/>
  </w:style>
  <w:style w:type="table" w:styleId="LightList-Accent5">
    <w:name w:val="Light List Accent 5"/>
    <w:basedOn w:val="TableNormal"/>
    <w:uiPriority w:val="61"/>
    <w:rsid w:val="00F84F6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1">
    <w:name w:val="Light Shading Accent 1"/>
    <w:basedOn w:val="TableNormal"/>
    <w:uiPriority w:val="60"/>
    <w:rsid w:val="002E6A4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2E6A4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153FE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Heading3Char">
    <w:name w:val="Heading 3 Char"/>
    <w:basedOn w:val="DefaultParagraphFont"/>
    <w:link w:val="Heading3"/>
    <w:semiHidden/>
    <w:rsid w:val="0050604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506042"/>
    <w:rPr>
      <w:rFonts w:asciiTheme="majorHAnsi" w:eastAsiaTheme="majorEastAsia" w:hAnsiTheme="majorHAnsi" w:cstheme="majorBidi"/>
      <w:b/>
      <w:bCs/>
      <w:i/>
      <w:iCs/>
      <w:color w:val="4F81BD" w:themeColor="accent1"/>
    </w:rPr>
  </w:style>
  <w:style w:type="paragraph" w:styleId="BodyText">
    <w:name w:val="Body Text"/>
    <w:basedOn w:val="Normal"/>
    <w:link w:val="BodyTextChar"/>
    <w:unhideWhenUsed/>
    <w:rsid w:val="00B545F9"/>
    <w:pPr>
      <w:spacing w:after="120"/>
    </w:pPr>
  </w:style>
  <w:style w:type="character" w:customStyle="1" w:styleId="BodyTextChar">
    <w:name w:val="Body Text Char"/>
    <w:basedOn w:val="DefaultParagraphFont"/>
    <w:link w:val="BodyText"/>
    <w:rsid w:val="00B545F9"/>
    <w:rPr>
      <w:rFonts w:ascii="Helvetica" w:hAnsi="Helvetica"/>
    </w:rPr>
  </w:style>
  <w:style w:type="paragraph" w:styleId="ListParagraph">
    <w:name w:val="List Paragraph"/>
    <w:basedOn w:val="Normal"/>
    <w:uiPriority w:val="34"/>
    <w:qFormat/>
    <w:rsid w:val="0013640C"/>
    <w:pPr>
      <w:ind w:left="720"/>
      <w:contextualSpacing/>
    </w:pPr>
  </w:style>
  <w:style w:type="character" w:customStyle="1" w:styleId="Heading2Char">
    <w:name w:val="Heading 2 Char"/>
    <w:basedOn w:val="DefaultParagraphFont"/>
    <w:link w:val="Heading2"/>
    <w:semiHidden/>
    <w:rsid w:val="009663D7"/>
    <w:rPr>
      <w:rFonts w:asciiTheme="majorHAnsi" w:eastAsiaTheme="majorEastAsia" w:hAnsiTheme="majorHAnsi" w:cstheme="majorBidi"/>
      <w:b/>
      <w:bCs/>
      <w:color w:val="4F81BD" w:themeColor="accent1"/>
      <w:sz w:val="26"/>
      <w:szCs w:val="26"/>
    </w:rPr>
  </w:style>
  <w:style w:type="table" w:styleId="MediumShading1-Accent5">
    <w:name w:val="Medium Shading 1 Accent 5"/>
    <w:basedOn w:val="TableNormal"/>
    <w:uiPriority w:val="63"/>
    <w:rsid w:val="00D461D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Strong">
    <w:name w:val="Strong"/>
    <w:basedOn w:val="DefaultParagraphFont"/>
    <w:uiPriority w:val="22"/>
    <w:qFormat/>
    <w:rsid w:val="00C253A2"/>
    <w:rPr>
      <w:b/>
      <w:bCs/>
    </w:rPr>
  </w:style>
  <w:style w:type="character" w:styleId="UnresolvedMention">
    <w:name w:val="Unresolved Mention"/>
    <w:basedOn w:val="DefaultParagraphFont"/>
    <w:uiPriority w:val="99"/>
    <w:semiHidden/>
    <w:unhideWhenUsed/>
    <w:rsid w:val="00EE6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8284778">
      <w:bodyDiv w:val="1"/>
      <w:marLeft w:val="0"/>
      <w:marRight w:val="0"/>
      <w:marTop w:val="0"/>
      <w:marBottom w:val="0"/>
      <w:divBdr>
        <w:top w:val="none" w:sz="0" w:space="0" w:color="auto"/>
        <w:left w:val="none" w:sz="0" w:space="0" w:color="auto"/>
        <w:bottom w:val="none" w:sz="0" w:space="0" w:color="auto"/>
        <w:right w:val="none" w:sz="0" w:space="0" w:color="auto"/>
      </w:divBdr>
    </w:div>
    <w:div w:id="156072465">
      <w:bodyDiv w:val="1"/>
      <w:marLeft w:val="0"/>
      <w:marRight w:val="0"/>
      <w:marTop w:val="0"/>
      <w:marBottom w:val="0"/>
      <w:divBdr>
        <w:top w:val="none" w:sz="0" w:space="0" w:color="auto"/>
        <w:left w:val="none" w:sz="0" w:space="0" w:color="auto"/>
        <w:bottom w:val="none" w:sz="0" w:space="0" w:color="auto"/>
        <w:right w:val="none" w:sz="0" w:space="0" w:color="auto"/>
      </w:divBdr>
      <w:divsChild>
        <w:div w:id="1401488192">
          <w:marLeft w:val="0"/>
          <w:marRight w:val="0"/>
          <w:marTop w:val="0"/>
          <w:marBottom w:val="0"/>
          <w:divBdr>
            <w:top w:val="none" w:sz="0" w:space="0" w:color="auto"/>
            <w:left w:val="none" w:sz="0" w:space="0" w:color="auto"/>
            <w:bottom w:val="none" w:sz="0" w:space="0" w:color="auto"/>
            <w:right w:val="none" w:sz="0" w:space="0" w:color="auto"/>
          </w:divBdr>
          <w:divsChild>
            <w:div w:id="928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758089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5448087">
      <w:bodyDiv w:val="1"/>
      <w:marLeft w:val="0"/>
      <w:marRight w:val="0"/>
      <w:marTop w:val="0"/>
      <w:marBottom w:val="0"/>
      <w:divBdr>
        <w:top w:val="none" w:sz="0" w:space="0" w:color="auto"/>
        <w:left w:val="none" w:sz="0" w:space="0" w:color="auto"/>
        <w:bottom w:val="none" w:sz="0" w:space="0" w:color="auto"/>
        <w:right w:val="none" w:sz="0" w:space="0" w:color="auto"/>
      </w:divBdr>
    </w:div>
    <w:div w:id="748386827">
      <w:bodyDiv w:val="1"/>
      <w:marLeft w:val="0"/>
      <w:marRight w:val="0"/>
      <w:marTop w:val="0"/>
      <w:marBottom w:val="0"/>
      <w:divBdr>
        <w:top w:val="none" w:sz="0" w:space="0" w:color="auto"/>
        <w:left w:val="none" w:sz="0" w:space="0" w:color="auto"/>
        <w:bottom w:val="none" w:sz="0" w:space="0" w:color="auto"/>
        <w:right w:val="none" w:sz="0" w:space="0" w:color="auto"/>
      </w:divBdr>
    </w:div>
    <w:div w:id="844366904">
      <w:bodyDiv w:val="1"/>
      <w:marLeft w:val="0"/>
      <w:marRight w:val="0"/>
      <w:marTop w:val="0"/>
      <w:marBottom w:val="0"/>
      <w:divBdr>
        <w:top w:val="none" w:sz="0" w:space="0" w:color="auto"/>
        <w:left w:val="none" w:sz="0" w:space="0" w:color="auto"/>
        <w:bottom w:val="none" w:sz="0" w:space="0" w:color="auto"/>
        <w:right w:val="none" w:sz="0" w:space="0" w:color="auto"/>
      </w:divBdr>
    </w:div>
    <w:div w:id="8700757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6566515">
      <w:bodyDiv w:val="1"/>
      <w:marLeft w:val="0"/>
      <w:marRight w:val="0"/>
      <w:marTop w:val="0"/>
      <w:marBottom w:val="0"/>
      <w:divBdr>
        <w:top w:val="none" w:sz="0" w:space="0" w:color="auto"/>
        <w:left w:val="none" w:sz="0" w:space="0" w:color="auto"/>
        <w:bottom w:val="none" w:sz="0" w:space="0" w:color="auto"/>
        <w:right w:val="none" w:sz="0" w:space="0" w:color="auto"/>
      </w:divBdr>
    </w:div>
    <w:div w:id="1415469547">
      <w:bodyDiv w:val="1"/>
      <w:marLeft w:val="0"/>
      <w:marRight w:val="0"/>
      <w:marTop w:val="0"/>
      <w:marBottom w:val="0"/>
      <w:divBdr>
        <w:top w:val="none" w:sz="0" w:space="0" w:color="auto"/>
        <w:left w:val="none" w:sz="0" w:space="0" w:color="auto"/>
        <w:bottom w:val="none" w:sz="0" w:space="0" w:color="auto"/>
        <w:right w:val="none" w:sz="0" w:space="0" w:color="auto"/>
      </w:divBdr>
    </w:div>
    <w:div w:id="1652101194">
      <w:bodyDiv w:val="1"/>
      <w:marLeft w:val="0"/>
      <w:marRight w:val="0"/>
      <w:marTop w:val="0"/>
      <w:marBottom w:val="0"/>
      <w:divBdr>
        <w:top w:val="none" w:sz="0" w:space="0" w:color="auto"/>
        <w:left w:val="none" w:sz="0" w:space="0" w:color="auto"/>
        <w:bottom w:val="none" w:sz="0" w:space="0" w:color="auto"/>
        <w:right w:val="none" w:sz="0" w:space="0" w:color="auto"/>
      </w:divBdr>
      <w:divsChild>
        <w:div w:id="1535383468">
          <w:marLeft w:val="0"/>
          <w:marRight w:val="0"/>
          <w:marTop w:val="0"/>
          <w:marBottom w:val="0"/>
          <w:divBdr>
            <w:top w:val="none" w:sz="0" w:space="0" w:color="auto"/>
            <w:left w:val="none" w:sz="0" w:space="0" w:color="auto"/>
            <w:bottom w:val="none" w:sz="0" w:space="0" w:color="auto"/>
            <w:right w:val="none" w:sz="0" w:space="0" w:color="auto"/>
          </w:divBdr>
        </w:div>
        <w:div w:id="855315186">
          <w:marLeft w:val="0"/>
          <w:marRight w:val="0"/>
          <w:marTop w:val="0"/>
          <w:marBottom w:val="0"/>
          <w:divBdr>
            <w:top w:val="none" w:sz="0" w:space="0" w:color="auto"/>
            <w:left w:val="none" w:sz="0" w:space="0" w:color="auto"/>
            <w:bottom w:val="none" w:sz="0" w:space="0" w:color="auto"/>
            <w:right w:val="none" w:sz="0" w:space="0" w:color="auto"/>
          </w:divBdr>
        </w:div>
      </w:divsChild>
    </w:div>
    <w:div w:id="1694187703">
      <w:bodyDiv w:val="1"/>
      <w:marLeft w:val="0"/>
      <w:marRight w:val="0"/>
      <w:marTop w:val="0"/>
      <w:marBottom w:val="0"/>
      <w:divBdr>
        <w:top w:val="none" w:sz="0" w:space="0" w:color="auto"/>
        <w:left w:val="none" w:sz="0" w:space="0" w:color="auto"/>
        <w:bottom w:val="none" w:sz="0" w:space="0" w:color="auto"/>
        <w:right w:val="none" w:sz="0" w:space="0" w:color="auto"/>
      </w:divBdr>
    </w:div>
    <w:div w:id="173824146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3524710">
      <w:bodyDiv w:val="1"/>
      <w:marLeft w:val="0"/>
      <w:marRight w:val="0"/>
      <w:marTop w:val="0"/>
      <w:marBottom w:val="0"/>
      <w:divBdr>
        <w:top w:val="none" w:sz="0" w:space="0" w:color="auto"/>
        <w:left w:val="none" w:sz="0" w:space="0" w:color="auto"/>
        <w:bottom w:val="none" w:sz="0" w:space="0" w:color="auto"/>
        <w:right w:val="none" w:sz="0" w:space="0" w:color="auto"/>
      </w:divBdr>
    </w:div>
    <w:div w:id="1796287059">
      <w:bodyDiv w:val="1"/>
      <w:marLeft w:val="0"/>
      <w:marRight w:val="0"/>
      <w:marTop w:val="0"/>
      <w:marBottom w:val="0"/>
      <w:divBdr>
        <w:top w:val="none" w:sz="0" w:space="0" w:color="auto"/>
        <w:left w:val="none" w:sz="0" w:space="0" w:color="auto"/>
        <w:bottom w:val="none" w:sz="0" w:space="0" w:color="auto"/>
        <w:right w:val="none" w:sz="0" w:space="0" w:color="auto"/>
      </w:divBdr>
    </w:div>
    <w:div w:id="1842812547">
      <w:bodyDiv w:val="1"/>
      <w:marLeft w:val="0"/>
      <w:marRight w:val="0"/>
      <w:marTop w:val="0"/>
      <w:marBottom w:val="0"/>
      <w:divBdr>
        <w:top w:val="none" w:sz="0" w:space="0" w:color="auto"/>
        <w:left w:val="none" w:sz="0" w:space="0" w:color="auto"/>
        <w:bottom w:val="none" w:sz="0" w:space="0" w:color="auto"/>
        <w:right w:val="none" w:sz="0" w:space="0" w:color="auto"/>
      </w:divBdr>
    </w:div>
    <w:div w:id="1908224155">
      <w:bodyDiv w:val="1"/>
      <w:marLeft w:val="0"/>
      <w:marRight w:val="0"/>
      <w:marTop w:val="0"/>
      <w:marBottom w:val="0"/>
      <w:divBdr>
        <w:top w:val="none" w:sz="0" w:space="0" w:color="auto"/>
        <w:left w:val="none" w:sz="0" w:space="0" w:color="auto"/>
        <w:bottom w:val="none" w:sz="0" w:space="0" w:color="auto"/>
        <w:right w:val="none" w:sz="0" w:space="0" w:color="auto"/>
      </w:divBdr>
    </w:div>
    <w:div w:id="190880459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holar.google.com/scholar_lookup?title=Optimization+of+distributed+communication+architectures+in+advanced+metering+infrastructure+of+smart+grid&amp;conference=Proceedings+of+the+2014+IEEE+27th+Canadian+Conference+on+Electrical+and+Computer+Engineering+(CCECE)&amp;author=Barai,+G.&amp;author=Raahemifar,+K.&amp;publication_year=2014&amp;pages=1%E2%80%936"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3390/en1204068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cholar.google.com/scholar_lookup?title=Statistical+learning+for+service+quality+estimation+in+broadband+PLC+AMI&amp;author=Kim,+D.S.&amp;author=Chung,+B.J.&amp;author=Chung,+Y.M.&amp;publication_year=2019&amp;journal=Energies&amp;volume=12&amp;pages=684&amp;doi=10.3390/en1204068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yperlink" Target="https://doi.org/10.3390/en10111782"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cholar.google.com/scholar_lookup?title=Smart+grid+applications+for+a+practical+implementation+of+IP+over+narrowband+power+line+communications&amp;author=Uribe-P%C3%A9rez,+N.&amp;author=Angulo,+I.&amp;author=de+la+Vega,+D.&amp;author=Arzuaga,+T.&amp;author=Fern%C3%A1ndez,+I.&amp;author=Arrinda,+A.&amp;publication_year=2017&amp;journal=Energies&amp;volume=10&amp;pages=1782&amp;doi=10.3390/en10111782"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Sheet1!$C$3</c:f>
              <c:strCache>
                <c:ptCount val="1"/>
                <c:pt idx="0">
                  <c:v>System Loss Before Installation</c:v>
                </c:pt>
              </c:strCache>
            </c:strRef>
          </c:tx>
          <c:marker>
            <c:symbol val="none"/>
          </c:marker>
          <c:cat>
            <c:strRef>
              <c:f>Sheet1!$B$4:$B$23</c:f>
              <c:strCache>
                <c:ptCount val="20"/>
                <c:pt idx="0">
                  <c:v>Dawbon</c:v>
                </c:pt>
                <c:pt idx="1">
                  <c:v>Pabedan</c:v>
                </c:pt>
                <c:pt idx="2">
                  <c:v>South Okkalapa</c:v>
                </c:pt>
                <c:pt idx="3">
                  <c:v>Kawhmu</c:v>
                </c:pt>
                <c:pt idx="4">
                  <c:v>Thongwa</c:v>
                </c:pt>
                <c:pt idx="5">
                  <c:v>Dala</c:v>
                </c:pt>
                <c:pt idx="6">
                  <c:v>Kyauktada</c:v>
                </c:pt>
                <c:pt idx="7">
                  <c:v>Lanmadaw</c:v>
                </c:pt>
                <c:pt idx="8">
                  <c:v>Latha</c:v>
                </c:pt>
                <c:pt idx="9">
                  <c:v>Pazundaung</c:v>
                </c:pt>
                <c:pt idx="10">
                  <c:v>Botahtaung</c:v>
                </c:pt>
                <c:pt idx="11">
                  <c:v>Shwelinpan</c:v>
                </c:pt>
                <c:pt idx="12">
                  <c:v>Ahlone</c:v>
                </c:pt>
                <c:pt idx="13">
                  <c:v>Dagon Myothit (South)</c:v>
                </c:pt>
                <c:pt idx="14">
                  <c:v>Hlaingthaya (East)</c:v>
                </c:pt>
                <c:pt idx="15">
                  <c:v>Hlaingthaya (West)</c:v>
                </c:pt>
                <c:pt idx="16">
                  <c:v>Shwepaukkan</c:v>
                </c:pt>
                <c:pt idx="17">
                  <c:v>Thanlyin</c:v>
                </c:pt>
                <c:pt idx="18">
                  <c:v>Letpadankon</c:v>
                </c:pt>
                <c:pt idx="19">
                  <c:v>Kyauktan</c:v>
                </c:pt>
              </c:strCache>
            </c:strRef>
          </c:cat>
          <c:val>
            <c:numRef>
              <c:f>Sheet1!$C$4:$C$23</c:f>
              <c:numCache>
                <c:formatCode>0.00%</c:formatCode>
                <c:ptCount val="20"/>
                <c:pt idx="0">
                  <c:v>0.1305</c:v>
                </c:pt>
                <c:pt idx="1">
                  <c:v>9.1700000000000004E-2</c:v>
                </c:pt>
                <c:pt idx="2">
                  <c:v>0.1111</c:v>
                </c:pt>
                <c:pt idx="3">
                  <c:v>0.154</c:v>
                </c:pt>
                <c:pt idx="4">
                  <c:v>0.1043</c:v>
                </c:pt>
                <c:pt idx="5">
                  <c:v>0.1163</c:v>
                </c:pt>
                <c:pt idx="6">
                  <c:v>0.1288</c:v>
                </c:pt>
                <c:pt idx="7">
                  <c:v>7.9699999999999993E-2</c:v>
                </c:pt>
                <c:pt idx="8">
                  <c:v>9.2799999999999994E-2</c:v>
                </c:pt>
                <c:pt idx="9">
                  <c:v>0.1163</c:v>
                </c:pt>
                <c:pt idx="10">
                  <c:v>0.1208</c:v>
                </c:pt>
                <c:pt idx="11">
                  <c:v>3.7100000000000001E-2</c:v>
                </c:pt>
                <c:pt idx="12">
                  <c:v>0.129</c:v>
                </c:pt>
                <c:pt idx="13">
                  <c:v>0.24410000000000001</c:v>
                </c:pt>
                <c:pt idx="14">
                  <c:v>0.1673</c:v>
                </c:pt>
                <c:pt idx="15">
                  <c:v>0.17150000000000001</c:v>
                </c:pt>
                <c:pt idx="16">
                  <c:v>0.17019999999999999</c:v>
                </c:pt>
                <c:pt idx="17">
                  <c:v>7.2900000000000006E-2</c:v>
                </c:pt>
                <c:pt idx="18">
                  <c:v>0.10059999999999999</c:v>
                </c:pt>
                <c:pt idx="19">
                  <c:v>7.2900000000000006E-2</c:v>
                </c:pt>
              </c:numCache>
            </c:numRef>
          </c:val>
          <c:smooth val="0"/>
          <c:extLst>
            <c:ext xmlns:c16="http://schemas.microsoft.com/office/drawing/2014/chart" uri="{C3380CC4-5D6E-409C-BE32-E72D297353CC}">
              <c16:uniqueId val="{00000000-6072-42C0-87B5-0A4B2331806C}"/>
            </c:ext>
          </c:extLst>
        </c:ser>
        <c:ser>
          <c:idx val="1"/>
          <c:order val="1"/>
          <c:tx>
            <c:strRef>
              <c:f>Sheet1!$D$3</c:f>
              <c:strCache>
                <c:ptCount val="1"/>
                <c:pt idx="0">
                  <c:v>System Loss After Installation</c:v>
                </c:pt>
              </c:strCache>
            </c:strRef>
          </c:tx>
          <c:marker>
            <c:symbol val="none"/>
          </c:marker>
          <c:cat>
            <c:strRef>
              <c:f>Sheet1!$B$4:$B$23</c:f>
              <c:strCache>
                <c:ptCount val="20"/>
                <c:pt idx="0">
                  <c:v>Dawbon</c:v>
                </c:pt>
                <c:pt idx="1">
                  <c:v>Pabedan</c:v>
                </c:pt>
                <c:pt idx="2">
                  <c:v>South Okkalapa</c:v>
                </c:pt>
                <c:pt idx="3">
                  <c:v>Kawhmu</c:v>
                </c:pt>
                <c:pt idx="4">
                  <c:v>Thongwa</c:v>
                </c:pt>
                <c:pt idx="5">
                  <c:v>Dala</c:v>
                </c:pt>
                <c:pt idx="6">
                  <c:v>Kyauktada</c:v>
                </c:pt>
                <c:pt idx="7">
                  <c:v>Lanmadaw</c:v>
                </c:pt>
                <c:pt idx="8">
                  <c:v>Latha</c:v>
                </c:pt>
                <c:pt idx="9">
                  <c:v>Pazundaung</c:v>
                </c:pt>
                <c:pt idx="10">
                  <c:v>Botahtaung</c:v>
                </c:pt>
                <c:pt idx="11">
                  <c:v>Shwelinpan</c:v>
                </c:pt>
                <c:pt idx="12">
                  <c:v>Ahlone</c:v>
                </c:pt>
                <c:pt idx="13">
                  <c:v>Dagon Myothit (South)</c:v>
                </c:pt>
                <c:pt idx="14">
                  <c:v>Hlaingthaya (East)</c:v>
                </c:pt>
                <c:pt idx="15">
                  <c:v>Hlaingthaya (West)</c:v>
                </c:pt>
                <c:pt idx="16">
                  <c:v>Shwepaukkan</c:v>
                </c:pt>
                <c:pt idx="17">
                  <c:v>Thanlyin</c:v>
                </c:pt>
                <c:pt idx="18">
                  <c:v>Letpadankon</c:v>
                </c:pt>
                <c:pt idx="19">
                  <c:v>Kyauktan</c:v>
                </c:pt>
              </c:strCache>
            </c:strRef>
          </c:cat>
          <c:val>
            <c:numRef>
              <c:f>Sheet1!$D$4:$D$23</c:f>
              <c:numCache>
                <c:formatCode>0.00%</c:formatCode>
                <c:ptCount val="20"/>
                <c:pt idx="0">
                  <c:v>6.08E-2</c:v>
                </c:pt>
                <c:pt idx="1">
                  <c:v>3.1699999999999999E-2</c:v>
                </c:pt>
                <c:pt idx="2">
                  <c:v>9.9599999999999994E-2</c:v>
                </c:pt>
                <c:pt idx="3">
                  <c:v>8.2299999999999998E-2</c:v>
                </c:pt>
                <c:pt idx="4">
                  <c:v>8.1799999999999998E-2</c:v>
                </c:pt>
                <c:pt idx="5">
                  <c:v>6.7000000000000004E-2</c:v>
                </c:pt>
                <c:pt idx="6">
                  <c:v>4.2299999999999997E-2</c:v>
                </c:pt>
                <c:pt idx="7">
                  <c:v>2.4E-2</c:v>
                </c:pt>
                <c:pt idx="8">
                  <c:v>3.56E-2</c:v>
                </c:pt>
                <c:pt idx="9">
                  <c:v>7.0999999999999994E-2</c:v>
                </c:pt>
                <c:pt idx="10">
                  <c:v>3.7999999999999999E-2</c:v>
                </c:pt>
                <c:pt idx="11">
                  <c:v>1.2500000000000001E-2</c:v>
                </c:pt>
                <c:pt idx="12">
                  <c:v>8.3099999999999993E-2</c:v>
                </c:pt>
                <c:pt idx="13">
                  <c:v>0.1452</c:v>
                </c:pt>
                <c:pt idx="14">
                  <c:v>0.1115</c:v>
                </c:pt>
                <c:pt idx="15">
                  <c:v>0.1033</c:v>
                </c:pt>
                <c:pt idx="16">
                  <c:v>5.1200000000000002E-2</c:v>
                </c:pt>
                <c:pt idx="17">
                  <c:v>5.5E-2</c:v>
                </c:pt>
                <c:pt idx="18">
                  <c:v>8.4199999999999997E-2</c:v>
                </c:pt>
                <c:pt idx="19">
                  <c:v>3.5200000000000002E-2</c:v>
                </c:pt>
              </c:numCache>
            </c:numRef>
          </c:val>
          <c:smooth val="0"/>
          <c:extLst>
            <c:ext xmlns:c16="http://schemas.microsoft.com/office/drawing/2014/chart" uri="{C3380CC4-5D6E-409C-BE32-E72D297353CC}">
              <c16:uniqueId val="{00000001-6072-42C0-87B5-0A4B2331806C}"/>
            </c:ext>
          </c:extLst>
        </c:ser>
        <c:ser>
          <c:idx val="2"/>
          <c:order val="2"/>
          <c:tx>
            <c:strRef>
              <c:f>Sheet1!$E$3</c:f>
              <c:strCache>
                <c:ptCount val="1"/>
                <c:pt idx="0">
                  <c:v>Remarks (Difference)</c:v>
                </c:pt>
              </c:strCache>
            </c:strRef>
          </c:tx>
          <c:marker>
            <c:symbol val="none"/>
          </c:marker>
          <c:cat>
            <c:strRef>
              <c:f>Sheet1!$B$4:$B$23</c:f>
              <c:strCache>
                <c:ptCount val="20"/>
                <c:pt idx="0">
                  <c:v>Dawbon</c:v>
                </c:pt>
                <c:pt idx="1">
                  <c:v>Pabedan</c:v>
                </c:pt>
                <c:pt idx="2">
                  <c:v>South Okkalapa</c:v>
                </c:pt>
                <c:pt idx="3">
                  <c:v>Kawhmu</c:v>
                </c:pt>
                <c:pt idx="4">
                  <c:v>Thongwa</c:v>
                </c:pt>
                <c:pt idx="5">
                  <c:v>Dala</c:v>
                </c:pt>
                <c:pt idx="6">
                  <c:v>Kyauktada</c:v>
                </c:pt>
                <c:pt idx="7">
                  <c:v>Lanmadaw</c:v>
                </c:pt>
                <c:pt idx="8">
                  <c:v>Latha</c:v>
                </c:pt>
                <c:pt idx="9">
                  <c:v>Pazundaung</c:v>
                </c:pt>
                <c:pt idx="10">
                  <c:v>Botahtaung</c:v>
                </c:pt>
                <c:pt idx="11">
                  <c:v>Shwelinpan</c:v>
                </c:pt>
                <c:pt idx="12">
                  <c:v>Ahlone</c:v>
                </c:pt>
                <c:pt idx="13">
                  <c:v>Dagon Myothit (South)</c:v>
                </c:pt>
                <c:pt idx="14">
                  <c:v>Hlaingthaya (East)</c:v>
                </c:pt>
                <c:pt idx="15">
                  <c:v>Hlaingthaya (West)</c:v>
                </c:pt>
                <c:pt idx="16">
                  <c:v>Shwepaukkan</c:v>
                </c:pt>
                <c:pt idx="17">
                  <c:v>Thanlyin</c:v>
                </c:pt>
                <c:pt idx="18">
                  <c:v>Letpadankon</c:v>
                </c:pt>
                <c:pt idx="19">
                  <c:v>Kyauktan</c:v>
                </c:pt>
              </c:strCache>
            </c:strRef>
          </c:cat>
          <c:val>
            <c:numRef>
              <c:f>Sheet1!$E$4:$E$23</c:f>
              <c:numCache>
                <c:formatCode>0.00%</c:formatCode>
                <c:ptCount val="20"/>
                <c:pt idx="0">
                  <c:v>-6.9699999999999998E-2</c:v>
                </c:pt>
                <c:pt idx="1">
                  <c:v>-0.06</c:v>
                </c:pt>
                <c:pt idx="2">
                  <c:v>-1.15E-2</c:v>
                </c:pt>
                <c:pt idx="3">
                  <c:v>-7.17E-2</c:v>
                </c:pt>
                <c:pt idx="4">
                  <c:v>-2.2499999999999999E-2</c:v>
                </c:pt>
                <c:pt idx="5">
                  <c:v>-4.9299999999999997E-2</c:v>
                </c:pt>
                <c:pt idx="6">
                  <c:v>-8.6499999999999994E-2</c:v>
                </c:pt>
                <c:pt idx="7">
                  <c:v>-5.57E-2</c:v>
                </c:pt>
                <c:pt idx="8">
                  <c:v>-5.7200000000000001E-2</c:v>
                </c:pt>
                <c:pt idx="9">
                  <c:v>-4.53E-2</c:v>
                </c:pt>
                <c:pt idx="10">
                  <c:v>-8.2799999999999999E-2</c:v>
                </c:pt>
                <c:pt idx="11">
                  <c:v>-2.46E-2</c:v>
                </c:pt>
                <c:pt idx="12">
                  <c:v>-4.5900000000000003E-2</c:v>
                </c:pt>
                <c:pt idx="13">
                  <c:v>-9.8900000000000002E-2</c:v>
                </c:pt>
                <c:pt idx="14">
                  <c:v>-5.5800000000000002E-2</c:v>
                </c:pt>
                <c:pt idx="15">
                  <c:v>-6.8199999999999997E-2</c:v>
                </c:pt>
                <c:pt idx="16">
                  <c:v>-0.11899999999999999</c:v>
                </c:pt>
                <c:pt idx="17">
                  <c:v>-1.7899999999999999E-2</c:v>
                </c:pt>
                <c:pt idx="18">
                  <c:v>-1.6400000000000001E-2</c:v>
                </c:pt>
                <c:pt idx="19">
                  <c:v>-3.7699999999999997E-2</c:v>
                </c:pt>
              </c:numCache>
            </c:numRef>
          </c:val>
          <c:smooth val="0"/>
          <c:extLst>
            <c:ext xmlns:c16="http://schemas.microsoft.com/office/drawing/2014/chart" uri="{C3380CC4-5D6E-409C-BE32-E72D297353CC}">
              <c16:uniqueId val="{00000002-6072-42C0-87B5-0A4B2331806C}"/>
            </c:ext>
          </c:extLst>
        </c:ser>
        <c:dLbls>
          <c:showLegendKey val="0"/>
          <c:showVal val="0"/>
          <c:showCatName val="0"/>
          <c:showSerName val="0"/>
          <c:showPercent val="0"/>
          <c:showBubbleSize val="0"/>
        </c:dLbls>
        <c:smooth val="0"/>
        <c:axId val="182996352"/>
        <c:axId val="229934592"/>
      </c:lineChart>
      <c:catAx>
        <c:axId val="182996352"/>
        <c:scaling>
          <c:orientation val="minMax"/>
        </c:scaling>
        <c:delete val="0"/>
        <c:axPos val="b"/>
        <c:numFmt formatCode="General" sourceLinked="0"/>
        <c:majorTickMark val="out"/>
        <c:minorTickMark val="none"/>
        <c:tickLblPos val="nextTo"/>
        <c:crossAx val="229934592"/>
        <c:crosses val="autoZero"/>
        <c:auto val="1"/>
        <c:lblAlgn val="ctr"/>
        <c:lblOffset val="100"/>
        <c:noMultiLvlLbl val="0"/>
      </c:catAx>
      <c:valAx>
        <c:axId val="229934592"/>
        <c:scaling>
          <c:orientation val="minMax"/>
        </c:scaling>
        <c:delete val="0"/>
        <c:axPos val="l"/>
        <c:numFmt formatCode="0.00%" sourceLinked="1"/>
        <c:majorTickMark val="out"/>
        <c:minorTickMark val="none"/>
        <c:tickLblPos val="nextTo"/>
        <c:crossAx val="182996352"/>
        <c:crosses val="autoZero"/>
        <c:crossBetween val="between"/>
      </c:valAx>
    </c:plotArea>
    <c:legend>
      <c:legendPos val="r"/>
      <c:layout>
        <c:manualLayout>
          <c:xMode val="edge"/>
          <c:yMode val="edge"/>
          <c:x val="0.71169481602635587"/>
          <c:y val="0.13504519330582068"/>
          <c:w val="0.24911072343501972"/>
          <c:h val="0.48487682608805727"/>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7ACDC-3F17-4B38-8A0A-20BE0094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12</Pages>
  <Words>6320</Words>
  <Characters>36024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42260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2026-06-27T12:55:00Z</dcterms:created>
  <dcterms:modified xsi:type="dcterms:W3CDTF">2026-06-29T13:10:00Z</dcterms:modified>
</cp:coreProperties>
</file>