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EFED" w14:textId="77777777" w:rsidR="00152D85" w:rsidRPr="00A11A5E" w:rsidRDefault="00152D85" w:rsidP="00152D85">
      <w:pPr>
        <w:pStyle w:val="Default"/>
        <w:rPr>
          <w:sz w:val="28"/>
          <w:szCs w:val="28"/>
        </w:rPr>
      </w:pPr>
    </w:p>
    <w:p w14:paraId="2B560C00" w14:textId="77777777" w:rsidR="00152D85" w:rsidRPr="00A11A5E" w:rsidRDefault="00152D85" w:rsidP="00152D85">
      <w:pPr>
        <w:jc w:val="center"/>
        <w:rPr>
          <w:rFonts w:ascii="Times New Roman" w:hAnsi="Times New Roman" w:cs="Times New Roman"/>
          <w:b/>
          <w:bCs/>
          <w:sz w:val="28"/>
          <w:szCs w:val="28"/>
        </w:rPr>
      </w:pPr>
      <w:r w:rsidRPr="00A11A5E">
        <w:rPr>
          <w:rFonts w:ascii="Times New Roman" w:hAnsi="Times New Roman" w:cs="Times New Roman"/>
          <w:sz w:val="28"/>
          <w:szCs w:val="28"/>
        </w:rPr>
        <w:t xml:space="preserve"> </w:t>
      </w:r>
      <w:r w:rsidRPr="00A11A5E">
        <w:rPr>
          <w:rFonts w:ascii="Times New Roman" w:hAnsi="Times New Roman" w:cs="Times New Roman"/>
          <w:b/>
          <w:bCs/>
          <w:sz w:val="28"/>
          <w:szCs w:val="28"/>
        </w:rPr>
        <w:t>Studies on priming techniques for enhancing planting value, seed quality and yield of Wheat (</w:t>
      </w:r>
      <w:proofErr w:type="spellStart"/>
      <w:proofErr w:type="gramStart"/>
      <w:r w:rsidRPr="00A11A5E">
        <w:rPr>
          <w:rFonts w:ascii="Times New Roman" w:hAnsi="Times New Roman" w:cs="Times New Roman"/>
          <w:b/>
          <w:bCs/>
          <w:i/>
          <w:iCs/>
          <w:sz w:val="28"/>
          <w:szCs w:val="28"/>
        </w:rPr>
        <w:t>T.aestivum</w:t>
      </w:r>
      <w:proofErr w:type="spellEnd"/>
      <w:proofErr w:type="gramEnd"/>
      <w:r w:rsidRPr="00A11A5E">
        <w:rPr>
          <w:rFonts w:ascii="Times New Roman" w:hAnsi="Times New Roman" w:cs="Times New Roman"/>
          <w:b/>
          <w:bCs/>
          <w:sz w:val="28"/>
          <w:szCs w:val="28"/>
        </w:rPr>
        <w:t xml:space="preserve">) in </w:t>
      </w:r>
      <w:proofErr w:type="spellStart"/>
      <w:r w:rsidRPr="00A11A5E">
        <w:rPr>
          <w:rFonts w:ascii="Times New Roman" w:hAnsi="Times New Roman" w:cs="Times New Roman"/>
          <w:b/>
          <w:bCs/>
          <w:sz w:val="28"/>
          <w:szCs w:val="28"/>
        </w:rPr>
        <w:t>bundelkhand</w:t>
      </w:r>
      <w:proofErr w:type="spellEnd"/>
      <w:r w:rsidRPr="00A11A5E">
        <w:rPr>
          <w:rFonts w:ascii="Times New Roman" w:hAnsi="Times New Roman" w:cs="Times New Roman"/>
          <w:b/>
          <w:bCs/>
          <w:sz w:val="28"/>
          <w:szCs w:val="28"/>
        </w:rPr>
        <w:t xml:space="preserve"> region </w:t>
      </w:r>
    </w:p>
    <w:p w14:paraId="0E48AA52" w14:textId="74B625EA" w:rsidR="004C5F07" w:rsidRDefault="00152D85" w:rsidP="009F1643">
      <w:pPr>
        <w:jc w:val="center"/>
        <w:rPr>
          <w:rFonts w:ascii="Times New Roman" w:hAnsi="Times New Roman" w:cs="Times New Roman"/>
        </w:rPr>
      </w:pPr>
      <w:r w:rsidRPr="00A11A5E">
        <w:rPr>
          <w:rFonts w:ascii="Times New Roman" w:hAnsi="Times New Roman" w:cs="Times New Roman"/>
          <w:sz w:val="28"/>
          <w:szCs w:val="28"/>
        </w:rPr>
        <w:t xml:space="preserve"> </w:t>
      </w:r>
    </w:p>
    <w:p w14:paraId="14BAC38A" w14:textId="77777777" w:rsidR="00D016B7" w:rsidRPr="00A11A5E" w:rsidRDefault="00F8070B" w:rsidP="00F8070B">
      <w:pPr>
        <w:pStyle w:val="Heading3"/>
        <w:shd w:val="clear" w:color="auto" w:fill="FFFFFF"/>
        <w:spacing w:line="300" w:lineRule="atLeast"/>
        <w:rPr>
          <w:rFonts w:ascii="Times New Roman" w:hAnsi="Times New Roman" w:cs="Times New Roman"/>
        </w:rPr>
      </w:pPr>
      <w:r>
        <w:rPr>
          <w:rFonts w:ascii="Times New Roman" w:hAnsi="Times New Roman" w:cs="Times New Roman"/>
        </w:rPr>
        <w:t xml:space="preserve"> </w:t>
      </w:r>
      <w:r w:rsidR="00152D85" w:rsidRPr="00A11A5E">
        <w:rPr>
          <w:rFonts w:ascii="Times New Roman" w:hAnsi="Times New Roman" w:cs="Times New Roman"/>
        </w:rPr>
        <w:t xml:space="preserve"> </w:t>
      </w:r>
      <w:r>
        <w:rPr>
          <w:rFonts w:ascii="Times New Roman" w:hAnsi="Times New Roman" w:cs="Times New Roman"/>
        </w:rPr>
        <w:t xml:space="preserve"> </w:t>
      </w:r>
    </w:p>
    <w:p w14:paraId="5BEC4981" w14:textId="77777777" w:rsidR="009D1688" w:rsidRPr="00A11A5E" w:rsidRDefault="00E14290" w:rsidP="003A0F79">
      <w:pPr>
        <w:jc w:val="both"/>
        <w:rPr>
          <w:rFonts w:ascii="Times New Roman" w:hAnsi="Times New Roman" w:cs="Times New Roman"/>
          <w:sz w:val="28"/>
          <w:szCs w:val="28"/>
        </w:rPr>
      </w:pPr>
      <w:r w:rsidRPr="00A11A5E">
        <w:rPr>
          <w:rFonts w:ascii="Times New Roman" w:hAnsi="Times New Roman" w:cs="Times New Roman"/>
          <w:b/>
          <w:bCs/>
          <w:sz w:val="28"/>
          <w:szCs w:val="28"/>
        </w:rPr>
        <w:t>Abstract:</w:t>
      </w:r>
      <w:r w:rsidRPr="00A11A5E">
        <w:rPr>
          <w:rFonts w:ascii="Times New Roman" w:hAnsi="Times New Roman" w:cs="Times New Roman"/>
          <w:sz w:val="28"/>
          <w:szCs w:val="28"/>
        </w:rPr>
        <w:t xml:space="preserve"> A field experiment was conducted at the Organic Research Farm </w:t>
      </w:r>
      <w:proofErr w:type="spellStart"/>
      <w:r w:rsidRPr="00A11A5E">
        <w:rPr>
          <w:rFonts w:ascii="Times New Roman" w:hAnsi="Times New Roman" w:cs="Times New Roman"/>
          <w:sz w:val="28"/>
          <w:szCs w:val="28"/>
        </w:rPr>
        <w:t>Kargua</w:t>
      </w:r>
      <w:proofErr w:type="spellEnd"/>
      <w:r w:rsidRPr="00A11A5E">
        <w:rPr>
          <w:rFonts w:ascii="Times New Roman" w:hAnsi="Times New Roman" w:cs="Times New Roman"/>
          <w:sz w:val="28"/>
          <w:szCs w:val="28"/>
        </w:rPr>
        <w:t xml:space="preserve"> Ji, Bundelkhand University Campus, Jhansi, U.P. during the rabi seasons of 2024-25 to evaluate the </w:t>
      </w:r>
      <w:r w:rsidR="005B67ED" w:rsidRPr="00A11A5E">
        <w:rPr>
          <w:rFonts w:ascii="Times New Roman" w:hAnsi="Times New Roman" w:cs="Times New Roman"/>
          <w:sz w:val="28"/>
          <w:szCs w:val="28"/>
        </w:rPr>
        <w:t xml:space="preserve">Effect on Seed Priming on Growth, Yield of </w:t>
      </w:r>
      <w:r w:rsidR="008F2340">
        <w:rPr>
          <w:rFonts w:ascii="Times New Roman" w:hAnsi="Times New Roman" w:cs="Times New Roman"/>
          <w:sz w:val="28"/>
          <w:szCs w:val="28"/>
        </w:rPr>
        <w:t>Wheat</w:t>
      </w:r>
      <w:r w:rsidR="005B67ED" w:rsidRPr="00A11A5E">
        <w:rPr>
          <w:rFonts w:ascii="Times New Roman" w:hAnsi="Times New Roman" w:cs="Times New Roman"/>
          <w:sz w:val="28"/>
          <w:szCs w:val="28"/>
        </w:rPr>
        <w:t xml:space="preserve"> in Bundelkhand Conditions</w:t>
      </w:r>
      <w:r w:rsidRPr="00A11A5E">
        <w:rPr>
          <w:rFonts w:ascii="Times New Roman" w:hAnsi="Times New Roman" w:cs="Times New Roman"/>
          <w:sz w:val="28"/>
          <w:szCs w:val="28"/>
        </w:rPr>
        <w:t xml:space="preserve">. </w:t>
      </w:r>
      <w:r w:rsidR="00A44ECB" w:rsidRPr="00A11A5E">
        <w:rPr>
          <w:rFonts w:ascii="Times New Roman" w:hAnsi="Times New Roman" w:cs="Times New Roman"/>
          <w:sz w:val="28"/>
          <w:szCs w:val="28"/>
        </w:rPr>
        <w:t>T</w:t>
      </w:r>
      <w:r w:rsidR="009D1688" w:rsidRPr="00A11A5E">
        <w:rPr>
          <w:rFonts w:ascii="Times New Roman" w:hAnsi="Times New Roman" w:cs="Times New Roman"/>
          <w:sz w:val="28"/>
          <w:szCs w:val="28"/>
        </w:rPr>
        <w:t xml:space="preserve">o evaluate seven seed priming treatments </w:t>
      </w:r>
      <w:r w:rsidR="008F2340" w:rsidRPr="008F2340">
        <w:rPr>
          <w:rFonts w:ascii="Times New Roman" w:hAnsi="Times New Roman" w:cs="Times New Roman"/>
          <w:sz w:val="28"/>
          <w:szCs w:val="28"/>
        </w:rPr>
        <w:t>T1-</w:t>
      </w:r>
      <w:r w:rsidR="008F2340" w:rsidRPr="008F2340">
        <w:rPr>
          <w:rFonts w:ascii="Times New Roman" w:hAnsi="Times New Roman" w:cs="Times New Roman"/>
        </w:rPr>
        <w:t xml:space="preserve"> </w:t>
      </w:r>
      <w:r w:rsidR="008F2340" w:rsidRPr="007B7D8E">
        <w:rPr>
          <w:rFonts w:ascii="Times New Roman" w:hAnsi="Times New Roman" w:cs="Times New Roman"/>
          <w:sz w:val="28"/>
          <w:szCs w:val="28"/>
        </w:rPr>
        <w:t>Control, T2- Hydro-priming- Soaking in water for 8 h at 25</w:t>
      </w:r>
      <w:r w:rsidR="008F2340" w:rsidRPr="007B7D8E">
        <w:rPr>
          <w:rFonts w:ascii="Times New Roman" w:hAnsi="Times New Roman" w:cs="Times New Roman"/>
          <w:sz w:val="28"/>
          <w:szCs w:val="28"/>
          <w:vertAlign w:val="superscript"/>
        </w:rPr>
        <w:t>0</w:t>
      </w:r>
      <w:r w:rsidR="008F2340" w:rsidRPr="007B7D8E">
        <w:rPr>
          <w:rFonts w:ascii="Times New Roman" w:hAnsi="Times New Roman" w:cs="Times New Roman"/>
          <w:sz w:val="28"/>
          <w:szCs w:val="28"/>
        </w:rPr>
        <w:t>C and air drying at 25</w:t>
      </w:r>
      <w:r w:rsidR="008F2340" w:rsidRPr="007B7D8E">
        <w:rPr>
          <w:rFonts w:ascii="Times New Roman" w:hAnsi="Times New Roman" w:cs="Times New Roman"/>
          <w:sz w:val="28"/>
          <w:szCs w:val="28"/>
          <w:vertAlign w:val="superscript"/>
        </w:rPr>
        <w:t>0</w:t>
      </w:r>
      <w:r w:rsidR="008F2340" w:rsidRPr="007B7D8E">
        <w:rPr>
          <w:rFonts w:ascii="Times New Roman" w:hAnsi="Times New Roman" w:cs="Times New Roman"/>
          <w:sz w:val="28"/>
          <w:szCs w:val="28"/>
        </w:rPr>
        <w:t>C for 48 h, T3- Halo-priming- Soaking in KCL (@0.5%) solution and drying,T4- Halo priming- Soaking in MgSo4(@0.3%) solution and drying,  T5- Halo priming- Soaking in KNO3(@0.5%) solution and drying ,T6- Halo priming- Soaking in ZnSo4(@0.3%) solution and drying,  T7- Halo priming-Soaking in KOH (@0.5%) solution and drying</w:t>
      </w:r>
      <w:r w:rsidR="008F2340" w:rsidRPr="008F2340">
        <w:rPr>
          <w:rFonts w:ascii="Times New Roman" w:hAnsi="Times New Roman" w:cs="Times New Roman"/>
          <w:sz w:val="26"/>
          <w:szCs w:val="26"/>
        </w:rPr>
        <w:t xml:space="preserve"> </w:t>
      </w:r>
      <w:r w:rsidR="008F2340">
        <w:rPr>
          <w:rFonts w:ascii="Times New Roman" w:hAnsi="Times New Roman" w:cs="Times New Roman"/>
          <w:sz w:val="28"/>
          <w:szCs w:val="28"/>
        </w:rPr>
        <w:t>for their effects on yield, The KNO3</w:t>
      </w:r>
      <w:r w:rsidR="000923D3" w:rsidRPr="00A11A5E">
        <w:rPr>
          <w:rFonts w:ascii="Times New Roman" w:hAnsi="Times New Roman" w:cs="Times New Roman"/>
          <w:sz w:val="28"/>
          <w:szCs w:val="28"/>
        </w:rPr>
        <w:t xml:space="preserve"> at </w:t>
      </w:r>
      <w:r w:rsidR="008F2340">
        <w:rPr>
          <w:rFonts w:ascii="Times New Roman" w:hAnsi="Times New Roman" w:cs="Times New Roman"/>
          <w:sz w:val="28"/>
          <w:szCs w:val="28"/>
        </w:rPr>
        <w:t>5</w:t>
      </w:r>
      <w:r w:rsidR="00816136" w:rsidRPr="00A11A5E">
        <w:rPr>
          <w:rFonts w:ascii="Times New Roman" w:hAnsi="Times New Roman" w:cs="Times New Roman"/>
          <w:sz w:val="28"/>
          <w:szCs w:val="28"/>
        </w:rPr>
        <w:t>g</w:t>
      </w:r>
      <w:r w:rsidR="009D1688" w:rsidRPr="00A11A5E">
        <w:rPr>
          <w:rFonts w:ascii="Times New Roman" w:hAnsi="Times New Roman" w:cs="Times New Roman"/>
          <w:sz w:val="28"/>
          <w:szCs w:val="28"/>
        </w:rPr>
        <w:t xml:space="preserve"> priming (T</w:t>
      </w:r>
      <w:r w:rsidR="008F2340">
        <w:rPr>
          <w:rFonts w:ascii="Times New Roman" w:hAnsi="Times New Roman" w:cs="Times New Roman"/>
          <w:sz w:val="28"/>
          <w:szCs w:val="28"/>
          <w:vertAlign w:val="subscript"/>
        </w:rPr>
        <w:t>5</w:t>
      </w:r>
      <w:r w:rsidR="009D1688" w:rsidRPr="00A11A5E">
        <w:rPr>
          <w:rFonts w:ascii="Times New Roman" w:hAnsi="Times New Roman" w:cs="Times New Roman"/>
          <w:sz w:val="28"/>
          <w:szCs w:val="28"/>
        </w:rPr>
        <w:t>) was the most effective treatment.</w:t>
      </w:r>
      <w:r w:rsidR="007B7D8E">
        <w:rPr>
          <w:rFonts w:ascii="Times New Roman" w:hAnsi="Times New Roman" w:cs="Times New Roman"/>
          <w:sz w:val="28"/>
          <w:szCs w:val="28"/>
        </w:rPr>
        <w:t xml:space="preserve"> Under priming,</w:t>
      </w:r>
      <w:r w:rsidR="00B271BD">
        <w:rPr>
          <w:rFonts w:ascii="Times New Roman" w:hAnsi="Times New Roman" w:cs="Times New Roman"/>
          <w:sz w:val="28"/>
          <w:szCs w:val="28"/>
        </w:rPr>
        <w:t xml:space="preserve"> plant height (91.13)</w:t>
      </w:r>
      <w:r w:rsidR="00B271BD" w:rsidRPr="00A11A5E">
        <w:rPr>
          <w:rFonts w:ascii="Times New Roman" w:hAnsi="Times New Roman" w:cs="Times New Roman"/>
          <w:sz w:val="28"/>
          <w:szCs w:val="28"/>
        </w:rPr>
        <w:t xml:space="preserve"> </w:t>
      </w:r>
      <w:r w:rsidR="00B271BD" w:rsidRPr="00D62AD3">
        <w:rPr>
          <w:rFonts w:ascii="Times New Roman" w:eastAsiaTheme="minorEastAsia" w:hAnsi="Times New Roman" w:cs="Times New Roman"/>
          <w:bCs/>
          <w:kern w:val="0"/>
          <w:sz w:val="28"/>
          <w:szCs w:val="28"/>
        </w:rPr>
        <w:t>No of tiller/plant</w:t>
      </w:r>
      <w:r w:rsidR="007B7D8E">
        <w:rPr>
          <w:rFonts w:ascii="Times New Roman" w:eastAsiaTheme="minorEastAsia" w:hAnsi="Times New Roman" w:cs="Times New Roman"/>
          <w:bCs/>
          <w:kern w:val="0"/>
          <w:sz w:val="28"/>
          <w:szCs w:val="28"/>
        </w:rPr>
        <w:t xml:space="preserve"> </w:t>
      </w:r>
      <w:r w:rsidR="00B271BD">
        <w:rPr>
          <w:rFonts w:ascii="Times New Roman" w:eastAsiaTheme="minorEastAsia" w:hAnsi="Times New Roman" w:cs="Times New Roman"/>
          <w:bCs/>
          <w:kern w:val="0"/>
          <w:sz w:val="28"/>
          <w:szCs w:val="28"/>
        </w:rPr>
        <w:t>(9,23</w:t>
      </w:r>
      <w:proofErr w:type="gramStart"/>
      <w:r w:rsidR="00B271BD">
        <w:rPr>
          <w:rFonts w:ascii="Times New Roman" w:eastAsiaTheme="minorEastAsia" w:hAnsi="Times New Roman" w:cs="Times New Roman"/>
          <w:bCs/>
          <w:kern w:val="0"/>
          <w:sz w:val="28"/>
          <w:szCs w:val="28"/>
        </w:rPr>
        <w:t>)</w:t>
      </w:r>
      <w:r w:rsidR="00B271BD" w:rsidRPr="00A11A5E">
        <w:rPr>
          <w:rFonts w:ascii="Times New Roman" w:hAnsi="Times New Roman" w:cs="Times New Roman"/>
          <w:sz w:val="28"/>
          <w:szCs w:val="28"/>
        </w:rPr>
        <w:t xml:space="preserve">,  </w:t>
      </w:r>
      <w:r w:rsidR="00B271BD">
        <w:rPr>
          <w:rFonts w:ascii="Times New Roman" w:eastAsiaTheme="minorEastAsia" w:hAnsi="Times New Roman" w:cs="Times New Roman"/>
          <w:bCs/>
          <w:kern w:val="0"/>
          <w:sz w:val="28"/>
          <w:szCs w:val="28"/>
        </w:rPr>
        <w:t>No</w:t>
      </w:r>
      <w:proofErr w:type="gramEnd"/>
      <w:r w:rsidR="00B271BD">
        <w:rPr>
          <w:rFonts w:ascii="Times New Roman" w:eastAsiaTheme="minorEastAsia" w:hAnsi="Times New Roman" w:cs="Times New Roman"/>
          <w:bCs/>
          <w:kern w:val="0"/>
          <w:sz w:val="28"/>
          <w:szCs w:val="28"/>
        </w:rPr>
        <w:t xml:space="preserve"> of spike</w:t>
      </w:r>
      <w:r w:rsidR="00B271BD" w:rsidRPr="00D62AD3">
        <w:rPr>
          <w:rFonts w:ascii="Times New Roman" w:eastAsiaTheme="minorEastAsia" w:hAnsi="Times New Roman" w:cs="Times New Roman"/>
          <w:bCs/>
          <w:kern w:val="0"/>
          <w:sz w:val="28"/>
          <w:szCs w:val="28"/>
        </w:rPr>
        <w:t>/plant</w:t>
      </w:r>
      <w:r w:rsidR="00B271BD">
        <w:rPr>
          <w:rFonts w:ascii="Times New Roman" w:eastAsiaTheme="minorEastAsia" w:hAnsi="Times New Roman" w:cs="Times New Roman"/>
          <w:bCs/>
          <w:kern w:val="0"/>
          <w:sz w:val="28"/>
          <w:szCs w:val="28"/>
        </w:rPr>
        <w:t xml:space="preserve"> </w:t>
      </w:r>
      <w:r w:rsidR="00B271BD">
        <w:rPr>
          <w:rFonts w:ascii="Times New Roman" w:hAnsi="Times New Roman" w:cs="Times New Roman"/>
          <w:sz w:val="28"/>
          <w:szCs w:val="28"/>
        </w:rPr>
        <w:t>(7.50)</w:t>
      </w:r>
      <w:r w:rsidR="00B271BD" w:rsidRPr="00A11A5E">
        <w:rPr>
          <w:rFonts w:ascii="Times New Roman" w:hAnsi="Times New Roman" w:cs="Times New Roman"/>
          <w:sz w:val="28"/>
          <w:szCs w:val="28"/>
        </w:rPr>
        <w:t xml:space="preserve"> </w:t>
      </w:r>
      <w:r w:rsidR="00B271BD">
        <w:rPr>
          <w:rFonts w:ascii="Times New Roman" w:eastAsiaTheme="minorEastAsia" w:hAnsi="Times New Roman" w:cs="Times New Roman"/>
          <w:bCs/>
          <w:kern w:val="0"/>
          <w:sz w:val="28"/>
          <w:szCs w:val="28"/>
        </w:rPr>
        <w:t>No of seed/spike (19.70)</w:t>
      </w:r>
      <w:r w:rsidR="00B271BD" w:rsidRPr="00A11A5E">
        <w:rPr>
          <w:rFonts w:ascii="Times New Roman" w:hAnsi="Times New Roman" w:cs="Times New Roman"/>
          <w:sz w:val="28"/>
          <w:szCs w:val="28"/>
        </w:rPr>
        <w:t xml:space="preserve"> and seed yield</w:t>
      </w:r>
      <w:r w:rsidR="00B271BD">
        <w:rPr>
          <w:rFonts w:ascii="Times New Roman" w:hAnsi="Times New Roman" w:cs="Times New Roman"/>
          <w:sz w:val="28"/>
          <w:szCs w:val="28"/>
        </w:rPr>
        <w:t xml:space="preserve"> (10.81)</w:t>
      </w:r>
      <w:r w:rsidR="00B271BD" w:rsidRPr="00A11A5E">
        <w:rPr>
          <w:rFonts w:ascii="Times New Roman" w:hAnsi="Times New Roman" w:cs="Times New Roman"/>
          <w:sz w:val="28"/>
          <w:szCs w:val="28"/>
        </w:rPr>
        <w:t xml:space="preserve"> </w:t>
      </w:r>
      <w:r w:rsidR="009D1688" w:rsidRPr="00A11A5E">
        <w:rPr>
          <w:rFonts w:ascii="Times New Roman" w:hAnsi="Times New Roman" w:cs="Times New Roman"/>
          <w:sz w:val="28"/>
          <w:szCs w:val="28"/>
        </w:rPr>
        <w:t xml:space="preserve">Seed quality attributes also improved markedly. These results indicate that </w:t>
      </w:r>
      <w:r w:rsidR="00B271BD">
        <w:rPr>
          <w:rFonts w:ascii="Times New Roman" w:hAnsi="Times New Roman" w:cs="Times New Roman"/>
          <w:sz w:val="28"/>
          <w:szCs w:val="28"/>
        </w:rPr>
        <w:t xml:space="preserve">KNO3 </w:t>
      </w:r>
      <w:r w:rsidR="009D1688" w:rsidRPr="00A11A5E">
        <w:rPr>
          <w:rFonts w:ascii="Times New Roman" w:hAnsi="Times New Roman" w:cs="Times New Roman"/>
          <w:sz w:val="28"/>
          <w:szCs w:val="28"/>
        </w:rPr>
        <w:t xml:space="preserve">seed priming markedly enhanced yield parameters in </w:t>
      </w:r>
      <w:r w:rsidR="00B271BD">
        <w:rPr>
          <w:rFonts w:ascii="Times New Roman" w:hAnsi="Times New Roman" w:cs="Times New Roman"/>
          <w:sz w:val="28"/>
          <w:szCs w:val="28"/>
        </w:rPr>
        <w:t>wheat</w:t>
      </w:r>
      <w:r w:rsidR="009D1688" w:rsidRPr="00A11A5E">
        <w:rPr>
          <w:rFonts w:ascii="Times New Roman" w:hAnsi="Times New Roman" w:cs="Times New Roman"/>
          <w:sz w:val="28"/>
          <w:szCs w:val="28"/>
        </w:rPr>
        <w:t xml:space="preserve"> relative to no priming.</w:t>
      </w:r>
    </w:p>
    <w:p w14:paraId="12CCBD2F" w14:textId="77777777" w:rsidR="00E14290" w:rsidRPr="00A11A5E" w:rsidRDefault="00E14290" w:rsidP="003A0F79">
      <w:pPr>
        <w:jc w:val="both"/>
        <w:rPr>
          <w:rFonts w:ascii="Times New Roman" w:hAnsi="Times New Roman" w:cs="Times New Roman"/>
          <w:b/>
          <w:bCs/>
          <w:i/>
          <w:iCs/>
          <w:sz w:val="28"/>
          <w:szCs w:val="28"/>
        </w:rPr>
      </w:pPr>
      <w:r w:rsidRPr="00A11A5E">
        <w:rPr>
          <w:rFonts w:ascii="Times New Roman" w:hAnsi="Times New Roman" w:cs="Times New Roman"/>
          <w:b/>
          <w:bCs/>
          <w:i/>
          <w:iCs/>
          <w:sz w:val="28"/>
          <w:szCs w:val="28"/>
        </w:rPr>
        <w:t xml:space="preserve">Keyword: </w:t>
      </w:r>
      <w:proofErr w:type="spellStart"/>
      <w:r w:rsidR="008F2340">
        <w:rPr>
          <w:rFonts w:ascii="Times New Roman" w:hAnsi="Times New Roman" w:cs="Times New Roman"/>
          <w:i/>
          <w:iCs/>
          <w:sz w:val="28"/>
          <w:szCs w:val="28"/>
        </w:rPr>
        <w:t>Hydopriming</w:t>
      </w:r>
      <w:proofErr w:type="spellEnd"/>
      <w:r w:rsidR="008F2340">
        <w:rPr>
          <w:rFonts w:ascii="Times New Roman" w:hAnsi="Times New Roman" w:cs="Times New Roman"/>
          <w:i/>
          <w:iCs/>
          <w:sz w:val="28"/>
          <w:szCs w:val="28"/>
        </w:rPr>
        <w:t>, ZnSO4</w:t>
      </w:r>
      <w:proofErr w:type="gramStart"/>
      <w:r w:rsidR="008F2340">
        <w:rPr>
          <w:rFonts w:ascii="Times New Roman" w:hAnsi="Times New Roman" w:cs="Times New Roman"/>
          <w:i/>
          <w:iCs/>
          <w:sz w:val="28"/>
          <w:szCs w:val="28"/>
        </w:rPr>
        <w:t xml:space="preserve">, </w:t>
      </w:r>
      <w:r w:rsidR="00433DD8" w:rsidRPr="00A11A5E">
        <w:rPr>
          <w:rFonts w:ascii="Times New Roman" w:hAnsi="Times New Roman" w:cs="Times New Roman"/>
          <w:i/>
          <w:iCs/>
          <w:sz w:val="28"/>
          <w:szCs w:val="28"/>
        </w:rPr>
        <w:t>,</w:t>
      </w:r>
      <w:proofErr w:type="gramEnd"/>
      <w:r w:rsidR="00433DD8" w:rsidRPr="00A11A5E">
        <w:rPr>
          <w:rFonts w:ascii="Times New Roman" w:hAnsi="Times New Roman" w:cs="Times New Roman"/>
          <w:i/>
          <w:iCs/>
          <w:sz w:val="28"/>
          <w:szCs w:val="28"/>
        </w:rPr>
        <w:t xml:space="preserve"> KNO3, MgSO4</w:t>
      </w:r>
      <w:r w:rsidRPr="00A11A5E">
        <w:rPr>
          <w:rFonts w:ascii="Times New Roman" w:hAnsi="Times New Roman" w:cs="Times New Roman"/>
          <w:i/>
          <w:iCs/>
          <w:sz w:val="28"/>
          <w:szCs w:val="28"/>
        </w:rPr>
        <w:t xml:space="preserve">. </w:t>
      </w:r>
    </w:p>
    <w:p w14:paraId="538271AA" w14:textId="77777777" w:rsidR="001F5856" w:rsidRDefault="001F5856" w:rsidP="003A0F79">
      <w:pPr>
        <w:rPr>
          <w:rFonts w:ascii="Times New Roman" w:hAnsi="Times New Roman" w:cs="Times New Roman"/>
          <w:b/>
          <w:bCs/>
          <w:sz w:val="28"/>
          <w:szCs w:val="28"/>
        </w:rPr>
      </w:pPr>
    </w:p>
    <w:p w14:paraId="4E4F6C6F" w14:textId="77777777" w:rsidR="001F5856" w:rsidRDefault="001F5856" w:rsidP="003A0F79">
      <w:pPr>
        <w:rPr>
          <w:rFonts w:ascii="Times New Roman" w:hAnsi="Times New Roman" w:cs="Times New Roman"/>
          <w:b/>
          <w:bCs/>
          <w:sz w:val="28"/>
          <w:szCs w:val="28"/>
        </w:rPr>
      </w:pPr>
    </w:p>
    <w:p w14:paraId="57FFCAD2" w14:textId="77777777" w:rsidR="00E14290" w:rsidRPr="00A11A5E" w:rsidRDefault="00E14290" w:rsidP="003A0F79">
      <w:pPr>
        <w:rPr>
          <w:rFonts w:ascii="Times New Roman" w:hAnsi="Times New Roman" w:cs="Times New Roman"/>
          <w:b/>
          <w:bCs/>
          <w:sz w:val="28"/>
          <w:szCs w:val="28"/>
        </w:rPr>
      </w:pPr>
      <w:r w:rsidRPr="00A11A5E">
        <w:rPr>
          <w:rFonts w:ascii="Times New Roman" w:hAnsi="Times New Roman" w:cs="Times New Roman"/>
          <w:b/>
          <w:bCs/>
          <w:sz w:val="28"/>
          <w:szCs w:val="28"/>
        </w:rPr>
        <w:t>INTRODUCTION</w:t>
      </w:r>
    </w:p>
    <w:p w14:paraId="0B14B4BB" w14:textId="77777777" w:rsidR="00805E83" w:rsidRPr="00A11A5E" w:rsidRDefault="0054701F" w:rsidP="00805E83">
      <w:pPr>
        <w:ind w:firstLine="720"/>
        <w:jc w:val="both"/>
        <w:rPr>
          <w:rFonts w:ascii="Times New Roman" w:hAnsi="Times New Roman" w:cs="Times New Roman"/>
          <w:sz w:val="28"/>
          <w:szCs w:val="28"/>
        </w:rPr>
      </w:pPr>
      <w:r w:rsidRPr="00A11A5E">
        <w:rPr>
          <w:rFonts w:ascii="Times New Roman" w:hAnsi="Times New Roman" w:cs="Times New Roman"/>
          <w:sz w:val="28"/>
          <w:szCs w:val="28"/>
        </w:rPr>
        <w:tab/>
      </w:r>
      <w:r w:rsidR="00805E83" w:rsidRPr="00A11A5E">
        <w:rPr>
          <w:rFonts w:ascii="Times New Roman" w:hAnsi="Times New Roman" w:cs="Times New Roman"/>
          <w:sz w:val="28"/>
          <w:szCs w:val="28"/>
        </w:rPr>
        <w:t>Wheat (</w:t>
      </w:r>
      <w:r w:rsidR="00805E83" w:rsidRPr="00A11A5E">
        <w:rPr>
          <w:rFonts w:ascii="Times New Roman" w:hAnsi="Times New Roman" w:cs="Times New Roman"/>
          <w:b/>
          <w:bCs/>
          <w:i/>
          <w:iCs/>
          <w:sz w:val="28"/>
          <w:szCs w:val="28"/>
        </w:rPr>
        <w:t>Triticum aestivum</w:t>
      </w:r>
      <w:r w:rsidR="00805E83" w:rsidRPr="00A11A5E">
        <w:rPr>
          <w:rFonts w:ascii="Times New Roman" w:hAnsi="Times New Roman" w:cs="Times New Roman"/>
          <w:sz w:val="28"/>
          <w:szCs w:val="28"/>
        </w:rPr>
        <w:t xml:space="preserve"> L.) belongs to the family </w:t>
      </w:r>
      <w:r w:rsidR="00805E83" w:rsidRPr="00A11A5E">
        <w:rPr>
          <w:rFonts w:ascii="Times New Roman" w:hAnsi="Times New Roman" w:cs="Times New Roman"/>
          <w:b/>
          <w:bCs/>
          <w:i/>
          <w:iCs/>
          <w:sz w:val="28"/>
          <w:szCs w:val="28"/>
        </w:rPr>
        <w:t>Gramineae</w:t>
      </w:r>
      <w:r w:rsidR="00805E83" w:rsidRPr="00A11A5E">
        <w:rPr>
          <w:rFonts w:ascii="Times New Roman" w:hAnsi="Times New Roman" w:cs="Times New Roman"/>
          <w:sz w:val="28"/>
          <w:szCs w:val="28"/>
        </w:rPr>
        <w:t xml:space="preserve"> and is one of the most vital cereal crops for human nutrition. In terms of global grain </w:t>
      </w:r>
      <w:r w:rsidR="00805E83" w:rsidRPr="00A11A5E">
        <w:rPr>
          <w:rFonts w:ascii="Times New Roman" w:hAnsi="Times New Roman" w:cs="Times New Roman"/>
          <w:sz w:val="28"/>
          <w:szCs w:val="28"/>
        </w:rPr>
        <w:lastRenderedPageBreak/>
        <w:t xml:space="preserve">production, it ranks second after maize and is followed by rice. Wheat serves as the staple food for nearly 10 billion people across 43 countries, which makes up about 35% of the world’s population. In global production, China stands first while India holds the second position. Other leading wheat-producing nations include the Russian Federation, the United States, France, Australia, and Canada. The growing demand for wheat worldwide is largely due to the presence of gluten proteins in its flour, which accelerate the processing of food products. Gluten provides wheat with its distinctive binding ability and viscoelastic nature, making it highly suitable for baking and processed food industries. Nutritionally, wheat grains are a rich source of carbohydrates and contain about 13% protein—higher than many other major cereals, though the protein is relatively poor in essential amino acids. As a composite grain, wheat offers not only energy but also dietary fiber and a range of vital nutrients. Out of the many species cultivated globally, a few are predominant. In India, bread wheat accounts for about 87% of total production and is also the most widely consumed type. Durum wheat contributes around 12%, while </w:t>
      </w:r>
      <w:proofErr w:type="spellStart"/>
      <w:r w:rsidR="00805E83" w:rsidRPr="00A11A5E">
        <w:rPr>
          <w:rFonts w:ascii="Times New Roman" w:hAnsi="Times New Roman" w:cs="Times New Roman"/>
          <w:sz w:val="28"/>
          <w:szCs w:val="28"/>
        </w:rPr>
        <w:t>dicoccum</w:t>
      </w:r>
      <w:proofErr w:type="spellEnd"/>
      <w:r w:rsidR="00805E83" w:rsidRPr="00A11A5E">
        <w:rPr>
          <w:rFonts w:ascii="Times New Roman" w:hAnsi="Times New Roman" w:cs="Times New Roman"/>
          <w:sz w:val="28"/>
          <w:szCs w:val="28"/>
        </w:rPr>
        <w:t xml:space="preserve"> wheat makes up nearly 1% of the national production.</w:t>
      </w:r>
    </w:p>
    <w:p w14:paraId="346626A0" w14:textId="77777777" w:rsidR="00805E83" w:rsidRPr="00A11A5E" w:rsidRDefault="00805E83" w:rsidP="00805E83">
      <w:pPr>
        <w:spacing w:before="100" w:beforeAutospacing="1" w:after="100" w:afterAutospacing="1"/>
        <w:ind w:firstLine="720"/>
        <w:jc w:val="both"/>
        <w:rPr>
          <w:rFonts w:ascii="Times New Roman" w:eastAsia="Times New Roman" w:hAnsi="Times New Roman" w:cs="Times New Roman"/>
          <w:b/>
          <w:kern w:val="0"/>
          <w:sz w:val="28"/>
          <w:szCs w:val="28"/>
          <w:lang w:val="en-IN" w:eastAsia="en-IN"/>
        </w:rPr>
      </w:pPr>
      <w:r w:rsidRPr="00A11A5E">
        <w:rPr>
          <w:rFonts w:ascii="Times New Roman" w:eastAsia="Times New Roman" w:hAnsi="Times New Roman" w:cs="Times New Roman"/>
          <w:kern w:val="0"/>
          <w:sz w:val="28"/>
          <w:szCs w:val="28"/>
          <w:lang w:val="en-IN" w:eastAsia="en-IN"/>
        </w:rPr>
        <w:t xml:space="preserve">Seed priming technologies represent a possible solution to this problem, as they can improve germination synchrony and seed vigour, leading to better crop performance and yield. Priming enhances certain catabolic activities, prevents seed senescence, activates germination, and induces resistance to several types of stress. Physiological and biochemical responses induced by priming are largely responsible for improving plant performance. Various expedients—hydro-priming, halo-priming, osmo-priming, matrix priming, osmo-hardening, hormone priming, </w:t>
      </w:r>
      <w:proofErr w:type="spellStart"/>
      <w:r w:rsidRPr="00A11A5E">
        <w:rPr>
          <w:rFonts w:ascii="Times New Roman" w:eastAsia="Times New Roman" w:hAnsi="Times New Roman" w:cs="Times New Roman"/>
          <w:kern w:val="0"/>
          <w:sz w:val="28"/>
          <w:szCs w:val="28"/>
          <w:lang w:val="en-IN" w:eastAsia="en-IN"/>
        </w:rPr>
        <w:t>nutripriming</w:t>
      </w:r>
      <w:proofErr w:type="spellEnd"/>
      <w:r w:rsidRPr="00A11A5E">
        <w:rPr>
          <w:rFonts w:ascii="Times New Roman" w:eastAsia="Times New Roman" w:hAnsi="Times New Roman" w:cs="Times New Roman"/>
          <w:kern w:val="0"/>
          <w:sz w:val="28"/>
          <w:szCs w:val="28"/>
          <w:lang w:val="en-IN" w:eastAsia="en-IN"/>
        </w:rPr>
        <w:t xml:space="preserve">, bio-priming, nanoparticle priming and on-farm </w:t>
      </w:r>
      <w:proofErr w:type="spellStart"/>
      <w:r w:rsidRPr="00A11A5E">
        <w:rPr>
          <w:rFonts w:ascii="Times New Roman" w:eastAsia="Times New Roman" w:hAnsi="Times New Roman" w:cs="Times New Roman"/>
          <w:kern w:val="0"/>
          <w:sz w:val="28"/>
          <w:szCs w:val="28"/>
          <w:lang w:val="en-IN" w:eastAsia="en-IN"/>
        </w:rPr>
        <w:t>primings</w:t>
      </w:r>
      <w:proofErr w:type="spellEnd"/>
      <w:r w:rsidRPr="00A11A5E">
        <w:rPr>
          <w:rFonts w:ascii="Times New Roman" w:eastAsia="Times New Roman" w:hAnsi="Times New Roman" w:cs="Times New Roman"/>
          <w:kern w:val="0"/>
          <w:sz w:val="28"/>
          <w:szCs w:val="28"/>
          <w:lang w:val="en-IN" w:eastAsia="en-IN"/>
        </w:rPr>
        <w:t xml:space="preserve"> in one way or the other have been well examined. Recent developments also lead to the notion of bio-</w:t>
      </w:r>
      <w:proofErr w:type="spellStart"/>
      <w:r w:rsidRPr="00A11A5E">
        <w:rPr>
          <w:rFonts w:ascii="Times New Roman" w:eastAsia="Times New Roman" w:hAnsi="Times New Roman" w:cs="Times New Roman"/>
          <w:kern w:val="0"/>
          <w:sz w:val="28"/>
          <w:szCs w:val="28"/>
          <w:lang w:val="en-IN" w:eastAsia="en-IN"/>
        </w:rPr>
        <w:t>nanopriming</w:t>
      </w:r>
      <w:proofErr w:type="spellEnd"/>
      <w:r w:rsidRPr="00A11A5E">
        <w:rPr>
          <w:rFonts w:ascii="Times New Roman" w:eastAsia="Times New Roman" w:hAnsi="Times New Roman" w:cs="Times New Roman"/>
          <w:kern w:val="0"/>
          <w:sz w:val="28"/>
          <w:szCs w:val="28"/>
          <w:lang w:val="en-IN" w:eastAsia="en-IN"/>
        </w:rPr>
        <w:t xml:space="preserve">, which refers to the integration of plant growth promoting </w:t>
      </w:r>
      <w:r w:rsidRPr="00A11A5E">
        <w:rPr>
          <w:rFonts w:ascii="Times New Roman" w:eastAsia="Times New Roman" w:hAnsi="Times New Roman" w:cs="Times New Roman"/>
          <w:kern w:val="0"/>
          <w:sz w:val="28"/>
          <w:szCs w:val="28"/>
          <w:lang w:val="en-IN" w:eastAsia="en-IN"/>
        </w:rPr>
        <w:lastRenderedPageBreak/>
        <w:t xml:space="preserve">rhizobacteria (PGPR) with nano-fertilizers aiming at improved growth and productivity </w:t>
      </w:r>
      <w:r w:rsidRPr="00A11A5E">
        <w:rPr>
          <w:rFonts w:ascii="Times New Roman" w:eastAsia="Times New Roman" w:hAnsi="Times New Roman" w:cs="Times New Roman"/>
          <w:b/>
          <w:kern w:val="0"/>
          <w:sz w:val="28"/>
          <w:szCs w:val="28"/>
          <w:lang w:val="en-IN" w:eastAsia="en-IN"/>
        </w:rPr>
        <w:t>(Pawar &amp; Laware, 2018).</w:t>
      </w:r>
    </w:p>
    <w:p w14:paraId="4DE4A6E9" w14:textId="77777777" w:rsidR="00D016B7" w:rsidRPr="00A11A5E" w:rsidRDefault="001D76FD" w:rsidP="003A0F79">
      <w:pPr>
        <w:jc w:val="both"/>
        <w:rPr>
          <w:rFonts w:ascii="Times New Roman" w:hAnsi="Times New Roman" w:cs="Times New Roman"/>
          <w:b/>
          <w:bCs/>
          <w:sz w:val="28"/>
          <w:szCs w:val="28"/>
        </w:rPr>
      </w:pPr>
      <w:r w:rsidRPr="00A11A5E">
        <w:rPr>
          <w:rFonts w:ascii="Times New Roman" w:hAnsi="Times New Roman" w:cs="Times New Roman"/>
          <w:b/>
          <w:bCs/>
          <w:sz w:val="28"/>
          <w:szCs w:val="28"/>
        </w:rPr>
        <w:t>M</w:t>
      </w:r>
      <w:r w:rsidR="0097127B" w:rsidRPr="00A11A5E">
        <w:rPr>
          <w:rFonts w:ascii="Times New Roman" w:hAnsi="Times New Roman" w:cs="Times New Roman"/>
          <w:b/>
          <w:bCs/>
          <w:sz w:val="28"/>
          <w:szCs w:val="28"/>
        </w:rPr>
        <w:t>aterials and Methods</w:t>
      </w:r>
    </w:p>
    <w:p w14:paraId="57E409DE" w14:textId="77777777" w:rsidR="0097127B" w:rsidRPr="00A11A5E" w:rsidRDefault="0054701F" w:rsidP="003A0F79">
      <w:pPr>
        <w:jc w:val="both"/>
        <w:rPr>
          <w:rFonts w:ascii="Times New Roman" w:hAnsi="Times New Roman" w:cs="Times New Roman"/>
          <w:sz w:val="28"/>
          <w:szCs w:val="28"/>
        </w:rPr>
      </w:pPr>
      <w:r w:rsidRPr="00A11A5E">
        <w:rPr>
          <w:rFonts w:ascii="Times New Roman" w:hAnsi="Times New Roman" w:cs="Times New Roman"/>
          <w:sz w:val="28"/>
          <w:szCs w:val="28"/>
        </w:rPr>
        <w:tab/>
      </w:r>
      <w:r w:rsidR="0097127B" w:rsidRPr="00A11A5E">
        <w:rPr>
          <w:rFonts w:ascii="Times New Roman" w:hAnsi="Times New Roman" w:cs="Times New Roman"/>
          <w:sz w:val="28"/>
          <w:szCs w:val="28"/>
        </w:rPr>
        <w:t xml:space="preserve">The field experiment was conducted during the </w:t>
      </w:r>
      <w:r w:rsidR="0097127B" w:rsidRPr="00A11A5E">
        <w:rPr>
          <w:rFonts w:ascii="Times New Roman" w:hAnsi="Times New Roman" w:cs="Times New Roman"/>
          <w:i/>
          <w:iCs/>
          <w:sz w:val="28"/>
          <w:szCs w:val="28"/>
        </w:rPr>
        <w:t>Rabi</w:t>
      </w:r>
      <w:r w:rsidR="0097127B" w:rsidRPr="00A11A5E">
        <w:rPr>
          <w:rFonts w:ascii="Times New Roman" w:hAnsi="Times New Roman" w:cs="Times New Roman"/>
          <w:sz w:val="28"/>
          <w:szCs w:val="28"/>
        </w:rPr>
        <w:t xml:space="preserve"> season of 2024</w:t>
      </w:r>
      <w:r w:rsidR="00D70A42" w:rsidRPr="00A11A5E">
        <w:rPr>
          <w:rFonts w:ascii="Times New Roman" w:hAnsi="Times New Roman" w:cs="Times New Roman"/>
          <w:sz w:val="28"/>
          <w:szCs w:val="28"/>
        </w:rPr>
        <w:t>-</w:t>
      </w:r>
      <w:r w:rsidR="0097127B" w:rsidRPr="00A11A5E">
        <w:rPr>
          <w:rFonts w:ascii="Times New Roman" w:hAnsi="Times New Roman" w:cs="Times New Roman"/>
          <w:sz w:val="28"/>
          <w:szCs w:val="28"/>
        </w:rPr>
        <w:t xml:space="preserve">25 at the Organic Research Farm, </w:t>
      </w:r>
      <w:proofErr w:type="spellStart"/>
      <w:r w:rsidR="0097127B" w:rsidRPr="00A11A5E">
        <w:rPr>
          <w:rFonts w:ascii="Times New Roman" w:hAnsi="Times New Roman" w:cs="Times New Roman"/>
          <w:sz w:val="28"/>
          <w:szCs w:val="28"/>
        </w:rPr>
        <w:t>Kargua</w:t>
      </w:r>
      <w:proofErr w:type="spellEnd"/>
      <w:r w:rsidR="0097127B" w:rsidRPr="00A11A5E">
        <w:rPr>
          <w:rFonts w:ascii="Times New Roman" w:hAnsi="Times New Roman" w:cs="Times New Roman"/>
          <w:sz w:val="28"/>
          <w:szCs w:val="28"/>
        </w:rPr>
        <w:t xml:space="preserve"> Ji, Bundelkhand University, Jhansi, Uttar Pradesh, India, situated in a semi-arid </w:t>
      </w:r>
      <w:proofErr w:type="spellStart"/>
      <w:r w:rsidR="0097127B" w:rsidRPr="00A11A5E">
        <w:rPr>
          <w:rFonts w:ascii="Times New Roman" w:hAnsi="Times New Roman" w:cs="Times New Roman"/>
          <w:sz w:val="28"/>
          <w:szCs w:val="28"/>
        </w:rPr>
        <w:t>agro</w:t>
      </w:r>
      <w:proofErr w:type="spellEnd"/>
      <w:r w:rsidR="0097127B" w:rsidRPr="00A11A5E">
        <w:rPr>
          <w:rFonts w:ascii="Times New Roman" w:hAnsi="Times New Roman" w:cs="Times New Roman"/>
          <w:sz w:val="28"/>
          <w:szCs w:val="28"/>
        </w:rPr>
        <w:t>-climatic zone. The site experiences hot summers and cool winters, with an average annual rainfall of about 850</w:t>
      </w:r>
      <w:r w:rsidR="00D70A42" w:rsidRPr="00A11A5E">
        <w:rPr>
          <w:rFonts w:ascii="Times New Roman" w:hAnsi="Times New Roman" w:cs="Times New Roman"/>
          <w:sz w:val="28"/>
          <w:szCs w:val="28"/>
        </w:rPr>
        <w:t>-</w:t>
      </w:r>
      <w:r w:rsidR="00805E83" w:rsidRPr="00A11A5E">
        <w:rPr>
          <w:rFonts w:ascii="Times New Roman" w:hAnsi="Times New Roman" w:cs="Times New Roman"/>
          <w:sz w:val="28"/>
          <w:szCs w:val="28"/>
        </w:rPr>
        <w:t>900 mm. The wheat</w:t>
      </w:r>
      <w:r w:rsidR="0097127B" w:rsidRPr="00A11A5E">
        <w:rPr>
          <w:rFonts w:ascii="Times New Roman" w:hAnsi="Times New Roman" w:cs="Times New Roman"/>
          <w:sz w:val="28"/>
          <w:szCs w:val="28"/>
        </w:rPr>
        <w:t xml:space="preserve"> cultivar </w:t>
      </w:r>
      <w:r w:rsidR="00805E83" w:rsidRPr="00A11A5E">
        <w:rPr>
          <w:rFonts w:ascii="Times New Roman" w:hAnsi="Times New Roman" w:cs="Times New Roman"/>
          <w:sz w:val="28"/>
          <w:szCs w:val="28"/>
        </w:rPr>
        <w:t>DBW-187</w:t>
      </w:r>
      <w:r w:rsidR="0097127B" w:rsidRPr="00A11A5E">
        <w:rPr>
          <w:rFonts w:ascii="Times New Roman" w:hAnsi="Times New Roman" w:cs="Times New Roman"/>
          <w:sz w:val="28"/>
          <w:szCs w:val="28"/>
        </w:rPr>
        <w:t xml:space="preserve"> was used as the test crop.</w:t>
      </w:r>
    </w:p>
    <w:p w14:paraId="625B5F97" w14:textId="77777777" w:rsidR="0097127B" w:rsidRPr="00A11A5E" w:rsidRDefault="0054701F" w:rsidP="003A0F79">
      <w:pPr>
        <w:jc w:val="both"/>
        <w:rPr>
          <w:rFonts w:ascii="Times New Roman" w:hAnsi="Times New Roman" w:cs="Times New Roman"/>
          <w:sz w:val="28"/>
          <w:szCs w:val="28"/>
        </w:rPr>
      </w:pPr>
      <w:r w:rsidRPr="00A11A5E">
        <w:rPr>
          <w:rFonts w:ascii="Times New Roman" w:hAnsi="Times New Roman" w:cs="Times New Roman"/>
          <w:sz w:val="28"/>
          <w:szCs w:val="28"/>
        </w:rPr>
        <w:tab/>
      </w:r>
      <w:r w:rsidR="0097127B" w:rsidRPr="00A11A5E">
        <w:rPr>
          <w:rFonts w:ascii="Times New Roman" w:hAnsi="Times New Roman" w:cs="Times New Roman"/>
          <w:sz w:val="28"/>
          <w:szCs w:val="28"/>
        </w:rPr>
        <w:t>The experiment consisted of seven seed priming treatments, including one untreated control and six priming solutions. The treatments were: Control (unpri</w:t>
      </w:r>
      <w:r w:rsidR="00433DD8" w:rsidRPr="00A11A5E">
        <w:rPr>
          <w:rFonts w:ascii="Times New Roman" w:hAnsi="Times New Roman" w:cs="Times New Roman"/>
          <w:sz w:val="28"/>
          <w:szCs w:val="28"/>
        </w:rPr>
        <w:t>med), Hydropriming (water), KCL at 5 g, MgSO4 at 3 g, KNO3</w:t>
      </w:r>
      <w:r w:rsidR="000B1A8F" w:rsidRPr="00A11A5E">
        <w:rPr>
          <w:rFonts w:ascii="Times New Roman" w:hAnsi="Times New Roman" w:cs="Times New Roman"/>
          <w:sz w:val="28"/>
          <w:szCs w:val="28"/>
        </w:rPr>
        <w:t>at 5 g, ZnSO4</w:t>
      </w:r>
      <w:r w:rsidR="0097127B" w:rsidRPr="00A11A5E">
        <w:rPr>
          <w:rFonts w:ascii="Times New Roman" w:hAnsi="Times New Roman" w:cs="Times New Roman"/>
          <w:sz w:val="28"/>
          <w:szCs w:val="28"/>
        </w:rPr>
        <w:t xml:space="preserve"> at 3 g, and a </w:t>
      </w:r>
      <w:r w:rsidR="000B1A8F" w:rsidRPr="00A11A5E">
        <w:rPr>
          <w:rFonts w:ascii="Times New Roman" w:hAnsi="Times New Roman" w:cs="Times New Roman"/>
          <w:sz w:val="28"/>
          <w:szCs w:val="28"/>
        </w:rPr>
        <w:t>KOH</w:t>
      </w:r>
      <w:r w:rsidR="0097127B" w:rsidRPr="00A11A5E">
        <w:rPr>
          <w:rFonts w:ascii="Times New Roman" w:hAnsi="Times New Roman" w:cs="Times New Roman"/>
          <w:sz w:val="28"/>
          <w:szCs w:val="28"/>
        </w:rPr>
        <w:t xml:space="preserve"> solution at 5 g. After priming, seeds were shade-dried back to their original moisture content (approximately 12%) to ensure safe handling and uniform germination before sowing.</w:t>
      </w:r>
    </w:p>
    <w:p w14:paraId="666F0ACE" w14:textId="77777777" w:rsidR="0097127B" w:rsidRPr="00A11A5E" w:rsidRDefault="0054701F" w:rsidP="003A0F79">
      <w:pPr>
        <w:jc w:val="both"/>
        <w:rPr>
          <w:rFonts w:ascii="Times New Roman" w:hAnsi="Times New Roman" w:cs="Times New Roman"/>
          <w:sz w:val="28"/>
          <w:szCs w:val="28"/>
        </w:rPr>
      </w:pPr>
      <w:r w:rsidRPr="00A11A5E">
        <w:rPr>
          <w:rFonts w:ascii="Times New Roman" w:hAnsi="Times New Roman" w:cs="Times New Roman"/>
          <w:sz w:val="28"/>
          <w:szCs w:val="28"/>
        </w:rPr>
        <w:tab/>
      </w:r>
      <w:r w:rsidR="0097127B" w:rsidRPr="00A11A5E">
        <w:rPr>
          <w:rFonts w:ascii="Times New Roman" w:hAnsi="Times New Roman" w:cs="Times New Roman"/>
          <w:sz w:val="28"/>
          <w:szCs w:val="28"/>
        </w:rPr>
        <w:t>The field experiment was laid out in a Randomized Block Design (RBD) with three replications, while laboratory observations on germination and vigor were conducted under a Completely Randomized Design (CRD). Each plot measured 1.5 m × 1.5 m, maintaining a spacing of 45 cm × 15 cm between rows and plants, respectiv</w:t>
      </w:r>
      <w:r w:rsidR="000B1A8F" w:rsidRPr="00A11A5E">
        <w:rPr>
          <w:rFonts w:ascii="Times New Roman" w:hAnsi="Times New Roman" w:cs="Times New Roman"/>
          <w:sz w:val="28"/>
          <w:szCs w:val="28"/>
        </w:rPr>
        <w:t xml:space="preserve">ely. Field preparation included </w:t>
      </w:r>
      <w:r w:rsidR="0097127B" w:rsidRPr="00A11A5E">
        <w:rPr>
          <w:rFonts w:ascii="Times New Roman" w:hAnsi="Times New Roman" w:cs="Times New Roman"/>
          <w:sz w:val="28"/>
          <w:szCs w:val="28"/>
        </w:rPr>
        <w:t xml:space="preserve">ploughing, harrowing, and leveling to achieve a fine tilth. Sowing was done in the second week of October 2024 using Recommended agronomic practices were followed throughout the crop period, and uniform irrigations were applied at critical </w:t>
      </w:r>
      <w:r w:rsidR="000B1A8F" w:rsidRPr="00A11A5E">
        <w:rPr>
          <w:rFonts w:ascii="Times New Roman" w:hAnsi="Times New Roman" w:cs="Times New Roman"/>
          <w:sz w:val="28"/>
          <w:szCs w:val="28"/>
        </w:rPr>
        <w:t xml:space="preserve">growth stages such as </w:t>
      </w:r>
      <w:proofErr w:type="spellStart"/>
      <w:r w:rsidR="000B1A8F" w:rsidRPr="00A11A5E">
        <w:rPr>
          <w:rFonts w:ascii="Times New Roman" w:hAnsi="Times New Roman" w:cs="Times New Roman"/>
          <w:sz w:val="28"/>
          <w:szCs w:val="28"/>
        </w:rPr>
        <w:t>Tillring</w:t>
      </w:r>
      <w:proofErr w:type="spellEnd"/>
      <w:r w:rsidR="0097127B" w:rsidRPr="00A11A5E">
        <w:rPr>
          <w:rFonts w:ascii="Times New Roman" w:hAnsi="Times New Roman" w:cs="Times New Roman"/>
          <w:sz w:val="28"/>
          <w:szCs w:val="28"/>
        </w:rPr>
        <w:t xml:space="preserve"> flowering, </w:t>
      </w:r>
      <w:r w:rsidR="000B1A8F" w:rsidRPr="00A11A5E">
        <w:rPr>
          <w:rFonts w:ascii="Times New Roman" w:hAnsi="Times New Roman" w:cs="Times New Roman"/>
          <w:sz w:val="28"/>
          <w:szCs w:val="28"/>
        </w:rPr>
        <w:t>and spike</w:t>
      </w:r>
      <w:r w:rsidR="0097127B" w:rsidRPr="00A11A5E">
        <w:rPr>
          <w:rFonts w:ascii="Times New Roman" w:hAnsi="Times New Roman" w:cs="Times New Roman"/>
          <w:sz w:val="28"/>
          <w:szCs w:val="28"/>
        </w:rPr>
        <w:t xml:space="preserve"> filling to ensure healthy crop establishment.</w:t>
      </w:r>
    </w:p>
    <w:p w14:paraId="4CFE70B4" w14:textId="77777777" w:rsidR="000569A1" w:rsidRPr="00A11A5E" w:rsidRDefault="000569A1" w:rsidP="003A0F79">
      <w:pPr>
        <w:spacing w:before="100" w:beforeAutospacing="1" w:after="100" w:afterAutospacing="1"/>
        <w:rPr>
          <w:rFonts w:ascii="Times New Roman" w:eastAsia="Times New Roman" w:hAnsi="Times New Roman" w:cs="Times New Roman"/>
          <w:kern w:val="0"/>
          <w:sz w:val="28"/>
          <w:szCs w:val="28"/>
          <w:lang w:bidi="hi-IN"/>
        </w:rPr>
      </w:pPr>
      <w:r w:rsidRPr="00A11A5E">
        <w:rPr>
          <w:rFonts w:ascii="Times New Roman" w:eastAsia="Times New Roman" w:hAnsi="Times New Roman" w:cs="Times New Roman"/>
          <w:b/>
          <w:bCs/>
          <w:kern w:val="0"/>
          <w:sz w:val="28"/>
          <w:szCs w:val="28"/>
          <w:lang w:bidi="hi-IN"/>
        </w:rPr>
        <w:lastRenderedPageBreak/>
        <w:t>6. Plant Height (cm):</w:t>
      </w:r>
      <w:r w:rsidRPr="00A11A5E">
        <w:rPr>
          <w:rFonts w:ascii="Times New Roman" w:eastAsia="Times New Roman" w:hAnsi="Times New Roman" w:cs="Times New Roman"/>
          <w:kern w:val="0"/>
          <w:sz w:val="28"/>
          <w:szCs w:val="28"/>
          <w:lang w:bidi="hi-IN"/>
        </w:rPr>
        <w:br/>
      </w:r>
      <w:r w:rsidR="0054701F" w:rsidRPr="00A11A5E">
        <w:rPr>
          <w:rFonts w:ascii="Times New Roman" w:eastAsia="Times New Roman" w:hAnsi="Times New Roman" w:cs="Times New Roman"/>
          <w:kern w:val="0"/>
          <w:sz w:val="28"/>
          <w:szCs w:val="28"/>
          <w:lang w:bidi="hi-IN"/>
        </w:rPr>
        <w:tab/>
      </w:r>
      <w:r w:rsidRPr="00A11A5E">
        <w:rPr>
          <w:rFonts w:ascii="Times New Roman" w:eastAsia="Times New Roman" w:hAnsi="Times New Roman" w:cs="Times New Roman"/>
          <w:kern w:val="0"/>
          <w:sz w:val="28"/>
          <w:szCs w:val="28"/>
          <w:lang w:bidi="hi-IN"/>
        </w:rPr>
        <w:t>Measured from the base to the tip of the main raceme at maturity from five randomly selected plants per plot.</w:t>
      </w:r>
    </w:p>
    <w:p w14:paraId="58368A7F" w14:textId="77777777" w:rsidR="000569A1" w:rsidRPr="00A11A5E" w:rsidRDefault="000B1A8F" w:rsidP="003A0F79">
      <w:pPr>
        <w:spacing w:before="100" w:beforeAutospacing="1" w:after="100" w:afterAutospacing="1"/>
        <w:rPr>
          <w:rFonts w:ascii="Times New Roman" w:eastAsia="Times New Roman" w:hAnsi="Times New Roman" w:cs="Times New Roman"/>
          <w:kern w:val="0"/>
          <w:sz w:val="28"/>
          <w:szCs w:val="28"/>
          <w:lang w:bidi="hi-IN"/>
        </w:rPr>
      </w:pPr>
      <w:r w:rsidRPr="00A11A5E">
        <w:rPr>
          <w:rFonts w:ascii="Times New Roman" w:eastAsia="Times New Roman" w:hAnsi="Times New Roman" w:cs="Times New Roman"/>
          <w:b/>
          <w:bCs/>
          <w:kern w:val="0"/>
          <w:sz w:val="28"/>
          <w:szCs w:val="28"/>
          <w:lang w:bidi="hi-IN"/>
        </w:rPr>
        <w:t>7. Number of Spike</w:t>
      </w:r>
      <w:r w:rsidR="000569A1" w:rsidRPr="00A11A5E">
        <w:rPr>
          <w:rFonts w:ascii="Times New Roman" w:eastAsia="Times New Roman" w:hAnsi="Times New Roman" w:cs="Times New Roman"/>
          <w:b/>
          <w:bCs/>
          <w:kern w:val="0"/>
          <w:sz w:val="28"/>
          <w:szCs w:val="28"/>
          <w:lang w:bidi="hi-IN"/>
        </w:rPr>
        <w:t xml:space="preserve"> per Plant:</w:t>
      </w:r>
      <w:r w:rsidR="000569A1" w:rsidRPr="00A11A5E">
        <w:rPr>
          <w:rFonts w:ascii="Times New Roman" w:eastAsia="Times New Roman" w:hAnsi="Times New Roman" w:cs="Times New Roman"/>
          <w:kern w:val="0"/>
          <w:sz w:val="28"/>
          <w:szCs w:val="28"/>
          <w:lang w:bidi="hi-IN"/>
        </w:rPr>
        <w:br/>
      </w:r>
      <w:r w:rsidR="0054701F" w:rsidRPr="00A11A5E">
        <w:rPr>
          <w:rFonts w:ascii="Times New Roman" w:eastAsia="Times New Roman" w:hAnsi="Times New Roman" w:cs="Times New Roman"/>
          <w:kern w:val="0"/>
          <w:sz w:val="28"/>
          <w:szCs w:val="28"/>
          <w:lang w:bidi="hi-IN"/>
        </w:rPr>
        <w:tab/>
      </w:r>
      <w:r w:rsidR="000569A1" w:rsidRPr="00A11A5E">
        <w:rPr>
          <w:rFonts w:ascii="Times New Roman" w:eastAsia="Times New Roman" w:hAnsi="Times New Roman" w:cs="Times New Roman"/>
          <w:kern w:val="0"/>
          <w:sz w:val="28"/>
          <w:szCs w:val="28"/>
          <w:lang w:bidi="hi-IN"/>
        </w:rPr>
        <w:t>Counted from five representative plants in each plot.</w:t>
      </w:r>
    </w:p>
    <w:p w14:paraId="3F6C1390" w14:textId="77777777" w:rsidR="000569A1" w:rsidRPr="00A11A5E" w:rsidRDefault="000B1A8F" w:rsidP="003A0F79">
      <w:pPr>
        <w:spacing w:before="100" w:beforeAutospacing="1" w:after="100" w:afterAutospacing="1"/>
        <w:rPr>
          <w:rFonts w:ascii="Times New Roman" w:eastAsia="Times New Roman" w:hAnsi="Times New Roman" w:cs="Times New Roman"/>
          <w:kern w:val="0"/>
          <w:sz w:val="28"/>
          <w:szCs w:val="28"/>
          <w:lang w:bidi="hi-IN"/>
        </w:rPr>
      </w:pPr>
      <w:r w:rsidRPr="00A11A5E">
        <w:rPr>
          <w:rFonts w:ascii="Times New Roman" w:eastAsia="Times New Roman" w:hAnsi="Times New Roman" w:cs="Times New Roman"/>
          <w:b/>
          <w:bCs/>
          <w:kern w:val="0"/>
          <w:sz w:val="28"/>
          <w:szCs w:val="28"/>
          <w:lang w:bidi="hi-IN"/>
        </w:rPr>
        <w:t>8. Number of Seeds per Spike</w:t>
      </w:r>
      <w:r w:rsidR="000569A1" w:rsidRPr="00A11A5E">
        <w:rPr>
          <w:rFonts w:ascii="Times New Roman" w:eastAsia="Times New Roman" w:hAnsi="Times New Roman" w:cs="Times New Roman"/>
          <w:b/>
          <w:bCs/>
          <w:kern w:val="0"/>
          <w:sz w:val="28"/>
          <w:szCs w:val="28"/>
          <w:lang w:bidi="hi-IN"/>
        </w:rPr>
        <w:t>:</w:t>
      </w:r>
      <w:r w:rsidR="000569A1" w:rsidRPr="00A11A5E">
        <w:rPr>
          <w:rFonts w:ascii="Times New Roman" w:eastAsia="Times New Roman" w:hAnsi="Times New Roman" w:cs="Times New Roman"/>
          <w:kern w:val="0"/>
          <w:sz w:val="28"/>
          <w:szCs w:val="28"/>
          <w:lang w:bidi="hi-IN"/>
        </w:rPr>
        <w:br/>
      </w:r>
      <w:r w:rsidR="0054701F" w:rsidRPr="00A11A5E">
        <w:rPr>
          <w:rFonts w:ascii="Times New Roman" w:eastAsia="Times New Roman" w:hAnsi="Times New Roman" w:cs="Times New Roman"/>
          <w:kern w:val="0"/>
          <w:sz w:val="28"/>
          <w:szCs w:val="28"/>
          <w:lang w:bidi="hi-IN"/>
        </w:rPr>
        <w:tab/>
      </w:r>
      <w:r w:rsidR="000569A1" w:rsidRPr="00A11A5E">
        <w:rPr>
          <w:rFonts w:ascii="Times New Roman" w:eastAsia="Times New Roman" w:hAnsi="Times New Roman" w:cs="Times New Roman"/>
          <w:kern w:val="0"/>
          <w:sz w:val="28"/>
          <w:szCs w:val="28"/>
          <w:lang w:bidi="hi-IN"/>
        </w:rPr>
        <w:t>Average of ten randomly selected siliquae from each treatment.</w:t>
      </w:r>
    </w:p>
    <w:p w14:paraId="30374498" w14:textId="77777777" w:rsidR="000569A1" w:rsidRPr="00A11A5E" w:rsidRDefault="008F2340" w:rsidP="003A0F79">
      <w:pPr>
        <w:spacing w:before="100" w:beforeAutospacing="1" w:after="100" w:afterAutospacing="1"/>
        <w:rPr>
          <w:rFonts w:ascii="Times New Roman" w:eastAsia="Times New Roman" w:hAnsi="Times New Roman" w:cs="Times New Roman"/>
          <w:kern w:val="0"/>
          <w:sz w:val="28"/>
          <w:szCs w:val="28"/>
          <w:lang w:bidi="hi-IN"/>
        </w:rPr>
      </w:pPr>
      <w:r>
        <w:rPr>
          <w:rFonts w:ascii="Times New Roman" w:eastAsia="Times New Roman" w:hAnsi="Times New Roman" w:cs="Times New Roman"/>
          <w:b/>
          <w:bCs/>
          <w:kern w:val="0"/>
          <w:sz w:val="28"/>
          <w:szCs w:val="28"/>
          <w:lang w:bidi="hi-IN"/>
        </w:rPr>
        <w:t>9</w:t>
      </w:r>
      <w:r w:rsidR="000569A1" w:rsidRPr="00A11A5E">
        <w:rPr>
          <w:rFonts w:ascii="Times New Roman" w:eastAsia="Times New Roman" w:hAnsi="Times New Roman" w:cs="Times New Roman"/>
          <w:b/>
          <w:bCs/>
          <w:kern w:val="0"/>
          <w:sz w:val="28"/>
          <w:szCs w:val="28"/>
          <w:lang w:bidi="hi-IN"/>
        </w:rPr>
        <w:t>. Seed Yield (q ha⁻¹):</w:t>
      </w:r>
    </w:p>
    <w:p w14:paraId="534F476C" w14:textId="77777777" w:rsidR="000569A1" w:rsidRPr="00A11A5E" w:rsidRDefault="00000000" w:rsidP="003A0F79">
      <w:pPr>
        <w:spacing w:before="0"/>
        <w:rPr>
          <w:rFonts w:ascii="Times New Roman" w:eastAsia="Times New Roman" w:hAnsi="Times New Roman" w:cs="Times New Roman"/>
          <w:kern w:val="0"/>
          <w:sz w:val="28"/>
          <w:szCs w:val="28"/>
          <w:lang w:bidi="hi-IN"/>
        </w:rPr>
      </w:pPr>
      <m:oMathPara>
        <m:oMath>
          <m:sSup>
            <m:sSupPr>
              <m:ctrlPr>
                <w:rPr>
                  <w:rFonts w:ascii="Cambria Math" w:eastAsia="Times New Roman" w:hAnsi="Times New Roman" w:cs="Times New Roman"/>
                  <w:kern w:val="0"/>
                  <w:sz w:val="28"/>
                  <w:szCs w:val="28"/>
                  <w:lang w:bidi="hi-IN"/>
                </w:rPr>
              </m:ctrlPr>
            </m:sSupPr>
            <m:e>
              <m:r>
                <m:rPr>
                  <m:nor/>
                </m:rPr>
                <w:rPr>
                  <w:rFonts w:ascii="Times New Roman" w:eastAsia="Times New Roman" w:hAnsi="Times New Roman" w:cs="Times New Roman"/>
                  <w:kern w:val="0"/>
                  <w:sz w:val="28"/>
                  <w:szCs w:val="28"/>
                  <w:lang w:bidi="hi-IN"/>
                </w:rPr>
                <m:t>Seed yield (q ha</m:t>
              </m:r>
            </m:e>
            <m:sup>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m:t>
              </m:r>
            </m:sup>
          </m:sSup>
          <m:r>
            <m:rPr>
              <m:nor/>
            </m:rPr>
            <w:rPr>
              <w:rFonts w:ascii="Times New Roman"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m:t>
          </m:r>
          <m:f>
            <m:fPr>
              <m:ctrlPr>
                <w:rPr>
                  <w:rFonts w:ascii="Cambria Math" w:eastAsia="Times New Roman" w:hAnsi="Times New Roman" w:cs="Times New Roman"/>
                  <w:kern w:val="0"/>
                  <w:sz w:val="28"/>
                  <w:szCs w:val="28"/>
                  <w:lang w:bidi="hi-IN"/>
                </w:rPr>
              </m:ctrlPr>
            </m:fPr>
            <m:num>
              <m:r>
                <m:rPr>
                  <m:nor/>
                </m:rPr>
                <w:rPr>
                  <w:rFonts w:ascii="Times New Roman" w:eastAsia="Times New Roman" w:hAnsi="Times New Roman" w:cs="Times New Roman"/>
                  <w:kern w:val="0"/>
                  <w:sz w:val="28"/>
                  <w:szCs w:val="28"/>
                  <w:lang w:bidi="hi-IN"/>
                </w:rPr>
                <m:t>Plot yield (kg)</m:t>
              </m:r>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10000</m:t>
              </m:r>
            </m:num>
            <m:den>
              <m:r>
                <m:rPr>
                  <m:nor/>
                </m:rPr>
                <w:rPr>
                  <w:rFonts w:ascii="Times New Roman" w:eastAsia="Times New Roman" w:hAnsi="Times New Roman" w:cs="Times New Roman"/>
                  <w:kern w:val="0"/>
                  <w:sz w:val="28"/>
                  <w:szCs w:val="28"/>
                  <w:lang w:bidi="hi-IN"/>
                </w:rPr>
                <m:t>Plot area (m²)</m:t>
              </m:r>
              <m:r>
                <w:rPr>
                  <w:rFonts w:ascii="Cambria Math" w:eastAsia="Times New Roman" w:hAnsi="Times New Roman" w:cs="Times New Roman"/>
                  <w:kern w:val="0"/>
                  <w:sz w:val="28"/>
                  <w:szCs w:val="28"/>
                  <w:lang w:bidi="hi-IN"/>
                </w:rPr>
                <m:t>×</m:t>
              </m:r>
              <m:r>
                <w:rPr>
                  <w:rFonts w:ascii="Cambria Math" w:eastAsia="Times New Roman" w:hAnsi="Times New Roman" w:cs="Times New Roman"/>
                  <w:kern w:val="0"/>
                  <w:sz w:val="28"/>
                  <w:szCs w:val="28"/>
                  <w:lang w:bidi="hi-IN"/>
                </w:rPr>
                <m:t>100</m:t>
              </m:r>
            </m:den>
          </m:f>
        </m:oMath>
      </m:oMathPara>
    </w:p>
    <w:p w14:paraId="2373C9A9" w14:textId="77777777" w:rsidR="00F45640" w:rsidRPr="00A11A5E" w:rsidRDefault="000569A1" w:rsidP="003A0F79">
      <w:pPr>
        <w:jc w:val="both"/>
        <w:rPr>
          <w:rFonts w:ascii="Times New Roman" w:hAnsi="Times New Roman" w:cs="Times New Roman"/>
          <w:b/>
          <w:bCs/>
          <w:sz w:val="28"/>
          <w:szCs w:val="28"/>
        </w:rPr>
      </w:pPr>
      <w:r>
        <w:rPr>
          <w:rFonts w:ascii="Times New Roman" w:eastAsia="Times New Roman" w:hAnsi="Times New Roman" w:cs="Times New Roman"/>
          <w:kern w:val="0"/>
          <w:sz w:val="28"/>
          <w:szCs w:val="28"/>
          <w:lang w:bidi="hi-IN"/>
        </w:rPr>
        <w:br/>
      </w:r>
    </w:p>
    <w:p w14:paraId="2C0C208D" w14:textId="77777777" w:rsidR="000569A1" w:rsidRPr="00A11A5E" w:rsidRDefault="00275792" w:rsidP="003A0F79">
      <w:pPr>
        <w:jc w:val="both"/>
        <w:rPr>
          <w:rFonts w:ascii="Times New Roman" w:hAnsi="Times New Roman" w:cs="Times New Roman"/>
          <w:sz w:val="28"/>
          <w:szCs w:val="28"/>
        </w:rPr>
      </w:pPr>
      <w:r w:rsidRPr="00A11A5E">
        <w:rPr>
          <w:rFonts w:ascii="Times New Roman" w:hAnsi="Times New Roman" w:cs="Times New Roman"/>
          <w:b/>
          <w:bCs/>
          <w:sz w:val="28"/>
          <w:szCs w:val="28"/>
        </w:rPr>
        <w:t>Data Collection and Analysis</w:t>
      </w:r>
    </w:p>
    <w:p w14:paraId="684997FD" w14:textId="77777777" w:rsidR="00275792" w:rsidRPr="00A11A5E" w:rsidRDefault="0054701F" w:rsidP="003A0F79">
      <w:pPr>
        <w:jc w:val="both"/>
        <w:rPr>
          <w:rFonts w:ascii="Times New Roman" w:hAnsi="Times New Roman" w:cs="Times New Roman"/>
          <w:sz w:val="28"/>
          <w:szCs w:val="28"/>
        </w:rPr>
      </w:pPr>
      <w:r w:rsidRPr="00A11A5E">
        <w:rPr>
          <w:rFonts w:ascii="Times New Roman" w:hAnsi="Times New Roman" w:cs="Times New Roman"/>
          <w:sz w:val="28"/>
          <w:szCs w:val="28"/>
        </w:rPr>
        <w:tab/>
      </w:r>
      <w:r w:rsidR="00275792" w:rsidRPr="00A11A5E">
        <w:rPr>
          <w:rFonts w:ascii="Times New Roman" w:hAnsi="Times New Roman" w:cs="Times New Roman"/>
          <w:sz w:val="28"/>
          <w:szCs w:val="28"/>
        </w:rPr>
        <w:t xml:space="preserve">field data on growth and yield were analyzed under a Randomized Block Design (RBD) with three replications. At maturity, five plants per plot were sampled for </w:t>
      </w:r>
      <w:r w:rsidR="00495D57" w:rsidRPr="00A11A5E">
        <w:rPr>
          <w:rFonts w:ascii="Times New Roman" w:hAnsi="Times New Roman" w:cs="Times New Roman"/>
          <w:sz w:val="28"/>
          <w:szCs w:val="28"/>
        </w:rPr>
        <w:t xml:space="preserve">days of </w:t>
      </w:r>
      <w:r w:rsidR="000B1A8F" w:rsidRPr="00A11A5E">
        <w:rPr>
          <w:rFonts w:ascii="Times New Roman" w:hAnsi="Times New Roman" w:cs="Times New Roman"/>
          <w:sz w:val="28"/>
          <w:szCs w:val="28"/>
        </w:rPr>
        <w:t>50% flowering</w:t>
      </w:r>
      <w:r w:rsidR="00495D57" w:rsidRPr="00A11A5E">
        <w:rPr>
          <w:rFonts w:ascii="Times New Roman" w:hAnsi="Times New Roman" w:cs="Times New Roman"/>
          <w:sz w:val="28"/>
          <w:szCs w:val="28"/>
        </w:rPr>
        <w:t>,</w:t>
      </w:r>
      <w:r w:rsidR="000B1A8F" w:rsidRPr="00A11A5E">
        <w:rPr>
          <w:rFonts w:ascii="Times New Roman" w:hAnsi="Times New Roman" w:cs="Times New Roman"/>
          <w:sz w:val="28"/>
          <w:szCs w:val="28"/>
        </w:rPr>
        <w:t xml:space="preserve"> </w:t>
      </w:r>
      <w:r w:rsidR="00495D57" w:rsidRPr="00A11A5E">
        <w:rPr>
          <w:rFonts w:ascii="Times New Roman" w:hAnsi="Times New Roman" w:cs="Times New Roman"/>
          <w:sz w:val="28"/>
          <w:szCs w:val="28"/>
        </w:rPr>
        <w:t>plant height, spike</w:t>
      </w:r>
      <w:r w:rsidR="00275792" w:rsidRPr="00A11A5E">
        <w:rPr>
          <w:rFonts w:ascii="Times New Roman" w:hAnsi="Times New Roman" w:cs="Times New Roman"/>
          <w:sz w:val="28"/>
          <w:szCs w:val="28"/>
        </w:rPr>
        <w:t xml:space="preserve"> per plant, and seeds per </w:t>
      </w:r>
      <w:r w:rsidR="00495D57" w:rsidRPr="00A11A5E">
        <w:rPr>
          <w:rFonts w:ascii="Times New Roman" w:hAnsi="Times New Roman" w:cs="Times New Roman"/>
          <w:sz w:val="28"/>
          <w:szCs w:val="28"/>
        </w:rPr>
        <w:t>spike</w:t>
      </w:r>
      <w:r w:rsidR="00275792" w:rsidRPr="00A11A5E">
        <w:rPr>
          <w:rFonts w:ascii="Times New Roman" w:hAnsi="Times New Roman" w:cs="Times New Roman"/>
          <w:sz w:val="28"/>
          <w:szCs w:val="28"/>
        </w:rPr>
        <w:t>. Seed yield from each plot was converted to q ha⁻¹, and 1000-seed weight was recorded from laboratory samples. Data were analyzed through ANOVA, and treatment means were compared using the Critical Difference (CD) test at 5% probability (P = 0.05).</w:t>
      </w:r>
    </w:p>
    <w:p w14:paraId="6A58ABC9" w14:textId="77777777" w:rsidR="008039CC" w:rsidRPr="00A11A5E" w:rsidRDefault="008039CC" w:rsidP="003A0F79">
      <w:pPr>
        <w:jc w:val="both"/>
        <w:rPr>
          <w:rFonts w:ascii="Times New Roman" w:hAnsi="Times New Roman" w:cs="Times New Roman"/>
          <w:b/>
          <w:bCs/>
          <w:sz w:val="28"/>
          <w:szCs w:val="28"/>
        </w:rPr>
      </w:pPr>
      <w:r w:rsidRPr="00A11A5E">
        <w:rPr>
          <w:rFonts w:ascii="Times New Roman" w:hAnsi="Times New Roman" w:cs="Times New Roman"/>
          <w:b/>
          <w:bCs/>
          <w:sz w:val="28"/>
          <w:szCs w:val="28"/>
        </w:rPr>
        <w:t>Results and Discussion</w:t>
      </w:r>
    </w:p>
    <w:p w14:paraId="66C326EB" w14:textId="77777777" w:rsidR="00915AB1" w:rsidRPr="00A11A5E" w:rsidRDefault="0054701F" w:rsidP="003A0F79">
      <w:pPr>
        <w:jc w:val="both"/>
        <w:rPr>
          <w:rFonts w:ascii="Times New Roman" w:hAnsi="Times New Roman" w:cs="Times New Roman"/>
          <w:sz w:val="28"/>
          <w:szCs w:val="28"/>
        </w:rPr>
      </w:pPr>
      <w:r w:rsidRPr="00A11A5E">
        <w:rPr>
          <w:rFonts w:ascii="Times New Roman" w:hAnsi="Times New Roman" w:cs="Times New Roman"/>
          <w:sz w:val="28"/>
          <w:szCs w:val="28"/>
        </w:rPr>
        <w:tab/>
      </w:r>
      <w:r w:rsidR="00915AB1" w:rsidRPr="00A11A5E">
        <w:rPr>
          <w:rFonts w:ascii="Times New Roman" w:hAnsi="Times New Roman" w:cs="Times New Roman"/>
          <w:sz w:val="28"/>
          <w:szCs w:val="28"/>
        </w:rPr>
        <w:t xml:space="preserve">Seed priming treatments exhibited significant effects yield attributes, </w:t>
      </w:r>
      <w:r w:rsidR="001F5856">
        <w:rPr>
          <w:rFonts w:ascii="Times New Roman" w:hAnsi="Times New Roman" w:cs="Times New Roman"/>
          <w:sz w:val="28"/>
          <w:szCs w:val="28"/>
        </w:rPr>
        <w:t>quality of wheat</w:t>
      </w:r>
      <w:r w:rsidR="00915AB1" w:rsidRPr="00A11A5E">
        <w:rPr>
          <w:rFonts w:ascii="Times New Roman" w:hAnsi="Times New Roman" w:cs="Times New Roman"/>
          <w:sz w:val="28"/>
          <w:szCs w:val="28"/>
        </w:rPr>
        <w:t xml:space="preserve"> under the semi-arid conditions of Bundelkhand</w:t>
      </w:r>
      <w:r w:rsidR="00504C0A" w:rsidRPr="00A11A5E">
        <w:rPr>
          <w:rFonts w:ascii="Times New Roman" w:hAnsi="Times New Roman" w:cs="Times New Roman"/>
          <w:sz w:val="28"/>
          <w:szCs w:val="28"/>
        </w:rPr>
        <w:t xml:space="preserve"> region. </w:t>
      </w:r>
    </w:p>
    <w:p w14:paraId="67B8EA99" w14:textId="77777777" w:rsidR="00915AB1" w:rsidRPr="00A11A5E" w:rsidRDefault="00495D57" w:rsidP="003A0F79">
      <w:pPr>
        <w:jc w:val="both"/>
        <w:rPr>
          <w:rFonts w:ascii="Times New Roman" w:hAnsi="Times New Roman" w:cs="Times New Roman"/>
          <w:b/>
          <w:bCs/>
          <w:sz w:val="28"/>
          <w:szCs w:val="28"/>
        </w:rPr>
      </w:pPr>
      <w:r w:rsidRPr="00A11A5E">
        <w:rPr>
          <w:rFonts w:ascii="Times New Roman" w:hAnsi="Times New Roman" w:cs="Times New Roman"/>
          <w:b/>
          <w:bCs/>
          <w:sz w:val="28"/>
          <w:szCs w:val="28"/>
        </w:rPr>
        <w:lastRenderedPageBreak/>
        <w:t>Days of 50% flowering</w:t>
      </w:r>
      <w:r w:rsidR="00915AB1" w:rsidRPr="00A11A5E">
        <w:rPr>
          <w:rFonts w:ascii="Times New Roman" w:hAnsi="Times New Roman" w:cs="Times New Roman"/>
          <w:b/>
          <w:bCs/>
          <w:sz w:val="28"/>
          <w:szCs w:val="28"/>
        </w:rPr>
        <w:t>:</w:t>
      </w:r>
    </w:p>
    <w:p w14:paraId="3C0CD8A2" w14:textId="77777777" w:rsidR="002369B7" w:rsidRPr="00A11A5E" w:rsidRDefault="0054701F" w:rsidP="002369B7">
      <w:pPr>
        <w:autoSpaceDE w:val="0"/>
        <w:autoSpaceDN w:val="0"/>
        <w:adjustRightInd w:val="0"/>
        <w:ind w:firstLine="720"/>
        <w:jc w:val="both"/>
        <w:rPr>
          <w:rFonts w:ascii="Times New Roman" w:hAnsi="Times New Roman" w:cs="Times New Roman"/>
          <w:bCs/>
          <w:sz w:val="28"/>
          <w:szCs w:val="28"/>
          <w:lang w:val="en-GB"/>
        </w:rPr>
      </w:pPr>
      <w:r w:rsidRPr="00A11A5E">
        <w:rPr>
          <w:rFonts w:ascii="Times New Roman" w:hAnsi="Times New Roman" w:cs="Times New Roman"/>
          <w:sz w:val="28"/>
          <w:szCs w:val="28"/>
        </w:rPr>
        <w:tab/>
      </w:r>
      <w:r w:rsidR="00495D57" w:rsidRPr="00A11A5E">
        <w:rPr>
          <w:rFonts w:ascii="Times New Roman" w:hAnsi="Times New Roman" w:cs="Times New Roman"/>
          <w:sz w:val="28"/>
          <w:szCs w:val="28"/>
        </w:rPr>
        <w:t xml:space="preserve">Details regarding mean performance analysis of days to 50 per cent flowering in response </w:t>
      </w:r>
      <w:r w:rsidR="00A43C3E" w:rsidRPr="00A11A5E">
        <w:rPr>
          <w:rFonts w:ascii="Times New Roman" w:hAnsi="Times New Roman" w:cs="Times New Roman"/>
          <w:sz w:val="28"/>
          <w:szCs w:val="28"/>
        </w:rPr>
        <w:t>to the</w:t>
      </w:r>
      <w:r w:rsidR="00495D57" w:rsidRPr="00A11A5E">
        <w:rPr>
          <w:rFonts w:ascii="Times New Roman" w:hAnsi="Times New Roman" w:cs="Times New Roman"/>
          <w:sz w:val="28"/>
          <w:szCs w:val="28"/>
        </w:rPr>
        <w:t xml:space="preserve"> days to 50% flowering were significantly affected by various treatment combination</w:t>
      </w:r>
      <w:r w:rsidR="00A43C3E" w:rsidRPr="00A11A5E">
        <w:rPr>
          <w:rFonts w:ascii="Times New Roman" w:hAnsi="Times New Roman" w:cs="Times New Roman"/>
          <w:sz w:val="28"/>
          <w:szCs w:val="28"/>
        </w:rPr>
        <w:t>s. The lowest number of days (59</w:t>
      </w:r>
      <w:r w:rsidR="00495D57" w:rsidRPr="00A11A5E">
        <w:rPr>
          <w:rFonts w:ascii="Times New Roman" w:hAnsi="Times New Roman" w:cs="Times New Roman"/>
          <w:sz w:val="28"/>
          <w:szCs w:val="28"/>
        </w:rPr>
        <w:t>.00) required for 50% flowering was observed under Halopriming-Soaking treatment in KNO</w:t>
      </w:r>
      <w:r w:rsidR="00495D57" w:rsidRPr="00A11A5E">
        <w:rPr>
          <w:rFonts w:ascii="Times New Roman" w:hAnsi="Times New Roman" w:cs="Times New Roman"/>
          <w:sz w:val="28"/>
          <w:szCs w:val="28"/>
          <w:vertAlign w:val="subscript"/>
        </w:rPr>
        <w:t>3</w:t>
      </w:r>
      <w:r w:rsidR="00495D57" w:rsidRPr="00A11A5E">
        <w:rPr>
          <w:rFonts w:ascii="Times New Roman" w:hAnsi="Times New Roman" w:cs="Times New Roman"/>
          <w:sz w:val="28"/>
          <w:szCs w:val="28"/>
        </w:rPr>
        <w:t xml:space="preserve"> (@0.3%) solution and drying</w:t>
      </w:r>
      <w:r w:rsidR="00495D57" w:rsidRPr="00A11A5E">
        <w:rPr>
          <w:rFonts w:ascii="Times New Roman" w:hAnsi="Times New Roman" w:cs="Times New Roman"/>
          <w:sz w:val="28"/>
          <w:szCs w:val="28"/>
          <w:lang w:val="en-GB"/>
        </w:rPr>
        <w:t>(T</w:t>
      </w:r>
      <w:r w:rsidR="00A43C3E" w:rsidRPr="00A11A5E">
        <w:rPr>
          <w:rFonts w:ascii="Times New Roman" w:hAnsi="Times New Roman" w:cs="Times New Roman"/>
          <w:sz w:val="28"/>
          <w:szCs w:val="28"/>
          <w:vertAlign w:val="subscript"/>
          <w:lang w:val="en-GB"/>
        </w:rPr>
        <w:t>5</w:t>
      </w:r>
      <w:r w:rsidR="00495D57" w:rsidRPr="00A11A5E">
        <w:rPr>
          <w:rFonts w:ascii="Times New Roman" w:hAnsi="Times New Roman" w:cs="Times New Roman"/>
          <w:sz w:val="28"/>
          <w:szCs w:val="28"/>
          <w:lang w:val="en-GB"/>
        </w:rPr>
        <w:t>) which was statistically at par T5 (</w:t>
      </w:r>
      <w:r w:rsidR="00A43C3E" w:rsidRPr="00A11A5E">
        <w:rPr>
          <w:rFonts w:ascii="Times New Roman" w:hAnsi="Times New Roman" w:cs="Times New Roman"/>
          <w:sz w:val="28"/>
          <w:szCs w:val="28"/>
          <w:lang w:val="en-GB"/>
        </w:rPr>
        <w:t>61.00</w:t>
      </w:r>
      <w:r w:rsidR="00495D57" w:rsidRPr="00A11A5E">
        <w:rPr>
          <w:rFonts w:ascii="Times New Roman" w:hAnsi="Times New Roman" w:cs="Times New Roman"/>
          <w:sz w:val="28"/>
          <w:szCs w:val="28"/>
          <w:lang w:val="en-GB"/>
        </w:rPr>
        <w:t xml:space="preserve">) with the </w:t>
      </w:r>
      <w:r w:rsidR="00495D57" w:rsidRPr="00A11A5E">
        <w:rPr>
          <w:rFonts w:ascii="Times New Roman" w:hAnsi="Times New Roman" w:cs="Times New Roman"/>
          <w:sz w:val="28"/>
          <w:szCs w:val="28"/>
        </w:rPr>
        <w:t xml:space="preserve">Halo-priming-Soaking in ZnSo4 (@0.5%) solution and </w:t>
      </w:r>
      <w:proofErr w:type="gramStart"/>
      <w:r w:rsidR="00495D57" w:rsidRPr="00A11A5E">
        <w:rPr>
          <w:rFonts w:ascii="Times New Roman" w:hAnsi="Times New Roman" w:cs="Times New Roman"/>
          <w:sz w:val="28"/>
          <w:szCs w:val="28"/>
        </w:rPr>
        <w:t>drying.</w:t>
      </w:r>
      <w:r w:rsidR="00495D57" w:rsidRPr="00A11A5E">
        <w:rPr>
          <w:rFonts w:ascii="Times New Roman" w:hAnsi="Times New Roman" w:cs="Times New Roman"/>
          <w:sz w:val="28"/>
          <w:szCs w:val="28"/>
          <w:lang w:val="en-GB"/>
        </w:rPr>
        <w:t>while</w:t>
      </w:r>
      <w:proofErr w:type="gramEnd"/>
      <w:r w:rsidR="00495D57" w:rsidRPr="00A11A5E">
        <w:rPr>
          <w:rFonts w:ascii="Times New Roman" w:hAnsi="Times New Roman" w:cs="Times New Roman"/>
          <w:sz w:val="28"/>
          <w:szCs w:val="28"/>
          <w:lang w:val="en-GB"/>
        </w:rPr>
        <w:t xml:space="preserve"> maximum number of days </w:t>
      </w:r>
      <w:r w:rsidR="00A43C3E" w:rsidRPr="00A11A5E">
        <w:rPr>
          <w:rFonts w:ascii="Times New Roman" w:hAnsi="Times New Roman" w:cs="Times New Roman"/>
          <w:sz w:val="28"/>
          <w:szCs w:val="28"/>
          <w:lang w:val="en-GB"/>
        </w:rPr>
        <w:t>(64.00</w:t>
      </w:r>
      <w:r w:rsidR="00495D57" w:rsidRPr="00A11A5E">
        <w:rPr>
          <w:rFonts w:ascii="Times New Roman" w:hAnsi="Times New Roman" w:cs="Times New Roman"/>
          <w:sz w:val="28"/>
          <w:szCs w:val="28"/>
          <w:lang w:val="en-GB"/>
        </w:rPr>
        <w:t>) Control (untreated) T</w:t>
      </w:r>
      <w:r w:rsidR="00495D57" w:rsidRPr="00A11A5E">
        <w:rPr>
          <w:rFonts w:ascii="Times New Roman" w:hAnsi="Times New Roman" w:cs="Times New Roman"/>
          <w:sz w:val="28"/>
          <w:szCs w:val="28"/>
          <w:vertAlign w:val="subscript"/>
          <w:lang w:val="en-GB"/>
        </w:rPr>
        <w:t>1</w:t>
      </w:r>
      <w:r w:rsidR="00495D57" w:rsidRPr="00A11A5E">
        <w:rPr>
          <w:rFonts w:ascii="Times New Roman" w:hAnsi="Times New Roman" w:cs="Times New Roman"/>
          <w:sz w:val="28"/>
          <w:szCs w:val="28"/>
          <w:lang w:val="en-GB"/>
        </w:rPr>
        <w:t xml:space="preserve">was </w:t>
      </w:r>
      <w:r w:rsidR="00A43C3E" w:rsidRPr="00A11A5E">
        <w:rPr>
          <w:rFonts w:ascii="Times New Roman" w:hAnsi="Times New Roman" w:cs="Times New Roman"/>
          <w:sz w:val="28"/>
          <w:szCs w:val="28"/>
          <w:lang w:val="en-GB"/>
        </w:rPr>
        <w:t>recorded during the year 2024-25</w:t>
      </w:r>
      <w:r w:rsidR="002369B7" w:rsidRPr="00A11A5E">
        <w:rPr>
          <w:rFonts w:ascii="Times New Roman" w:hAnsi="Times New Roman" w:cs="Times New Roman"/>
          <w:sz w:val="28"/>
          <w:szCs w:val="28"/>
          <w:lang w:val="en-GB"/>
        </w:rPr>
        <w:t xml:space="preserve">. </w:t>
      </w:r>
      <w:r w:rsidR="002369B7" w:rsidRPr="00A11A5E">
        <w:rPr>
          <w:rFonts w:ascii="Times New Roman" w:hAnsi="Times New Roman" w:cs="Times New Roman"/>
          <w:sz w:val="28"/>
          <w:szCs w:val="28"/>
        </w:rPr>
        <w:t xml:space="preserve">while significantly lower number of in </w:t>
      </w:r>
      <w:r w:rsidR="002369B7" w:rsidRPr="00A11A5E">
        <w:rPr>
          <w:rFonts w:ascii="Times New Roman" w:hAnsi="Times New Roman" w:cs="Times New Roman"/>
          <w:bCs/>
          <w:sz w:val="28"/>
          <w:szCs w:val="28"/>
          <w:lang w:val="en-GB"/>
        </w:rPr>
        <w:t>control T</w:t>
      </w:r>
      <w:r w:rsidR="002369B7" w:rsidRPr="00A11A5E">
        <w:rPr>
          <w:rFonts w:ascii="Times New Roman" w:hAnsi="Times New Roman" w:cs="Times New Roman"/>
          <w:bCs/>
          <w:sz w:val="28"/>
          <w:szCs w:val="28"/>
          <w:vertAlign w:val="subscript"/>
          <w:lang w:val="en-GB"/>
        </w:rPr>
        <w:t>1</w:t>
      </w:r>
      <w:r w:rsidR="002369B7" w:rsidRPr="00A11A5E">
        <w:rPr>
          <w:rFonts w:ascii="Times New Roman" w:hAnsi="Times New Roman" w:cs="Times New Roman"/>
          <w:bCs/>
          <w:sz w:val="28"/>
          <w:szCs w:val="28"/>
          <w:lang w:val="en-GB"/>
        </w:rPr>
        <w:t xml:space="preserve"> (5.25). </w:t>
      </w:r>
    </w:p>
    <w:p w14:paraId="53DF8BA7" w14:textId="77777777" w:rsidR="00A43C3E" w:rsidRPr="00A11A5E" w:rsidRDefault="00571340" w:rsidP="003A0F79">
      <w:pPr>
        <w:jc w:val="both"/>
        <w:rPr>
          <w:rFonts w:ascii="Times New Roman" w:hAnsi="Times New Roman" w:cs="Times New Roman"/>
          <w:sz w:val="28"/>
          <w:szCs w:val="28"/>
          <w:lang w:val="en-GB"/>
        </w:rPr>
      </w:pPr>
      <w:r w:rsidRPr="00571340">
        <w:rPr>
          <w:rFonts w:ascii="Times New Roman" w:hAnsi="Times New Roman" w:cs="Times New Roman"/>
          <w:noProof/>
          <w:sz w:val="28"/>
          <w:szCs w:val="28"/>
          <w:lang w:val="en-GB"/>
        </w:rPr>
        <w:drawing>
          <wp:inline distT="0" distB="0" distL="0" distR="0" wp14:anchorId="076D6797" wp14:editId="0B2BAD5A">
            <wp:extent cx="4210050" cy="131445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FD667A" w14:textId="0A133AF7" w:rsidR="00A43C3E" w:rsidRPr="00A11A5E" w:rsidRDefault="00B3793A" w:rsidP="00A43C3E">
      <w:pPr>
        <w:jc w:val="both"/>
        <w:rPr>
          <w:rFonts w:ascii="Times New Roman" w:hAnsi="Times New Roman" w:cs="Times New Roman"/>
          <w:b/>
          <w:sz w:val="28"/>
          <w:szCs w:val="28"/>
          <w:lang w:val="en-GB"/>
        </w:rPr>
      </w:pPr>
      <w:r>
        <w:rPr>
          <w:rFonts w:ascii="Times New Roman" w:hAnsi="Times New Roman" w:cs="Times New Roman"/>
          <w:b/>
          <w:sz w:val="28"/>
          <w:szCs w:val="28"/>
          <w:lang w:val="en-GB"/>
        </w:rPr>
        <w:t>Fig 1-</w:t>
      </w:r>
      <w:r w:rsidR="003C3143">
        <w:rPr>
          <w:rFonts w:ascii="Times New Roman" w:hAnsi="Times New Roman" w:cs="Times New Roman"/>
          <w:b/>
          <w:sz w:val="28"/>
          <w:szCs w:val="28"/>
          <w:lang w:val="en-GB"/>
        </w:rPr>
        <w:t xml:space="preserve"> </w:t>
      </w:r>
      <w:r w:rsidR="003C3143">
        <w:rPr>
          <w:rFonts w:ascii="Times New Roman" w:hAnsi="Times New Roman" w:cs="Times New Roman"/>
          <w:sz w:val="28"/>
          <w:szCs w:val="28"/>
        </w:rPr>
        <w:t>M</w:t>
      </w:r>
      <w:r w:rsidR="003C3143" w:rsidRPr="00A11A5E">
        <w:rPr>
          <w:rFonts w:ascii="Times New Roman" w:hAnsi="Times New Roman" w:cs="Times New Roman"/>
          <w:sz w:val="28"/>
          <w:szCs w:val="28"/>
        </w:rPr>
        <w:t>ean performance analysis of days to 50 per cent flowering</w:t>
      </w:r>
    </w:p>
    <w:p w14:paraId="315123DF" w14:textId="77777777" w:rsidR="00A43C3E" w:rsidRPr="00A11A5E" w:rsidRDefault="00A43C3E" w:rsidP="00A43C3E">
      <w:pPr>
        <w:jc w:val="both"/>
        <w:rPr>
          <w:rFonts w:ascii="Times New Roman" w:hAnsi="Times New Roman" w:cs="Times New Roman"/>
          <w:sz w:val="28"/>
          <w:szCs w:val="28"/>
          <w:lang w:val="en-GB"/>
        </w:rPr>
      </w:pPr>
      <w:r w:rsidRPr="00A11A5E">
        <w:rPr>
          <w:rFonts w:ascii="Times New Roman" w:hAnsi="Times New Roman" w:cs="Times New Roman"/>
          <w:b/>
          <w:sz w:val="28"/>
          <w:szCs w:val="28"/>
          <w:lang w:val="en-GB"/>
        </w:rPr>
        <w:t>Plant height</w:t>
      </w:r>
      <w:r w:rsidRPr="00A11A5E">
        <w:rPr>
          <w:rFonts w:ascii="Times New Roman" w:hAnsi="Times New Roman" w:cs="Times New Roman"/>
          <w:sz w:val="28"/>
          <w:szCs w:val="28"/>
          <w:lang w:val="en-GB"/>
        </w:rPr>
        <w:t>-</w:t>
      </w:r>
    </w:p>
    <w:p w14:paraId="10D9FBC7" w14:textId="77777777" w:rsidR="002369B7" w:rsidRDefault="00A43C3E" w:rsidP="00730DD7">
      <w:pPr>
        <w:jc w:val="both"/>
        <w:rPr>
          <w:rFonts w:ascii="Times New Roman" w:eastAsia="Times New Roman" w:hAnsi="Times New Roman" w:cs="Times New Roman"/>
          <w:sz w:val="28"/>
          <w:szCs w:val="28"/>
        </w:rPr>
      </w:pPr>
      <w:r w:rsidRPr="00A11A5E">
        <w:rPr>
          <w:rFonts w:ascii="Times New Roman" w:hAnsi="Times New Roman" w:cs="Times New Roman"/>
          <w:sz w:val="28"/>
          <w:szCs w:val="28"/>
          <w:lang w:val="en-GB"/>
        </w:rPr>
        <w:t xml:space="preserve">The plant height differed significantly due to different treatments. Significantly highest plant height (91.13) was recorded in treatment </w:t>
      </w:r>
      <w:r w:rsidRPr="00A11A5E">
        <w:rPr>
          <w:rFonts w:ascii="Times New Roman" w:hAnsi="Times New Roman" w:cs="Times New Roman"/>
          <w:sz w:val="28"/>
          <w:szCs w:val="28"/>
        </w:rPr>
        <w:t>Halo-priming-Soaking in KNO</w:t>
      </w:r>
      <w:r w:rsidRPr="00A11A5E">
        <w:rPr>
          <w:rFonts w:ascii="Times New Roman" w:hAnsi="Times New Roman" w:cs="Times New Roman"/>
          <w:sz w:val="28"/>
          <w:szCs w:val="28"/>
          <w:vertAlign w:val="subscript"/>
        </w:rPr>
        <w:t xml:space="preserve">3 </w:t>
      </w:r>
      <w:r w:rsidRPr="00A11A5E">
        <w:rPr>
          <w:rFonts w:ascii="Times New Roman" w:hAnsi="Times New Roman" w:cs="Times New Roman"/>
          <w:sz w:val="28"/>
          <w:szCs w:val="28"/>
        </w:rPr>
        <w:t>(@0.3%) solution and drying</w:t>
      </w:r>
      <w:r w:rsidRPr="00A11A5E">
        <w:rPr>
          <w:rFonts w:ascii="Times New Roman" w:hAnsi="Times New Roman" w:cs="Times New Roman"/>
          <w:sz w:val="28"/>
          <w:szCs w:val="28"/>
          <w:lang w:val="en-GB"/>
        </w:rPr>
        <w:t xml:space="preserve"> (T</w:t>
      </w:r>
      <w:r w:rsidRPr="00A11A5E">
        <w:rPr>
          <w:rFonts w:ascii="Times New Roman" w:hAnsi="Times New Roman" w:cs="Times New Roman"/>
          <w:sz w:val="28"/>
          <w:szCs w:val="28"/>
          <w:vertAlign w:val="subscript"/>
          <w:lang w:val="en-GB"/>
        </w:rPr>
        <w:t>5</w:t>
      </w:r>
      <w:r w:rsidRPr="00A11A5E">
        <w:rPr>
          <w:rFonts w:ascii="Times New Roman" w:hAnsi="Times New Roman" w:cs="Times New Roman"/>
          <w:sz w:val="28"/>
          <w:szCs w:val="28"/>
          <w:lang w:val="en-GB"/>
        </w:rPr>
        <w:t xml:space="preserve">) which was statistically at par </w:t>
      </w:r>
      <w:proofErr w:type="gramStart"/>
      <w:r w:rsidRPr="00A11A5E">
        <w:rPr>
          <w:rFonts w:ascii="Times New Roman" w:hAnsi="Times New Roman" w:cs="Times New Roman"/>
          <w:sz w:val="28"/>
          <w:szCs w:val="28"/>
          <w:lang w:val="en-GB"/>
        </w:rPr>
        <w:t>with  T</w:t>
      </w:r>
      <w:proofErr w:type="gramEnd"/>
      <w:r w:rsidRPr="00A11A5E">
        <w:rPr>
          <w:rFonts w:ascii="Times New Roman" w:hAnsi="Times New Roman" w:cs="Times New Roman"/>
          <w:sz w:val="28"/>
          <w:szCs w:val="28"/>
          <w:vertAlign w:val="subscript"/>
          <w:lang w:val="en-GB"/>
        </w:rPr>
        <w:t>6</w:t>
      </w:r>
      <w:r w:rsidRPr="00A11A5E">
        <w:rPr>
          <w:rFonts w:ascii="Times New Roman" w:hAnsi="Times New Roman" w:cs="Times New Roman"/>
          <w:sz w:val="28"/>
          <w:szCs w:val="28"/>
          <w:lang w:val="en-GB"/>
        </w:rPr>
        <w:t xml:space="preserve"> (88.36) with the </w:t>
      </w:r>
      <w:r w:rsidRPr="00A11A5E">
        <w:rPr>
          <w:rFonts w:ascii="Times New Roman" w:hAnsi="Times New Roman" w:cs="Times New Roman"/>
          <w:sz w:val="28"/>
          <w:szCs w:val="28"/>
        </w:rPr>
        <w:t>Halo-priming-Soaking in ZnSo4 (@0.5%)</w:t>
      </w:r>
      <w:r w:rsidRPr="00A11A5E">
        <w:rPr>
          <w:rFonts w:ascii="Times New Roman" w:hAnsi="Times New Roman" w:cs="Times New Roman"/>
          <w:sz w:val="28"/>
          <w:szCs w:val="28"/>
          <w:lang w:val="en-GB"/>
        </w:rPr>
        <w:t xml:space="preserve"> whereas the lowest plant height (81.19) T</w:t>
      </w:r>
      <w:r w:rsidRPr="00A11A5E">
        <w:rPr>
          <w:rFonts w:ascii="Times New Roman" w:hAnsi="Times New Roman" w:cs="Times New Roman"/>
          <w:sz w:val="28"/>
          <w:szCs w:val="28"/>
          <w:vertAlign w:val="subscript"/>
          <w:lang w:val="en-GB"/>
        </w:rPr>
        <w:t>1</w:t>
      </w:r>
      <w:r w:rsidRPr="00A11A5E">
        <w:rPr>
          <w:rFonts w:ascii="Times New Roman" w:hAnsi="Times New Roman" w:cs="Times New Roman"/>
          <w:sz w:val="28"/>
          <w:szCs w:val="28"/>
          <w:lang w:val="en-GB"/>
        </w:rPr>
        <w:t xml:space="preserve"> was recorded in </w:t>
      </w:r>
      <w:proofErr w:type="gramStart"/>
      <w:r w:rsidRPr="00A11A5E">
        <w:rPr>
          <w:rFonts w:ascii="Times New Roman" w:hAnsi="Times New Roman" w:cs="Times New Roman"/>
          <w:sz w:val="28"/>
          <w:szCs w:val="28"/>
          <w:lang w:val="en-GB"/>
        </w:rPr>
        <w:t>control  during</w:t>
      </w:r>
      <w:proofErr w:type="gramEnd"/>
      <w:r w:rsidRPr="00A11A5E">
        <w:rPr>
          <w:rFonts w:ascii="Times New Roman" w:hAnsi="Times New Roman" w:cs="Times New Roman"/>
          <w:sz w:val="28"/>
          <w:szCs w:val="28"/>
          <w:lang w:val="en-GB"/>
        </w:rPr>
        <w:t xml:space="preserve"> the year 2024-25</w:t>
      </w:r>
      <w:r w:rsidR="00DE29E1" w:rsidRPr="00A11A5E">
        <w:rPr>
          <w:rFonts w:ascii="Times New Roman" w:hAnsi="Times New Roman" w:cs="Times New Roman"/>
          <w:sz w:val="28"/>
          <w:szCs w:val="28"/>
          <w:lang w:val="en-GB"/>
        </w:rPr>
        <w:t xml:space="preserve">. </w:t>
      </w:r>
      <w:r w:rsidR="002369B7" w:rsidRPr="00A11A5E">
        <w:rPr>
          <w:rFonts w:ascii="Times New Roman" w:eastAsia="Times New Roman" w:hAnsi="Times New Roman" w:cs="Times New Roman"/>
          <w:sz w:val="28"/>
          <w:szCs w:val="28"/>
        </w:rPr>
        <w:t xml:space="preserve">all together inorganic salt </w:t>
      </w:r>
      <w:proofErr w:type="gramStart"/>
      <w:r w:rsidR="002369B7" w:rsidRPr="00A11A5E">
        <w:rPr>
          <w:rFonts w:ascii="Times New Roman" w:eastAsia="Times New Roman" w:hAnsi="Times New Roman" w:cs="Times New Roman"/>
          <w:sz w:val="28"/>
          <w:szCs w:val="28"/>
        </w:rPr>
        <w:t>promote</w:t>
      </w:r>
      <w:proofErr w:type="gramEnd"/>
      <w:r w:rsidR="002369B7" w:rsidRPr="00A11A5E">
        <w:rPr>
          <w:rFonts w:ascii="Times New Roman" w:eastAsia="Times New Roman" w:hAnsi="Times New Roman" w:cs="Times New Roman"/>
          <w:sz w:val="28"/>
          <w:szCs w:val="28"/>
        </w:rPr>
        <w:t xml:space="preserve"> plant height by increasing the number and length of the inte</w:t>
      </w:r>
      <w:r w:rsidR="002369B7" w:rsidRPr="00A11A5E">
        <w:rPr>
          <w:rFonts w:ascii="Times New Roman" w:hAnsi="Times New Roman" w:cs="Times New Roman"/>
          <w:sz w:val="28"/>
          <w:szCs w:val="28"/>
        </w:rPr>
        <w:t>rn</w:t>
      </w:r>
      <w:r w:rsidR="002369B7" w:rsidRPr="00A11A5E">
        <w:rPr>
          <w:rFonts w:ascii="Times New Roman" w:eastAsia="Times New Roman" w:hAnsi="Times New Roman" w:cs="Times New Roman"/>
          <w:sz w:val="28"/>
          <w:szCs w:val="28"/>
        </w:rPr>
        <w:t xml:space="preserve">odes which consequence in gradual increase in plant height </w:t>
      </w:r>
      <w:r w:rsidR="002369B7" w:rsidRPr="00A11A5E">
        <w:rPr>
          <w:rFonts w:ascii="Times New Roman" w:eastAsia="Times New Roman" w:hAnsi="Times New Roman" w:cs="Times New Roman"/>
          <w:b/>
          <w:sz w:val="28"/>
          <w:szCs w:val="28"/>
        </w:rPr>
        <w:t>(Gasim 2001).</w:t>
      </w:r>
      <w:r w:rsidR="002369B7" w:rsidRPr="00A11A5E">
        <w:rPr>
          <w:rFonts w:ascii="Times New Roman" w:eastAsia="Times New Roman" w:hAnsi="Times New Roman" w:cs="Times New Roman"/>
          <w:sz w:val="28"/>
          <w:szCs w:val="28"/>
        </w:rPr>
        <w:t> </w:t>
      </w:r>
    </w:p>
    <w:p w14:paraId="159CCC00" w14:textId="77777777" w:rsidR="00571340" w:rsidRDefault="00571340" w:rsidP="00730DD7">
      <w:pPr>
        <w:jc w:val="both"/>
        <w:rPr>
          <w:rFonts w:ascii="Times New Roman" w:eastAsia="Times New Roman" w:hAnsi="Times New Roman" w:cs="Times New Roman"/>
          <w:sz w:val="28"/>
          <w:szCs w:val="28"/>
        </w:rPr>
      </w:pPr>
      <w:r w:rsidRPr="00571340">
        <w:rPr>
          <w:rFonts w:ascii="Times New Roman" w:eastAsia="Times New Roman" w:hAnsi="Times New Roman" w:cs="Times New Roman"/>
          <w:noProof/>
          <w:sz w:val="28"/>
          <w:szCs w:val="28"/>
        </w:rPr>
        <w:lastRenderedPageBreak/>
        <w:drawing>
          <wp:inline distT="0" distB="0" distL="0" distR="0" wp14:anchorId="25A61097" wp14:editId="6ED741DA">
            <wp:extent cx="4143375" cy="1990725"/>
            <wp:effectExtent l="0" t="0" r="0" b="0"/>
            <wp:docPr id="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4AD326" w14:textId="6E25EB33" w:rsidR="000E2D7D" w:rsidRPr="00A11A5E" w:rsidRDefault="000E2D7D" w:rsidP="00730DD7">
      <w:pPr>
        <w:jc w:val="both"/>
        <w:rPr>
          <w:rFonts w:ascii="Times New Roman" w:eastAsia="Times New Roman" w:hAnsi="Times New Roman" w:cs="Times New Roman"/>
          <w:sz w:val="28"/>
          <w:szCs w:val="28"/>
        </w:rPr>
      </w:pPr>
      <w:r>
        <w:rPr>
          <w:rFonts w:ascii="Times New Roman" w:hAnsi="Times New Roman" w:cs="Times New Roman"/>
          <w:b/>
          <w:sz w:val="28"/>
          <w:szCs w:val="28"/>
          <w:lang w:val="en-GB"/>
        </w:rPr>
        <w:t>Fig 2-</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plant height across treatments (T1–T7)</w:t>
      </w:r>
    </w:p>
    <w:p w14:paraId="409326A8" w14:textId="77777777" w:rsidR="00730DD7" w:rsidRPr="00A11A5E" w:rsidRDefault="00730DD7" w:rsidP="00730DD7">
      <w:pPr>
        <w:jc w:val="both"/>
        <w:rPr>
          <w:rFonts w:ascii="Times New Roman" w:hAnsi="Times New Roman" w:cs="Times New Roman"/>
          <w:b/>
          <w:bCs/>
          <w:sz w:val="28"/>
          <w:szCs w:val="28"/>
          <w:lang w:val="en-GB"/>
        </w:rPr>
      </w:pPr>
      <w:r w:rsidRPr="00A11A5E">
        <w:rPr>
          <w:rFonts w:ascii="Times New Roman" w:hAnsi="Times New Roman" w:cs="Times New Roman"/>
          <w:b/>
          <w:bCs/>
          <w:sz w:val="28"/>
          <w:szCs w:val="28"/>
          <w:lang w:val="en-GB"/>
        </w:rPr>
        <w:t>Spike length (cm)</w:t>
      </w:r>
    </w:p>
    <w:p w14:paraId="683ECA4E" w14:textId="77777777" w:rsidR="00730DD7" w:rsidRPr="00A11A5E" w:rsidRDefault="00730DD7" w:rsidP="00730DD7">
      <w:pPr>
        <w:pStyle w:val="ListParagraph"/>
        <w:ind w:left="540"/>
        <w:jc w:val="both"/>
        <w:rPr>
          <w:rFonts w:ascii="Times New Roman" w:hAnsi="Times New Roman" w:cs="Times New Roman"/>
          <w:sz w:val="28"/>
          <w:szCs w:val="28"/>
        </w:rPr>
      </w:pPr>
      <w:r w:rsidRPr="00A11A5E">
        <w:rPr>
          <w:rFonts w:ascii="Times New Roman" w:hAnsi="Times New Roman" w:cs="Times New Roman"/>
          <w:sz w:val="28"/>
          <w:szCs w:val="28"/>
          <w:lang w:val="en-GB"/>
        </w:rPr>
        <w:t xml:space="preserve"> The spike length differed significantly due to different treatments. Significantly highest spike length (11.18) was recorded in treatment </w:t>
      </w:r>
      <w:r w:rsidRPr="00A11A5E">
        <w:rPr>
          <w:rFonts w:ascii="Times New Roman" w:hAnsi="Times New Roman" w:cs="Times New Roman"/>
          <w:sz w:val="28"/>
          <w:szCs w:val="28"/>
        </w:rPr>
        <w:t>Halo-priming-Soaking in KNO</w:t>
      </w:r>
      <w:r w:rsidRPr="00A11A5E">
        <w:rPr>
          <w:rFonts w:ascii="Times New Roman" w:hAnsi="Times New Roman" w:cs="Times New Roman"/>
          <w:sz w:val="28"/>
          <w:szCs w:val="28"/>
          <w:vertAlign w:val="subscript"/>
        </w:rPr>
        <w:t>3</w:t>
      </w:r>
      <w:r w:rsidRPr="00A11A5E">
        <w:rPr>
          <w:rFonts w:ascii="Times New Roman" w:hAnsi="Times New Roman" w:cs="Times New Roman"/>
          <w:sz w:val="28"/>
          <w:szCs w:val="28"/>
        </w:rPr>
        <w:t>(@0.3%) solution and drying</w:t>
      </w:r>
      <w:r w:rsidRPr="00A11A5E">
        <w:rPr>
          <w:rFonts w:ascii="Times New Roman" w:hAnsi="Times New Roman" w:cs="Times New Roman"/>
          <w:sz w:val="28"/>
          <w:szCs w:val="28"/>
          <w:lang w:val="en-GB"/>
        </w:rPr>
        <w:t xml:space="preserve"> (T</w:t>
      </w:r>
      <w:r w:rsidRPr="00A11A5E">
        <w:rPr>
          <w:rFonts w:ascii="Times New Roman" w:hAnsi="Times New Roman" w:cs="Times New Roman"/>
          <w:sz w:val="28"/>
          <w:szCs w:val="28"/>
          <w:vertAlign w:val="subscript"/>
          <w:lang w:val="en-GB"/>
        </w:rPr>
        <w:t>5</w:t>
      </w:r>
      <w:r w:rsidRPr="00A11A5E">
        <w:rPr>
          <w:rFonts w:ascii="Times New Roman" w:hAnsi="Times New Roman" w:cs="Times New Roman"/>
          <w:sz w:val="28"/>
          <w:szCs w:val="28"/>
          <w:lang w:val="en-GB"/>
        </w:rPr>
        <w:t xml:space="preserve">) which was statistically at par </w:t>
      </w:r>
      <w:proofErr w:type="gramStart"/>
      <w:r w:rsidRPr="00A11A5E">
        <w:rPr>
          <w:rFonts w:ascii="Times New Roman" w:hAnsi="Times New Roman" w:cs="Times New Roman"/>
          <w:sz w:val="28"/>
          <w:szCs w:val="28"/>
          <w:lang w:val="en-GB"/>
        </w:rPr>
        <w:t>with  T</w:t>
      </w:r>
      <w:proofErr w:type="gramEnd"/>
      <w:r w:rsidRPr="00A11A5E">
        <w:rPr>
          <w:rFonts w:ascii="Times New Roman" w:hAnsi="Times New Roman" w:cs="Times New Roman"/>
          <w:sz w:val="28"/>
          <w:szCs w:val="28"/>
          <w:vertAlign w:val="subscript"/>
          <w:lang w:val="en-GB"/>
        </w:rPr>
        <w:t>6</w:t>
      </w:r>
      <w:r w:rsidRPr="00A11A5E">
        <w:rPr>
          <w:rFonts w:ascii="Times New Roman" w:hAnsi="Times New Roman" w:cs="Times New Roman"/>
          <w:sz w:val="28"/>
          <w:szCs w:val="28"/>
          <w:lang w:val="en-GB"/>
        </w:rPr>
        <w:t xml:space="preserve"> (10.93) with the </w:t>
      </w:r>
      <w:r w:rsidRPr="00A11A5E">
        <w:rPr>
          <w:rFonts w:ascii="Times New Roman" w:hAnsi="Times New Roman" w:cs="Times New Roman"/>
          <w:sz w:val="28"/>
          <w:szCs w:val="28"/>
        </w:rPr>
        <w:t>Halo-priming-Soaking in ZnSo4 (@0.5%)</w:t>
      </w:r>
      <w:r w:rsidRPr="00A11A5E">
        <w:rPr>
          <w:rFonts w:ascii="Times New Roman" w:hAnsi="Times New Roman" w:cs="Times New Roman"/>
          <w:sz w:val="28"/>
          <w:szCs w:val="28"/>
          <w:lang w:val="en-GB"/>
        </w:rPr>
        <w:t xml:space="preserve"> whereas the lowest spike length (9.40) T</w:t>
      </w:r>
      <w:r w:rsidRPr="00A11A5E">
        <w:rPr>
          <w:rFonts w:ascii="Times New Roman" w:hAnsi="Times New Roman" w:cs="Times New Roman"/>
          <w:sz w:val="28"/>
          <w:szCs w:val="28"/>
          <w:vertAlign w:val="subscript"/>
          <w:lang w:val="en-GB"/>
        </w:rPr>
        <w:t>1</w:t>
      </w:r>
      <w:r w:rsidRPr="00A11A5E">
        <w:rPr>
          <w:rFonts w:ascii="Times New Roman" w:hAnsi="Times New Roman" w:cs="Times New Roman"/>
          <w:sz w:val="28"/>
          <w:szCs w:val="28"/>
          <w:lang w:val="en-GB"/>
        </w:rPr>
        <w:t xml:space="preserve"> was recorded in control during the year 2024-25</w:t>
      </w:r>
      <w:r w:rsidR="002369B7" w:rsidRPr="00A11A5E">
        <w:rPr>
          <w:rFonts w:ascii="Times New Roman" w:hAnsi="Times New Roman" w:cs="Times New Roman"/>
          <w:sz w:val="28"/>
          <w:szCs w:val="28"/>
          <w:lang w:val="en-GB"/>
        </w:rPr>
        <w:t xml:space="preserve">, </w:t>
      </w:r>
      <w:r w:rsidR="002369B7" w:rsidRPr="00A11A5E">
        <w:rPr>
          <w:rFonts w:ascii="Times New Roman" w:hAnsi="Times New Roman" w:cs="Times New Roman"/>
          <w:sz w:val="28"/>
          <w:szCs w:val="28"/>
        </w:rPr>
        <w:t>who observed enhanced growth attributes, including spike development, in primed seeds. The beneficial effect of KNO</w:t>
      </w:r>
      <w:r w:rsidR="002369B7" w:rsidRPr="00A11A5E">
        <w:rPr>
          <w:rFonts w:cs="Times New Roman"/>
          <w:sz w:val="28"/>
          <w:szCs w:val="28"/>
        </w:rPr>
        <w:t>₃</w:t>
      </w:r>
      <w:r w:rsidR="002369B7" w:rsidRPr="00A11A5E">
        <w:rPr>
          <w:rFonts w:ascii="Times New Roman" w:hAnsi="Times New Roman" w:cs="Times New Roman"/>
          <w:sz w:val="28"/>
          <w:szCs w:val="28"/>
        </w:rPr>
        <w:t xml:space="preserve"> priming on spike length may be due to improved nitrogen availability and enhanced cell elongation, while </w:t>
      </w:r>
      <w:proofErr w:type="spellStart"/>
      <w:r w:rsidR="002369B7" w:rsidRPr="00A11A5E">
        <w:rPr>
          <w:rFonts w:ascii="Times New Roman" w:hAnsi="Times New Roman" w:cs="Times New Roman"/>
          <w:sz w:val="28"/>
          <w:szCs w:val="28"/>
        </w:rPr>
        <w:t>ZnSO</w:t>
      </w:r>
      <w:proofErr w:type="spellEnd"/>
      <w:r w:rsidR="002369B7" w:rsidRPr="00A11A5E">
        <w:rPr>
          <w:rFonts w:cs="Times New Roman"/>
          <w:sz w:val="28"/>
          <w:szCs w:val="28"/>
        </w:rPr>
        <w:t>₄</w:t>
      </w:r>
      <w:r w:rsidR="002369B7" w:rsidRPr="00A11A5E">
        <w:rPr>
          <w:rFonts w:ascii="Times New Roman" w:hAnsi="Times New Roman" w:cs="Times New Roman"/>
          <w:sz w:val="28"/>
          <w:szCs w:val="28"/>
        </w:rPr>
        <w:t xml:space="preserve"> priming might have promoted growth through its role in enzyme activation and auxin synthesis. These findings are further supported by </w:t>
      </w:r>
      <w:r w:rsidR="002369B7" w:rsidRPr="00A11A5E">
        <w:rPr>
          <w:rStyle w:val="whitespace-normal"/>
          <w:rFonts w:ascii="Times New Roman" w:hAnsi="Times New Roman" w:cs="Times New Roman"/>
          <w:sz w:val="28"/>
          <w:szCs w:val="28"/>
        </w:rPr>
        <w:t>Ashraf</w:t>
      </w:r>
      <w:r w:rsidR="002369B7" w:rsidRPr="00A11A5E">
        <w:rPr>
          <w:rFonts w:ascii="Times New Roman" w:hAnsi="Times New Roman" w:cs="Times New Roman"/>
          <w:sz w:val="28"/>
          <w:szCs w:val="28"/>
        </w:rPr>
        <w:t xml:space="preserve"> and </w:t>
      </w:r>
      <w:proofErr w:type="spellStart"/>
      <w:r w:rsidR="002369B7" w:rsidRPr="00A11A5E">
        <w:rPr>
          <w:rFonts w:ascii="Times New Roman" w:hAnsi="Times New Roman" w:cs="Times New Roman"/>
          <w:sz w:val="28"/>
          <w:szCs w:val="28"/>
        </w:rPr>
        <w:t>Foolad</w:t>
      </w:r>
      <w:proofErr w:type="spellEnd"/>
      <w:r w:rsidR="002369B7" w:rsidRPr="00A11A5E">
        <w:rPr>
          <w:rFonts w:ascii="Times New Roman" w:hAnsi="Times New Roman" w:cs="Times New Roman"/>
          <w:sz w:val="28"/>
          <w:szCs w:val="28"/>
        </w:rPr>
        <w:t xml:space="preserve"> (2005)</w:t>
      </w:r>
    </w:p>
    <w:p w14:paraId="4BE3F2EB" w14:textId="77777777" w:rsidR="00730DD7" w:rsidRPr="00A11A5E" w:rsidRDefault="00571340" w:rsidP="00730DD7">
      <w:pPr>
        <w:pStyle w:val="ListParagraph"/>
        <w:ind w:left="0"/>
        <w:jc w:val="both"/>
        <w:rPr>
          <w:rFonts w:ascii="Times New Roman" w:hAnsi="Times New Roman" w:cs="Times New Roman"/>
          <w:b/>
          <w:bCs/>
          <w:sz w:val="28"/>
          <w:szCs w:val="28"/>
          <w:lang w:val="en-GB"/>
        </w:rPr>
      </w:pPr>
      <w:r w:rsidRPr="00571340">
        <w:rPr>
          <w:rFonts w:ascii="Times New Roman" w:hAnsi="Times New Roman" w:cs="Times New Roman"/>
          <w:b/>
          <w:bCs/>
          <w:noProof/>
          <w:sz w:val="28"/>
          <w:szCs w:val="28"/>
          <w:lang w:val="en-GB"/>
        </w:rPr>
        <w:lastRenderedPageBreak/>
        <w:drawing>
          <wp:inline distT="0" distB="0" distL="0" distR="0" wp14:anchorId="53062F98" wp14:editId="2F5CCD89">
            <wp:extent cx="5124450" cy="21526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EB0062" w14:textId="77777777" w:rsidR="000E2D7D" w:rsidRDefault="000E2D7D" w:rsidP="00730DD7">
      <w:pPr>
        <w:pStyle w:val="ListParagraph"/>
        <w:ind w:left="0"/>
        <w:jc w:val="both"/>
        <w:rPr>
          <w:rFonts w:ascii="Times New Roman" w:hAnsi="Times New Roman" w:cs="Times New Roman"/>
          <w:b/>
          <w:bCs/>
          <w:sz w:val="28"/>
          <w:szCs w:val="28"/>
          <w:lang w:val="en-GB"/>
        </w:rPr>
      </w:pPr>
    </w:p>
    <w:p w14:paraId="0C7A6F5E" w14:textId="3EBC0D43" w:rsidR="000E2D7D" w:rsidRDefault="000E2D7D" w:rsidP="00730DD7">
      <w:pPr>
        <w:pStyle w:val="ListParagraph"/>
        <w:ind w:left="0"/>
        <w:jc w:val="both"/>
        <w:rPr>
          <w:rFonts w:ascii="Times New Roman" w:hAnsi="Times New Roman" w:cs="Times New Roman"/>
          <w:b/>
          <w:sz w:val="28"/>
          <w:szCs w:val="28"/>
          <w:lang w:val="en-GB"/>
        </w:rPr>
      </w:pPr>
      <w:r>
        <w:rPr>
          <w:rFonts w:ascii="Times New Roman" w:hAnsi="Times New Roman" w:cs="Times New Roman"/>
          <w:b/>
          <w:sz w:val="28"/>
          <w:szCs w:val="28"/>
          <w:lang w:val="en-GB"/>
        </w:rPr>
        <w:t>Fig 3-</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Spike length (cm)</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across treatments (T1–T7)</w:t>
      </w:r>
    </w:p>
    <w:p w14:paraId="500F32BB" w14:textId="77777777" w:rsidR="00730DD7" w:rsidRPr="00A11A5E" w:rsidRDefault="00730DD7" w:rsidP="00730DD7">
      <w:pPr>
        <w:pStyle w:val="ListParagraph"/>
        <w:ind w:left="0"/>
        <w:jc w:val="both"/>
        <w:rPr>
          <w:rFonts w:ascii="Times New Roman" w:hAnsi="Times New Roman" w:cs="Times New Roman"/>
          <w:b/>
          <w:bCs/>
          <w:sz w:val="28"/>
          <w:szCs w:val="28"/>
          <w:lang w:val="en-GB"/>
        </w:rPr>
      </w:pPr>
      <w:r w:rsidRPr="00A11A5E">
        <w:rPr>
          <w:rFonts w:ascii="Times New Roman" w:hAnsi="Times New Roman" w:cs="Times New Roman"/>
          <w:b/>
          <w:bCs/>
          <w:sz w:val="28"/>
          <w:szCs w:val="28"/>
          <w:lang w:val="en-GB"/>
        </w:rPr>
        <w:t xml:space="preserve">Number of </w:t>
      </w:r>
      <w:proofErr w:type="gramStart"/>
      <w:r w:rsidRPr="00A11A5E">
        <w:rPr>
          <w:rFonts w:ascii="Times New Roman" w:hAnsi="Times New Roman" w:cs="Times New Roman"/>
          <w:b/>
          <w:bCs/>
          <w:sz w:val="28"/>
          <w:szCs w:val="28"/>
          <w:lang w:val="en-GB"/>
        </w:rPr>
        <w:t>tiller</w:t>
      </w:r>
      <w:proofErr w:type="gramEnd"/>
      <w:r w:rsidRPr="00A11A5E">
        <w:rPr>
          <w:rFonts w:ascii="Times New Roman" w:hAnsi="Times New Roman" w:cs="Times New Roman"/>
          <w:b/>
          <w:bCs/>
          <w:sz w:val="28"/>
          <w:szCs w:val="28"/>
          <w:lang w:val="en-GB"/>
        </w:rPr>
        <w:t xml:space="preserve"> per plant</w:t>
      </w:r>
    </w:p>
    <w:p w14:paraId="721A08A3" w14:textId="77777777" w:rsidR="00571340" w:rsidRPr="00A11A5E" w:rsidRDefault="00730DD7" w:rsidP="00730DD7">
      <w:pPr>
        <w:pStyle w:val="NormalWeb"/>
        <w:ind w:left="630" w:firstLine="540"/>
        <w:jc w:val="both"/>
        <w:rPr>
          <w:sz w:val="28"/>
          <w:szCs w:val="28"/>
        </w:rPr>
      </w:pPr>
      <w:r w:rsidRPr="00A11A5E">
        <w:rPr>
          <w:sz w:val="28"/>
          <w:szCs w:val="28"/>
        </w:rPr>
        <w:t xml:space="preserve">Numerically the highest </w:t>
      </w:r>
      <w:r w:rsidRPr="00A11A5E">
        <w:rPr>
          <w:bCs/>
          <w:sz w:val="28"/>
          <w:szCs w:val="28"/>
          <w:lang w:val="en-GB"/>
        </w:rPr>
        <w:t>No. of tiller per plant</w:t>
      </w:r>
      <w:r w:rsidRPr="00A11A5E">
        <w:rPr>
          <w:sz w:val="28"/>
          <w:szCs w:val="28"/>
        </w:rPr>
        <w:t xml:space="preserve"> (9.23) was recorded in seeds primed with halo-priming in KNO</w:t>
      </w:r>
      <w:r w:rsidRPr="00A11A5E">
        <w:rPr>
          <w:sz w:val="28"/>
          <w:szCs w:val="28"/>
          <w:vertAlign w:val="subscript"/>
        </w:rPr>
        <w:t>3</w:t>
      </w:r>
      <w:r w:rsidRPr="00A11A5E">
        <w:rPr>
          <w:sz w:val="28"/>
          <w:szCs w:val="28"/>
        </w:rPr>
        <w:t>(@0.3%) solution and drying</w:t>
      </w:r>
      <w:r w:rsidRPr="00A11A5E">
        <w:rPr>
          <w:sz w:val="28"/>
          <w:szCs w:val="28"/>
          <w:lang w:val="en-GB"/>
        </w:rPr>
        <w:t xml:space="preserve"> (T</w:t>
      </w:r>
      <w:r w:rsidRPr="00A11A5E">
        <w:rPr>
          <w:sz w:val="28"/>
          <w:szCs w:val="28"/>
          <w:vertAlign w:val="subscript"/>
          <w:lang w:val="en-GB"/>
        </w:rPr>
        <w:t>5</w:t>
      </w:r>
      <w:r w:rsidRPr="00A11A5E">
        <w:rPr>
          <w:sz w:val="28"/>
          <w:szCs w:val="28"/>
          <w:lang w:val="en-GB"/>
        </w:rPr>
        <w:t xml:space="preserve">) </w:t>
      </w:r>
      <w:r w:rsidRPr="00A11A5E">
        <w:rPr>
          <w:sz w:val="28"/>
          <w:szCs w:val="28"/>
        </w:rPr>
        <w:t>followed by seed halo-priming-Soaking in ZnSo4 (@0.5%) T</w:t>
      </w:r>
      <w:r w:rsidRPr="00A11A5E">
        <w:rPr>
          <w:sz w:val="28"/>
          <w:szCs w:val="28"/>
          <w:vertAlign w:val="subscript"/>
        </w:rPr>
        <w:t xml:space="preserve">5 </w:t>
      </w:r>
      <w:r w:rsidRPr="00A11A5E">
        <w:rPr>
          <w:sz w:val="28"/>
          <w:szCs w:val="28"/>
        </w:rPr>
        <w:t xml:space="preserve">(9.07) while, the lowest </w:t>
      </w:r>
      <w:r w:rsidRPr="00A11A5E">
        <w:rPr>
          <w:bCs/>
          <w:sz w:val="28"/>
          <w:szCs w:val="28"/>
          <w:lang w:val="en-GB"/>
        </w:rPr>
        <w:t xml:space="preserve">number of </w:t>
      </w:r>
      <w:proofErr w:type="gramStart"/>
      <w:r w:rsidRPr="00A11A5E">
        <w:rPr>
          <w:bCs/>
          <w:sz w:val="28"/>
          <w:szCs w:val="28"/>
          <w:lang w:val="en-GB"/>
        </w:rPr>
        <w:t>tiller</w:t>
      </w:r>
      <w:proofErr w:type="gramEnd"/>
      <w:r w:rsidRPr="00A11A5E">
        <w:rPr>
          <w:bCs/>
          <w:sz w:val="28"/>
          <w:szCs w:val="28"/>
          <w:lang w:val="en-GB"/>
        </w:rPr>
        <w:t xml:space="preserve"> per plant </w:t>
      </w:r>
      <w:r w:rsidRPr="00A11A5E">
        <w:rPr>
          <w:sz w:val="28"/>
          <w:szCs w:val="28"/>
        </w:rPr>
        <w:t xml:space="preserve">(6.03) was recorded in control (T1) </w:t>
      </w:r>
      <w:r w:rsidR="00F96E5D" w:rsidRPr="00A11A5E">
        <w:rPr>
          <w:sz w:val="28"/>
          <w:szCs w:val="28"/>
        </w:rPr>
        <w:t xml:space="preserve">reported that seed priming enhances crop establishment and vegetative growth, leading to improved yield-contributing traits. The present findings are also in agreement with those of </w:t>
      </w:r>
      <w:r w:rsidR="00F96E5D" w:rsidRPr="00A11A5E">
        <w:rPr>
          <w:rStyle w:val="whitespace-normal"/>
          <w:sz w:val="28"/>
          <w:szCs w:val="28"/>
        </w:rPr>
        <w:t>Harris, David</w:t>
      </w:r>
      <w:r w:rsidR="00F96E5D" w:rsidRPr="00A11A5E">
        <w:rPr>
          <w:sz w:val="28"/>
          <w:szCs w:val="28"/>
        </w:rPr>
        <w:t xml:space="preserve"> et al. (1999), who demonstrated that seed priming promotes early crop growth and improves plant stand establishment, ultimately resulting in better tillering.</w:t>
      </w:r>
      <w:r w:rsidR="00F96E5D" w:rsidRPr="00A11A5E">
        <w:rPr>
          <w:rStyle w:val="Heading1Char"/>
          <w:rFonts w:ascii="Times New Roman" w:hAnsi="Times New Roman" w:cs="Times New Roman"/>
          <w:sz w:val="28"/>
          <w:szCs w:val="28"/>
        </w:rPr>
        <w:t xml:space="preserve"> </w:t>
      </w:r>
      <w:r w:rsidR="00571340" w:rsidRPr="00571340">
        <w:rPr>
          <w:noProof/>
          <w:sz w:val="28"/>
          <w:szCs w:val="28"/>
        </w:rPr>
        <w:drawing>
          <wp:inline distT="0" distB="0" distL="0" distR="0" wp14:anchorId="1645C927" wp14:editId="0E42A27B">
            <wp:extent cx="5248275" cy="20764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10824F" w14:textId="1DDC7A57" w:rsidR="003C3143" w:rsidRDefault="000E2D7D" w:rsidP="003C3143">
      <w:pPr>
        <w:pStyle w:val="ListParagraph"/>
        <w:ind w:left="0"/>
        <w:jc w:val="both"/>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Fig 4-</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No. of tiller/plant</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across treatments (T1–T7)</w:t>
      </w:r>
    </w:p>
    <w:p w14:paraId="6BCA4887" w14:textId="6063F1A8" w:rsidR="000E2D7D" w:rsidRDefault="000E2D7D" w:rsidP="00730DD7">
      <w:pPr>
        <w:autoSpaceDE w:val="0"/>
        <w:autoSpaceDN w:val="0"/>
        <w:adjustRightInd w:val="0"/>
        <w:jc w:val="both"/>
        <w:rPr>
          <w:rFonts w:ascii="Times New Roman" w:hAnsi="Times New Roman" w:cs="Times New Roman"/>
          <w:b/>
          <w:sz w:val="28"/>
          <w:szCs w:val="28"/>
          <w:lang w:val="en-GB"/>
        </w:rPr>
      </w:pPr>
    </w:p>
    <w:p w14:paraId="4A4D51DD" w14:textId="77777777" w:rsidR="00730DD7" w:rsidRPr="00A11A5E" w:rsidRDefault="00730DD7" w:rsidP="00730DD7">
      <w:pPr>
        <w:autoSpaceDE w:val="0"/>
        <w:autoSpaceDN w:val="0"/>
        <w:adjustRightInd w:val="0"/>
        <w:jc w:val="both"/>
        <w:rPr>
          <w:rFonts w:ascii="Times New Roman" w:hAnsi="Times New Roman" w:cs="Times New Roman"/>
          <w:b/>
          <w:bCs/>
          <w:sz w:val="28"/>
          <w:szCs w:val="28"/>
          <w:lang w:val="en-GB"/>
        </w:rPr>
      </w:pPr>
      <w:r w:rsidRPr="00A11A5E">
        <w:rPr>
          <w:rFonts w:ascii="Times New Roman" w:hAnsi="Times New Roman" w:cs="Times New Roman"/>
          <w:b/>
          <w:bCs/>
          <w:sz w:val="28"/>
          <w:szCs w:val="28"/>
          <w:lang w:val="en-GB"/>
        </w:rPr>
        <w:t xml:space="preserve">Number of </w:t>
      </w:r>
      <w:proofErr w:type="gramStart"/>
      <w:r w:rsidRPr="00A11A5E">
        <w:rPr>
          <w:rFonts w:ascii="Times New Roman" w:hAnsi="Times New Roman" w:cs="Times New Roman"/>
          <w:b/>
          <w:bCs/>
          <w:sz w:val="28"/>
          <w:szCs w:val="28"/>
          <w:lang w:val="en-GB"/>
        </w:rPr>
        <w:t>spike</w:t>
      </w:r>
      <w:proofErr w:type="gramEnd"/>
      <w:r w:rsidRPr="00A11A5E">
        <w:rPr>
          <w:rFonts w:ascii="Times New Roman" w:hAnsi="Times New Roman" w:cs="Times New Roman"/>
          <w:b/>
          <w:bCs/>
          <w:sz w:val="28"/>
          <w:szCs w:val="28"/>
          <w:lang w:val="en-GB"/>
        </w:rPr>
        <w:t xml:space="preserve"> per plant</w:t>
      </w:r>
    </w:p>
    <w:p w14:paraId="134A57A4" w14:textId="77777777" w:rsidR="00730DD7" w:rsidRDefault="00730DD7" w:rsidP="00730DD7">
      <w:pPr>
        <w:autoSpaceDE w:val="0"/>
        <w:autoSpaceDN w:val="0"/>
        <w:adjustRightInd w:val="0"/>
        <w:ind w:left="720" w:firstLine="720"/>
        <w:jc w:val="both"/>
        <w:rPr>
          <w:rFonts w:ascii="Times New Roman" w:hAnsi="Times New Roman" w:cs="Times New Roman"/>
          <w:sz w:val="28"/>
          <w:szCs w:val="28"/>
        </w:rPr>
      </w:pPr>
      <w:r w:rsidRPr="00A11A5E">
        <w:rPr>
          <w:rFonts w:ascii="Times New Roman" w:hAnsi="Times New Roman" w:cs="Times New Roman"/>
          <w:bCs/>
          <w:sz w:val="28"/>
          <w:szCs w:val="28"/>
          <w:lang w:val="en-GB"/>
        </w:rPr>
        <w:t xml:space="preserve">Treatment of </w:t>
      </w:r>
      <w:r w:rsidRPr="00A11A5E">
        <w:rPr>
          <w:rFonts w:ascii="Times New Roman" w:hAnsi="Times New Roman" w:cs="Times New Roman"/>
          <w:sz w:val="28"/>
          <w:szCs w:val="28"/>
        </w:rPr>
        <w:t>seeds primed with halo-priming in KNO</w:t>
      </w:r>
      <w:r w:rsidRPr="00A11A5E">
        <w:rPr>
          <w:rFonts w:ascii="Times New Roman" w:hAnsi="Times New Roman" w:cs="Times New Roman"/>
          <w:sz w:val="28"/>
          <w:szCs w:val="28"/>
          <w:vertAlign w:val="subscript"/>
        </w:rPr>
        <w:t>3</w:t>
      </w:r>
      <w:r w:rsidRPr="00A11A5E">
        <w:rPr>
          <w:rFonts w:ascii="Times New Roman" w:hAnsi="Times New Roman" w:cs="Times New Roman"/>
          <w:sz w:val="28"/>
          <w:szCs w:val="28"/>
        </w:rPr>
        <w:t>(@0.3%) solution and drying</w:t>
      </w:r>
      <w:r w:rsidRPr="00A11A5E">
        <w:rPr>
          <w:rFonts w:ascii="Times New Roman" w:hAnsi="Times New Roman" w:cs="Times New Roman"/>
          <w:sz w:val="28"/>
          <w:szCs w:val="28"/>
          <w:lang w:val="en-GB"/>
        </w:rPr>
        <w:t xml:space="preserve"> has </w:t>
      </w:r>
      <w:proofErr w:type="gramStart"/>
      <w:r w:rsidRPr="00A11A5E">
        <w:rPr>
          <w:rFonts w:ascii="Times New Roman" w:hAnsi="Times New Roman" w:cs="Times New Roman"/>
          <w:sz w:val="28"/>
          <w:szCs w:val="28"/>
          <w:lang w:val="en-GB"/>
        </w:rPr>
        <w:t>recorded  maximum</w:t>
      </w:r>
      <w:proofErr w:type="gramEnd"/>
      <w:r w:rsidRPr="00A11A5E">
        <w:rPr>
          <w:rFonts w:ascii="Times New Roman" w:hAnsi="Times New Roman" w:cs="Times New Roman"/>
          <w:sz w:val="28"/>
          <w:szCs w:val="28"/>
          <w:lang w:val="en-GB"/>
        </w:rPr>
        <w:t xml:space="preserve"> </w:t>
      </w:r>
      <w:r w:rsidRPr="00A11A5E">
        <w:rPr>
          <w:rFonts w:ascii="Times New Roman" w:hAnsi="Times New Roman" w:cs="Times New Roman"/>
          <w:bCs/>
          <w:sz w:val="28"/>
          <w:szCs w:val="28"/>
          <w:lang w:val="en-GB"/>
        </w:rPr>
        <w:t>number of spike per plant</w:t>
      </w:r>
      <w:r w:rsidRPr="00A11A5E">
        <w:rPr>
          <w:rFonts w:ascii="Times New Roman" w:hAnsi="Times New Roman" w:cs="Times New Roman"/>
          <w:sz w:val="28"/>
          <w:szCs w:val="28"/>
          <w:lang w:val="en-GB"/>
        </w:rPr>
        <w:t>(T</w:t>
      </w:r>
      <w:r w:rsidRPr="00A11A5E">
        <w:rPr>
          <w:rFonts w:ascii="Times New Roman" w:hAnsi="Times New Roman" w:cs="Times New Roman"/>
          <w:sz w:val="28"/>
          <w:szCs w:val="28"/>
          <w:vertAlign w:val="subscript"/>
          <w:lang w:val="en-GB"/>
        </w:rPr>
        <w:t>5</w:t>
      </w:r>
      <w:r w:rsidRPr="00A11A5E">
        <w:rPr>
          <w:rFonts w:ascii="Times New Roman" w:hAnsi="Times New Roman" w:cs="Times New Roman"/>
          <w:sz w:val="28"/>
          <w:szCs w:val="28"/>
          <w:lang w:val="en-GB"/>
        </w:rPr>
        <w:t xml:space="preserve">) 7.50 </w:t>
      </w:r>
      <w:r w:rsidRPr="00A11A5E">
        <w:rPr>
          <w:rFonts w:ascii="Times New Roman" w:hAnsi="Times New Roman" w:cs="Times New Roman"/>
          <w:bCs/>
          <w:sz w:val="28"/>
          <w:szCs w:val="28"/>
          <w:lang w:val="en-GB"/>
        </w:rPr>
        <w:t xml:space="preserve">which was statistically as per the treatment </w:t>
      </w:r>
      <w:r w:rsidRPr="00A11A5E">
        <w:rPr>
          <w:rFonts w:ascii="Times New Roman" w:hAnsi="Times New Roman" w:cs="Times New Roman"/>
          <w:sz w:val="28"/>
          <w:szCs w:val="28"/>
        </w:rPr>
        <w:t>halo-priming in ZnSo4 (@0.5%) solution and drying</w:t>
      </w:r>
      <w:r w:rsidRPr="00A11A5E">
        <w:rPr>
          <w:rFonts w:ascii="Times New Roman" w:hAnsi="Times New Roman" w:cs="Times New Roman"/>
          <w:sz w:val="28"/>
          <w:szCs w:val="28"/>
          <w:lang w:val="en-GB"/>
        </w:rPr>
        <w:t xml:space="preserve"> (T</w:t>
      </w:r>
      <w:r w:rsidRPr="00A11A5E">
        <w:rPr>
          <w:rFonts w:ascii="Times New Roman" w:hAnsi="Times New Roman" w:cs="Times New Roman"/>
          <w:sz w:val="28"/>
          <w:szCs w:val="28"/>
          <w:vertAlign w:val="subscript"/>
          <w:lang w:val="en-GB"/>
        </w:rPr>
        <w:t>6</w:t>
      </w:r>
      <w:r w:rsidRPr="00A11A5E">
        <w:rPr>
          <w:rFonts w:ascii="Times New Roman" w:hAnsi="Times New Roman" w:cs="Times New Roman"/>
          <w:sz w:val="28"/>
          <w:szCs w:val="28"/>
          <w:lang w:val="en-GB"/>
        </w:rPr>
        <w:t xml:space="preserve">) 7.11 </w:t>
      </w:r>
      <w:r w:rsidRPr="00A11A5E">
        <w:rPr>
          <w:rFonts w:ascii="Times New Roman" w:hAnsi="Times New Roman" w:cs="Times New Roman"/>
          <w:sz w:val="28"/>
          <w:szCs w:val="28"/>
        </w:rPr>
        <w:t xml:space="preserve">lower number of </w:t>
      </w:r>
      <w:r w:rsidRPr="00A11A5E">
        <w:rPr>
          <w:rFonts w:ascii="Times New Roman" w:hAnsi="Times New Roman" w:cs="Times New Roman"/>
          <w:bCs/>
          <w:sz w:val="28"/>
          <w:szCs w:val="28"/>
          <w:lang w:val="en-GB"/>
        </w:rPr>
        <w:t xml:space="preserve">Number of spike per plant </w:t>
      </w:r>
      <w:proofErr w:type="gramStart"/>
      <w:r w:rsidRPr="00A11A5E">
        <w:rPr>
          <w:rFonts w:ascii="Times New Roman" w:hAnsi="Times New Roman" w:cs="Times New Roman"/>
          <w:bCs/>
          <w:sz w:val="28"/>
          <w:szCs w:val="28"/>
          <w:lang w:val="en-GB"/>
        </w:rPr>
        <w:t>where</w:t>
      </w:r>
      <w:proofErr w:type="gramEnd"/>
      <w:r w:rsidRPr="00A11A5E">
        <w:rPr>
          <w:rFonts w:ascii="Times New Roman" w:hAnsi="Times New Roman" w:cs="Times New Roman"/>
          <w:bCs/>
          <w:sz w:val="28"/>
          <w:szCs w:val="28"/>
          <w:lang w:val="en-GB"/>
        </w:rPr>
        <w:t xml:space="preserve"> observed in control T</w:t>
      </w:r>
      <w:r w:rsidRPr="00A11A5E">
        <w:rPr>
          <w:rFonts w:ascii="Times New Roman" w:hAnsi="Times New Roman" w:cs="Times New Roman"/>
          <w:bCs/>
          <w:sz w:val="28"/>
          <w:szCs w:val="28"/>
          <w:vertAlign w:val="subscript"/>
          <w:lang w:val="en-GB"/>
        </w:rPr>
        <w:t>0</w:t>
      </w:r>
      <w:r w:rsidRPr="00A11A5E">
        <w:rPr>
          <w:rFonts w:ascii="Times New Roman" w:hAnsi="Times New Roman" w:cs="Times New Roman"/>
          <w:bCs/>
          <w:sz w:val="28"/>
          <w:szCs w:val="28"/>
          <w:lang w:val="en-GB"/>
        </w:rPr>
        <w:t xml:space="preserve"> (4.74)</w:t>
      </w:r>
      <w:r w:rsidR="00F96E5D" w:rsidRPr="00A11A5E">
        <w:rPr>
          <w:rFonts w:ascii="Times New Roman" w:hAnsi="Times New Roman" w:cs="Times New Roman"/>
          <w:bCs/>
          <w:sz w:val="28"/>
          <w:szCs w:val="28"/>
          <w:lang w:val="en-GB"/>
        </w:rPr>
        <w:t xml:space="preserve"> </w:t>
      </w:r>
      <w:r w:rsidR="00F96E5D" w:rsidRPr="00A11A5E">
        <w:rPr>
          <w:rFonts w:ascii="Times New Roman" w:hAnsi="Times New Roman" w:cs="Times New Roman"/>
          <w:sz w:val="28"/>
          <w:szCs w:val="28"/>
        </w:rPr>
        <w:t xml:space="preserve">zinc priming enhances enzymatic activity, protein synthesis, and hormone regulation, which contribute to the formation of more productive tillers and spikes. These findings are in accordance with the reports of </w:t>
      </w:r>
      <w:r w:rsidR="00F96E5D" w:rsidRPr="00A11A5E">
        <w:rPr>
          <w:rStyle w:val="whitespace-normal"/>
          <w:rFonts w:ascii="Times New Roman" w:hAnsi="Times New Roman" w:cs="Times New Roman"/>
          <w:sz w:val="28"/>
          <w:szCs w:val="28"/>
        </w:rPr>
        <w:t>Farooq, Muhammad</w:t>
      </w:r>
      <w:r w:rsidR="00F96E5D" w:rsidRPr="00A11A5E">
        <w:rPr>
          <w:rFonts w:ascii="Times New Roman" w:hAnsi="Times New Roman" w:cs="Times New Roman"/>
          <w:sz w:val="28"/>
          <w:szCs w:val="28"/>
        </w:rPr>
        <w:t xml:space="preserve"> et al. (2006) </w:t>
      </w:r>
    </w:p>
    <w:p w14:paraId="2610E594" w14:textId="77777777" w:rsidR="00571340" w:rsidRPr="00A11A5E" w:rsidRDefault="00571340" w:rsidP="00730DD7">
      <w:pPr>
        <w:autoSpaceDE w:val="0"/>
        <w:autoSpaceDN w:val="0"/>
        <w:adjustRightInd w:val="0"/>
        <w:ind w:left="720" w:firstLine="720"/>
        <w:jc w:val="both"/>
        <w:rPr>
          <w:rFonts w:ascii="Times New Roman" w:hAnsi="Times New Roman" w:cs="Times New Roman"/>
          <w:bCs/>
          <w:sz w:val="28"/>
          <w:szCs w:val="28"/>
          <w:lang w:val="en-GB"/>
        </w:rPr>
      </w:pPr>
      <w:r w:rsidRPr="00571340">
        <w:rPr>
          <w:rFonts w:ascii="Times New Roman" w:hAnsi="Times New Roman" w:cs="Times New Roman"/>
          <w:noProof/>
          <w:sz w:val="28"/>
          <w:szCs w:val="28"/>
        </w:rPr>
        <w:drawing>
          <wp:inline distT="0" distB="0" distL="0" distR="0" wp14:anchorId="2D5FFCD6" wp14:editId="56736167">
            <wp:extent cx="4400550" cy="1943100"/>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7C8A87" w14:textId="25BC8F11" w:rsidR="003C3143" w:rsidRDefault="000E2D7D" w:rsidP="003C3143">
      <w:pPr>
        <w:pStyle w:val="ListParagraph"/>
        <w:ind w:left="0"/>
        <w:jc w:val="both"/>
        <w:rPr>
          <w:rFonts w:ascii="Times New Roman" w:hAnsi="Times New Roman" w:cs="Times New Roman"/>
          <w:b/>
          <w:sz w:val="28"/>
          <w:szCs w:val="28"/>
          <w:lang w:val="en-GB"/>
        </w:rPr>
      </w:pPr>
      <w:r>
        <w:rPr>
          <w:rFonts w:ascii="Times New Roman" w:hAnsi="Times New Roman" w:cs="Times New Roman"/>
          <w:b/>
          <w:sz w:val="28"/>
          <w:szCs w:val="28"/>
          <w:lang w:val="en-GB"/>
        </w:rPr>
        <w:t>Fig 5-</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N0. of Spike/ Plant</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across treatments (T1–T7)</w:t>
      </w:r>
    </w:p>
    <w:p w14:paraId="71441EAD" w14:textId="45DB4831" w:rsidR="000E2D7D" w:rsidRDefault="000E2D7D" w:rsidP="00DE29E1">
      <w:pPr>
        <w:autoSpaceDE w:val="0"/>
        <w:autoSpaceDN w:val="0"/>
        <w:adjustRightInd w:val="0"/>
        <w:jc w:val="both"/>
        <w:rPr>
          <w:rFonts w:ascii="Times New Roman" w:hAnsi="Times New Roman" w:cs="Times New Roman"/>
          <w:b/>
          <w:sz w:val="28"/>
          <w:szCs w:val="28"/>
          <w:lang w:val="en-GB"/>
        </w:rPr>
      </w:pPr>
    </w:p>
    <w:p w14:paraId="5D59D0BA" w14:textId="77777777" w:rsidR="00DE29E1" w:rsidRPr="00A11A5E" w:rsidRDefault="00DE29E1" w:rsidP="00DE29E1">
      <w:pPr>
        <w:autoSpaceDE w:val="0"/>
        <w:autoSpaceDN w:val="0"/>
        <w:adjustRightInd w:val="0"/>
        <w:jc w:val="both"/>
        <w:rPr>
          <w:rFonts w:ascii="Times New Roman" w:hAnsi="Times New Roman" w:cs="Times New Roman"/>
          <w:b/>
          <w:bCs/>
          <w:sz w:val="28"/>
          <w:szCs w:val="28"/>
          <w:lang w:val="en-GB"/>
        </w:rPr>
      </w:pPr>
      <w:r w:rsidRPr="00A11A5E">
        <w:rPr>
          <w:rFonts w:ascii="Times New Roman" w:hAnsi="Times New Roman" w:cs="Times New Roman"/>
          <w:b/>
          <w:bCs/>
          <w:sz w:val="28"/>
          <w:szCs w:val="28"/>
          <w:lang w:val="en-GB"/>
        </w:rPr>
        <w:t>Number of seed per spike</w:t>
      </w:r>
    </w:p>
    <w:p w14:paraId="59A94F67" w14:textId="77777777" w:rsidR="00DE29E1" w:rsidRDefault="00DE29E1" w:rsidP="00DE29E1">
      <w:pPr>
        <w:pStyle w:val="NormalWeb"/>
        <w:ind w:left="720" w:firstLine="720"/>
        <w:jc w:val="both"/>
        <w:rPr>
          <w:sz w:val="28"/>
          <w:szCs w:val="28"/>
        </w:rPr>
      </w:pPr>
      <w:r w:rsidRPr="00A11A5E">
        <w:rPr>
          <w:sz w:val="28"/>
          <w:szCs w:val="28"/>
        </w:rPr>
        <w:t>seed priming methods on number of seeds per spike compared with different treatment KNO</w:t>
      </w:r>
      <w:r w:rsidRPr="00A11A5E">
        <w:rPr>
          <w:sz w:val="28"/>
          <w:szCs w:val="28"/>
          <w:vertAlign w:val="subscript"/>
        </w:rPr>
        <w:t xml:space="preserve">3 </w:t>
      </w:r>
      <w:r w:rsidRPr="00A11A5E">
        <w:rPr>
          <w:sz w:val="28"/>
          <w:szCs w:val="28"/>
        </w:rPr>
        <w:t xml:space="preserve">(@0.3%) has also performed respectively maximum number of seed per spike (19.70), which was found at par with </w:t>
      </w:r>
      <w:r w:rsidRPr="00A11A5E">
        <w:rPr>
          <w:sz w:val="28"/>
          <w:szCs w:val="28"/>
        </w:rPr>
        <w:lastRenderedPageBreak/>
        <w:t>halo-priming ZnSo4 (@0.5</w:t>
      </w:r>
      <w:proofErr w:type="gramStart"/>
      <w:r w:rsidRPr="00A11A5E">
        <w:rPr>
          <w:sz w:val="28"/>
          <w:szCs w:val="28"/>
        </w:rPr>
        <w:t>%)solution</w:t>
      </w:r>
      <w:proofErr w:type="gramEnd"/>
      <w:r w:rsidRPr="00A11A5E">
        <w:rPr>
          <w:sz w:val="28"/>
          <w:szCs w:val="28"/>
        </w:rPr>
        <w:t xml:space="preserve"> (T5 18.55) minimum seed per spike T1 (16.40) </w:t>
      </w:r>
      <w:r w:rsidR="00F96E5D" w:rsidRPr="00A11A5E">
        <w:rPr>
          <w:rStyle w:val="whitespace-normal"/>
          <w:sz w:val="28"/>
          <w:szCs w:val="28"/>
        </w:rPr>
        <w:t>Majid R.</w:t>
      </w:r>
      <w:r w:rsidR="00F96E5D" w:rsidRPr="00A11A5E">
        <w:rPr>
          <w:sz w:val="28"/>
          <w:szCs w:val="28"/>
        </w:rPr>
        <w:t xml:space="preserve"> (2005) concluded that seed priming improves physiological and biochemical processes, leading to enhanced reproductive development and yield attributes </w:t>
      </w:r>
    </w:p>
    <w:p w14:paraId="4F580878" w14:textId="77777777" w:rsidR="00571340" w:rsidRPr="00A11A5E" w:rsidRDefault="00571340" w:rsidP="00DE29E1">
      <w:pPr>
        <w:pStyle w:val="NormalWeb"/>
        <w:ind w:left="720" w:firstLine="720"/>
        <w:jc w:val="both"/>
        <w:rPr>
          <w:sz w:val="28"/>
          <w:szCs w:val="28"/>
        </w:rPr>
      </w:pPr>
      <w:r w:rsidRPr="00571340">
        <w:rPr>
          <w:noProof/>
          <w:sz w:val="28"/>
          <w:szCs w:val="28"/>
        </w:rPr>
        <w:drawing>
          <wp:inline distT="0" distB="0" distL="0" distR="0" wp14:anchorId="236C8715" wp14:editId="1587023B">
            <wp:extent cx="4295775" cy="1876425"/>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A67EB7" w14:textId="084BD641" w:rsidR="003C3143" w:rsidRDefault="000E2D7D" w:rsidP="003C3143">
      <w:pPr>
        <w:pStyle w:val="ListParagraph"/>
        <w:ind w:left="0"/>
        <w:jc w:val="both"/>
        <w:rPr>
          <w:rFonts w:ascii="Times New Roman" w:hAnsi="Times New Roman" w:cs="Times New Roman"/>
          <w:b/>
          <w:sz w:val="28"/>
          <w:szCs w:val="28"/>
          <w:lang w:val="en-GB"/>
        </w:rPr>
      </w:pPr>
      <w:r>
        <w:rPr>
          <w:rFonts w:ascii="Times New Roman" w:hAnsi="Times New Roman" w:cs="Times New Roman"/>
          <w:b/>
          <w:sz w:val="28"/>
          <w:szCs w:val="28"/>
          <w:lang w:val="en-GB"/>
        </w:rPr>
        <w:t>Fig 6-</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N</w:t>
      </w:r>
      <w:r w:rsidR="003C3143">
        <w:rPr>
          <w:rFonts w:ascii="Times New Roman" w:hAnsi="Times New Roman" w:cs="Times New Roman"/>
          <w:b/>
          <w:sz w:val="28"/>
          <w:szCs w:val="28"/>
          <w:lang w:val="en-GB"/>
        </w:rPr>
        <w:t>o</w:t>
      </w:r>
      <w:r w:rsidR="003C3143" w:rsidRPr="003C3143">
        <w:rPr>
          <w:rFonts w:ascii="Times New Roman" w:hAnsi="Times New Roman" w:cs="Times New Roman"/>
          <w:b/>
          <w:sz w:val="28"/>
          <w:szCs w:val="28"/>
          <w:lang w:val="en-GB"/>
        </w:rPr>
        <w:t>. of seed / spike</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across treatments (T1–T7)</w:t>
      </w:r>
    </w:p>
    <w:p w14:paraId="7F49CC91" w14:textId="545823EC" w:rsidR="000E2D7D" w:rsidRDefault="000E2D7D" w:rsidP="00DE29E1">
      <w:pPr>
        <w:autoSpaceDE w:val="0"/>
        <w:autoSpaceDN w:val="0"/>
        <w:adjustRightInd w:val="0"/>
        <w:ind w:left="720"/>
        <w:jc w:val="both"/>
        <w:rPr>
          <w:rFonts w:ascii="Times New Roman" w:hAnsi="Times New Roman" w:cs="Times New Roman"/>
          <w:b/>
          <w:sz w:val="28"/>
          <w:szCs w:val="28"/>
          <w:lang w:val="en-GB"/>
        </w:rPr>
      </w:pPr>
    </w:p>
    <w:p w14:paraId="4D39C2DF" w14:textId="77777777" w:rsidR="00DE29E1" w:rsidRPr="00A11A5E" w:rsidRDefault="00DE29E1" w:rsidP="00DE29E1">
      <w:pPr>
        <w:autoSpaceDE w:val="0"/>
        <w:autoSpaceDN w:val="0"/>
        <w:adjustRightInd w:val="0"/>
        <w:ind w:left="720"/>
        <w:jc w:val="both"/>
        <w:rPr>
          <w:rFonts w:ascii="Times New Roman" w:hAnsi="Times New Roman" w:cs="Times New Roman"/>
          <w:b/>
          <w:sz w:val="28"/>
          <w:szCs w:val="28"/>
          <w:vertAlign w:val="subscript"/>
        </w:rPr>
      </w:pPr>
      <w:r w:rsidRPr="00A11A5E">
        <w:rPr>
          <w:rFonts w:ascii="Times New Roman" w:hAnsi="Times New Roman" w:cs="Times New Roman"/>
          <w:b/>
          <w:sz w:val="28"/>
          <w:szCs w:val="28"/>
        </w:rPr>
        <w:t>Seed yield (g/plant)</w:t>
      </w:r>
    </w:p>
    <w:p w14:paraId="3BF5C9F1" w14:textId="77777777" w:rsidR="00BC735A" w:rsidRPr="00A11A5E" w:rsidRDefault="00DE29E1" w:rsidP="00571340">
      <w:pPr>
        <w:autoSpaceDE w:val="0"/>
        <w:autoSpaceDN w:val="0"/>
        <w:adjustRightInd w:val="0"/>
        <w:ind w:left="720" w:firstLine="720"/>
        <w:jc w:val="both"/>
        <w:rPr>
          <w:rFonts w:ascii="Times New Roman" w:hAnsi="Times New Roman" w:cs="Times New Roman"/>
          <w:sz w:val="28"/>
          <w:szCs w:val="28"/>
        </w:rPr>
      </w:pPr>
      <w:r w:rsidRPr="00A11A5E">
        <w:rPr>
          <w:rFonts w:ascii="Times New Roman" w:hAnsi="Times New Roman" w:cs="Times New Roman"/>
          <w:sz w:val="28"/>
          <w:szCs w:val="28"/>
        </w:rPr>
        <w:t>halo-priming in KNO</w:t>
      </w:r>
      <w:r w:rsidRPr="00A11A5E">
        <w:rPr>
          <w:rFonts w:ascii="Times New Roman" w:hAnsi="Times New Roman" w:cs="Times New Roman"/>
          <w:sz w:val="28"/>
          <w:szCs w:val="28"/>
          <w:vertAlign w:val="subscript"/>
        </w:rPr>
        <w:t xml:space="preserve">3 </w:t>
      </w:r>
      <w:r w:rsidRPr="00A11A5E">
        <w:rPr>
          <w:rFonts w:ascii="Times New Roman" w:hAnsi="Times New Roman" w:cs="Times New Roman"/>
          <w:sz w:val="28"/>
          <w:szCs w:val="28"/>
        </w:rPr>
        <w:t>(@0.3%) solution (T</w:t>
      </w:r>
      <w:r w:rsidRPr="00A11A5E">
        <w:rPr>
          <w:rFonts w:ascii="Times New Roman" w:hAnsi="Times New Roman" w:cs="Times New Roman"/>
          <w:sz w:val="28"/>
          <w:szCs w:val="28"/>
          <w:vertAlign w:val="subscript"/>
        </w:rPr>
        <w:t>5</w:t>
      </w:r>
      <w:r w:rsidRPr="00A11A5E">
        <w:rPr>
          <w:rFonts w:ascii="Times New Roman" w:hAnsi="Times New Roman" w:cs="Times New Roman"/>
          <w:sz w:val="28"/>
          <w:szCs w:val="28"/>
        </w:rPr>
        <w:t xml:space="preserve">) has recorded maximum yield (10.81) g/plant followed </w:t>
      </w:r>
      <w:proofErr w:type="gramStart"/>
      <w:r w:rsidRPr="00A11A5E">
        <w:rPr>
          <w:rFonts w:ascii="Times New Roman" w:hAnsi="Times New Roman" w:cs="Times New Roman"/>
          <w:sz w:val="28"/>
          <w:szCs w:val="28"/>
        </w:rPr>
        <w:t>by  halo</w:t>
      </w:r>
      <w:proofErr w:type="gramEnd"/>
      <w:r w:rsidRPr="00A11A5E">
        <w:rPr>
          <w:rFonts w:ascii="Times New Roman" w:hAnsi="Times New Roman" w:cs="Times New Roman"/>
          <w:sz w:val="28"/>
          <w:szCs w:val="28"/>
        </w:rPr>
        <w:t>-priming ZnSo4 (@0.5%)) solution (T</w:t>
      </w:r>
      <w:r w:rsidRPr="00A11A5E">
        <w:rPr>
          <w:rFonts w:ascii="Times New Roman" w:hAnsi="Times New Roman" w:cs="Times New Roman"/>
          <w:sz w:val="28"/>
          <w:szCs w:val="28"/>
          <w:vertAlign w:val="subscript"/>
        </w:rPr>
        <w:t xml:space="preserve">6 </w:t>
      </w:r>
      <w:r w:rsidRPr="00A11A5E">
        <w:rPr>
          <w:rFonts w:ascii="Times New Roman" w:hAnsi="Times New Roman" w:cs="Times New Roman"/>
          <w:sz w:val="28"/>
          <w:szCs w:val="28"/>
        </w:rPr>
        <w:t>:</w:t>
      </w:r>
      <w:r w:rsidRPr="00A11A5E">
        <w:rPr>
          <w:rFonts w:ascii="Times New Roman" w:hAnsi="Times New Roman" w:cs="Times New Roman"/>
          <w:bCs/>
          <w:sz w:val="28"/>
          <w:szCs w:val="28"/>
          <w:lang w:val="en-GB"/>
        </w:rPr>
        <w:t xml:space="preserve">10.75) </w:t>
      </w:r>
      <w:r w:rsidRPr="00A11A5E">
        <w:rPr>
          <w:rFonts w:ascii="Times New Roman" w:hAnsi="Times New Roman" w:cs="Times New Roman"/>
          <w:sz w:val="28"/>
          <w:szCs w:val="28"/>
        </w:rPr>
        <w:t>minimum seed yield (8.92) was observed in control (T</w:t>
      </w:r>
      <w:r w:rsidRPr="00A11A5E">
        <w:rPr>
          <w:rFonts w:ascii="Times New Roman" w:hAnsi="Times New Roman" w:cs="Times New Roman"/>
          <w:sz w:val="28"/>
          <w:szCs w:val="28"/>
          <w:vertAlign w:val="subscript"/>
        </w:rPr>
        <w:t>1</w:t>
      </w:r>
      <w:r w:rsidRPr="00A11A5E">
        <w:rPr>
          <w:rFonts w:ascii="Times New Roman" w:hAnsi="Times New Roman" w:cs="Times New Roman"/>
          <w:sz w:val="28"/>
          <w:szCs w:val="28"/>
        </w:rPr>
        <w:t xml:space="preserve">) where no treatment </w:t>
      </w:r>
      <w:proofErr w:type="gramStart"/>
      <w:r w:rsidRPr="00A11A5E">
        <w:rPr>
          <w:rFonts w:ascii="Times New Roman" w:hAnsi="Times New Roman" w:cs="Times New Roman"/>
          <w:sz w:val="28"/>
          <w:szCs w:val="28"/>
        </w:rPr>
        <w:t>were</w:t>
      </w:r>
      <w:proofErr w:type="gramEnd"/>
      <w:r w:rsidRPr="00A11A5E">
        <w:rPr>
          <w:rFonts w:ascii="Times New Roman" w:hAnsi="Times New Roman" w:cs="Times New Roman"/>
          <w:sz w:val="28"/>
          <w:szCs w:val="28"/>
        </w:rPr>
        <w:t xml:space="preserve"> applied.</w:t>
      </w:r>
      <w:r w:rsidR="00F96E5D" w:rsidRPr="00A11A5E">
        <w:rPr>
          <w:rFonts w:ascii="Times New Roman" w:hAnsi="Times New Roman" w:cs="Times New Roman"/>
          <w:sz w:val="28"/>
          <w:szCs w:val="28"/>
        </w:rPr>
        <w:t xml:space="preserve"> Farooq </w:t>
      </w:r>
      <w:r w:rsidR="00F96E5D" w:rsidRPr="000B13C2">
        <w:rPr>
          <w:rFonts w:ascii="Times New Roman" w:hAnsi="Times New Roman" w:cs="Times New Roman"/>
          <w:i/>
          <w:sz w:val="28"/>
          <w:szCs w:val="28"/>
        </w:rPr>
        <w:t>et al.</w:t>
      </w:r>
      <w:r w:rsidR="00F96E5D" w:rsidRPr="00A11A5E">
        <w:rPr>
          <w:rFonts w:ascii="Times New Roman" w:hAnsi="Times New Roman" w:cs="Times New Roman"/>
          <w:sz w:val="28"/>
          <w:szCs w:val="28"/>
        </w:rPr>
        <w:t xml:space="preserve"> (2006) further reported that primed seeds exhibited better growth, yield attributes, and final grain yield compared with unprimed seeds. Therefore, halo-priming with KNO</w:t>
      </w:r>
      <w:r w:rsidR="00F96E5D" w:rsidRPr="00A11A5E">
        <w:rPr>
          <w:rFonts w:cs="Times New Roman"/>
          <w:sz w:val="28"/>
          <w:szCs w:val="28"/>
        </w:rPr>
        <w:t>₃</w:t>
      </w:r>
      <w:r w:rsidR="00F96E5D" w:rsidRPr="00A11A5E">
        <w:rPr>
          <w:rFonts w:ascii="Times New Roman" w:hAnsi="Times New Roman" w:cs="Times New Roman"/>
          <w:sz w:val="28"/>
          <w:szCs w:val="28"/>
        </w:rPr>
        <w:t xml:space="preserve"> @ 0.3% and </w:t>
      </w:r>
      <w:proofErr w:type="spellStart"/>
      <w:r w:rsidR="00F96E5D" w:rsidRPr="00A11A5E">
        <w:rPr>
          <w:rFonts w:ascii="Times New Roman" w:hAnsi="Times New Roman" w:cs="Times New Roman"/>
          <w:sz w:val="28"/>
          <w:szCs w:val="28"/>
        </w:rPr>
        <w:t>ZnSO</w:t>
      </w:r>
      <w:proofErr w:type="spellEnd"/>
      <w:r w:rsidR="00F96E5D" w:rsidRPr="00A11A5E">
        <w:rPr>
          <w:rFonts w:cs="Times New Roman"/>
          <w:sz w:val="28"/>
          <w:szCs w:val="28"/>
        </w:rPr>
        <w:t>₄</w:t>
      </w:r>
      <w:r w:rsidR="00F96E5D" w:rsidRPr="00A11A5E">
        <w:rPr>
          <w:rFonts w:ascii="Times New Roman" w:hAnsi="Times New Roman" w:cs="Times New Roman"/>
          <w:sz w:val="28"/>
          <w:szCs w:val="28"/>
        </w:rPr>
        <w:t xml:space="preserve"> @ 0.5% can be considered effective seed enhancement techniques for improving seed yield and productivity.</w:t>
      </w:r>
    </w:p>
    <w:p w14:paraId="5F50EFBA" w14:textId="77777777" w:rsidR="008516C0" w:rsidRDefault="008516C0" w:rsidP="008039CC">
      <w:pPr>
        <w:jc w:val="both"/>
        <w:rPr>
          <w:rFonts w:ascii="Times New Roman" w:hAnsi="Times New Roman" w:cs="Times New Roman"/>
          <w:sz w:val="28"/>
          <w:szCs w:val="28"/>
        </w:rPr>
      </w:pPr>
    </w:p>
    <w:p w14:paraId="3F098FDB" w14:textId="77777777" w:rsidR="00571340" w:rsidRDefault="00571340" w:rsidP="008039CC">
      <w:pPr>
        <w:jc w:val="both"/>
        <w:rPr>
          <w:rFonts w:ascii="Times New Roman" w:hAnsi="Times New Roman" w:cs="Times New Roman"/>
          <w:sz w:val="28"/>
          <w:szCs w:val="28"/>
        </w:rPr>
      </w:pPr>
      <w:r w:rsidRPr="00571340">
        <w:rPr>
          <w:rFonts w:ascii="Times New Roman" w:hAnsi="Times New Roman" w:cs="Times New Roman"/>
          <w:noProof/>
          <w:sz w:val="28"/>
          <w:szCs w:val="28"/>
        </w:rPr>
        <w:lastRenderedPageBreak/>
        <w:drawing>
          <wp:inline distT="0" distB="0" distL="0" distR="0" wp14:anchorId="776D3D7D" wp14:editId="34DCDD1F">
            <wp:extent cx="5391150" cy="2514600"/>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E0A3DD" w14:textId="77777777" w:rsidR="000E2D7D" w:rsidRDefault="000E2D7D" w:rsidP="008039CC">
      <w:pPr>
        <w:jc w:val="both"/>
        <w:rPr>
          <w:rFonts w:ascii="Times New Roman" w:hAnsi="Times New Roman" w:cs="Times New Roman"/>
          <w:sz w:val="28"/>
          <w:szCs w:val="28"/>
        </w:rPr>
      </w:pPr>
    </w:p>
    <w:p w14:paraId="5C5BE05F" w14:textId="64323BA5" w:rsidR="003C3143" w:rsidRDefault="000E2D7D" w:rsidP="003C3143">
      <w:pPr>
        <w:pStyle w:val="ListParagraph"/>
        <w:ind w:left="0"/>
        <w:jc w:val="both"/>
        <w:rPr>
          <w:rFonts w:ascii="Times New Roman" w:hAnsi="Times New Roman" w:cs="Times New Roman"/>
          <w:b/>
          <w:sz w:val="28"/>
          <w:szCs w:val="28"/>
          <w:lang w:val="en-GB"/>
        </w:rPr>
      </w:pPr>
      <w:r>
        <w:rPr>
          <w:rFonts w:ascii="Times New Roman" w:hAnsi="Times New Roman" w:cs="Times New Roman"/>
          <w:b/>
          <w:sz w:val="28"/>
          <w:szCs w:val="28"/>
          <w:lang w:val="en-GB"/>
        </w:rPr>
        <w:t>Fig 7-</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Variation in Seed yield / Plant (G)</w:t>
      </w:r>
      <w:r w:rsidR="003C3143">
        <w:rPr>
          <w:rFonts w:ascii="Times New Roman" w:hAnsi="Times New Roman" w:cs="Times New Roman"/>
          <w:b/>
          <w:sz w:val="28"/>
          <w:szCs w:val="28"/>
          <w:lang w:val="en-GB"/>
        </w:rPr>
        <w:t xml:space="preserve"> </w:t>
      </w:r>
      <w:r w:rsidR="003C3143" w:rsidRPr="003C3143">
        <w:rPr>
          <w:rFonts w:ascii="Times New Roman" w:hAnsi="Times New Roman" w:cs="Times New Roman"/>
          <w:b/>
          <w:sz w:val="28"/>
          <w:szCs w:val="28"/>
          <w:lang w:val="en-GB"/>
        </w:rPr>
        <w:t>across treatments (T1–T7)</w:t>
      </w:r>
    </w:p>
    <w:p w14:paraId="00FB574A" w14:textId="4BBB75AD" w:rsidR="000E2D7D" w:rsidRPr="00A11A5E" w:rsidRDefault="000E2D7D" w:rsidP="008039CC">
      <w:pPr>
        <w:jc w:val="both"/>
        <w:rPr>
          <w:rFonts w:ascii="Times New Roman" w:hAnsi="Times New Roman" w:cs="Times New Roman"/>
          <w:sz w:val="28"/>
          <w:szCs w:val="28"/>
        </w:rPr>
        <w:sectPr w:rsidR="000E2D7D" w:rsidRPr="00A11A5E" w:rsidSect="00D016B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pPr>
    </w:p>
    <w:p w14:paraId="45506B0E" w14:textId="77777777" w:rsidR="008516C0" w:rsidRPr="00A11A5E" w:rsidRDefault="008516C0" w:rsidP="008516C0">
      <w:pPr>
        <w:pStyle w:val="Heading2"/>
        <w:rPr>
          <w:rFonts w:ascii="Times New Roman" w:hAnsi="Times New Roman" w:cs="Times New Roman"/>
          <w:b/>
          <w:bCs/>
          <w:color w:val="auto"/>
          <w:sz w:val="28"/>
          <w:szCs w:val="28"/>
        </w:rPr>
      </w:pPr>
      <w:r w:rsidRPr="00A11A5E">
        <w:rPr>
          <w:rFonts w:ascii="Times New Roman" w:hAnsi="Times New Roman" w:cs="Times New Roman"/>
          <w:b/>
          <w:bCs/>
          <w:color w:val="auto"/>
          <w:sz w:val="28"/>
          <w:szCs w:val="28"/>
        </w:rPr>
        <w:lastRenderedPageBreak/>
        <w:t>Table</w:t>
      </w:r>
      <w:r w:rsidR="003B63DC" w:rsidRPr="00A11A5E">
        <w:rPr>
          <w:rFonts w:ascii="Times New Roman" w:hAnsi="Times New Roman" w:cs="Times New Roman"/>
          <w:b/>
          <w:bCs/>
          <w:color w:val="auto"/>
          <w:sz w:val="28"/>
          <w:szCs w:val="28"/>
        </w:rPr>
        <w:t xml:space="preserve"> 1</w:t>
      </w:r>
      <w:r w:rsidRPr="00A11A5E">
        <w:rPr>
          <w:rFonts w:ascii="Times New Roman" w:hAnsi="Times New Roman" w:cs="Times New Roman"/>
          <w:b/>
          <w:bCs/>
          <w:color w:val="auto"/>
          <w:sz w:val="28"/>
          <w:szCs w:val="28"/>
        </w:rPr>
        <w:t xml:space="preserve">: </w:t>
      </w:r>
      <w:r w:rsidR="003B63DC" w:rsidRPr="00A11A5E">
        <w:rPr>
          <w:rFonts w:ascii="Times New Roman" w:hAnsi="Times New Roman" w:cs="Times New Roman"/>
          <w:b/>
          <w:bCs/>
          <w:color w:val="auto"/>
          <w:sz w:val="28"/>
          <w:szCs w:val="28"/>
        </w:rPr>
        <w:t>E</w:t>
      </w:r>
      <w:r w:rsidRPr="00A11A5E">
        <w:rPr>
          <w:rFonts w:ascii="Times New Roman" w:hAnsi="Times New Roman" w:cs="Times New Roman"/>
          <w:b/>
          <w:bCs/>
          <w:color w:val="auto"/>
          <w:sz w:val="28"/>
          <w:szCs w:val="28"/>
        </w:rPr>
        <w:t>ffect of different seed priming treatments on growth, yield and se</w:t>
      </w:r>
      <w:r w:rsidR="00571340">
        <w:rPr>
          <w:rFonts w:ascii="Times New Roman" w:hAnsi="Times New Roman" w:cs="Times New Roman"/>
          <w:b/>
          <w:bCs/>
          <w:color w:val="auto"/>
          <w:sz w:val="28"/>
          <w:szCs w:val="28"/>
        </w:rPr>
        <w:t>ed quality parameters of wheat</w:t>
      </w:r>
    </w:p>
    <w:tbl>
      <w:tblPr>
        <w:tblStyle w:val="TableGrid"/>
        <w:tblW w:w="10278" w:type="dxa"/>
        <w:tblLook w:val="04A0" w:firstRow="1" w:lastRow="0" w:firstColumn="1" w:lastColumn="0" w:noHBand="0" w:noVBand="1"/>
      </w:tblPr>
      <w:tblGrid>
        <w:gridCol w:w="1819"/>
        <w:gridCol w:w="1305"/>
        <w:gridCol w:w="986"/>
        <w:gridCol w:w="1383"/>
        <w:gridCol w:w="1095"/>
        <w:gridCol w:w="1080"/>
        <w:gridCol w:w="1170"/>
        <w:gridCol w:w="1440"/>
      </w:tblGrid>
      <w:tr w:rsidR="00D62AD3" w:rsidRPr="00A11A5E" w14:paraId="676C5F6D" w14:textId="77777777" w:rsidTr="00D62AD3">
        <w:trPr>
          <w:trHeight w:val="1232"/>
        </w:trPr>
        <w:tc>
          <w:tcPr>
            <w:tcW w:w="1819" w:type="dxa"/>
          </w:tcPr>
          <w:p w14:paraId="3927C244" w14:textId="77777777" w:rsidR="00D62AD3" w:rsidRPr="00A11A5E" w:rsidRDefault="00D62AD3" w:rsidP="000E64F1">
            <w:pPr>
              <w:jc w:val="center"/>
              <w:rPr>
                <w:rFonts w:ascii="Times New Roman" w:hAnsi="Times New Roman" w:cs="Times New Roman"/>
                <w:sz w:val="28"/>
                <w:szCs w:val="28"/>
              </w:rPr>
            </w:pPr>
            <w:r w:rsidRPr="00A11A5E">
              <w:rPr>
                <w:rFonts w:ascii="Times New Roman" w:hAnsi="Times New Roman" w:cs="Times New Roman"/>
                <w:sz w:val="28"/>
                <w:szCs w:val="28"/>
              </w:rPr>
              <w:t>Treatment</w:t>
            </w:r>
          </w:p>
        </w:tc>
        <w:tc>
          <w:tcPr>
            <w:tcW w:w="1305" w:type="dxa"/>
          </w:tcPr>
          <w:p w14:paraId="45548943" w14:textId="77777777" w:rsidR="00D62AD3" w:rsidRPr="00A11A5E" w:rsidRDefault="00D62AD3" w:rsidP="000E64F1">
            <w:pPr>
              <w:jc w:val="center"/>
              <w:rPr>
                <w:rFonts w:ascii="Times New Roman" w:hAnsi="Times New Roman" w:cs="Times New Roman"/>
                <w:sz w:val="28"/>
                <w:szCs w:val="28"/>
              </w:rPr>
            </w:pPr>
            <w:r>
              <w:rPr>
                <w:rFonts w:ascii="Times New Roman" w:hAnsi="Times New Roman" w:cs="Times New Roman"/>
                <w:sz w:val="28"/>
                <w:szCs w:val="28"/>
              </w:rPr>
              <w:t>Days of 50% flowering</w:t>
            </w:r>
          </w:p>
        </w:tc>
        <w:tc>
          <w:tcPr>
            <w:tcW w:w="0" w:type="auto"/>
          </w:tcPr>
          <w:p w14:paraId="5722B205" w14:textId="77777777" w:rsidR="00D62AD3" w:rsidRPr="00A11A5E" w:rsidRDefault="00D62AD3" w:rsidP="000E64F1">
            <w:pPr>
              <w:jc w:val="center"/>
              <w:rPr>
                <w:rFonts w:ascii="Times New Roman" w:hAnsi="Times New Roman" w:cs="Times New Roman"/>
                <w:sz w:val="28"/>
                <w:szCs w:val="28"/>
              </w:rPr>
            </w:pPr>
            <w:r w:rsidRPr="00A11A5E">
              <w:rPr>
                <w:rFonts w:ascii="Times New Roman" w:hAnsi="Times New Roman" w:cs="Times New Roman"/>
                <w:sz w:val="28"/>
                <w:szCs w:val="28"/>
              </w:rPr>
              <w:t>Plant Height (cm)</w:t>
            </w:r>
          </w:p>
        </w:tc>
        <w:tc>
          <w:tcPr>
            <w:tcW w:w="1383" w:type="dxa"/>
          </w:tcPr>
          <w:p w14:paraId="69144C1F" w14:textId="77777777" w:rsidR="00D62AD3" w:rsidRPr="00A11A5E" w:rsidRDefault="00D62AD3" w:rsidP="00D62AD3">
            <w:pPr>
              <w:jc w:val="center"/>
              <w:rPr>
                <w:rFonts w:ascii="Times New Roman" w:hAnsi="Times New Roman" w:cs="Times New Roman"/>
                <w:sz w:val="28"/>
                <w:szCs w:val="28"/>
              </w:rPr>
            </w:pPr>
            <w:r w:rsidRPr="00D62AD3">
              <w:rPr>
                <w:rFonts w:ascii="Times New Roman" w:hAnsi="Times New Roman" w:cs="Times New Roman"/>
                <w:bCs/>
                <w:sz w:val="28"/>
                <w:szCs w:val="28"/>
              </w:rPr>
              <w:t>No of tiller/plant</w:t>
            </w:r>
          </w:p>
        </w:tc>
        <w:tc>
          <w:tcPr>
            <w:tcW w:w="1095" w:type="dxa"/>
          </w:tcPr>
          <w:p w14:paraId="4AB92717" w14:textId="77777777" w:rsidR="00D62AD3" w:rsidRPr="00571340" w:rsidRDefault="00D62AD3" w:rsidP="00D62AD3">
            <w:pPr>
              <w:jc w:val="center"/>
              <w:rPr>
                <w:rFonts w:ascii="Times New Roman" w:hAnsi="Times New Roman" w:cs="Times New Roman"/>
                <w:sz w:val="28"/>
                <w:szCs w:val="28"/>
              </w:rPr>
            </w:pPr>
            <w:r w:rsidRPr="00571340">
              <w:rPr>
                <w:rFonts w:ascii="Times New Roman" w:hAnsi="Times New Roman" w:cs="Times New Roman"/>
                <w:bCs/>
                <w:sz w:val="28"/>
                <w:szCs w:val="28"/>
              </w:rPr>
              <w:t xml:space="preserve">No </w:t>
            </w:r>
            <w:proofErr w:type="gramStart"/>
            <w:r w:rsidRPr="00571340">
              <w:rPr>
                <w:rFonts w:ascii="Times New Roman" w:hAnsi="Times New Roman" w:cs="Times New Roman"/>
                <w:bCs/>
                <w:sz w:val="28"/>
                <w:szCs w:val="28"/>
              </w:rPr>
              <w:t>of  Spike</w:t>
            </w:r>
            <w:proofErr w:type="gramEnd"/>
            <w:r w:rsidRPr="00571340">
              <w:rPr>
                <w:rFonts w:ascii="Times New Roman" w:hAnsi="Times New Roman" w:cs="Times New Roman"/>
                <w:bCs/>
                <w:sz w:val="28"/>
                <w:szCs w:val="28"/>
              </w:rPr>
              <w:t xml:space="preserve">/ Plant </w:t>
            </w:r>
          </w:p>
          <w:p w14:paraId="3C1D716D" w14:textId="77777777" w:rsidR="00D62AD3" w:rsidRPr="00571340" w:rsidRDefault="00D62AD3" w:rsidP="000E64F1">
            <w:pPr>
              <w:jc w:val="center"/>
              <w:rPr>
                <w:rFonts w:ascii="Times New Roman" w:hAnsi="Times New Roman" w:cs="Times New Roman"/>
                <w:sz w:val="28"/>
                <w:szCs w:val="28"/>
              </w:rPr>
            </w:pPr>
          </w:p>
        </w:tc>
        <w:tc>
          <w:tcPr>
            <w:tcW w:w="1080" w:type="dxa"/>
          </w:tcPr>
          <w:p w14:paraId="509534CB" w14:textId="77777777" w:rsidR="00D62AD3" w:rsidRPr="00571340" w:rsidRDefault="00D62AD3" w:rsidP="00D62AD3">
            <w:pPr>
              <w:jc w:val="center"/>
              <w:rPr>
                <w:rFonts w:ascii="Times New Roman" w:hAnsi="Times New Roman" w:cs="Times New Roman"/>
                <w:sz w:val="28"/>
                <w:szCs w:val="28"/>
              </w:rPr>
            </w:pPr>
            <w:r w:rsidRPr="00571340">
              <w:rPr>
                <w:rFonts w:ascii="Times New Roman" w:hAnsi="Times New Roman" w:cs="Times New Roman"/>
                <w:bCs/>
                <w:sz w:val="28"/>
                <w:szCs w:val="28"/>
              </w:rPr>
              <w:t xml:space="preserve">Spike length (cm) </w:t>
            </w:r>
          </w:p>
          <w:p w14:paraId="0717338E" w14:textId="77777777" w:rsidR="00D62AD3" w:rsidRPr="00571340" w:rsidRDefault="00D62AD3" w:rsidP="000E64F1">
            <w:pPr>
              <w:jc w:val="center"/>
              <w:rPr>
                <w:rFonts w:ascii="Times New Roman" w:hAnsi="Times New Roman" w:cs="Times New Roman"/>
                <w:sz w:val="28"/>
                <w:szCs w:val="28"/>
              </w:rPr>
            </w:pPr>
          </w:p>
        </w:tc>
        <w:tc>
          <w:tcPr>
            <w:tcW w:w="1170" w:type="dxa"/>
          </w:tcPr>
          <w:p w14:paraId="20217FF7" w14:textId="77777777" w:rsidR="00D62AD3" w:rsidRPr="00571340" w:rsidRDefault="00D62AD3" w:rsidP="00D62AD3">
            <w:pPr>
              <w:jc w:val="center"/>
              <w:rPr>
                <w:rFonts w:ascii="Times New Roman" w:hAnsi="Times New Roman" w:cs="Times New Roman"/>
                <w:sz w:val="28"/>
                <w:szCs w:val="28"/>
              </w:rPr>
            </w:pPr>
            <w:r w:rsidRPr="00571340">
              <w:rPr>
                <w:rFonts w:ascii="Times New Roman" w:hAnsi="Times New Roman" w:cs="Times New Roman"/>
                <w:bCs/>
                <w:sz w:val="28"/>
                <w:szCs w:val="28"/>
              </w:rPr>
              <w:t xml:space="preserve">No. of seed / spike </w:t>
            </w:r>
          </w:p>
          <w:p w14:paraId="4036F51B" w14:textId="77777777" w:rsidR="00D62AD3" w:rsidRPr="00571340" w:rsidRDefault="00D62AD3" w:rsidP="000E64F1">
            <w:pPr>
              <w:jc w:val="center"/>
              <w:rPr>
                <w:rFonts w:ascii="Times New Roman" w:hAnsi="Times New Roman" w:cs="Times New Roman"/>
                <w:sz w:val="28"/>
                <w:szCs w:val="28"/>
              </w:rPr>
            </w:pPr>
          </w:p>
        </w:tc>
        <w:tc>
          <w:tcPr>
            <w:tcW w:w="1440" w:type="dxa"/>
          </w:tcPr>
          <w:p w14:paraId="1765E680" w14:textId="77777777" w:rsidR="00D62AD3" w:rsidRPr="00571340" w:rsidRDefault="00D62AD3" w:rsidP="00D62AD3">
            <w:pPr>
              <w:jc w:val="center"/>
              <w:rPr>
                <w:rFonts w:ascii="Times New Roman" w:hAnsi="Times New Roman" w:cs="Times New Roman"/>
                <w:sz w:val="28"/>
                <w:szCs w:val="28"/>
              </w:rPr>
            </w:pPr>
            <w:r w:rsidRPr="00571340">
              <w:rPr>
                <w:rFonts w:ascii="Times New Roman" w:hAnsi="Times New Roman" w:cs="Times New Roman"/>
                <w:bCs/>
                <w:sz w:val="28"/>
                <w:szCs w:val="28"/>
              </w:rPr>
              <w:t xml:space="preserve">Seed yield / Plant </w:t>
            </w:r>
          </w:p>
          <w:p w14:paraId="3B48803C" w14:textId="77777777" w:rsidR="00D62AD3" w:rsidRPr="00571340" w:rsidRDefault="00D62AD3" w:rsidP="000E64F1">
            <w:pPr>
              <w:jc w:val="center"/>
              <w:rPr>
                <w:rFonts w:ascii="Times New Roman" w:hAnsi="Times New Roman" w:cs="Times New Roman"/>
                <w:sz w:val="28"/>
                <w:szCs w:val="28"/>
              </w:rPr>
            </w:pPr>
          </w:p>
        </w:tc>
      </w:tr>
      <w:tr w:rsidR="00212909" w:rsidRPr="00A11A5E" w14:paraId="5C99F8B5" w14:textId="77777777" w:rsidTr="00F910B3">
        <w:trPr>
          <w:trHeight w:val="597"/>
        </w:trPr>
        <w:tc>
          <w:tcPr>
            <w:tcW w:w="1819" w:type="dxa"/>
          </w:tcPr>
          <w:p w14:paraId="4395CC70" w14:textId="77777777" w:rsidR="00212909" w:rsidRPr="00A11A5E" w:rsidRDefault="00212909" w:rsidP="001B18D5">
            <w:pPr>
              <w:rPr>
                <w:rFonts w:ascii="Times New Roman" w:hAnsi="Times New Roman" w:cs="Times New Roman"/>
                <w:sz w:val="28"/>
                <w:szCs w:val="28"/>
              </w:rPr>
            </w:pPr>
            <w:r>
              <w:rPr>
                <w:rFonts w:ascii="Times New Roman" w:hAnsi="Times New Roman" w:cs="Times New Roman"/>
                <w:sz w:val="28"/>
                <w:szCs w:val="28"/>
              </w:rPr>
              <w:t>T1</w:t>
            </w:r>
          </w:p>
        </w:tc>
        <w:tc>
          <w:tcPr>
            <w:tcW w:w="1305" w:type="dxa"/>
            <w:vAlign w:val="center"/>
          </w:tcPr>
          <w:p w14:paraId="64D0B77B"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64.00</w:t>
            </w:r>
          </w:p>
        </w:tc>
        <w:tc>
          <w:tcPr>
            <w:tcW w:w="0" w:type="auto"/>
            <w:vAlign w:val="center"/>
          </w:tcPr>
          <w:p w14:paraId="361BDEDF"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81.19</w:t>
            </w:r>
          </w:p>
        </w:tc>
        <w:tc>
          <w:tcPr>
            <w:tcW w:w="1383" w:type="dxa"/>
            <w:vAlign w:val="center"/>
          </w:tcPr>
          <w:p w14:paraId="6641EE2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6.03</w:t>
            </w:r>
          </w:p>
        </w:tc>
        <w:tc>
          <w:tcPr>
            <w:tcW w:w="1095" w:type="dxa"/>
            <w:vAlign w:val="center"/>
          </w:tcPr>
          <w:p w14:paraId="0A59F92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4.74</w:t>
            </w:r>
          </w:p>
        </w:tc>
        <w:tc>
          <w:tcPr>
            <w:tcW w:w="1080" w:type="dxa"/>
            <w:vAlign w:val="center"/>
          </w:tcPr>
          <w:p w14:paraId="38B9173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9.40</w:t>
            </w:r>
          </w:p>
        </w:tc>
        <w:tc>
          <w:tcPr>
            <w:tcW w:w="1170" w:type="dxa"/>
            <w:vAlign w:val="center"/>
          </w:tcPr>
          <w:p w14:paraId="2FBCEAC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16.40</w:t>
            </w:r>
          </w:p>
        </w:tc>
        <w:tc>
          <w:tcPr>
            <w:tcW w:w="1440" w:type="dxa"/>
            <w:vAlign w:val="center"/>
          </w:tcPr>
          <w:p w14:paraId="7D87C4E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8.92</w:t>
            </w:r>
          </w:p>
        </w:tc>
      </w:tr>
      <w:tr w:rsidR="00212909" w:rsidRPr="00A11A5E" w14:paraId="70044E06" w14:textId="77777777" w:rsidTr="00F910B3">
        <w:trPr>
          <w:trHeight w:val="434"/>
        </w:trPr>
        <w:tc>
          <w:tcPr>
            <w:tcW w:w="1819" w:type="dxa"/>
          </w:tcPr>
          <w:p w14:paraId="19E71E7C" w14:textId="77777777" w:rsidR="00212909" w:rsidRPr="00A11A5E" w:rsidRDefault="00212909" w:rsidP="001B18D5">
            <w:pPr>
              <w:rPr>
                <w:rFonts w:ascii="Times New Roman" w:hAnsi="Times New Roman" w:cs="Times New Roman"/>
                <w:sz w:val="28"/>
                <w:szCs w:val="28"/>
              </w:rPr>
            </w:pPr>
            <w:r>
              <w:rPr>
                <w:rFonts w:ascii="Times New Roman" w:hAnsi="Times New Roman" w:cs="Times New Roman"/>
                <w:sz w:val="28"/>
                <w:szCs w:val="28"/>
              </w:rPr>
              <w:t>T2</w:t>
            </w:r>
            <w:r w:rsidRPr="00A11A5E">
              <w:rPr>
                <w:rFonts w:ascii="Times New Roman" w:hAnsi="Times New Roman" w:cs="Times New Roman"/>
                <w:sz w:val="28"/>
                <w:szCs w:val="28"/>
              </w:rPr>
              <w:t xml:space="preserve"> </w:t>
            </w:r>
          </w:p>
        </w:tc>
        <w:tc>
          <w:tcPr>
            <w:tcW w:w="1305" w:type="dxa"/>
            <w:vAlign w:val="center"/>
          </w:tcPr>
          <w:p w14:paraId="52892FA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62.67</w:t>
            </w:r>
          </w:p>
        </w:tc>
        <w:tc>
          <w:tcPr>
            <w:tcW w:w="0" w:type="auto"/>
            <w:vAlign w:val="center"/>
          </w:tcPr>
          <w:p w14:paraId="73F5BA6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81.20</w:t>
            </w:r>
          </w:p>
        </w:tc>
        <w:tc>
          <w:tcPr>
            <w:tcW w:w="1383" w:type="dxa"/>
            <w:vAlign w:val="center"/>
          </w:tcPr>
          <w:p w14:paraId="34FD3672"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7.03</w:t>
            </w:r>
          </w:p>
        </w:tc>
        <w:tc>
          <w:tcPr>
            <w:tcW w:w="1095" w:type="dxa"/>
            <w:vAlign w:val="center"/>
          </w:tcPr>
          <w:p w14:paraId="711E8742"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5.52</w:t>
            </w:r>
          </w:p>
        </w:tc>
        <w:tc>
          <w:tcPr>
            <w:tcW w:w="1080" w:type="dxa"/>
            <w:vAlign w:val="center"/>
          </w:tcPr>
          <w:p w14:paraId="3B37D2A2"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9.85</w:t>
            </w:r>
          </w:p>
        </w:tc>
        <w:tc>
          <w:tcPr>
            <w:tcW w:w="1170" w:type="dxa"/>
            <w:vAlign w:val="center"/>
          </w:tcPr>
          <w:p w14:paraId="67985AC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16.98</w:t>
            </w:r>
          </w:p>
        </w:tc>
        <w:tc>
          <w:tcPr>
            <w:tcW w:w="1440" w:type="dxa"/>
            <w:vAlign w:val="center"/>
          </w:tcPr>
          <w:p w14:paraId="5AE07563"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9.80</w:t>
            </w:r>
          </w:p>
        </w:tc>
      </w:tr>
      <w:tr w:rsidR="00212909" w:rsidRPr="00A11A5E" w14:paraId="0A6CBAD4" w14:textId="77777777" w:rsidTr="00F910B3">
        <w:trPr>
          <w:trHeight w:val="597"/>
        </w:trPr>
        <w:tc>
          <w:tcPr>
            <w:tcW w:w="1819" w:type="dxa"/>
          </w:tcPr>
          <w:p w14:paraId="70322E11" w14:textId="77777777" w:rsidR="00212909" w:rsidRPr="001B18D5" w:rsidRDefault="00212909" w:rsidP="001B18D5">
            <w:pPr>
              <w:pStyle w:val="Default"/>
              <w:rPr>
                <w:sz w:val="26"/>
                <w:szCs w:val="26"/>
              </w:rPr>
            </w:pPr>
            <w:r>
              <w:rPr>
                <w:sz w:val="26"/>
                <w:szCs w:val="26"/>
              </w:rPr>
              <w:t>T3</w:t>
            </w:r>
          </w:p>
        </w:tc>
        <w:tc>
          <w:tcPr>
            <w:tcW w:w="1305" w:type="dxa"/>
            <w:vAlign w:val="center"/>
          </w:tcPr>
          <w:p w14:paraId="501E45F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64.67</w:t>
            </w:r>
          </w:p>
        </w:tc>
        <w:tc>
          <w:tcPr>
            <w:tcW w:w="0" w:type="auto"/>
            <w:vAlign w:val="center"/>
          </w:tcPr>
          <w:p w14:paraId="346F4EC7"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83.75</w:t>
            </w:r>
          </w:p>
        </w:tc>
        <w:tc>
          <w:tcPr>
            <w:tcW w:w="1383" w:type="dxa"/>
            <w:vAlign w:val="center"/>
          </w:tcPr>
          <w:p w14:paraId="2D2E02A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7.33</w:t>
            </w:r>
          </w:p>
        </w:tc>
        <w:tc>
          <w:tcPr>
            <w:tcW w:w="1095" w:type="dxa"/>
            <w:vAlign w:val="center"/>
          </w:tcPr>
          <w:p w14:paraId="5928C31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6.21</w:t>
            </w:r>
          </w:p>
        </w:tc>
        <w:tc>
          <w:tcPr>
            <w:tcW w:w="1080" w:type="dxa"/>
            <w:vAlign w:val="center"/>
          </w:tcPr>
          <w:p w14:paraId="0BD238CF"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9.90</w:t>
            </w:r>
          </w:p>
        </w:tc>
        <w:tc>
          <w:tcPr>
            <w:tcW w:w="1170" w:type="dxa"/>
            <w:vAlign w:val="center"/>
          </w:tcPr>
          <w:p w14:paraId="1ADA07B0"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17.93</w:t>
            </w:r>
          </w:p>
        </w:tc>
        <w:tc>
          <w:tcPr>
            <w:tcW w:w="1440" w:type="dxa"/>
            <w:vAlign w:val="center"/>
          </w:tcPr>
          <w:p w14:paraId="39659E0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9.99</w:t>
            </w:r>
          </w:p>
        </w:tc>
      </w:tr>
      <w:tr w:rsidR="00212909" w:rsidRPr="00A11A5E" w14:paraId="0D662017" w14:textId="77777777" w:rsidTr="00F910B3">
        <w:trPr>
          <w:trHeight w:val="576"/>
        </w:trPr>
        <w:tc>
          <w:tcPr>
            <w:tcW w:w="1819" w:type="dxa"/>
          </w:tcPr>
          <w:p w14:paraId="08481EA7" w14:textId="77777777" w:rsidR="00212909" w:rsidRPr="00A11A5E" w:rsidRDefault="00212909" w:rsidP="006336D4">
            <w:pPr>
              <w:rPr>
                <w:rFonts w:ascii="Times New Roman" w:hAnsi="Times New Roman" w:cs="Times New Roman"/>
                <w:sz w:val="28"/>
                <w:szCs w:val="28"/>
              </w:rPr>
            </w:pPr>
            <w:r>
              <w:rPr>
                <w:rFonts w:ascii="Times New Roman" w:hAnsi="Times New Roman" w:cs="Times New Roman"/>
                <w:sz w:val="28"/>
                <w:szCs w:val="28"/>
              </w:rPr>
              <w:t>T4</w:t>
            </w:r>
          </w:p>
          <w:p w14:paraId="51CC92A8" w14:textId="77777777" w:rsidR="00212909" w:rsidRPr="00A11A5E" w:rsidRDefault="00212909" w:rsidP="001B18D5">
            <w:pPr>
              <w:pStyle w:val="Default"/>
              <w:rPr>
                <w:sz w:val="28"/>
                <w:szCs w:val="28"/>
              </w:rPr>
            </w:pPr>
          </w:p>
        </w:tc>
        <w:tc>
          <w:tcPr>
            <w:tcW w:w="1305" w:type="dxa"/>
            <w:vAlign w:val="center"/>
          </w:tcPr>
          <w:p w14:paraId="3023146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65.67</w:t>
            </w:r>
          </w:p>
        </w:tc>
        <w:tc>
          <w:tcPr>
            <w:tcW w:w="0" w:type="auto"/>
            <w:vAlign w:val="center"/>
          </w:tcPr>
          <w:p w14:paraId="4CD2269B"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86.19</w:t>
            </w:r>
          </w:p>
        </w:tc>
        <w:tc>
          <w:tcPr>
            <w:tcW w:w="1383" w:type="dxa"/>
            <w:vAlign w:val="center"/>
          </w:tcPr>
          <w:p w14:paraId="351FDFD3"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8.13</w:t>
            </w:r>
          </w:p>
        </w:tc>
        <w:tc>
          <w:tcPr>
            <w:tcW w:w="1095" w:type="dxa"/>
            <w:vAlign w:val="center"/>
          </w:tcPr>
          <w:p w14:paraId="22DA817D"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6.91</w:t>
            </w:r>
          </w:p>
        </w:tc>
        <w:tc>
          <w:tcPr>
            <w:tcW w:w="1080" w:type="dxa"/>
            <w:vAlign w:val="center"/>
          </w:tcPr>
          <w:p w14:paraId="33A6581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10.03</w:t>
            </w:r>
          </w:p>
        </w:tc>
        <w:tc>
          <w:tcPr>
            <w:tcW w:w="1170" w:type="dxa"/>
            <w:vAlign w:val="center"/>
          </w:tcPr>
          <w:p w14:paraId="0F8EA00F"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18.51</w:t>
            </w:r>
          </w:p>
        </w:tc>
        <w:tc>
          <w:tcPr>
            <w:tcW w:w="1440" w:type="dxa"/>
            <w:vAlign w:val="center"/>
          </w:tcPr>
          <w:p w14:paraId="6D9F254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10.16</w:t>
            </w:r>
          </w:p>
        </w:tc>
      </w:tr>
      <w:tr w:rsidR="00212909" w:rsidRPr="00A11A5E" w14:paraId="548315C7" w14:textId="77777777" w:rsidTr="00F910B3">
        <w:trPr>
          <w:trHeight w:val="611"/>
        </w:trPr>
        <w:tc>
          <w:tcPr>
            <w:tcW w:w="1819" w:type="dxa"/>
          </w:tcPr>
          <w:p w14:paraId="21E9B93F" w14:textId="77777777" w:rsidR="00212909" w:rsidRPr="00A11A5E" w:rsidRDefault="00212909" w:rsidP="001B18D5">
            <w:pPr>
              <w:rPr>
                <w:rFonts w:ascii="Times New Roman" w:hAnsi="Times New Roman" w:cs="Times New Roman"/>
                <w:sz w:val="28"/>
                <w:szCs w:val="28"/>
              </w:rPr>
            </w:pPr>
            <w:r w:rsidRPr="00A11A5E">
              <w:rPr>
                <w:rFonts w:ascii="Times New Roman" w:hAnsi="Times New Roman" w:cs="Times New Roman"/>
                <w:sz w:val="28"/>
                <w:szCs w:val="28"/>
              </w:rPr>
              <w:t>T</w:t>
            </w:r>
            <w:r>
              <w:rPr>
                <w:rFonts w:ascii="Times New Roman" w:hAnsi="Times New Roman" w:cs="Times New Roman"/>
                <w:sz w:val="28"/>
                <w:szCs w:val="28"/>
              </w:rPr>
              <w:t>5</w:t>
            </w:r>
          </w:p>
        </w:tc>
        <w:tc>
          <w:tcPr>
            <w:tcW w:w="1305" w:type="dxa"/>
            <w:vAlign w:val="center"/>
          </w:tcPr>
          <w:p w14:paraId="1E7463C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59.33</w:t>
            </w:r>
          </w:p>
        </w:tc>
        <w:tc>
          <w:tcPr>
            <w:tcW w:w="0" w:type="auto"/>
            <w:vAlign w:val="center"/>
          </w:tcPr>
          <w:p w14:paraId="7224A47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91.13</w:t>
            </w:r>
          </w:p>
        </w:tc>
        <w:tc>
          <w:tcPr>
            <w:tcW w:w="1383" w:type="dxa"/>
            <w:vAlign w:val="center"/>
          </w:tcPr>
          <w:p w14:paraId="02C6DEB3"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9.23</w:t>
            </w:r>
          </w:p>
        </w:tc>
        <w:tc>
          <w:tcPr>
            <w:tcW w:w="1095" w:type="dxa"/>
            <w:vAlign w:val="center"/>
          </w:tcPr>
          <w:p w14:paraId="225A2E9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7.50</w:t>
            </w:r>
          </w:p>
        </w:tc>
        <w:tc>
          <w:tcPr>
            <w:tcW w:w="1080" w:type="dxa"/>
            <w:vAlign w:val="center"/>
          </w:tcPr>
          <w:p w14:paraId="78BA9EE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11.18</w:t>
            </w:r>
          </w:p>
        </w:tc>
        <w:tc>
          <w:tcPr>
            <w:tcW w:w="1170" w:type="dxa"/>
            <w:vAlign w:val="center"/>
          </w:tcPr>
          <w:p w14:paraId="2A6F671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19.70</w:t>
            </w:r>
          </w:p>
        </w:tc>
        <w:tc>
          <w:tcPr>
            <w:tcW w:w="1440" w:type="dxa"/>
            <w:vAlign w:val="center"/>
          </w:tcPr>
          <w:p w14:paraId="0ED3201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10.81</w:t>
            </w:r>
          </w:p>
        </w:tc>
      </w:tr>
      <w:tr w:rsidR="00212909" w:rsidRPr="00A11A5E" w14:paraId="58480DC6" w14:textId="77777777" w:rsidTr="00F910B3">
        <w:trPr>
          <w:trHeight w:val="705"/>
        </w:trPr>
        <w:tc>
          <w:tcPr>
            <w:tcW w:w="1819" w:type="dxa"/>
          </w:tcPr>
          <w:p w14:paraId="43E7640F" w14:textId="77777777" w:rsidR="00212909" w:rsidRPr="00A11A5E" w:rsidRDefault="00212909" w:rsidP="001B18D5">
            <w:pPr>
              <w:rPr>
                <w:rFonts w:ascii="Times New Roman" w:hAnsi="Times New Roman" w:cs="Times New Roman"/>
                <w:sz w:val="28"/>
                <w:szCs w:val="28"/>
              </w:rPr>
            </w:pPr>
            <w:r w:rsidRPr="00A11A5E">
              <w:rPr>
                <w:rFonts w:ascii="Times New Roman" w:hAnsi="Times New Roman" w:cs="Times New Roman"/>
                <w:sz w:val="28"/>
                <w:szCs w:val="28"/>
              </w:rPr>
              <w:t>T</w:t>
            </w:r>
            <w:r>
              <w:rPr>
                <w:rFonts w:ascii="Times New Roman" w:hAnsi="Times New Roman" w:cs="Times New Roman"/>
                <w:sz w:val="28"/>
                <w:szCs w:val="28"/>
              </w:rPr>
              <w:t>6</w:t>
            </w:r>
          </w:p>
        </w:tc>
        <w:tc>
          <w:tcPr>
            <w:tcW w:w="1305" w:type="dxa"/>
            <w:vAlign w:val="center"/>
          </w:tcPr>
          <w:p w14:paraId="1EF67B74"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61.00</w:t>
            </w:r>
          </w:p>
        </w:tc>
        <w:tc>
          <w:tcPr>
            <w:tcW w:w="0" w:type="auto"/>
            <w:vAlign w:val="center"/>
          </w:tcPr>
          <w:p w14:paraId="70EAC91C"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88.36</w:t>
            </w:r>
          </w:p>
        </w:tc>
        <w:tc>
          <w:tcPr>
            <w:tcW w:w="1383" w:type="dxa"/>
            <w:vAlign w:val="center"/>
          </w:tcPr>
          <w:p w14:paraId="7A322B4F"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9.07</w:t>
            </w:r>
          </w:p>
        </w:tc>
        <w:tc>
          <w:tcPr>
            <w:tcW w:w="1095" w:type="dxa"/>
            <w:vAlign w:val="center"/>
          </w:tcPr>
          <w:p w14:paraId="71B46484"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7.11</w:t>
            </w:r>
          </w:p>
        </w:tc>
        <w:tc>
          <w:tcPr>
            <w:tcW w:w="1080" w:type="dxa"/>
            <w:vAlign w:val="center"/>
          </w:tcPr>
          <w:p w14:paraId="30810EAB"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10.93</w:t>
            </w:r>
          </w:p>
        </w:tc>
        <w:tc>
          <w:tcPr>
            <w:tcW w:w="1170" w:type="dxa"/>
            <w:vAlign w:val="center"/>
          </w:tcPr>
          <w:p w14:paraId="621C938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18.55</w:t>
            </w:r>
          </w:p>
        </w:tc>
        <w:tc>
          <w:tcPr>
            <w:tcW w:w="1440" w:type="dxa"/>
            <w:vAlign w:val="center"/>
          </w:tcPr>
          <w:p w14:paraId="7D559BD4"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10.75</w:t>
            </w:r>
          </w:p>
        </w:tc>
      </w:tr>
      <w:tr w:rsidR="00212909" w:rsidRPr="00A11A5E" w14:paraId="7146C334" w14:textId="77777777" w:rsidTr="00F910B3">
        <w:trPr>
          <w:trHeight w:val="564"/>
        </w:trPr>
        <w:tc>
          <w:tcPr>
            <w:tcW w:w="1819" w:type="dxa"/>
          </w:tcPr>
          <w:p w14:paraId="5F454536" w14:textId="77777777" w:rsidR="00212909" w:rsidRPr="00A11A5E" w:rsidRDefault="00212909" w:rsidP="001B18D5">
            <w:pPr>
              <w:rPr>
                <w:rFonts w:ascii="Times New Roman" w:hAnsi="Times New Roman" w:cs="Times New Roman"/>
                <w:sz w:val="28"/>
                <w:szCs w:val="28"/>
              </w:rPr>
            </w:pPr>
            <w:r w:rsidRPr="00A11A5E">
              <w:rPr>
                <w:rFonts w:ascii="Times New Roman" w:hAnsi="Times New Roman" w:cs="Times New Roman"/>
                <w:sz w:val="28"/>
                <w:szCs w:val="28"/>
              </w:rPr>
              <w:t>T</w:t>
            </w:r>
            <w:r>
              <w:rPr>
                <w:rFonts w:ascii="Times New Roman" w:hAnsi="Times New Roman" w:cs="Times New Roman"/>
                <w:sz w:val="28"/>
                <w:szCs w:val="28"/>
              </w:rPr>
              <w:t>7</w:t>
            </w:r>
          </w:p>
        </w:tc>
        <w:tc>
          <w:tcPr>
            <w:tcW w:w="1305" w:type="dxa"/>
            <w:vAlign w:val="center"/>
          </w:tcPr>
          <w:p w14:paraId="7F7D121D"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63.33</w:t>
            </w:r>
          </w:p>
        </w:tc>
        <w:tc>
          <w:tcPr>
            <w:tcW w:w="0" w:type="auto"/>
            <w:vAlign w:val="center"/>
          </w:tcPr>
          <w:p w14:paraId="7C2CD92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88.15</w:t>
            </w:r>
          </w:p>
        </w:tc>
        <w:tc>
          <w:tcPr>
            <w:tcW w:w="1383" w:type="dxa"/>
            <w:vAlign w:val="center"/>
          </w:tcPr>
          <w:p w14:paraId="5F934EF6"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8.52</w:t>
            </w:r>
          </w:p>
        </w:tc>
        <w:tc>
          <w:tcPr>
            <w:tcW w:w="1095" w:type="dxa"/>
            <w:vAlign w:val="center"/>
          </w:tcPr>
          <w:p w14:paraId="31490A36"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7.22</w:t>
            </w:r>
          </w:p>
        </w:tc>
        <w:tc>
          <w:tcPr>
            <w:tcW w:w="1080" w:type="dxa"/>
            <w:vAlign w:val="center"/>
          </w:tcPr>
          <w:p w14:paraId="5A19811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10.85</w:t>
            </w:r>
          </w:p>
        </w:tc>
        <w:tc>
          <w:tcPr>
            <w:tcW w:w="1170" w:type="dxa"/>
            <w:vAlign w:val="center"/>
          </w:tcPr>
          <w:p w14:paraId="1F7A80DD"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17.96</w:t>
            </w:r>
          </w:p>
        </w:tc>
        <w:tc>
          <w:tcPr>
            <w:tcW w:w="1440" w:type="dxa"/>
            <w:vAlign w:val="center"/>
          </w:tcPr>
          <w:p w14:paraId="39AE5D86"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10.33</w:t>
            </w:r>
          </w:p>
        </w:tc>
      </w:tr>
      <w:tr w:rsidR="00212909" w:rsidRPr="00A11A5E" w14:paraId="0E23DCA1" w14:textId="77777777" w:rsidTr="00F910B3">
        <w:trPr>
          <w:trHeight w:val="564"/>
        </w:trPr>
        <w:tc>
          <w:tcPr>
            <w:tcW w:w="1819" w:type="dxa"/>
          </w:tcPr>
          <w:p w14:paraId="42BBA6D0" w14:textId="77777777" w:rsidR="00212909" w:rsidRPr="00A11A5E" w:rsidRDefault="00212909" w:rsidP="001B18D5">
            <w:pPr>
              <w:rPr>
                <w:rFonts w:ascii="Times New Roman" w:hAnsi="Times New Roman" w:cs="Times New Roman"/>
                <w:sz w:val="28"/>
                <w:szCs w:val="28"/>
              </w:rPr>
            </w:pPr>
            <w:r>
              <w:rPr>
                <w:rFonts w:ascii="Times New Roman" w:hAnsi="Times New Roman" w:cs="Times New Roman"/>
                <w:sz w:val="28"/>
                <w:szCs w:val="28"/>
              </w:rPr>
              <w:t>Mean</w:t>
            </w:r>
          </w:p>
        </w:tc>
        <w:tc>
          <w:tcPr>
            <w:tcW w:w="1305" w:type="dxa"/>
            <w:vAlign w:val="bottom"/>
          </w:tcPr>
          <w:p w14:paraId="33FB5C65"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62.95</w:t>
            </w:r>
          </w:p>
        </w:tc>
        <w:tc>
          <w:tcPr>
            <w:tcW w:w="0" w:type="auto"/>
            <w:vAlign w:val="bottom"/>
          </w:tcPr>
          <w:p w14:paraId="4D145892"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85.71</w:t>
            </w:r>
          </w:p>
        </w:tc>
        <w:tc>
          <w:tcPr>
            <w:tcW w:w="1383" w:type="dxa"/>
            <w:vAlign w:val="bottom"/>
          </w:tcPr>
          <w:p w14:paraId="2096B6A0"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7.91</w:t>
            </w:r>
          </w:p>
        </w:tc>
        <w:tc>
          <w:tcPr>
            <w:tcW w:w="1095" w:type="dxa"/>
            <w:vAlign w:val="bottom"/>
          </w:tcPr>
          <w:p w14:paraId="50E8ECF1"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6.46</w:t>
            </w:r>
          </w:p>
        </w:tc>
        <w:tc>
          <w:tcPr>
            <w:tcW w:w="1080" w:type="dxa"/>
            <w:vAlign w:val="bottom"/>
          </w:tcPr>
          <w:p w14:paraId="12D6CB12"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10.31</w:t>
            </w:r>
          </w:p>
        </w:tc>
        <w:tc>
          <w:tcPr>
            <w:tcW w:w="1170" w:type="dxa"/>
            <w:vAlign w:val="bottom"/>
          </w:tcPr>
          <w:p w14:paraId="55392C22"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18.00</w:t>
            </w:r>
          </w:p>
        </w:tc>
        <w:tc>
          <w:tcPr>
            <w:tcW w:w="1440" w:type="dxa"/>
            <w:vAlign w:val="bottom"/>
          </w:tcPr>
          <w:p w14:paraId="0D5EEFD8" w14:textId="77777777" w:rsidR="00212909" w:rsidRPr="00486491" w:rsidRDefault="00212909" w:rsidP="00D23E2E">
            <w:pPr>
              <w:jc w:val="center"/>
              <w:rPr>
                <w:rFonts w:ascii="Times New Roman" w:hAnsi="Times New Roman" w:cs="Times New Roman"/>
                <w:b/>
                <w:color w:val="000000"/>
              </w:rPr>
            </w:pPr>
            <w:r>
              <w:rPr>
                <w:rFonts w:ascii="Times New Roman" w:hAnsi="Times New Roman" w:cs="Times New Roman"/>
                <w:b/>
                <w:color w:val="000000"/>
              </w:rPr>
              <w:t>10.11</w:t>
            </w:r>
          </w:p>
        </w:tc>
      </w:tr>
      <w:tr w:rsidR="00212909" w:rsidRPr="00A11A5E" w14:paraId="23B9F9DA" w14:textId="77777777" w:rsidTr="00F910B3">
        <w:trPr>
          <w:trHeight w:val="597"/>
        </w:trPr>
        <w:tc>
          <w:tcPr>
            <w:tcW w:w="1819" w:type="dxa"/>
            <w:vAlign w:val="bottom"/>
          </w:tcPr>
          <w:p w14:paraId="10D3D7F2" w14:textId="77777777" w:rsidR="00212909" w:rsidRPr="00486491" w:rsidRDefault="00212909" w:rsidP="00D23E2E">
            <w:pPr>
              <w:jc w:val="center"/>
              <w:rPr>
                <w:rFonts w:ascii="Times New Roman" w:hAnsi="Times New Roman" w:cs="Times New Roman"/>
                <w:b/>
                <w:color w:val="000000"/>
              </w:rPr>
            </w:pPr>
            <w:r w:rsidRPr="00486491">
              <w:rPr>
                <w:rFonts w:ascii="Times New Roman" w:hAnsi="Times New Roman" w:cs="Times New Roman"/>
                <w:b/>
                <w:color w:val="000000"/>
              </w:rPr>
              <w:t>SE(m) ±</w:t>
            </w:r>
          </w:p>
        </w:tc>
        <w:tc>
          <w:tcPr>
            <w:tcW w:w="1305" w:type="dxa"/>
            <w:vAlign w:val="center"/>
          </w:tcPr>
          <w:p w14:paraId="2A100F0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0.65</w:t>
            </w:r>
          </w:p>
        </w:tc>
        <w:tc>
          <w:tcPr>
            <w:tcW w:w="0" w:type="auto"/>
            <w:vAlign w:val="center"/>
          </w:tcPr>
          <w:p w14:paraId="451CFDD2"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0.69</w:t>
            </w:r>
          </w:p>
        </w:tc>
        <w:tc>
          <w:tcPr>
            <w:tcW w:w="1383" w:type="dxa"/>
            <w:vAlign w:val="center"/>
          </w:tcPr>
          <w:p w14:paraId="04423450"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0.15</w:t>
            </w:r>
          </w:p>
        </w:tc>
        <w:tc>
          <w:tcPr>
            <w:tcW w:w="1095" w:type="dxa"/>
            <w:vAlign w:val="center"/>
          </w:tcPr>
          <w:p w14:paraId="7ADD9E6D"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0.18</w:t>
            </w:r>
          </w:p>
        </w:tc>
        <w:tc>
          <w:tcPr>
            <w:tcW w:w="1080" w:type="dxa"/>
            <w:vAlign w:val="center"/>
          </w:tcPr>
          <w:p w14:paraId="2313B2BC"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0.30</w:t>
            </w:r>
          </w:p>
        </w:tc>
        <w:tc>
          <w:tcPr>
            <w:tcW w:w="1170" w:type="dxa"/>
            <w:vAlign w:val="center"/>
          </w:tcPr>
          <w:p w14:paraId="45BCA8F1"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0.48</w:t>
            </w:r>
          </w:p>
        </w:tc>
        <w:tc>
          <w:tcPr>
            <w:tcW w:w="1440" w:type="dxa"/>
            <w:vAlign w:val="center"/>
          </w:tcPr>
          <w:p w14:paraId="71AA0CCD"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0.23</w:t>
            </w:r>
          </w:p>
        </w:tc>
      </w:tr>
      <w:tr w:rsidR="00212909" w:rsidRPr="00A11A5E" w14:paraId="796D18BF" w14:textId="77777777" w:rsidTr="00F910B3">
        <w:trPr>
          <w:trHeight w:val="576"/>
        </w:trPr>
        <w:tc>
          <w:tcPr>
            <w:tcW w:w="1819" w:type="dxa"/>
            <w:vAlign w:val="bottom"/>
          </w:tcPr>
          <w:p w14:paraId="30B2F0E5" w14:textId="77777777" w:rsidR="00212909" w:rsidRPr="00486491" w:rsidRDefault="00212909" w:rsidP="00D23E2E">
            <w:pPr>
              <w:jc w:val="center"/>
              <w:rPr>
                <w:rFonts w:ascii="Times New Roman" w:hAnsi="Times New Roman" w:cs="Times New Roman"/>
                <w:b/>
                <w:color w:val="000000"/>
              </w:rPr>
            </w:pPr>
            <w:r w:rsidRPr="00486491">
              <w:rPr>
                <w:rFonts w:ascii="Times New Roman" w:hAnsi="Times New Roman" w:cs="Times New Roman"/>
                <w:b/>
                <w:color w:val="000000"/>
              </w:rPr>
              <w:t>SE(d) ±</w:t>
            </w:r>
          </w:p>
        </w:tc>
        <w:tc>
          <w:tcPr>
            <w:tcW w:w="1305" w:type="dxa"/>
            <w:vAlign w:val="center"/>
          </w:tcPr>
          <w:p w14:paraId="5BD04CB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0.92</w:t>
            </w:r>
          </w:p>
        </w:tc>
        <w:tc>
          <w:tcPr>
            <w:tcW w:w="0" w:type="auto"/>
            <w:vAlign w:val="center"/>
          </w:tcPr>
          <w:p w14:paraId="611C0C47"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0.97</w:t>
            </w:r>
          </w:p>
        </w:tc>
        <w:tc>
          <w:tcPr>
            <w:tcW w:w="1383" w:type="dxa"/>
            <w:vAlign w:val="center"/>
          </w:tcPr>
          <w:p w14:paraId="0C0FED0B"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0.22</w:t>
            </w:r>
          </w:p>
        </w:tc>
        <w:tc>
          <w:tcPr>
            <w:tcW w:w="1095" w:type="dxa"/>
            <w:vAlign w:val="center"/>
          </w:tcPr>
          <w:p w14:paraId="5A056C07"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0.25</w:t>
            </w:r>
          </w:p>
        </w:tc>
        <w:tc>
          <w:tcPr>
            <w:tcW w:w="1080" w:type="dxa"/>
            <w:vAlign w:val="center"/>
          </w:tcPr>
          <w:p w14:paraId="1D0E28C1"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0.43</w:t>
            </w:r>
          </w:p>
        </w:tc>
        <w:tc>
          <w:tcPr>
            <w:tcW w:w="1170" w:type="dxa"/>
            <w:vAlign w:val="center"/>
          </w:tcPr>
          <w:p w14:paraId="433E304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0.68</w:t>
            </w:r>
          </w:p>
        </w:tc>
        <w:tc>
          <w:tcPr>
            <w:tcW w:w="1440" w:type="dxa"/>
            <w:vAlign w:val="center"/>
          </w:tcPr>
          <w:p w14:paraId="43CF0E87"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0.32</w:t>
            </w:r>
          </w:p>
        </w:tc>
      </w:tr>
      <w:tr w:rsidR="00212909" w:rsidRPr="00A11A5E" w14:paraId="481DAFCA" w14:textId="77777777" w:rsidTr="00F910B3">
        <w:trPr>
          <w:trHeight w:val="597"/>
        </w:trPr>
        <w:tc>
          <w:tcPr>
            <w:tcW w:w="1819" w:type="dxa"/>
            <w:vAlign w:val="bottom"/>
          </w:tcPr>
          <w:p w14:paraId="695B5111" w14:textId="77777777" w:rsidR="00212909" w:rsidRPr="00486491" w:rsidRDefault="00212909" w:rsidP="00D23E2E">
            <w:pPr>
              <w:jc w:val="center"/>
              <w:rPr>
                <w:rFonts w:ascii="Times New Roman" w:hAnsi="Times New Roman" w:cs="Times New Roman"/>
                <w:b/>
                <w:color w:val="000000"/>
              </w:rPr>
            </w:pPr>
            <w:r w:rsidRPr="00486491">
              <w:rPr>
                <w:rFonts w:ascii="Times New Roman" w:hAnsi="Times New Roman" w:cs="Times New Roman"/>
                <w:b/>
                <w:color w:val="000000"/>
              </w:rPr>
              <w:t>C.D. at 5%</w:t>
            </w:r>
          </w:p>
        </w:tc>
        <w:tc>
          <w:tcPr>
            <w:tcW w:w="1305" w:type="dxa"/>
            <w:vAlign w:val="center"/>
          </w:tcPr>
          <w:p w14:paraId="6F41F8C7"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2.03</w:t>
            </w:r>
          </w:p>
        </w:tc>
        <w:tc>
          <w:tcPr>
            <w:tcW w:w="0" w:type="auto"/>
            <w:vAlign w:val="center"/>
          </w:tcPr>
          <w:p w14:paraId="50F1D0F2"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2.14</w:t>
            </w:r>
          </w:p>
        </w:tc>
        <w:tc>
          <w:tcPr>
            <w:tcW w:w="1383" w:type="dxa"/>
            <w:vAlign w:val="center"/>
          </w:tcPr>
          <w:p w14:paraId="67E9A80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0.47</w:t>
            </w:r>
          </w:p>
        </w:tc>
        <w:tc>
          <w:tcPr>
            <w:tcW w:w="1095" w:type="dxa"/>
            <w:vAlign w:val="center"/>
          </w:tcPr>
          <w:p w14:paraId="09E1209E"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0.55</w:t>
            </w:r>
          </w:p>
        </w:tc>
        <w:tc>
          <w:tcPr>
            <w:tcW w:w="1080" w:type="dxa"/>
            <w:vAlign w:val="center"/>
          </w:tcPr>
          <w:p w14:paraId="1CAD06B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0.95</w:t>
            </w:r>
          </w:p>
        </w:tc>
        <w:tc>
          <w:tcPr>
            <w:tcW w:w="1170" w:type="dxa"/>
            <w:vAlign w:val="center"/>
          </w:tcPr>
          <w:p w14:paraId="34E798F6"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1.50</w:t>
            </w:r>
          </w:p>
        </w:tc>
        <w:tc>
          <w:tcPr>
            <w:tcW w:w="1440" w:type="dxa"/>
            <w:vAlign w:val="center"/>
          </w:tcPr>
          <w:p w14:paraId="33E3E039"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0.71</w:t>
            </w:r>
          </w:p>
        </w:tc>
      </w:tr>
      <w:tr w:rsidR="00212909" w:rsidRPr="00A11A5E" w14:paraId="1A9147A0" w14:textId="77777777" w:rsidTr="00F910B3">
        <w:trPr>
          <w:trHeight w:val="597"/>
        </w:trPr>
        <w:tc>
          <w:tcPr>
            <w:tcW w:w="1819" w:type="dxa"/>
            <w:vAlign w:val="bottom"/>
          </w:tcPr>
          <w:p w14:paraId="35EDC45B" w14:textId="77777777" w:rsidR="00212909" w:rsidRPr="00486491" w:rsidRDefault="00212909" w:rsidP="00D23E2E">
            <w:pPr>
              <w:jc w:val="center"/>
              <w:rPr>
                <w:rFonts w:ascii="Times New Roman" w:hAnsi="Times New Roman" w:cs="Times New Roman"/>
                <w:b/>
                <w:color w:val="000000"/>
              </w:rPr>
            </w:pPr>
            <w:r w:rsidRPr="00486491">
              <w:rPr>
                <w:rFonts w:ascii="Times New Roman" w:hAnsi="Times New Roman" w:cs="Times New Roman"/>
                <w:b/>
                <w:color w:val="000000"/>
              </w:rPr>
              <w:t>C.V. (%)</w:t>
            </w:r>
          </w:p>
        </w:tc>
        <w:tc>
          <w:tcPr>
            <w:tcW w:w="1305" w:type="dxa"/>
            <w:vAlign w:val="center"/>
          </w:tcPr>
          <w:p w14:paraId="7D92A714"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1.79</w:t>
            </w:r>
          </w:p>
        </w:tc>
        <w:tc>
          <w:tcPr>
            <w:tcW w:w="0" w:type="auto"/>
            <w:vAlign w:val="center"/>
          </w:tcPr>
          <w:p w14:paraId="7E20AA2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1.39</w:t>
            </w:r>
          </w:p>
        </w:tc>
        <w:tc>
          <w:tcPr>
            <w:tcW w:w="1383" w:type="dxa"/>
            <w:vAlign w:val="center"/>
          </w:tcPr>
          <w:p w14:paraId="462D0FDC"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3.34</w:t>
            </w:r>
          </w:p>
        </w:tc>
        <w:tc>
          <w:tcPr>
            <w:tcW w:w="1095" w:type="dxa"/>
            <w:vAlign w:val="center"/>
          </w:tcPr>
          <w:p w14:paraId="49C6357A"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4.73</w:t>
            </w:r>
          </w:p>
        </w:tc>
        <w:tc>
          <w:tcPr>
            <w:tcW w:w="1080" w:type="dxa"/>
            <w:vAlign w:val="center"/>
          </w:tcPr>
          <w:p w14:paraId="53FE58E5"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5.10</w:t>
            </w:r>
          </w:p>
        </w:tc>
        <w:tc>
          <w:tcPr>
            <w:tcW w:w="1170" w:type="dxa"/>
            <w:vAlign w:val="center"/>
          </w:tcPr>
          <w:p w14:paraId="5FA51F48"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4.64</w:t>
            </w:r>
          </w:p>
        </w:tc>
        <w:tc>
          <w:tcPr>
            <w:tcW w:w="1440" w:type="dxa"/>
            <w:vAlign w:val="center"/>
          </w:tcPr>
          <w:p w14:paraId="5CAE020B" w14:textId="77777777" w:rsidR="00212909" w:rsidRPr="00486491" w:rsidRDefault="00212909" w:rsidP="00D23E2E">
            <w:pPr>
              <w:jc w:val="center"/>
              <w:rPr>
                <w:rFonts w:ascii="Times New Roman" w:hAnsi="Times New Roman" w:cs="Times New Roman"/>
                <w:color w:val="000000"/>
              </w:rPr>
            </w:pPr>
            <w:r w:rsidRPr="00486491">
              <w:rPr>
                <w:rFonts w:ascii="Times New Roman" w:hAnsi="Times New Roman" w:cs="Times New Roman"/>
                <w:color w:val="000000"/>
              </w:rPr>
              <w:t>3.93</w:t>
            </w:r>
          </w:p>
        </w:tc>
      </w:tr>
    </w:tbl>
    <w:p w14:paraId="5275809E" w14:textId="77777777" w:rsidR="008210BC" w:rsidRDefault="001B18D5" w:rsidP="008210BC">
      <w:pPr>
        <w:pStyle w:val="Default"/>
        <w:jc w:val="both"/>
        <w:rPr>
          <w:sz w:val="26"/>
          <w:szCs w:val="26"/>
        </w:rPr>
      </w:pPr>
      <w:r>
        <w:rPr>
          <w:sz w:val="28"/>
          <w:szCs w:val="28"/>
        </w:rPr>
        <w:t>T1-</w:t>
      </w:r>
      <w:r w:rsidRPr="001B18D5">
        <w:t xml:space="preserve"> </w:t>
      </w:r>
      <w:r>
        <w:t xml:space="preserve">Control, T2- </w:t>
      </w:r>
      <w:r>
        <w:rPr>
          <w:sz w:val="26"/>
          <w:szCs w:val="26"/>
        </w:rPr>
        <w:t>Hydro-priming- Soaking in water for 8 h at 25</w:t>
      </w:r>
      <w:r>
        <w:rPr>
          <w:sz w:val="17"/>
          <w:szCs w:val="17"/>
        </w:rPr>
        <w:t>0</w:t>
      </w:r>
      <w:r>
        <w:rPr>
          <w:sz w:val="26"/>
          <w:szCs w:val="26"/>
        </w:rPr>
        <w:t>C and air drying at 25</w:t>
      </w:r>
      <w:r>
        <w:rPr>
          <w:sz w:val="17"/>
          <w:szCs w:val="17"/>
        </w:rPr>
        <w:t>0</w:t>
      </w:r>
      <w:r>
        <w:rPr>
          <w:sz w:val="26"/>
          <w:szCs w:val="26"/>
        </w:rPr>
        <w:t xml:space="preserve">C for 48 h, T3- Halo-priming- Soaking in KCL (@0.5%) solution and </w:t>
      </w:r>
      <w:proofErr w:type="gramStart"/>
      <w:r>
        <w:rPr>
          <w:sz w:val="26"/>
          <w:szCs w:val="26"/>
        </w:rPr>
        <w:t>drying,T</w:t>
      </w:r>
      <w:proofErr w:type="gramEnd"/>
      <w:r>
        <w:rPr>
          <w:sz w:val="26"/>
          <w:szCs w:val="26"/>
        </w:rPr>
        <w:t xml:space="preserve">4- Halo priming- Soaking in MgSo4(@0.3%) solution and </w:t>
      </w:r>
      <w:proofErr w:type="gramStart"/>
      <w:r>
        <w:rPr>
          <w:sz w:val="26"/>
          <w:szCs w:val="26"/>
        </w:rPr>
        <w:t>drying</w:t>
      </w:r>
      <w:r w:rsidR="008210BC">
        <w:rPr>
          <w:sz w:val="26"/>
          <w:szCs w:val="26"/>
        </w:rPr>
        <w:t>,</w:t>
      </w:r>
      <w:r>
        <w:rPr>
          <w:sz w:val="26"/>
          <w:szCs w:val="26"/>
        </w:rPr>
        <w:t xml:space="preserve"> </w:t>
      </w:r>
      <w:r w:rsidR="008210BC">
        <w:rPr>
          <w:sz w:val="26"/>
          <w:szCs w:val="26"/>
        </w:rPr>
        <w:t xml:space="preserve"> T</w:t>
      </w:r>
      <w:proofErr w:type="gramEnd"/>
      <w:r w:rsidR="008210BC">
        <w:rPr>
          <w:sz w:val="26"/>
          <w:szCs w:val="26"/>
        </w:rPr>
        <w:t xml:space="preserve">5- Halo priming- Soaking in KNO3(@0.5%) solution and </w:t>
      </w:r>
      <w:proofErr w:type="gramStart"/>
      <w:r w:rsidR="008210BC">
        <w:rPr>
          <w:sz w:val="26"/>
          <w:szCs w:val="26"/>
        </w:rPr>
        <w:t>drying ,T</w:t>
      </w:r>
      <w:proofErr w:type="gramEnd"/>
      <w:r w:rsidR="008210BC">
        <w:rPr>
          <w:sz w:val="26"/>
          <w:szCs w:val="26"/>
        </w:rPr>
        <w:t xml:space="preserve">6- Halo priming- Soaking in ZnSo4(@0.3%) solution and </w:t>
      </w:r>
      <w:proofErr w:type="gramStart"/>
      <w:r w:rsidR="008210BC">
        <w:rPr>
          <w:sz w:val="26"/>
          <w:szCs w:val="26"/>
        </w:rPr>
        <w:t>drying,  T</w:t>
      </w:r>
      <w:proofErr w:type="gramEnd"/>
      <w:r w:rsidR="008210BC">
        <w:rPr>
          <w:sz w:val="26"/>
          <w:szCs w:val="26"/>
        </w:rPr>
        <w:t xml:space="preserve">7- Halo priming-Soaking in KOH (@0.5%) solution and drying </w:t>
      </w:r>
    </w:p>
    <w:p w14:paraId="00D40FC9" w14:textId="77777777" w:rsidR="008210BC" w:rsidRDefault="008210BC" w:rsidP="008210BC">
      <w:pPr>
        <w:pStyle w:val="Default"/>
        <w:jc w:val="both"/>
        <w:rPr>
          <w:sz w:val="26"/>
          <w:szCs w:val="26"/>
        </w:rPr>
      </w:pPr>
    </w:p>
    <w:p w14:paraId="626E3216" w14:textId="77777777" w:rsidR="008210BC" w:rsidRDefault="008210BC" w:rsidP="008210BC">
      <w:pPr>
        <w:pStyle w:val="Default"/>
        <w:rPr>
          <w:sz w:val="26"/>
          <w:szCs w:val="26"/>
        </w:rPr>
      </w:pPr>
    </w:p>
    <w:p w14:paraId="38846C4E" w14:textId="77777777" w:rsidR="001B18D5" w:rsidRDefault="001B18D5" w:rsidP="001B18D5">
      <w:pPr>
        <w:pStyle w:val="Default"/>
        <w:rPr>
          <w:sz w:val="26"/>
          <w:szCs w:val="26"/>
        </w:rPr>
      </w:pPr>
    </w:p>
    <w:p w14:paraId="4B3BCA5F" w14:textId="77777777" w:rsidR="001B18D5" w:rsidRDefault="001B18D5" w:rsidP="001B18D5">
      <w:pPr>
        <w:pStyle w:val="Default"/>
        <w:rPr>
          <w:sz w:val="26"/>
          <w:szCs w:val="26"/>
        </w:rPr>
      </w:pPr>
    </w:p>
    <w:p w14:paraId="4FCF76C7" w14:textId="77777777" w:rsidR="001B18D5" w:rsidRDefault="001B18D5" w:rsidP="001B18D5">
      <w:pPr>
        <w:pStyle w:val="Default"/>
        <w:rPr>
          <w:sz w:val="26"/>
          <w:szCs w:val="26"/>
        </w:rPr>
      </w:pPr>
    </w:p>
    <w:p w14:paraId="650C8915" w14:textId="77777777" w:rsidR="003B63DC" w:rsidRPr="00A11A5E" w:rsidRDefault="003B63DC" w:rsidP="00571340">
      <w:pPr>
        <w:pStyle w:val="Default"/>
        <w:rPr>
          <w:sz w:val="28"/>
          <w:szCs w:val="28"/>
        </w:rPr>
      </w:pPr>
    </w:p>
    <w:p w14:paraId="2CF3CDD6" w14:textId="77777777" w:rsidR="00ED593C" w:rsidRPr="007C040D" w:rsidRDefault="00ED593C" w:rsidP="00ED593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7C040D">
        <w:rPr>
          <w:rFonts w:ascii="Times New Roman" w:eastAsia="Times New Roman" w:hAnsi="Times New Roman" w:cs="Times New Roman"/>
          <w:b/>
          <w:bCs/>
          <w:sz w:val="36"/>
          <w:szCs w:val="36"/>
          <w:lang w:val="en-IN" w:eastAsia="en-IN"/>
        </w:rPr>
        <w:t>Conclusions</w:t>
      </w:r>
    </w:p>
    <w:p w14:paraId="202C511A" w14:textId="77777777" w:rsidR="00ED593C" w:rsidRPr="007C040D" w:rsidRDefault="00ED593C" w:rsidP="00ED593C">
      <w:pPr>
        <w:spacing w:before="100" w:beforeAutospacing="1" w:after="100" w:afterAutospacing="1" w:line="240" w:lineRule="auto"/>
        <w:rPr>
          <w:rFonts w:ascii="Times New Roman" w:eastAsia="Times New Roman" w:hAnsi="Times New Roman" w:cs="Times New Roman"/>
          <w:lang w:val="en-IN" w:eastAsia="en-IN"/>
        </w:rPr>
      </w:pPr>
      <w:r w:rsidRPr="007C040D">
        <w:rPr>
          <w:rFonts w:ascii="Times New Roman" w:eastAsia="Times New Roman" w:hAnsi="Times New Roman" w:cs="Times New Roman"/>
          <w:lang w:val="en-IN" w:eastAsia="en-IN"/>
        </w:rPr>
        <w:t xml:space="preserve">The study showed that seed priming influenced growth and yield-related traits of wheat under the semi-arid conditions of Bundelkhand. Among the evaluated treatments, KNO₃ priming produced the most favourable response, recording earlier flowering and higher values for plant height, tillers per plant, spikes per plant, spike length, seeds per spike, and seed yield per plant. </w:t>
      </w:r>
      <w:proofErr w:type="spellStart"/>
      <w:r w:rsidRPr="007C040D">
        <w:rPr>
          <w:rFonts w:ascii="Times New Roman" w:eastAsia="Times New Roman" w:hAnsi="Times New Roman" w:cs="Times New Roman"/>
          <w:lang w:val="en-IN" w:eastAsia="en-IN"/>
        </w:rPr>
        <w:t>ZnSO</w:t>
      </w:r>
      <w:proofErr w:type="spellEnd"/>
      <w:r w:rsidRPr="007C040D">
        <w:rPr>
          <w:rFonts w:ascii="Times New Roman" w:eastAsia="Times New Roman" w:hAnsi="Times New Roman" w:cs="Times New Roman"/>
          <w:lang w:val="en-IN" w:eastAsia="en-IN"/>
        </w:rPr>
        <w:t>₄ priming also performed well and remained close to KNO₃ for several yield-contributing characters. These improvements may be associated with better early seed activation, improved nutrient availability, and enhanced physiological performance after priming. The findings suggest that seed priming can be a useful pre-sowing technique for improving wheat crop establishment and productivity in the study region. However, the treatment concentration and field-level recommendations should be confirmed through further trials before large-scale adoption. Based on the present results, KNO₃ priming appears to be the most promising treatment for improving growth and yield attributes of wheat under Bundelkhand conditions.</w:t>
      </w:r>
    </w:p>
    <w:p w14:paraId="5F301B6D" w14:textId="77777777" w:rsidR="00ED593C" w:rsidRPr="007C040D" w:rsidRDefault="00ED593C" w:rsidP="00ED593C">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7C040D">
        <w:rPr>
          <w:rFonts w:ascii="Times New Roman" w:eastAsia="Times New Roman" w:hAnsi="Times New Roman" w:cs="Times New Roman"/>
          <w:b/>
          <w:bCs/>
          <w:sz w:val="36"/>
          <w:szCs w:val="36"/>
          <w:lang w:val="en-IN" w:eastAsia="en-IN"/>
        </w:rPr>
        <w:t>Limitation</w:t>
      </w:r>
    </w:p>
    <w:p w14:paraId="5398FB4A" w14:textId="77777777" w:rsidR="00ED593C" w:rsidRPr="007C040D" w:rsidRDefault="00ED593C" w:rsidP="00ED593C">
      <w:pPr>
        <w:spacing w:before="100" w:beforeAutospacing="1" w:after="100" w:afterAutospacing="1" w:line="240" w:lineRule="auto"/>
        <w:rPr>
          <w:rFonts w:ascii="Times New Roman" w:eastAsia="Times New Roman" w:hAnsi="Times New Roman" w:cs="Times New Roman"/>
          <w:lang w:val="en-IN" w:eastAsia="en-IN"/>
        </w:rPr>
      </w:pPr>
      <w:r w:rsidRPr="007C040D">
        <w:rPr>
          <w:rFonts w:ascii="Times New Roman" w:eastAsia="Times New Roman" w:hAnsi="Times New Roman" w:cs="Times New Roman"/>
          <w:lang w:val="en-IN" w:eastAsia="en-IN"/>
        </w:rPr>
        <w:t>The study was conducted during a single Rabi season and at one experimental location, which limits the wider applicability of the findings. The experiment evaluated selected priming treatments only, and the results may vary under different soil, weather, irrigation, and management conditions. Although the manuscript refers to seed quality, detailed seed-quality parameters such as germination percentage, seedling vigour, and seedling dry weight were not adequately presented. Further multi-location and multi-season trials with clearly standardized treatment concentrations are required before making firm recommendations for farmers.</w:t>
      </w:r>
    </w:p>
    <w:p w14:paraId="2EED25CB" w14:textId="77777777" w:rsidR="00ED593C" w:rsidRPr="000839CE" w:rsidRDefault="00ED593C" w:rsidP="00ED593C">
      <w:pPr>
        <w:spacing w:line="240" w:lineRule="auto"/>
        <w:rPr>
          <w:rFonts w:ascii="Times New Roman" w:hAnsi="Times New Roman" w:cs="Times New Roman"/>
          <w:b/>
        </w:rPr>
      </w:pPr>
      <w:bookmarkStart w:id="0" w:name="_Hlk232755622"/>
      <w:r w:rsidRPr="000839CE">
        <w:rPr>
          <w:rFonts w:ascii="Times New Roman" w:hAnsi="Times New Roman" w:cs="Times New Roman"/>
          <w:b/>
        </w:rPr>
        <w:t>Declaration of AI Use</w:t>
      </w:r>
    </w:p>
    <w:p w14:paraId="5ACFA367" w14:textId="77777777" w:rsidR="00ED593C" w:rsidRPr="000839CE" w:rsidRDefault="00ED593C" w:rsidP="00ED593C">
      <w:pPr>
        <w:spacing w:line="240" w:lineRule="auto"/>
        <w:rPr>
          <w:rFonts w:ascii="Times New Roman" w:hAnsi="Times New Roman" w:cs="Times New Roman"/>
        </w:rPr>
      </w:pPr>
    </w:p>
    <w:p w14:paraId="6ABC8B45" w14:textId="77777777" w:rsidR="00ED593C" w:rsidRPr="000839CE" w:rsidRDefault="00ED593C" w:rsidP="00ED593C">
      <w:pPr>
        <w:spacing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5E37C2A3" w14:textId="77777777" w:rsidR="00ED593C" w:rsidRDefault="00ED593C" w:rsidP="00CA4574">
      <w:pPr>
        <w:jc w:val="both"/>
        <w:rPr>
          <w:rFonts w:ascii="Times New Roman" w:hAnsi="Times New Roman" w:cs="Times New Roman"/>
          <w:b/>
          <w:bCs/>
          <w:sz w:val="28"/>
          <w:szCs w:val="28"/>
        </w:rPr>
      </w:pPr>
    </w:p>
    <w:p w14:paraId="1C32C8A0" w14:textId="77777777" w:rsidR="00702DC7" w:rsidRPr="00A11A5E" w:rsidRDefault="00CA4574" w:rsidP="00CA4574">
      <w:pPr>
        <w:jc w:val="both"/>
        <w:rPr>
          <w:rFonts w:ascii="Times New Roman" w:hAnsi="Times New Roman" w:cs="Times New Roman"/>
          <w:b/>
          <w:bCs/>
          <w:sz w:val="28"/>
          <w:szCs w:val="28"/>
        </w:rPr>
      </w:pPr>
      <w:r w:rsidRPr="00A11A5E">
        <w:rPr>
          <w:rFonts w:ascii="Times New Roman" w:hAnsi="Times New Roman" w:cs="Times New Roman"/>
          <w:b/>
          <w:bCs/>
          <w:sz w:val="28"/>
          <w:szCs w:val="28"/>
        </w:rPr>
        <w:t>REFERENCES</w:t>
      </w:r>
    </w:p>
    <w:p w14:paraId="63475AB2" w14:textId="77777777" w:rsidR="00F05BA8"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lastRenderedPageBreak/>
        <w:t xml:space="preserve">Anonymous. (2024). </w:t>
      </w:r>
      <w:r w:rsidRPr="00A11A5E">
        <w:rPr>
          <w:rFonts w:ascii="Times New Roman" w:hAnsi="Times New Roman" w:cs="Times New Roman"/>
          <w:i/>
          <w:iCs/>
          <w:sz w:val="28"/>
          <w:szCs w:val="28"/>
        </w:rPr>
        <w:t>Agricultural Statistics at a Glance 2024.</w:t>
      </w:r>
      <w:r w:rsidRPr="00A11A5E">
        <w:rPr>
          <w:rFonts w:ascii="Times New Roman" w:hAnsi="Times New Roman" w:cs="Times New Roman"/>
          <w:sz w:val="28"/>
          <w:szCs w:val="28"/>
        </w:rPr>
        <w:t xml:space="preserve"> Directorate of Economics and Statistics, Ministry of Agriculture and Farmers Welfare, Government of India, New Delhi.</w:t>
      </w:r>
    </w:p>
    <w:p w14:paraId="436F3DD3" w14:textId="77777777" w:rsidR="000B13C2" w:rsidRPr="00A11A5E" w:rsidRDefault="000B13C2" w:rsidP="00D62AD3">
      <w:pPr>
        <w:pStyle w:val="NormalWeb"/>
        <w:ind w:left="720" w:hanging="720"/>
        <w:jc w:val="both"/>
        <w:rPr>
          <w:sz w:val="28"/>
          <w:szCs w:val="28"/>
        </w:rPr>
      </w:pPr>
      <w:r w:rsidRPr="00A11A5E">
        <w:rPr>
          <w:rStyle w:val="whitespace-normal"/>
          <w:sz w:val="28"/>
          <w:szCs w:val="28"/>
        </w:rPr>
        <w:t>Ashraf, Muhammad</w:t>
      </w:r>
      <w:r w:rsidRPr="00A11A5E">
        <w:rPr>
          <w:sz w:val="28"/>
          <w:szCs w:val="28"/>
        </w:rPr>
        <w:t xml:space="preserve">, &amp; </w:t>
      </w:r>
      <w:proofErr w:type="spellStart"/>
      <w:r w:rsidRPr="00A11A5E">
        <w:rPr>
          <w:rStyle w:val="whitespace-normal"/>
          <w:sz w:val="28"/>
          <w:szCs w:val="28"/>
        </w:rPr>
        <w:t>Foolad</w:t>
      </w:r>
      <w:proofErr w:type="spellEnd"/>
      <w:r w:rsidRPr="00A11A5E">
        <w:rPr>
          <w:rStyle w:val="whitespace-normal"/>
          <w:sz w:val="28"/>
          <w:szCs w:val="28"/>
        </w:rPr>
        <w:t>, Majid R.</w:t>
      </w:r>
      <w:r w:rsidRPr="00A11A5E">
        <w:rPr>
          <w:sz w:val="28"/>
          <w:szCs w:val="28"/>
        </w:rPr>
        <w:t xml:space="preserve"> (2005). </w:t>
      </w:r>
      <w:r w:rsidRPr="00A11A5E">
        <w:rPr>
          <w:rStyle w:val="Emphasis"/>
          <w:sz w:val="28"/>
          <w:szCs w:val="28"/>
        </w:rPr>
        <w:t>Pre-sowing seed treatment—A shotgun approach to improve germination, plant growth, and crop yield under saline and non-saline conditions</w:t>
      </w:r>
      <w:r w:rsidRPr="00A11A5E">
        <w:rPr>
          <w:sz w:val="28"/>
          <w:szCs w:val="28"/>
        </w:rPr>
        <w:t xml:space="preserve">. </w:t>
      </w:r>
      <w:r w:rsidRPr="000B13C2">
        <w:rPr>
          <w:rStyle w:val="Strong"/>
          <w:b w:val="0"/>
          <w:sz w:val="28"/>
          <w:szCs w:val="28"/>
        </w:rPr>
        <w:t>Advances in Agronomy, 88</w:t>
      </w:r>
      <w:r w:rsidRPr="000B13C2">
        <w:rPr>
          <w:b/>
          <w:sz w:val="28"/>
          <w:szCs w:val="28"/>
        </w:rPr>
        <w:t>, 223–271</w:t>
      </w:r>
    </w:p>
    <w:p w14:paraId="1DA3955B"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Das, A., Kumar, P., Singh, R., &amp; Patel, T. (2025). Effect of KH</w:t>
      </w:r>
      <w:r w:rsidR="008F2340">
        <w:rPr>
          <w:rFonts w:ascii="Times New Roman" w:hAnsi="Times New Roman" w:cs="Times New Roman"/>
          <w:sz w:val="28"/>
          <w:szCs w:val="28"/>
        </w:rPr>
        <w:t>3PO4</w:t>
      </w:r>
      <w:r w:rsidRPr="00A11A5E">
        <w:rPr>
          <w:rFonts w:ascii="Times New Roman" w:hAnsi="Times New Roman" w:cs="Times New Roman"/>
          <w:sz w:val="28"/>
          <w:szCs w:val="28"/>
        </w:rPr>
        <w:t xml:space="preserve"> seed priming on yield components and oil content in Indian mustard under semi-arid conditions. </w:t>
      </w:r>
      <w:r w:rsidRPr="00A11A5E">
        <w:rPr>
          <w:rFonts w:ascii="Times New Roman" w:hAnsi="Times New Roman" w:cs="Times New Roman"/>
          <w:i/>
          <w:iCs/>
          <w:sz w:val="28"/>
          <w:szCs w:val="28"/>
        </w:rPr>
        <w:t>Journal of Oilseed Research</w:t>
      </w:r>
      <w:r w:rsidRPr="00A11A5E">
        <w:rPr>
          <w:rFonts w:ascii="Times New Roman" w:hAnsi="Times New Roman" w:cs="Times New Roman"/>
          <w:sz w:val="28"/>
          <w:szCs w:val="28"/>
        </w:rPr>
        <w:t>, 42(1), 405–413.</w:t>
      </w:r>
    </w:p>
    <w:p w14:paraId="27A58566" w14:textId="77777777" w:rsidR="00F05BA8"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Dwivedi, S., Sharma, A., &amp; Kumar, R. (2017). Role of magnesium in crop growth and yield: A review. </w:t>
      </w:r>
      <w:r w:rsidRPr="00A11A5E">
        <w:rPr>
          <w:rFonts w:ascii="Times New Roman" w:hAnsi="Times New Roman" w:cs="Times New Roman"/>
          <w:i/>
          <w:iCs/>
          <w:sz w:val="28"/>
          <w:szCs w:val="28"/>
        </w:rPr>
        <w:t>International Journal of Current Microbiology and Applied Sciences, 6</w:t>
      </w:r>
      <w:r w:rsidRPr="00A11A5E">
        <w:rPr>
          <w:rFonts w:ascii="Times New Roman" w:hAnsi="Times New Roman" w:cs="Times New Roman"/>
          <w:sz w:val="28"/>
          <w:szCs w:val="28"/>
        </w:rPr>
        <w:t>(7), 1003-1012.</w:t>
      </w:r>
    </w:p>
    <w:p w14:paraId="13FB5C85" w14:textId="77777777" w:rsidR="00A11A5E" w:rsidRPr="00A11A5E" w:rsidRDefault="00A11A5E" w:rsidP="00557797">
      <w:pPr>
        <w:ind w:left="720" w:hanging="720"/>
        <w:jc w:val="both"/>
        <w:rPr>
          <w:rFonts w:ascii="Times New Roman" w:hAnsi="Times New Roman" w:cs="Times New Roman"/>
          <w:sz w:val="28"/>
          <w:szCs w:val="28"/>
        </w:rPr>
      </w:pPr>
      <w:r w:rsidRPr="00A11A5E">
        <w:rPr>
          <w:rStyle w:val="whitespace-normal"/>
          <w:rFonts w:ascii="Times New Roman" w:hAnsi="Times New Roman" w:cs="Times New Roman"/>
          <w:sz w:val="28"/>
          <w:szCs w:val="28"/>
        </w:rPr>
        <w:t>Farooq, Muhammad</w:t>
      </w:r>
      <w:r w:rsidRPr="00A11A5E">
        <w:rPr>
          <w:rFonts w:ascii="Times New Roman" w:hAnsi="Times New Roman" w:cs="Times New Roman"/>
          <w:sz w:val="28"/>
          <w:szCs w:val="28"/>
        </w:rPr>
        <w:t xml:space="preserve">, Basra, S. M. A., &amp; Hafeez, K. (2006). </w:t>
      </w:r>
      <w:r w:rsidRPr="000B13C2">
        <w:rPr>
          <w:rStyle w:val="Strong"/>
          <w:rFonts w:ascii="Times New Roman" w:hAnsi="Times New Roman" w:cs="Times New Roman"/>
          <w:b w:val="0"/>
          <w:sz w:val="28"/>
          <w:szCs w:val="28"/>
        </w:rPr>
        <w:t xml:space="preserve">Seed invigoration by </w:t>
      </w:r>
      <w:proofErr w:type="spellStart"/>
      <w:r w:rsidRPr="000B13C2">
        <w:rPr>
          <w:rStyle w:val="Strong"/>
          <w:rFonts w:ascii="Times New Roman" w:hAnsi="Times New Roman" w:cs="Times New Roman"/>
          <w:b w:val="0"/>
          <w:sz w:val="28"/>
          <w:szCs w:val="28"/>
        </w:rPr>
        <w:t>osmohardening</w:t>
      </w:r>
      <w:proofErr w:type="spellEnd"/>
      <w:r w:rsidRPr="000B13C2">
        <w:rPr>
          <w:rStyle w:val="Strong"/>
          <w:rFonts w:ascii="Times New Roman" w:hAnsi="Times New Roman" w:cs="Times New Roman"/>
          <w:b w:val="0"/>
          <w:sz w:val="28"/>
          <w:szCs w:val="28"/>
        </w:rPr>
        <w:t xml:space="preserve"> in coarse and fine rice.</w:t>
      </w:r>
      <w:r w:rsidRPr="00A11A5E">
        <w:rPr>
          <w:rFonts w:ascii="Times New Roman" w:hAnsi="Times New Roman" w:cs="Times New Roman"/>
          <w:sz w:val="28"/>
          <w:szCs w:val="28"/>
        </w:rPr>
        <w:t xml:space="preserve"> </w:t>
      </w:r>
      <w:r w:rsidRPr="00A11A5E">
        <w:rPr>
          <w:rStyle w:val="Emphasis"/>
          <w:rFonts w:ascii="Times New Roman" w:hAnsi="Times New Roman" w:cs="Times New Roman"/>
          <w:sz w:val="28"/>
          <w:szCs w:val="28"/>
        </w:rPr>
        <w:t>Seed Science and Technology, 34</w:t>
      </w:r>
      <w:r w:rsidRPr="00A11A5E">
        <w:rPr>
          <w:rFonts w:ascii="Times New Roman" w:hAnsi="Times New Roman" w:cs="Times New Roman"/>
          <w:sz w:val="28"/>
          <w:szCs w:val="28"/>
        </w:rPr>
        <w:t>(1), 181–187.</w:t>
      </w:r>
    </w:p>
    <w:p w14:paraId="2D191237"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Farooq, M., Usman, M., Nadeem, F., Rehman, H., Wahid, A., &amp; Siddique, K. H. M. (2019). Seed priming in field crops: Potential benefits, adoption and challenges. </w:t>
      </w:r>
      <w:r w:rsidRPr="00A11A5E">
        <w:rPr>
          <w:rFonts w:ascii="Times New Roman" w:hAnsi="Times New Roman" w:cs="Times New Roman"/>
          <w:i/>
          <w:iCs/>
          <w:sz w:val="28"/>
          <w:szCs w:val="28"/>
        </w:rPr>
        <w:t>Crop and Pasture Science, 70</w:t>
      </w:r>
      <w:r w:rsidRPr="00A11A5E">
        <w:rPr>
          <w:rFonts w:ascii="Times New Roman" w:hAnsi="Times New Roman" w:cs="Times New Roman"/>
          <w:sz w:val="28"/>
          <w:szCs w:val="28"/>
        </w:rPr>
        <w:t>(9), 731-771.</w:t>
      </w:r>
    </w:p>
    <w:p w14:paraId="35DC8ECA" w14:textId="77777777" w:rsidR="00F05BA8"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Finch-Savage, W. E., &amp; Bassel, G. W. (2016). Seed </w:t>
      </w:r>
      <w:proofErr w:type="spellStart"/>
      <w:r w:rsidRPr="00A11A5E">
        <w:rPr>
          <w:rFonts w:ascii="Times New Roman" w:hAnsi="Times New Roman" w:cs="Times New Roman"/>
          <w:sz w:val="28"/>
          <w:szCs w:val="28"/>
        </w:rPr>
        <w:t>vigour</w:t>
      </w:r>
      <w:proofErr w:type="spellEnd"/>
      <w:r w:rsidRPr="00A11A5E">
        <w:rPr>
          <w:rFonts w:ascii="Times New Roman" w:hAnsi="Times New Roman" w:cs="Times New Roman"/>
          <w:sz w:val="28"/>
          <w:szCs w:val="28"/>
        </w:rPr>
        <w:t xml:space="preserve"> and crop establishment: Extending performance beyond adaptation. </w:t>
      </w:r>
      <w:r w:rsidRPr="00A11A5E">
        <w:rPr>
          <w:rFonts w:ascii="Times New Roman" w:hAnsi="Times New Roman" w:cs="Times New Roman"/>
          <w:i/>
          <w:iCs/>
          <w:sz w:val="28"/>
          <w:szCs w:val="28"/>
        </w:rPr>
        <w:t>Journal of Experimental Botany, 67</w:t>
      </w:r>
      <w:r w:rsidRPr="00A11A5E">
        <w:rPr>
          <w:rFonts w:ascii="Times New Roman" w:hAnsi="Times New Roman" w:cs="Times New Roman"/>
          <w:sz w:val="28"/>
          <w:szCs w:val="28"/>
        </w:rPr>
        <w:t>(3), 567-591.</w:t>
      </w:r>
    </w:p>
    <w:p w14:paraId="695EA7CF" w14:textId="77777777" w:rsidR="00571340" w:rsidRDefault="00571340" w:rsidP="00571340">
      <w:pPr>
        <w:pStyle w:val="NormalWeb"/>
        <w:ind w:left="630" w:hanging="540"/>
        <w:jc w:val="both"/>
        <w:rPr>
          <w:sz w:val="28"/>
          <w:szCs w:val="28"/>
        </w:rPr>
      </w:pPr>
      <w:r w:rsidRPr="00A11A5E">
        <w:rPr>
          <w:rStyle w:val="whitespace-normal"/>
          <w:sz w:val="28"/>
          <w:szCs w:val="28"/>
        </w:rPr>
        <w:t>Harris, David</w:t>
      </w:r>
      <w:r w:rsidRPr="00A11A5E">
        <w:rPr>
          <w:sz w:val="28"/>
          <w:szCs w:val="28"/>
        </w:rPr>
        <w:t xml:space="preserve">, Joshi, A., Khan, P. A., </w:t>
      </w:r>
      <w:proofErr w:type="spellStart"/>
      <w:r w:rsidRPr="00A11A5E">
        <w:rPr>
          <w:sz w:val="28"/>
          <w:szCs w:val="28"/>
        </w:rPr>
        <w:t>Gothkar</w:t>
      </w:r>
      <w:proofErr w:type="spellEnd"/>
      <w:r w:rsidRPr="00A11A5E">
        <w:rPr>
          <w:sz w:val="28"/>
          <w:szCs w:val="28"/>
        </w:rPr>
        <w:t xml:space="preserve">, P., &amp; Sodhi, P. S. (1999). </w:t>
      </w:r>
      <w:r w:rsidRPr="00571340">
        <w:rPr>
          <w:rStyle w:val="Strong"/>
          <w:b w:val="0"/>
          <w:sz w:val="28"/>
          <w:szCs w:val="28"/>
        </w:rPr>
        <w:t>On-farm seed priming in semi-arid agriculture: Development and evaluation in maize, rice and chickpea in India using participatory methods.</w:t>
      </w:r>
      <w:r w:rsidRPr="00571340">
        <w:rPr>
          <w:b/>
          <w:sz w:val="28"/>
          <w:szCs w:val="28"/>
        </w:rPr>
        <w:t xml:space="preserve"> </w:t>
      </w:r>
      <w:r w:rsidRPr="00571340">
        <w:rPr>
          <w:rStyle w:val="Emphasis"/>
          <w:sz w:val="28"/>
          <w:szCs w:val="28"/>
        </w:rPr>
        <w:t>Experi</w:t>
      </w:r>
      <w:r w:rsidRPr="00A11A5E">
        <w:rPr>
          <w:rStyle w:val="Emphasis"/>
          <w:sz w:val="28"/>
          <w:szCs w:val="28"/>
        </w:rPr>
        <w:t>mental Agriculture, 35</w:t>
      </w:r>
      <w:r w:rsidRPr="00A11A5E">
        <w:rPr>
          <w:sz w:val="28"/>
          <w:szCs w:val="28"/>
        </w:rPr>
        <w:t>(1), 15–29.</w:t>
      </w:r>
    </w:p>
    <w:p w14:paraId="6F589487"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lastRenderedPageBreak/>
        <w:t xml:space="preserve">Jisha, K. C., </w:t>
      </w:r>
      <w:proofErr w:type="spellStart"/>
      <w:r w:rsidRPr="00A11A5E">
        <w:rPr>
          <w:rFonts w:ascii="Times New Roman" w:hAnsi="Times New Roman" w:cs="Times New Roman"/>
          <w:sz w:val="28"/>
          <w:szCs w:val="28"/>
        </w:rPr>
        <w:t>Vijayakumari</w:t>
      </w:r>
      <w:proofErr w:type="spellEnd"/>
      <w:r w:rsidRPr="00A11A5E">
        <w:rPr>
          <w:rFonts w:ascii="Times New Roman" w:hAnsi="Times New Roman" w:cs="Times New Roman"/>
          <w:sz w:val="28"/>
          <w:szCs w:val="28"/>
        </w:rPr>
        <w:t xml:space="preserve">, K., &amp; </w:t>
      </w:r>
      <w:proofErr w:type="spellStart"/>
      <w:r w:rsidRPr="00A11A5E">
        <w:rPr>
          <w:rFonts w:ascii="Times New Roman" w:hAnsi="Times New Roman" w:cs="Times New Roman"/>
          <w:sz w:val="28"/>
          <w:szCs w:val="28"/>
        </w:rPr>
        <w:t>Puthur</w:t>
      </w:r>
      <w:proofErr w:type="spellEnd"/>
      <w:r w:rsidRPr="00A11A5E">
        <w:rPr>
          <w:rFonts w:ascii="Times New Roman" w:hAnsi="Times New Roman" w:cs="Times New Roman"/>
          <w:sz w:val="28"/>
          <w:szCs w:val="28"/>
        </w:rPr>
        <w:t xml:space="preserve">, J. T. (2013). Seed priming for abiotic stress tolerance: An overview. </w:t>
      </w:r>
      <w:r w:rsidRPr="00A11A5E">
        <w:rPr>
          <w:rFonts w:ascii="Times New Roman" w:hAnsi="Times New Roman" w:cs="Times New Roman"/>
          <w:i/>
          <w:iCs/>
          <w:sz w:val="28"/>
          <w:szCs w:val="28"/>
        </w:rPr>
        <w:t xml:space="preserve">Acta </w:t>
      </w:r>
      <w:proofErr w:type="spellStart"/>
      <w:r w:rsidRPr="00A11A5E">
        <w:rPr>
          <w:rFonts w:ascii="Times New Roman" w:hAnsi="Times New Roman" w:cs="Times New Roman"/>
          <w:i/>
          <w:iCs/>
          <w:sz w:val="28"/>
          <w:szCs w:val="28"/>
        </w:rPr>
        <w:t>Physiologiae</w:t>
      </w:r>
      <w:proofErr w:type="spellEnd"/>
      <w:r w:rsidRPr="00A11A5E">
        <w:rPr>
          <w:rFonts w:ascii="Times New Roman" w:hAnsi="Times New Roman" w:cs="Times New Roman"/>
          <w:i/>
          <w:iCs/>
          <w:sz w:val="28"/>
          <w:szCs w:val="28"/>
        </w:rPr>
        <w:t xml:space="preserve"> Plantarum, 35</w:t>
      </w:r>
      <w:r w:rsidRPr="00A11A5E">
        <w:rPr>
          <w:rFonts w:ascii="Times New Roman" w:hAnsi="Times New Roman" w:cs="Times New Roman"/>
          <w:sz w:val="28"/>
          <w:szCs w:val="28"/>
        </w:rPr>
        <w:t>(5), 1381-1396.</w:t>
      </w:r>
    </w:p>
    <w:p w14:paraId="3446E133"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Mazumder, P., Tiwari, R., &amp; Singh, P. (2021). Climate variability and agricultural vulnerability in Bundelkhand region of Central India. </w:t>
      </w:r>
      <w:r w:rsidRPr="00A11A5E">
        <w:rPr>
          <w:rFonts w:ascii="Times New Roman" w:hAnsi="Times New Roman" w:cs="Times New Roman"/>
          <w:i/>
          <w:iCs/>
          <w:sz w:val="28"/>
          <w:szCs w:val="28"/>
        </w:rPr>
        <w:t>Environment, Development and Sustainability, 23</w:t>
      </w:r>
      <w:r w:rsidRPr="00A11A5E">
        <w:rPr>
          <w:rFonts w:ascii="Times New Roman" w:hAnsi="Times New Roman" w:cs="Times New Roman"/>
          <w:sz w:val="28"/>
          <w:szCs w:val="28"/>
        </w:rPr>
        <w:t>(7), 10654-10671.</w:t>
      </w:r>
    </w:p>
    <w:p w14:paraId="1E3A3992"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Rathore, V. S., Singh, R., &amp; Meena, S. K. (2018). Effect of potassium and phosphorus on growth, yield and quality of mustard (</w:t>
      </w:r>
      <w:r w:rsidRPr="00A11A5E">
        <w:rPr>
          <w:rFonts w:ascii="Times New Roman" w:hAnsi="Times New Roman" w:cs="Times New Roman"/>
          <w:i/>
          <w:iCs/>
          <w:sz w:val="28"/>
          <w:szCs w:val="28"/>
        </w:rPr>
        <w:t>Brassica juncea</w:t>
      </w:r>
      <w:r w:rsidRPr="00A11A5E">
        <w:rPr>
          <w:rFonts w:ascii="Times New Roman" w:hAnsi="Times New Roman" w:cs="Times New Roman"/>
          <w:sz w:val="28"/>
          <w:szCs w:val="28"/>
        </w:rPr>
        <w:t xml:space="preserve"> L.) under semi-arid conditions. </w:t>
      </w:r>
      <w:r w:rsidRPr="00A11A5E">
        <w:rPr>
          <w:rFonts w:ascii="Times New Roman" w:hAnsi="Times New Roman" w:cs="Times New Roman"/>
          <w:i/>
          <w:iCs/>
          <w:sz w:val="28"/>
          <w:szCs w:val="28"/>
        </w:rPr>
        <w:t>Journal of Oilseed Brassica, 9</w:t>
      </w:r>
      <w:r w:rsidRPr="00A11A5E">
        <w:rPr>
          <w:rFonts w:ascii="Times New Roman" w:hAnsi="Times New Roman" w:cs="Times New Roman"/>
          <w:sz w:val="28"/>
          <w:szCs w:val="28"/>
        </w:rPr>
        <w:t>(2), 140-145.</w:t>
      </w:r>
    </w:p>
    <w:p w14:paraId="3ABF59ED" w14:textId="77777777" w:rsidR="00F05BA8" w:rsidRPr="00A11A5E" w:rsidRDefault="00F05BA8" w:rsidP="00557797">
      <w:pPr>
        <w:ind w:left="720" w:hanging="720"/>
        <w:jc w:val="both"/>
        <w:rPr>
          <w:rFonts w:ascii="Times New Roman" w:hAnsi="Times New Roman" w:cs="Times New Roman"/>
          <w:sz w:val="28"/>
          <w:szCs w:val="28"/>
        </w:rPr>
      </w:pPr>
      <w:proofErr w:type="spellStart"/>
      <w:r w:rsidRPr="00A11A5E">
        <w:rPr>
          <w:rFonts w:ascii="Times New Roman" w:hAnsi="Times New Roman" w:cs="Times New Roman"/>
          <w:sz w:val="28"/>
          <w:szCs w:val="28"/>
        </w:rPr>
        <w:t>Rhaman</w:t>
      </w:r>
      <w:proofErr w:type="spellEnd"/>
      <w:r w:rsidRPr="00A11A5E">
        <w:rPr>
          <w:rFonts w:ascii="Times New Roman" w:hAnsi="Times New Roman" w:cs="Times New Roman"/>
          <w:sz w:val="28"/>
          <w:szCs w:val="28"/>
        </w:rPr>
        <w:t xml:space="preserve">, T., Choudhary, S., &amp; Singh, H. (2024). Role of Zinc-manganese seed priming in enhancing germination and early seedling establishment of wheat under drought stress. </w:t>
      </w:r>
      <w:r w:rsidRPr="00A11A5E">
        <w:rPr>
          <w:rFonts w:ascii="Times New Roman" w:hAnsi="Times New Roman" w:cs="Times New Roman"/>
          <w:i/>
          <w:iCs/>
          <w:sz w:val="28"/>
          <w:szCs w:val="28"/>
        </w:rPr>
        <w:t>Field Crops Research</w:t>
      </w:r>
      <w:r w:rsidRPr="00A11A5E">
        <w:rPr>
          <w:rFonts w:ascii="Times New Roman" w:hAnsi="Times New Roman" w:cs="Times New Roman"/>
          <w:sz w:val="28"/>
          <w:szCs w:val="28"/>
        </w:rPr>
        <w:t>, 301, 108621.</w:t>
      </w:r>
    </w:p>
    <w:p w14:paraId="59E9A24D"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Sundari, A., Babu, R., &amp; Sreenivasulu, Y. (2017). Role of zinc and manganese nutrition in improving crop productivity: A review. </w:t>
      </w:r>
      <w:r w:rsidRPr="00A11A5E">
        <w:rPr>
          <w:rFonts w:ascii="Times New Roman" w:hAnsi="Times New Roman" w:cs="Times New Roman"/>
          <w:i/>
          <w:iCs/>
          <w:sz w:val="28"/>
          <w:szCs w:val="28"/>
        </w:rPr>
        <w:t>Journal of Plant Nutrition, 40</w:t>
      </w:r>
      <w:r w:rsidRPr="00A11A5E">
        <w:rPr>
          <w:rFonts w:ascii="Times New Roman" w:hAnsi="Times New Roman" w:cs="Times New Roman"/>
          <w:sz w:val="28"/>
          <w:szCs w:val="28"/>
        </w:rPr>
        <w:t>(19), 2759-2774.</w:t>
      </w:r>
    </w:p>
    <w:p w14:paraId="73044F91" w14:textId="77777777" w:rsidR="00F05BA8" w:rsidRPr="00A11A5E" w:rsidRDefault="00F05BA8" w:rsidP="00557797">
      <w:pPr>
        <w:ind w:left="720" w:hanging="720"/>
        <w:jc w:val="both"/>
        <w:rPr>
          <w:rFonts w:ascii="Times New Roman" w:hAnsi="Times New Roman" w:cs="Times New Roman"/>
          <w:sz w:val="28"/>
          <w:szCs w:val="28"/>
        </w:rPr>
      </w:pPr>
      <w:r w:rsidRPr="00A11A5E">
        <w:rPr>
          <w:rFonts w:ascii="Times New Roman" w:hAnsi="Times New Roman" w:cs="Times New Roman"/>
          <w:sz w:val="28"/>
          <w:szCs w:val="28"/>
        </w:rPr>
        <w:t xml:space="preserve">Wale, A., Kumar, N., &amp; Raj, R. (2022). </w:t>
      </w:r>
      <w:proofErr w:type="spellStart"/>
      <w:r w:rsidRPr="00A11A5E">
        <w:rPr>
          <w:rFonts w:ascii="Times New Roman" w:hAnsi="Times New Roman" w:cs="Times New Roman"/>
          <w:sz w:val="28"/>
          <w:szCs w:val="28"/>
        </w:rPr>
        <w:t>Microsalt</w:t>
      </w:r>
      <w:proofErr w:type="spellEnd"/>
      <w:r w:rsidRPr="00A11A5E">
        <w:rPr>
          <w:rFonts w:ascii="Times New Roman" w:hAnsi="Times New Roman" w:cs="Times New Roman"/>
          <w:sz w:val="28"/>
          <w:szCs w:val="28"/>
        </w:rPr>
        <w:t xml:space="preserve"> priming with Zn and Mn improves germination, seedling vigor and yield in maize under semi-arid tropics. </w:t>
      </w:r>
      <w:r w:rsidRPr="00A11A5E">
        <w:rPr>
          <w:rFonts w:ascii="Times New Roman" w:hAnsi="Times New Roman" w:cs="Times New Roman"/>
          <w:i/>
          <w:iCs/>
          <w:sz w:val="28"/>
          <w:szCs w:val="28"/>
        </w:rPr>
        <w:t>Frontiers in Plant Science</w:t>
      </w:r>
      <w:r w:rsidRPr="00A11A5E">
        <w:rPr>
          <w:rFonts w:ascii="Times New Roman" w:hAnsi="Times New Roman" w:cs="Times New Roman"/>
          <w:sz w:val="28"/>
          <w:szCs w:val="28"/>
        </w:rPr>
        <w:t>, 13, 936547.</w:t>
      </w:r>
    </w:p>
    <w:sectPr w:rsidR="00F05BA8" w:rsidRPr="00A11A5E" w:rsidSect="008210BC">
      <w:pgSz w:w="12240" w:h="15840" w:code="1"/>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32DB" w14:textId="77777777" w:rsidR="004367E3" w:rsidRDefault="004367E3" w:rsidP="00CC05CA">
      <w:pPr>
        <w:spacing w:before="0" w:line="240" w:lineRule="auto"/>
      </w:pPr>
      <w:r>
        <w:separator/>
      </w:r>
    </w:p>
  </w:endnote>
  <w:endnote w:type="continuationSeparator" w:id="0">
    <w:p w14:paraId="471C928B" w14:textId="77777777" w:rsidR="004367E3" w:rsidRDefault="004367E3" w:rsidP="00CC05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C68C" w14:textId="77777777" w:rsidR="009F1643" w:rsidRDefault="009F1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812922"/>
      <w:docPartObj>
        <w:docPartGallery w:val="Page Numbers (Bottom of Page)"/>
        <w:docPartUnique/>
      </w:docPartObj>
    </w:sdtPr>
    <w:sdtEndPr>
      <w:rPr>
        <w:noProof/>
      </w:rPr>
    </w:sdtEndPr>
    <w:sdtContent>
      <w:p w14:paraId="7F5ABE1D" w14:textId="77777777" w:rsidR="00A11A5E" w:rsidRDefault="00616C77">
        <w:pPr>
          <w:pStyle w:val="Footer"/>
          <w:jc w:val="center"/>
        </w:pPr>
        <w:r>
          <w:fldChar w:fldCharType="begin"/>
        </w:r>
        <w:r>
          <w:instrText xml:space="preserve"> PAGE   \* MERGEFORMAT </w:instrText>
        </w:r>
        <w:r>
          <w:fldChar w:fldCharType="separate"/>
        </w:r>
        <w:r w:rsidR="00192410">
          <w:rPr>
            <w:noProof/>
          </w:rPr>
          <w:t>11</w:t>
        </w:r>
        <w:r>
          <w:rPr>
            <w:noProof/>
          </w:rPr>
          <w:fldChar w:fldCharType="end"/>
        </w:r>
      </w:p>
    </w:sdtContent>
  </w:sdt>
  <w:p w14:paraId="573C6122" w14:textId="77777777" w:rsidR="00A11A5E" w:rsidRDefault="00A11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C474" w14:textId="77777777" w:rsidR="009F1643" w:rsidRDefault="009F1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BA7C" w14:textId="77777777" w:rsidR="004367E3" w:rsidRDefault="004367E3" w:rsidP="00CC05CA">
      <w:pPr>
        <w:spacing w:before="0" w:line="240" w:lineRule="auto"/>
      </w:pPr>
      <w:r>
        <w:separator/>
      </w:r>
    </w:p>
  </w:footnote>
  <w:footnote w:type="continuationSeparator" w:id="0">
    <w:p w14:paraId="78BBD825" w14:textId="77777777" w:rsidR="004367E3" w:rsidRDefault="004367E3" w:rsidP="00CC05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D6B5" w14:textId="37C280C7" w:rsidR="009F1643" w:rsidRDefault="009F1643">
    <w:pPr>
      <w:pStyle w:val="Header"/>
    </w:pPr>
    <w:r>
      <w:rPr>
        <w:noProof/>
      </w:rPr>
      <w:pict w14:anchorId="57DF9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1C39" w14:textId="23A32378" w:rsidR="009F1643" w:rsidRDefault="009F1643">
    <w:pPr>
      <w:pStyle w:val="Header"/>
    </w:pPr>
    <w:r>
      <w:rPr>
        <w:noProof/>
      </w:rPr>
      <w:pict w14:anchorId="636B3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B0CE" w14:textId="321A90E5" w:rsidR="009F1643" w:rsidRDefault="009F1643">
    <w:pPr>
      <w:pStyle w:val="Header"/>
    </w:pPr>
    <w:r>
      <w:rPr>
        <w:noProof/>
      </w:rPr>
      <w:pict w14:anchorId="4C249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84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15B"/>
    <w:rsid w:val="00007D84"/>
    <w:rsid w:val="0005231C"/>
    <w:rsid w:val="000569A1"/>
    <w:rsid w:val="000923D3"/>
    <w:rsid w:val="000B13C2"/>
    <w:rsid w:val="000B1A8F"/>
    <w:rsid w:val="000E2D7D"/>
    <w:rsid w:val="000E64F1"/>
    <w:rsid w:val="000F4CEC"/>
    <w:rsid w:val="001073EF"/>
    <w:rsid w:val="0013277A"/>
    <w:rsid w:val="00152D85"/>
    <w:rsid w:val="00192410"/>
    <w:rsid w:val="00194D66"/>
    <w:rsid w:val="001B18D5"/>
    <w:rsid w:val="001C6773"/>
    <w:rsid w:val="001D76FD"/>
    <w:rsid w:val="001F5856"/>
    <w:rsid w:val="00212909"/>
    <w:rsid w:val="002369B7"/>
    <w:rsid w:val="0024615B"/>
    <w:rsid w:val="00247CBF"/>
    <w:rsid w:val="002718C6"/>
    <w:rsid w:val="00275792"/>
    <w:rsid w:val="00336024"/>
    <w:rsid w:val="00345FA6"/>
    <w:rsid w:val="00386D26"/>
    <w:rsid w:val="003A0F79"/>
    <w:rsid w:val="003B63DC"/>
    <w:rsid w:val="003C3143"/>
    <w:rsid w:val="00433DD8"/>
    <w:rsid w:val="004367E3"/>
    <w:rsid w:val="00495D57"/>
    <w:rsid w:val="004962F0"/>
    <w:rsid w:val="0049668C"/>
    <w:rsid w:val="004C5F07"/>
    <w:rsid w:val="004F0E74"/>
    <w:rsid w:val="00504C0A"/>
    <w:rsid w:val="0054701F"/>
    <w:rsid w:val="00557797"/>
    <w:rsid w:val="00571340"/>
    <w:rsid w:val="00590EC7"/>
    <w:rsid w:val="005B67ED"/>
    <w:rsid w:val="005C0AC4"/>
    <w:rsid w:val="00616C77"/>
    <w:rsid w:val="00617229"/>
    <w:rsid w:val="006266C8"/>
    <w:rsid w:val="006336D4"/>
    <w:rsid w:val="006622EA"/>
    <w:rsid w:val="00672AAC"/>
    <w:rsid w:val="00692745"/>
    <w:rsid w:val="006A10D0"/>
    <w:rsid w:val="006B10AD"/>
    <w:rsid w:val="006C047A"/>
    <w:rsid w:val="006C2CA1"/>
    <w:rsid w:val="006C3704"/>
    <w:rsid w:val="006C70E1"/>
    <w:rsid w:val="00702DC7"/>
    <w:rsid w:val="00730DD7"/>
    <w:rsid w:val="0077288F"/>
    <w:rsid w:val="007B7D8E"/>
    <w:rsid w:val="008039CC"/>
    <w:rsid w:val="00805E83"/>
    <w:rsid w:val="00814DAF"/>
    <w:rsid w:val="00816136"/>
    <w:rsid w:val="008210BC"/>
    <w:rsid w:val="008516C0"/>
    <w:rsid w:val="008617A6"/>
    <w:rsid w:val="00891C57"/>
    <w:rsid w:val="008A2CE8"/>
    <w:rsid w:val="008D398D"/>
    <w:rsid w:val="008E25A0"/>
    <w:rsid w:val="008F2340"/>
    <w:rsid w:val="00915AB1"/>
    <w:rsid w:val="009211E3"/>
    <w:rsid w:val="009540C9"/>
    <w:rsid w:val="0097127B"/>
    <w:rsid w:val="009D1688"/>
    <w:rsid w:val="009F1643"/>
    <w:rsid w:val="009F2B82"/>
    <w:rsid w:val="00A11A5E"/>
    <w:rsid w:val="00A43C3E"/>
    <w:rsid w:val="00A44ECB"/>
    <w:rsid w:val="00A962BE"/>
    <w:rsid w:val="00AC0228"/>
    <w:rsid w:val="00AE01D5"/>
    <w:rsid w:val="00AE0D28"/>
    <w:rsid w:val="00AE44C7"/>
    <w:rsid w:val="00B271BD"/>
    <w:rsid w:val="00B3793A"/>
    <w:rsid w:val="00BB7053"/>
    <w:rsid w:val="00BC6F37"/>
    <w:rsid w:val="00BC735A"/>
    <w:rsid w:val="00C42D28"/>
    <w:rsid w:val="00C710FA"/>
    <w:rsid w:val="00CA4574"/>
    <w:rsid w:val="00CC05CA"/>
    <w:rsid w:val="00CE503C"/>
    <w:rsid w:val="00D016B7"/>
    <w:rsid w:val="00D62AD3"/>
    <w:rsid w:val="00D70A42"/>
    <w:rsid w:val="00D84D9C"/>
    <w:rsid w:val="00DA2C0C"/>
    <w:rsid w:val="00DE29E1"/>
    <w:rsid w:val="00DE579D"/>
    <w:rsid w:val="00DF436E"/>
    <w:rsid w:val="00E14290"/>
    <w:rsid w:val="00E33A1B"/>
    <w:rsid w:val="00E43352"/>
    <w:rsid w:val="00E50758"/>
    <w:rsid w:val="00E66A4F"/>
    <w:rsid w:val="00EB7BA9"/>
    <w:rsid w:val="00ED593C"/>
    <w:rsid w:val="00F043FB"/>
    <w:rsid w:val="00F05BA8"/>
    <w:rsid w:val="00F253AB"/>
    <w:rsid w:val="00F32550"/>
    <w:rsid w:val="00F45640"/>
    <w:rsid w:val="00F50999"/>
    <w:rsid w:val="00F8070B"/>
    <w:rsid w:val="00F96E5D"/>
    <w:rsid w:val="00FD7F32"/>
    <w:rsid w:val="00FE1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E7E2"/>
  <w15:docId w15:val="{D4F58EAC-2C16-4B85-BB53-02A2B5C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AB"/>
  </w:style>
  <w:style w:type="paragraph" w:styleId="Heading1">
    <w:name w:val="heading 1"/>
    <w:basedOn w:val="Normal"/>
    <w:next w:val="Normal"/>
    <w:link w:val="Heading1Char"/>
    <w:uiPriority w:val="9"/>
    <w:qFormat/>
    <w:rsid w:val="00246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6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6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1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5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5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6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6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5B"/>
    <w:rPr>
      <w:rFonts w:eastAsiaTheme="majorEastAsia" w:cstheme="majorBidi"/>
      <w:color w:val="272727" w:themeColor="text1" w:themeTint="D8"/>
    </w:rPr>
  </w:style>
  <w:style w:type="paragraph" w:styleId="Title">
    <w:name w:val="Title"/>
    <w:basedOn w:val="Normal"/>
    <w:next w:val="Normal"/>
    <w:link w:val="TitleChar"/>
    <w:uiPriority w:val="10"/>
    <w:qFormat/>
    <w:rsid w:val="0024615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15B"/>
    <w:rPr>
      <w:i/>
      <w:iCs/>
      <w:color w:val="404040" w:themeColor="text1" w:themeTint="BF"/>
    </w:rPr>
  </w:style>
  <w:style w:type="paragraph" w:styleId="ListParagraph">
    <w:name w:val="List Paragraph"/>
    <w:basedOn w:val="Normal"/>
    <w:uiPriority w:val="34"/>
    <w:qFormat/>
    <w:rsid w:val="0024615B"/>
    <w:pPr>
      <w:ind w:left="720"/>
      <w:contextualSpacing/>
    </w:pPr>
  </w:style>
  <w:style w:type="character" w:styleId="IntenseEmphasis">
    <w:name w:val="Intense Emphasis"/>
    <w:basedOn w:val="DefaultParagraphFont"/>
    <w:uiPriority w:val="21"/>
    <w:qFormat/>
    <w:rsid w:val="0024615B"/>
    <w:rPr>
      <w:i/>
      <w:iCs/>
      <w:color w:val="2F5496" w:themeColor="accent1" w:themeShade="BF"/>
    </w:rPr>
  </w:style>
  <w:style w:type="paragraph" w:styleId="IntenseQuote">
    <w:name w:val="Intense Quote"/>
    <w:basedOn w:val="Normal"/>
    <w:next w:val="Normal"/>
    <w:link w:val="IntenseQuoteChar"/>
    <w:uiPriority w:val="30"/>
    <w:qFormat/>
    <w:rsid w:val="00246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15B"/>
    <w:rPr>
      <w:i/>
      <w:iCs/>
      <w:color w:val="2F5496" w:themeColor="accent1" w:themeShade="BF"/>
    </w:rPr>
  </w:style>
  <w:style w:type="character" w:styleId="IntenseReference">
    <w:name w:val="Intense Reference"/>
    <w:basedOn w:val="DefaultParagraphFont"/>
    <w:uiPriority w:val="32"/>
    <w:qFormat/>
    <w:rsid w:val="0024615B"/>
    <w:rPr>
      <w:b/>
      <w:bCs/>
      <w:smallCaps/>
      <w:color w:val="2F5496" w:themeColor="accent1" w:themeShade="BF"/>
      <w:spacing w:val="5"/>
    </w:rPr>
  </w:style>
  <w:style w:type="character" w:styleId="Hyperlink">
    <w:name w:val="Hyperlink"/>
    <w:basedOn w:val="DefaultParagraphFont"/>
    <w:uiPriority w:val="99"/>
    <w:unhideWhenUsed/>
    <w:rsid w:val="00D016B7"/>
    <w:rPr>
      <w:color w:val="0563C1" w:themeColor="hyperlink"/>
      <w:u w:val="single"/>
    </w:rPr>
  </w:style>
  <w:style w:type="character" w:customStyle="1" w:styleId="UnresolvedMention1">
    <w:name w:val="Unresolved Mention1"/>
    <w:basedOn w:val="DefaultParagraphFont"/>
    <w:uiPriority w:val="99"/>
    <w:semiHidden/>
    <w:unhideWhenUsed/>
    <w:rsid w:val="001C6773"/>
    <w:rPr>
      <w:color w:val="605E5C"/>
      <w:shd w:val="clear" w:color="auto" w:fill="E1DFDD"/>
    </w:rPr>
  </w:style>
  <w:style w:type="paragraph" w:styleId="NormalWeb">
    <w:name w:val="Normal (Web)"/>
    <w:basedOn w:val="Normal"/>
    <w:uiPriority w:val="99"/>
    <w:unhideWhenUsed/>
    <w:rsid w:val="009D1688"/>
    <w:rPr>
      <w:rFonts w:ascii="Times New Roman" w:hAnsi="Times New Roman" w:cs="Times New Roman"/>
    </w:rPr>
  </w:style>
  <w:style w:type="table" w:styleId="TableGrid">
    <w:name w:val="Table Grid"/>
    <w:basedOn w:val="TableNormal"/>
    <w:uiPriority w:val="59"/>
    <w:rsid w:val="008516C0"/>
    <w:pPr>
      <w:spacing w:before="0" w:line="240" w:lineRule="auto"/>
    </w:pPr>
    <w:rPr>
      <w:rFonts w:eastAsiaTheme="minorEastAsia"/>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5C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05CA"/>
  </w:style>
  <w:style w:type="paragraph" w:styleId="Footer">
    <w:name w:val="footer"/>
    <w:basedOn w:val="Normal"/>
    <w:link w:val="FooterChar"/>
    <w:uiPriority w:val="99"/>
    <w:unhideWhenUsed/>
    <w:rsid w:val="00CC05C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05CA"/>
  </w:style>
  <w:style w:type="paragraph" w:styleId="BalloonText">
    <w:name w:val="Balloon Text"/>
    <w:basedOn w:val="Normal"/>
    <w:link w:val="BalloonTextChar"/>
    <w:uiPriority w:val="99"/>
    <w:semiHidden/>
    <w:unhideWhenUsed/>
    <w:rsid w:val="00152D8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85"/>
    <w:rPr>
      <w:rFonts w:ascii="Tahoma" w:hAnsi="Tahoma" w:cs="Tahoma"/>
      <w:sz w:val="16"/>
      <w:szCs w:val="16"/>
    </w:rPr>
  </w:style>
  <w:style w:type="paragraph" w:customStyle="1" w:styleId="Default">
    <w:name w:val="Default"/>
    <w:rsid w:val="00152D85"/>
    <w:pPr>
      <w:autoSpaceDE w:val="0"/>
      <w:autoSpaceDN w:val="0"/>
      <w:adjustRightInd w:val="0"/>
      <w:spacing w:before="0" w:line="240" w:lineRule="auto"/>
    </w:pPr>
    <w:rPr>
      <w:rFonts w:ascii="Times New Roman" w:hAnsi="Times New Roman" w:cs="Times New Roman"/>
      <w:color w:val="000000"/>
      <w:kern w:val="0"/>
    </w:rPr>
  </w:style>
  <w:style w:type="character" w:customStyle="1" w:styleId="whitespace-normal">
    <w:name w:val="whitespace-normal"/>
    <w:basedOn w:val="DefaultParagraphFont"/>
    <w:rsid w:val="002369B7"/>
  </w:style>
  <w:style w:type="character" w:styleId="Emphasis">
    <w:name w:val="Emphasis"/>
    <w:basedOn w:val="DefaultParagraphFont"/>
    <w:uiPriority w:val="20"/>
    <w:qFormat/>
    <w:rsid w:val="00F96E5D"/>
    <w:rPr>
      <w:i/>
      <w:iCs/>
    </w:rPr>
  </w:style>
  <w:style w:type="character" w:styleId="Strong">
    <w:name w:val="Strong"/>
    <w:basedOn w:val="DefaultParagraphFont"/>
    <w:uiPriority w:val="22"/>
    <w:qFormat/>
    <w:rsid w:val="00F96E5D"/>
    <w:rPr>
      <w:b/>
      <w:bCs/>
    </w:rPr>
  </w:style>
  <w:style w:type="character" w:styleId="UnresolvedMention">
    <w:name w:val="Unresolved Mention"/>
    <w:basedOn w:val="DefaultParagraphFont"/>
    <w:uiPriority w:val="99"/>
    <w:semiHidden/>
    <w:unhideWhenUsed/>
    <w:rsid w:val="00F8070B"/>
    <w:rPr>
      <w:color w:val="605E5C"/>
      <w:shd w:val="clear" w:color="auto" w:fill="E1DFDD"/>
    </w:rPr>
  </w:style>
  <w:style w:type="character" w:customStyle="1" w:styleId="gd">
    <w:name w:val="gd"/>
    <w:basedOn w:val="DefaultParagraphFont"/>
    <w:rsid w:val="00F8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981">
      <w:bodyDiv w:val="1"/>
      <w:marLeft w:val="0"/>
      <w:marRight w:val="0"/>
      <w:marTop w:val="0"/>
      <w:marBottom w:val="0"/>
      <w:divBdr>
        <w:top w:val="none" w:sz="0" w:space="0" w:color="auto"/>
        <w:left w:val="none" w:sz="0" w:space="0" w:color="auto"/>
        <w:bottom w:val="none" w:sz="0" w:space="0" w:color="auto"/>
        <w:right w:val="none" w:sz="0" w:space="0" w:color="auto"/>
      </w:divBdr>
    </w:div>
    <w:div w:id="297414275">
      <w:bodyDiv w:val="1"/>
      <w:marLeft w:val="0"/>
      <w:marRight w:val="0"/>
      <w:marTop w:val="0"/>
      <w:marBottom w:val="0"/>
      <w:divBdr>
        <w:top w:val="none" w:sz="0" w:space="0" w:color="auto"/>
        <w:left w:val="none" w:sz="0" w:space="0" w:color="auto"/>
        <w:bottom w:val="none" w:sz="0" w:space="0" w:color="auto"/>
        <w:right w:val="none" w:sz="0" w:space="0" w:color="auto"/>
      </w:divBdr>
    </w:div>
    <w:div w:id="479998481">
      <w:bodyDiv w:val="1"/>
      <w:marLeft w:val="0"/>
      <w:marRight w:val="0"/>
      <w:marTop w:val="0"/>
      <w:marBottom w:val="0"/>
      <w:divBdr>
        <w:top w:val="none" w:sz="0" w:space="0" w:color="auto"/>
        <w:left w:val="none" w:sz="0" w:space="0" w:color="auto"/>
        <w:bottom w:val="none" w:sz="0" w:space="0" w:color="auto"/>
        <w:right w:val="none" w:sz="0" w:space="0" w:color="auto"/>
      </w:divBdr>
    </w:div>
    <w:div w:id="718632846">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985284691">
      <w:bodyDiv w:val="1"/>
      <w:marLeft w:val="0"/>
      <w:marRight w:val="0"/>
      <w:marTop w:val="0"/>
      <w:marBottom w:val="0"/>
      <w:divBdr>
        <w:top w:val="none" w:sz="0" w:space="0" w:color="auto"/>
        <w:left w:val="none" w:sz="0" w:space="0" w:color="auto"/>
        <w:bottom w:val="none" w:sz="0" w:space="0" w:color="auto"/>
        <w:right w:val="none" w:sz="0" w:space="0" w:color="auto"/>
      </w:divBdr>
    </w:div>
    <w:div w:id="1000111314">
      <w:bodyDiv w:val="1"/>
      <w:marLeft w:val="0"/>
      <w:marRight w:val="0"/>
      <w:marTop w:val="0"/>
      <w:marBottom w:val="0"/>
      <w:divBdr>
        <w:top w:val="none" w:sz="0" w:space="0" w:color="auto"/>
        <w:left w:val="none" w:sz="0" w:space="0" w:color="auto"/>
        <w:bottom w:val="none" w:sz="0" w:space="0" w:color="auto"/>
        <w:right w:val="none" w:sz="0" w:space="0" w:color="auto"/>
      </w:divBdr>
    </w:div>
    <w:div w:id="1188910699">
      <w:bodyDiv w:val="1"/>
      <w:marLeft w:val="0"/>
      <w:marRight w:val="0"/>
      <w:marTop w:val="0"/>
      <w:marBottom w:val="0"/>
      <w:divBdr>
        <w:top w:val="none" w:sz="0" w:space="0" w:color="auto"/>
        <w:left w:val="none" w:sz="0" w:space="0" w:color="auto"/>
        <w:bottom w:val="none" w:sz="0" w:space="0" w:color="auto"/>
        <w:right w:val="none" w:sz="0" w:space="0" w:color="auto"/>
      </w:divBdr>
    </w:div>
    <w:div w:id="14264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BUNDELKHAND%20UNIVERSITY%20EXAM%20PAPER\M.Sc.%20student%20Thesis\Tabraj-rbd-fi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Fig!$C$87</c:f>
              <c:strCache>
                <c:ptCount val="1"/>
                <c:pt idx="0">
                  <c:v>Days of 50% Flowering</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4ECC-4217-B809-CC78A83EB6B5}"/>
              </c:ext>
            </c:extLst>
          </c:dPt>
          <c:dPt>
            <c:idx val="1"/>
            <c:invertIfNegative val="0"/>
            <c:bubble3D val="0"/>
            <c:spPr>
              <a:solidFill>
                <a:srgbClr val="FFC000"/>
              </a:solidFill>
            </c:spPr>
            <c:extLst>
              <c:ext xmlns:c16="http://schemas.microsoft.com/office/drawing/2014/chart" uri="{C3380CC4-5D6E-409C-BE32-E72D297353CC}">
                <c16:uniqueId val="{00000001-4ECC-4217-B809-CC78A83EB6B5}"/>
              </c:ext>
            </c:extLst>
          </c:dPt>
          <c:dPt>
            <c:idx val="2"/>
            <c:invertIfNegative val="0"/>
            <c:bubble3D val="0"/>
            <c:spPr>
              <a:solidFill>
                <a:srgbClr val="002060"/>
              </a:solidFill>
            </c:spPr>
            <c:extLst>
              <c:ext xmlns:c16="http://schemas.microsoft.com/office/drawing/2014/chart" uri="{C3380CC4-5D6E-409C-BE32-E72D297353CC}">
                <c16:uniqueId val="{00000002-4ECC-4217-B809-CC78A83EB6B5}"/>
              </c:ext>
            </c:extLst>
          </c:dPt>
          <c:dPt>
            <c:idx val="3"/>
            <c:invertIfNegative val="0"/>
            <c:bubble3D val="0"/>
            <c:spPr>
              <a:solidFill>
                <a:srgbClr val="FF00FF"/>
              </a:solidFill>
            </c:spPr>
            <c:extLst>
              <c:ext xmlns:c16="http://schemas.microsoft.com/office/drawing/2014/chart" uri="{C3380CC4-5D6E-409C-BE32-E72D297353CC}">
                <c16:uniqueId val="{00000003-4ECC-4217-B809-CC78A83EB6B5}"/>
              </c:ext>
            </c:extLst>
          </c:dPt>
          <c:dPt>
            <c:idx val="4"/>
            <c:invertIfNegative val="0"/>
            <c:bubble3D val="0"/>
            <c:spPr>
              <a:solidFill>
                <a:srgbClr val="006600"/>
              </a:solidFill>
            </c:spPr>
            <c:extLst>
              <c:ext xmlns:c16="http://schemas.microsoft.com/office/drawing/2014/chart" uri="{C3380CC4-5D6E-409C-BE32-E72D297353CC}">
                <c16:uniqueId val="{00000004-4ECC-4217-B809-CC78A83EB6B5}"/>
              </c:ext>
            </c:extLst>
          </c:dPt>
          <c:dPt>
            <c:idx val="5"/>
            <c:invertIfNegative val="0"/>
            <c:bubble3D val="0"/>
            <c:spPr>
              <a:solidFill>
                <a:srgbClr val="00B050"/>
              </a:solidFill>
            </c:spPr>
            <c:extLst>
              <c:ext xmlns:c16="http://schemas.microsoft.com/office/drawing/2014/chart" uri="{C3380CC4-5D6E-409C-BE32-E72D297353CC}">
                <c16:uniqueId val="{00000005-4ECC-4217-B809-CC78A83EB6B5}"/>
              </c:ext>
            </c:extLst>
          </c:dPt>
          <c:dPt>
            <c:idx val="6"/>
            <c:invertIfNegative val="0"/>
            <c:bubble3D val="0"/>
            <c:spPr>
              <a:solidFill>
                <a:srgbClr val="FFFF00"/>
              </a:solidFill>
            </c:spPr>
            <c:extLst>
              <c:ext xmlns:c16="http://schemas.microsoft.com/office/drawing/2014/chart" uri="{C3380CC4-5D6E-409C-BE32-E72D297353CC}">
                <c16:uniqueId val="{00000006-4ECC-4217-B809-CC78A83EB6B5}"/>
              </c:ext>
            </c:extLst>
          </c:dPt>
          <c:cat>
            <c:strRef>
              <c:f>Fig!$B$88:$B$94</c:f>
              <c:strCache>
                <c:ptCount val="7"/>
                <c:pt idx="0">
                  <c:v>T1</c:v>
                </c:pt>
                <c:pt idx="1">
                  <c:v>T2</c:v>
                </c:pt>
                <c:pt idx="2">
                  <c:v>T3</c:v>
                </c:pt>
                <c:pt idx="3">
                  <c:v>T4</c:v>
                </c:pt>
                <c:pt idx="4">
                  <c:v>T5</c:v>
                </c:pt>
                <c:pt idx="5">
                  <c:v>T6</c:v>
                </c:pt>
                <c:pt idx="6">
                  <c:v>T7</c:v>
                </c:pt>
              </c:strCache>
            </c:strRef>
          </c:cat>
          <c:val>
            <c:numRef>
              <c:f>Fig!$C$88:$C$94</c:f>
              <c:numCache>
                <c:formatCode>0.00</c:formatCode>
                <c:ptCount val="7"/>
                <c:pt idx="0">
                  <c:v>64</c:v>
                </c:pt>
                <c:pt idx="1">
                  <c:v>62.667000000000002</c:v>
                </c:pt>
                <c:pt idx="2">
                  <c:v>64.667000000000002</c:v>
                </c:pt>
                <c:pt idx="3">
                  <c:v>65.667000000000002</c:v>
                </c:pt>
                <c:pt idx="4">
                  <c:v>59.333000000000006</c:v>
                </c:pt>
                <c:pt idx="5">
                  <c:v>61</c:v>
                </c:pt>
                <c:pt idx="6">
                  <c:v>63.333000000000006</c:v>
                </c:pt>
              </c:numCache>
            </c:numRef>
          </c:val>
          <c:extLst>
            <c:ext xmlns:c16="http://schemas.microsoft.com/office/drawing/2014/chart" uri="{C3380CC4-5D6E-409C-BE32-E72D297353CC}">
              <c16:uniqueId val="{00000007-4ECC-4217-B809-CC78A83EB6B5}"/>
            </c:ext>
          </c:extLst>
        </c:ser>
        <c:dLbls>
          <c:showLegendKey val="0"/>
          <c:showVal val="0"/>
          <c:showCatName val="0"/>
          <c:showSerName val="0"/>
          <c:showPercent val="0"/>
          <c:showBubbleSize val="0"/>
        </c:dLbls>
        <c:gapWidth val="150"/>
        <c:axId val="67156224"/>
        <c:axId val="67259392"/>
      </c:barChart>
      <c:catAx>
        <c:axId val="67156224"/>
        <c:scaling>
          <c:orientation val="minMax"/>
        </c:scaling>
        <c:delete val="0"/>
        <c:axPos val="b"/>
        <c:numFmt formatCode="General" sourceLinked="0"/>
        <c:majorTickMark val="none"/>
        <c:minorTickMark val="none"/>
        <c:tickLblPos val="nextTo"/>
        <c:spPr>
          <a:ln w="19050">
            <a:solidFill>
              <a:srgbClr val="002060"/>
            </a:solidFill>
          </a:ln>
        </c:spPr>
        <c:crossAx val="67259392"/>
        <c:crosses val="autoZero"/>
        <c:auto val="1"/>
        <c:lblAlgn val="ctr"/>
        <c:lblOffset val="100"/>
        <c:noMultiLvlLbl val="0"/>
      </c:catAx>
      <c:valAx>
        <c:axId val="67259392"/>
        <c:scaling>
          <c:orientation val="minMax"/>
          <c:max val="70"/>
          <c:min val="0"/>
        </c:scaling>
        <c:delete val="0"/>
        <c:axPos val="l"/>
        <c:majorGridlines/>
        <c:title>
          <c:tx>
            <c:rich>
              <a:bodyPr rot="-5400000" vert="horz"/>
              <a:lstStyle/>
              <a:p>
                <a:pPr>
                  <a:defRPr/>
                </a:pPr>
                <a:r>
                  <a:rPr lang="en-US"/>
                  <a:t>Days of 50% Flowering</a:t>
                </a:r>
              </a:p>
            </c:rich>
          </c:tx>
          <c:overlay val="0"/>
        </c:title>
        <c:numFmt formatCode="0" sourceLinked="0"/>
        <c:majorTickMark val="none"/>
        <c:minorTickMark val="none"/>
        <c:tickLblPos val="nextTo"/>
        <c:spPr>
          <a:ln w="19050">
            <a:solidFill>
              <a:srgbClr val="002060"/>
            </a:solidFill>
          </a:ln>
        </c:spPr>
        <c:crossAx val="67156224"/>
        <c:crosses val="autoZero"/>
        <c:crossBetween val="between"/>
        <c:majorUnit val="1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Fig!$C$123</c:f>
              <c:strCache>
                <c:ptCount val="1"/>
                <c:pt idx="0">
                  <c:v>Plant height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38C7-4A8B-AD9F-23F61409963A}"/>
              </c:ext>
            </c:extLst>
          </c:dPt>
          <c:dPt>
            <c:idx val="1"/>
            <c:invertIfNegative val="0"/>
            <c:bubble3D val="0"/>
            <c:spPr>
              <a:solidFill>
                <a:srgbClr val="FFC000"/>
              </a:solidFill>
            </c:spPr>
            <c:extLst>
              <c:ext xmlns:c16="http://schemas.microsoft.com/office/drawing/2014/chart" uri="{C3380CC4-5D6E-409C-BE32-E72D297353CC}">
                <c16:uniqueId val="{00000001-38C7-4A8B-AD9F-23F61409963A}"/>
              </c:ext>
            </c:extLst>
          </c:dPt>
          <c:dPt>
            <c:idx val="2"/>
            <c:invertIfNegative val="0"/>
            <c:bubble3D val="0"/>
            <c:spPr>
              <a:solidFill>
                <a:srgbClr val="002060"/>
              </a:solidFill>
            </c:spPr>
            <c:extLst>
              <c:ext xmlns:c16="http://schemas.microsoft.com/office/drawing/2014/chart" uri="{C3380CC4-5D6E-409C-BE32-E72D297353CC}">
                <c16:uniqueId val="{00000002-38C7-4A8B-AD9F-23F61409963A}"/>
              </c:ext>
            </c:extLst>
          </c:dPt>
          <c:dPt>
            <c:idx val="3"/>
            <c:invertIfNegative val="0"/>
            <c:bubble3D val="0"/>
            <c:spPr>
              <a:solidFill>
                <a:srgbClr val="FF00FF"/>
              </a:solidFill>
            </c:spPr>
            <c:extLst>
              <c:ext xmlns:c16="http://schemas.microsoft.com/office/drawing/2014/chart" uri="{C3380CC4-5D6E-409C-BE32-E72D297353CC}">
                <c16:uniqueId val="{00000003-38C7-4A8B-AD9F-23F61409963A}"/>
              </c:ext>
            </c:extLst>
          </c:dPt>
          <c:dPt>
            <c:idx val="4"/>
            <c:invertIfNegative val="0"/>
            <c:bubble3D val="0"/>
            <c:spPr>
              <a:solidFill>
                <a:srgbClr val="006600"/>
              </a:solidFill>
            </c:spPr>
            <c:extLst>
              <c:ext xmlns:c16="http://schemas.microsoft.com/office/drawing/2014/chart" uri="{C3380CC4-5D6E-409C-BE32-E72D297353CC}">
                <c16:uniqueId val="{00000004-38C7-4A8B-AD9F-23F61409963A}"/>
              </c:ext>
            </c:extLst>
          </c:dPt>
          <c:dPt>
            <c:idx val="5"/>
            <c:invertIfNegative val="0"/>
            <c:bubble3D val="0"/>
            <c:spPr>
              <a:solidFill>
                <a:srgbClr val="00B050"/>
              </a:solidFill>
            </c:spPr>
            <c:extLst>
              <c:ext xmlns:c16="http://schemas.microsoft.com/office/drawing/2014/chart" uri="{C3380CC4-5D6E-409C-BE32-E72D297353CC}">
                <c16:uniqueId val="{00000005-38C7-4A8B-AD9F-23F61409963A}"/>
              </c:ext>
            </c:extLst>
          </c:dPt>
          <c:dPt>
            <c:idx val="6"/>
            <c:invertIfNegative val="0"/>
            <c:bubble3D val="0"/>
            <c:spPr>
              <a:solidFill>
                <a:srgbClr val="FFFF00"/>
              </a:solidFill>
            </c:spPr>
            <c:extLst>
              <c:ext xmlns:c16="http://schemas.microsoft.com/office/drawing/2014/chart" uri="{C3380CC4-5D6E-409C-BE32-E72D297353CC}">
                <c16:uniqueId val="{00000006-38C7-4A8B-AD9F-23F61409963A}"/>
              </c:ext>
            </c:extLst>
          </c:dPt>
          <c:cat>
            <c:strRef>
              <c:f>Fig!$B$124:$B$130</c:f>
              <c:strCache>
                <c:ptCount val="7"/>
                <c:pt idx="0">
                  <c:v>T1</c:v>
                </c:pt>
                <c:pt idx="1">
                  <c:v>T2</c:v>
                </c:pt>
                <c:pt idx="2">
                  <c:v>T3</c:v>
                </c:pt>
                <c:pt idx="3">
                  <c:v>T4</c:v>
                </c:pt>
                <c:pt idx="4">
                  <c:v>T5</c:v>
                </c:pt>
                <c:pt idx="5">
                  <c:v>T6</c:v>
                </c:pt>
                <c:pt idx="6">
                  <c:v>T7</c:v>
                </c:pt>
              </c:strCache>
            </c:strRef>
          </c:cat>
          <c:val>
            <c:numRef>
              <c:f>Fig!$C$124:$C$130</c:f>
              <c:numCache>
                <c:formatCode>0.00</c:formatCode>
                <c:ptCount val="7"/>
                <c:pt idx="0">
                  <c:v>81.186999999999998</c:v>
                </c:pt>
                <c:pt idx="1">
                  <c:v>81.197000000000003</c:v>
                </c:pt>
                <c:pt idx="2">
                  <c:v>83.75</c:v>
                </c:pt>
                <c:pt idx="3">
                  <c:v>86.19</c:v>
                </c:pt>
                <c:pt idx="4">
                  <c:v>91.13</c:v>
                </c:pt>
                <c:pt idx="5">
                  <c:v>88.36</c:v>
                </c:pt>
                <c:pt idx="6">
                  <c:v>88.149999999999991</c:v>
                </c:pt>
              </c:numCache>
            </c:numRef>
          </c:val>
          <c:extLst>
            <c:ext xmlns:c16="http://schemas.microsoft.com/office/drawing/2014/chart" uri="{C3380CC4-5D6E-409C-BE32-E72D297353CC}">
              <c16:uniqueId val="{00000007-38C7-4A8B-AD9F-23F61409963A}"/>
            </c:ext>
          </c:extLst>
        </c:ser>
        <c:dLbls>
          <c:showLegendKey val="0"/>
          <c:showVal val="0"/>
          <c:showCatName val="0"/>
          <c:showSerName val="0"/>
          <c:showPercent val="0"/>
          <c:showBubbleSize val="0"/>
        </c:dLbls>
        <c:gapWidth val="150"/>
        <c:axId val="73961856"/>
        <c:axId val="82891904"/>
      </c:barChart>
      <c:catAx>
        <c:axId val="73961856"/>
        <c:scaling>
          <c:orientation val="minMax"/>
        </c:scaling>
        <c:delete val="0"/>
        <c:axPos val="b"/>
        <c:numFmt formatCode="General" sourceLinked="0"/>
        <c:majorTickMark val="none"/>
        <c:minorTickMark val="none"/>
        <c:tickLblPos val="nextTo"/>
        <c:spPr>
          <a:ln w="19050">
            <a:solidFill>
              <a:srgbClr val="002060"/>
            </a:solidFill>
          </a:ln>
        </c:spPr>
        <c:crossAx val="82891904"/>
        <c:crosses val="autoZero"/>
        <c:auto val="1"/>
        <c:lblAlgn val="ctr"/>
        <c:lblOffset val="100"/>
        <c:noMultiLvlLbl val="0"/>
      </c:catAx>
      <c:valAx>
        <c:axId val="82891904"/>
        <c:scaling>
          <c:orientation val="minMax"/>
          <c:max val="100"/>
          <c:min val="0"/>
        </c:scaling>
        <c:delete val="0"/>
        <c:axPos val="l"/>
        <c:majorGridlines/>
        <c:title>
          <c:tx>
            <c:rich>
              <a:bodyPr rot="-5400000" vert="horz"/>
              <a:lstStyle/>
              <a:p>
                <a:pPr>
                  <a:defRPr/>
                </a:pPr>
                <a:r>
                  <a:rPr lang="en-US"/>
                  <a:t>Plant height</a:t>
                </a:r>
              </a:p>
            </c:rich>
          </c:tx>
          <c:overlay val="0"/>
        </c:title>
        <c:numFmt formatCode="0" sourceLinked="0"/>
        <c:majorTickMark val="none"/>
        <c:minorTickMark val="none"/>
        <c:tickLblPos val="nextTo"/>
        <c:spPr>
          <a:ln w="19050">
            <a:solidFill>
              <a:srgbClr val="002060"/>
            </a:solidFill>
          </a:ln>
        </c:spPr>
        <c:crossAx val="73961856"/>
        <c:crosses val="autoZero"/>
        <c:crossBetween val="between"/>
        <c:majorUnit val="2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Fig!$C$199</c:f>
              <c:strCache>
                <c:ptCount val="1"/>
                <c:pt idx="0">
                  <c:v>Spike length (cm)</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AAA6-4BE8-8289-26C5A9E7563D}"/>
              </c:ext>
            </c:extLst>
          </c:dPt>
          <c:dPt>
            <c:idx val="1"/>
            <c:invertIfNegative val="0"/>
            <c:bubble3D val="0"/>
            <c:spPr>
              <a:solidFill>
                <a:srgbClr val="FFC000"/>
              </a:solidFill>
            </c:spPr>
            <c:extLst>
              <c:ext xmlns:c16="http://schemas.microsoft.com/office/drawing/2014/chart" uri="{C3380CC4-5D6E-409C-BE32-E72D297353CC}">
                <c16:uniqueId val="{00000001-AAA6-4BE8-8289-26C5A9E7563D}"/>
              </c:ext>
            </c:extLst>
          </c:dPt>
          <c:dPt>
            <c:idx val="2"/>
            <c:invertIfNegative val="0"/>
            <c:bubble3D val="0"/>
            <c:spPr>
              <a:solidFill>
                <a:srgbClr val="002060"/>
              </a:solidFill>
            </c:spPr>
            <c:extLst>
              <c:ext xmlns:c16="http://schemas.microsoft.com/office/drawing/2014/chart" uri="{C3380CC4-5D6E-409C-BE32-E72D297353CC}">
                <c16:uniqueId val="{00000002-AAA6-4BE8-8289-26C5A9E7563D}"/>
              </c:ext>
            </c:extLst>
          </c:dPt>
          <c:dPt>
            <c:idx val="3"/>
            <c:invertIfNegative val="0"/>
            <c:bubble3D val="0"/>
            <c:spPr>
              <a:solidFill>
                <a:srgbClr val="FF00FF"/>
              </a:solidFill>
            </c:spPr>
            <c:extLst>
              <c:ext xmlns:c16="http://schemas.microsoft.com/office/drawing/2014/chart" uri="{C3380CC4-5D6E-409C-BE32-E72D297353CC}">
                <c16:uniqueId val="{00000003-AAA6-4BE8-8289-26C5A9E7563D}"/>
              </c:ext>
            </c:extLst>
          </c:dPt>
          <c:dPt>
            <c:idx val="4"/>
            <c:invertIfNegative val="0"/>
            <c:bubble3D val="0"/>
            <c:spPr>
              <a:solidFill>
                <a:srgbClr val="006600"/>
              </a:solidFill>
            </c:spPr>
            <c:extLst>
              <c:ext xmlns:c16="http://schemas.microsoft.com/office/drawing/2014/chart" uri="{C3380CC4-5D6E-409C-BE32-E72D297353CC}">
                <c16:uniqueId val="{00000004-AAA6-4BE8-8289-26C5A9E7563D}"/>
              </c:ext>
            </c:extLst>
          </c:dPt>
          <c:dPt>
            <c:idx val="5"/>
            <c:invertIfNegative val="0"/>
            <c:bubble3D val="0"/>
            <c:spPr>
              <a:solidFill>
                <a:srgbClr val="00B050"/>
              </a:solidFill>
            </c:spPr>
            <c:extLst>
              <c:ext xmlns:c16="http://schemas.microsoft.com/office/drawing/2014/chart" uri="{C3380CC4-5D6E-409C-BE32-E72D297353CC}">
                <c16:uniqueId val="{00000005-AAA6-4BE8-8289-26C5A9E7563D}"/>
              </c:ext>
            </c:extLst>
          </c:dPt>
          <c:dPt>
            <c:idx val="6"/>
            <c:invertIfNegative val="0"/>
            <c:bubble3D val="0"/>
            <c:spPr>
              <a:solidFill>
                <a:srgbClr val="FFFF00"/>
              </a:solidFill>
            </c:spPr>
            <c:extLst>
              <c:ext xmlns:c16="http://schemas.microsoft.com/office/drawing/2014/chart" uri="{C3380CC4-5D6E-409C-BE32-E72D297353CC}">
                <c16:uniqueId val="{00000006-AAA6-4BE8-8289-26C5A9E7563D}"/>
              </c:ext>
            </c:extLst>
          </c:dPt>
          <c:cat>
            <c:strRef>
              <c:f>Fig!$B$200:$B$206</c:f>
              <c:strCache>
                <c:ptCount val="7"/>
                <c:pt idx="0">
                  <c:v>T1</c:v>
                </c:pt>
                <c:pt idx="1">
                  <c:v>T2</c:v>
                </c:pt>
                <c:pt idx="2">
                  <c:v>T3</c:v>
                </c:pt>
                <c:pt idx="3">
                  <c:v>T4</c:v>
                </c:pt>
                <c:pt idx="4">
                  <c:v>T5</c:v>
                </c:pt>
                <c:pt idx="5">
                  <c:v>T6</c:v>
                </c:pt>
                <c:pt idx="6">
                  <c:v>T7</c:v>
                </c:pt>
              </c:strCache>
            </c:strRef>
          </c:cat>
          <c:val>
            <c:numRef>
              <c:f>Fig!$C$200:$C$206</c:f>
              <c:numCache>
                <c:formatCode>0.00</c:formatCode>
                <c:ptCount val="7"/>
                <c:pt idx="0">
                  <c:v>9.4</c:v>
                </c:pt>
                <c:pt idx="1">
                  <c:v>9.8470000000000013</c:v>
                </c:pt>
                <c:pt idx="2">
                  <c:v>9.8970000000000002</c:v>
                </c:pt>
                <c:pt idx="3">
                  <c:v>10.030000000000001</c:v>
                </c:pt>
                <c:pt idx="4">
                  <c:v>11.18</c:v>
                </c:pt>
                <c:pt idx="5">
                  <c:v>10.927</c:v>
                </c:pt>
                <c:pt idx="6">
                  <c:v>10.847</c:v>
                </c:pt>
              </c:numCache>
            </c:numRef>
          </c:val>
          <c:extLst>
            <c:ext xmlns:c16="http://schemas.microsoft.com/office/drawing/2014/chart" uri="{C3380CC4-5D6E-409C-BE32-E72D297353CC}">
              <c16:uniqueId val="{00000007-AAA6-4BE8-8289-26C5A9E7563D}"/>
            </c:ext>
          </c:extLst>
        </c:ser>
        <c:dLbls>
          <c:showLegendKey val="0"/>
          <c:showVal val="0"/>
          <c:showCatName val="0"/>
          <c:showSerName val="0"/>
          <c:showPercent val="0"/>
          <c:showBubbleSize val="0"/>
        </c:dLbls>
        <c:gapWidth val="150"/>
        <c:axId val="85504000"/>
        <c:axId val="85534208"/>
      </c:barChart>
      <c:catAx>
        <c:axId val="85504000"/>
        <c:scaling>
          <c:orientation val="minMax"/>
        </c:scaling>
        <c:delete val="0"/>
        <c:axPos val="b"/>
        <c:numFmt formatCode="General" sourceLinked="0"/>
        <c:majorTickMark val="none"/>
        <c:minorTickMark val="none"/>
        <c:tickLblPos val="nextTo"/>
        <c:spPr>
          <a:ln w="19050">
            <a:solidFill>
              <a:srgbClr val="002060"/>
            </a:solidFill>
          </a:ln>
        </c:spPr>
        <c:crossAx val="85534208"/>
        <c:crosses val="autoZero"/>
        <c:auto val="1"/>
        <c:lblAlgn val="ctr"/>
        <c:lblOffset val="100"/>
        <c:noMultiLvlLbl val="0"/>
      </c:catAx>
      <c:valAx>
        <c:axId val="85534208"/>
        <c:scaling>
          <c:orientation val="minMax"/>
          <c:max val="20"/>
          <c:min val="0"/>
        </c:scaling>
        <c:delete val="0"/>
        <c:axPos val="l"/>
        <c:majorGridlines/>
        <c:title>
          <c:tx>
            <c:rich>
              <a:bodyPr rot="-5400000" vert="horz"/>
              <a:lstStyle/>
              <a:p>
                <a:pPr>
                  <a:defRPr/>
                </a:pPr>
                <a:r>
                  <a:rPr lang="en-US"/>
                  <a:t>Spike length (cm)</a:t>
                </a:r>
              </a:p>
            </c:rich>
          </c:tx>
          <c:overlay val="0"/>
        </c:title>
        <c:numFmt formatCode="0" sourceLinked="0"/>
        <c:majorTickMark val="none"/>
        <c:minorTickMark val="none"/>
        <c:tickLblPos val="nextTo"/>
        <c:spPr>
          <a:ln w="19050">
            <a:solidFill>
              <a:srgbClr val="002060"/>
            </a:solidFill>
          </a:ln>
        </c:spPr>
        <c:crossAx val="85504000"/>
        <c:crosses val="autoZero"/>
        <c:crossBetween val="between"/>
        <c:majorUnit val="5"/>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Fig!$C$103</c:f>
              <c:strCache>
                <c:ptCount val="1"/>
                <c:pt idx="0">
                  <c:v>No. of tiller/plant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7BE1-4EEA-A889-BEF4AE18DC5B}"/>
              </c:ext>
            </c:extLst>
          </c:dPt>
          <c:dPt>
            <c:idx val="1"/>
            <c:invertIfNegative val="0"/>
            <c:bubble3D val="0"/>
            <c:spPr>
              <a:solidFill>
                <a:srgbClr val="FFC000"/>
              </a:solidFill>
            </c:spPr>
            <c:extLst>
              <c:ext xmlns:c16="http://schemas.microsoft.com/office/drawing/2014/chart" uri="{C3380CC4-5D6E-409C-BE32-E72D297353CC}">
                <c16:uniqueId val="{00000001-7BE1-4EEA-A889-BEF4AE18DC5B}"/>
              </c:ext>
            </c:extLst>
          </c:dPt>
          <c:dPt>
            <c:idx val="2"/>
            <c:invertIfNegative val="0"/>
            <c:bubble3D val="0"/>
            <c:spPr>
              <a:solidFill>
                <a:srgbClr val="002060"/>
              </a:solidFill>
            </c:spPr>
            <c:extLst>
              <c:ext xmlns:c16="http://schemas.microsoft.com/office/drawing/2014/chart" uri="{C3380CC4-5D6E-409C-BE32-E72D297353CC}">
                <c16:uniqueId val="{00000002-7BE1-4EEA-A889-BEF4AE18DC5B}"/>
              </c:ext>
            </c:extLst>
          </c:dPt>
          <c:dPt>
            <c:idx val="3"/>
            <c:invertIfNegative val="0"/>
            <c:bubble3D val="0"/>
            <c:spPr>
              <a:solidFill>
                <a:srgbClr val="FF00FF"/>
              </a:solidFill>
            </c:spPr>
            <c:extLst>
              <c:ext xmlns:c16="http://schemas.microsoft.com/office/drawing/2014/chart" uri="{C3380CC4-5D6E-409C-BE32-E72D297353CC}">
                <c16:uniqueId val="{00000003-7BE1-4EEA-A889-BEF4AE18DC5B}"/>
              </c:ext>
            </c:extLst>
          </c:dPt>
          <c:dPt>
            <c:idx val="4"/>
            <c:invertIfNegative val="0"/>
            <c:bubble3D val="0"/>
            <c:spPr>
              <a:solidFill>
                <a:srgbClr val="006600"/>
              </a:solidFill>
            </c:spPr>
            <c:extLst>
              <c:ext xmlns:c16="http://schemas.microsoft.com/office/drawing/2014/chart" uri="{C3380CC4-5D6E-409C-BE32-E72D297353CC}">
                <c16:uniqueId val="{00000004-7BE1-4EEA-A889-BEF4AE18DC5B}"/>
              </c:ext>
            </c:extLst>
          </c:dPt>
          <c:dPt>
            <c:idx val="5"/>
            <c:invertIfNegative val="0"/>
            <c:bubble3D val="0"/>
            <c:spPr>
              <a:solidFill>
                <a:srgbClr val="00B050"/>
              </a:solidFill>
            </c:spPr>
            <c:extLst>
              <c:ext xmlns:c16="http://schemas.microsoft.com/office/drawing/2014/chart" uri="{C3380CC4-5D6E-409C-BE32-E72D297353CC}">
                <c16:uniqueId val="{00000005-7BE1-4EEA-A889-BEF4AE18DC5B}"/>
              </c:ext>
            </c:extLst>
          </c:dPt>
          <c:dPt>
            <c:idx val="6"/>
            <c:invertIfNegative val="0"/>
            <c:bubble3D val="0"/>
            <c:spPr>
              <a:solidFill>
                <a:srgbClr val="FFFF00"/>
              </a:solidFill>
            </c:spPr>
            <c:extLst>
              <c:ext xmlns:c16="http://schemas.microsoft.com/office/drawing/2014/chart" uri="{C3380CC4-5D6E-409C-BE32-E72D297353CC}">
                <c16:uniqueId val="{00000006-7BE1-4EEA-A889-BEF4AE18DC5B}"/>
              </c:ext>
            </c:extLst>
          </c:dPt>
          <c:cat>
            <c:strRef>
              <c:f>Fig!$B$104:$B$110</c:f>
              <c:strCache>
                <c:ptCount val="7"/>
                <c:pt idx="0">
                  <c:v>T1</c:v>
                </c:pt>
                <c:pt idx="1">
                  <c:v>T2</c:v>
                </c:pt>
                <c:pt idx="2">
                  <c:v>T3</c:v>
                </c:pt>
                <c:pt idx="3">
                  <c:v>T4</c:v>
                </c:pt>
                <c:pt idx="4">
                  <c:v>T5</c:v>
                </c:pt>
                <c:pt idx="5">
                  <c:v>T6</c:v>
                </c:pt>
                <c:pt idx="6">
                  <c:v>T7</c:v>
                </c:pt>
              </c:strCache>
            </c:strRef>
          </c:cat>
          <c:val>
            <c:numRef>
              <c:f>Fig!$C$104:$C$110</c:f>
              <c:numCache>
                <c:formatCode>0.00</c:formatCode>
                <c:ptCount val="7"/>
                <c:pt idx="0">
                  <c:v>6.0330000000000004</c:v>
                </c:pt>
                <c:pt idx="1">
                  <c:v>7.0330000000000004</c:v>
                </c:pt>
                <c:pt idx="2">
                  <c:v>7.3330000000000002</c:v>
                </c:pt>
                <c:pt idx="3">
                  <c:v>8.1330000000000009</c:v>
                </c:pt>
                <c:pt idx="4">
                  <c:v>9.2330000000000005</c:v>
                </c:pt>
                <c:pt idx="5">
                  <c:v>9.0670000000000002</c:v>
                </c:pt>
                <c:pt idx="6">
                  <c:v>8.5170000000000012</c:v>
                </c:pt>
              </c:numCache>
            </c:numRef>
          </c:val>
          <c:extLst>
            <c:ext xmlns:c16="http://schemas.microsoft.com/office/drawing/2014/chart" uri="{C3380CC4-5D6E-409C-BE32-E72D297353CC}">
              <c16:uniqueId val="{00000007-7BE1-4EEA-A889-BEF4AE18DC5B}"/>
            </c:ext>
          </c:extLst>
        </c:ser>
        <c:dLbls>
          <c:showLegendKey val="0"/>
          <c:showVal val="0"/>
          <c:showCatName val="0"/>
          <c:showSerName val="0"/>
          <c:showPercent val="0"/>
          <c:showBubbleSize val="0"/>
        </c:dLbls>
        <c:gapWidth val="150"/>
        <c:axId val="88263296"/>
        <c:axId val="89907200"/>
      </c:barChart>
      <c:catAx>
        <c:axId val="88263296"/>
        <c:scaling>
          <c:orientation val="minMax"/>
        </c:scaling>
        <c:delete val="0"/>
        <c:axPos val="b"/>
        <c:numFmt formatCode="General" sourceLinked="0"/>
        <c:majorTickMark val="none"/>
        <c:minorTickMark val="none"/>
        <c:tickLblPos val="nextTo"/>
        <c:spPr>
          <a:ln w="19050">
            <a:solidFill>
              <a:srgbClr val="002060"/>
            </a:solidFill>
          </a:ln>
        </c:spPr>
        <c:crossAx val="89907200"/>
        <c:crosses val="autoZero"/>
        <c:auto val="1"/>
        <c:lblAlgn val="ctr"/>
        <c:lblOffset val="100"/>
        <c:noMultiLvlLbl val="0"/>
      </c:catAx>
      <c:valAx>
        <c:axId val="89907200"/>
        <c:scaling>
          <c:orientation val="minMax"/>
          <c:max val="10"/>
          <c:min val="0"/>
        </c:scaling>
        <c:delete val="0"/>
        <c:axPos val="l"/>
        <c:majorGridlines/>
        <c:title>
          <c:tx>
            <c:rich>
              <a:bodyPr rot="-5400000" vert="horz"/>
              <a:lstStyle/>
              <a:p>
                <a:pPr>
                  <a:defRPr/>
                </a:pPr>
                <a:r>
                  <a:rPr lang="en-US"/>
                  <a:t>No. of tiller/plant</a:t>
                </a:r>
              </a:p>
            </c:rich>
          </c:tx>
          <c:overlay val="0"/>
        </c:title>
        <c:numFmt formatCode="0.00" sourceLinked="0"/>
        <c:majorTickMark val="none"/>
        <c:minorTickMark val="none"/>
        <c:tickLblPos val="nextTo"/>
        <c:spPr>
          <a:ln w="19050">
            <a:solidFill>
              <a:srgbClr val="002060"/>
            </a:solidFill>
          </a:ln>
        </c:spPr>
        <c:crossAx val="88263296"/>
        <c:crosses val="autoZero"/>
        <c:crossBetween val="between"/>
        <c:majorUnit val="2"/>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Fig!$C$144</c:f>
              <c:strCache>
                <c:ptCount val="1"/>
                <c:pt idx="0">
                  <c:v>N0. of  Spike/ Plant</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D440-4B19-9D8D-ED3AA70C2843}"/>
              </c:ext>
            </c:extLst>
          </c:dPt>
          <c:dPt>
            <c:idx val="1"/>
            <c:invertIfNegative val="0"/>
            <c:bubble3D val="0"/>
            <c:spPr>
              <a:solidFill>
                <a:srgbClr val="FFC000"/>
              </a:solidFill>
            </c:spPr>
            <c:extLst>
              <c:ext xmlns:c16="http://schemas.microsoft.com/office/drawing/2014/chart" uri="{C3380CC4-5D6E-409C-BE32-E72D297353CC}">
                <c16:uniqueId val="{00000001-D440-4B19-9D8D-ED3AA70C2843}"/>
              </c:ext>
            </c:extLst>
          </c:dPt>
          <c:dPt>
            <c:idx val="2"/>
            <c:invertIfNegative val="0"/>
            <c:bubble3D val="0"/>
            <c:spPr>
              <a:solidFill>
                <a:srgbClr val="002060"/>
              </a:solidFill>
            </c:spPr>
            <c:extLst>
              <c:ext xmlns:c16="http://schemas.microsoft.com/office/drawing/2014/chart" uri="{C3380CC4-5D6E-409C-BE32-E72D297353CC}">
                <c16:uniqueId val="{00000002-D440-4B19-9D8D-ED3AA70C2843}"/>
              </c:ext>
            </c:extLst>
          </c:dPt>
          <c:dPt>
            <c:idx val="3"/>
            <c:invertIfNegative val="0"/>
            <c:bubble3D val="0"/>
            <c:spPr>
              <a:solidFill>
                <a:srgbClr val="FF00FF"/>
              </a:solidFill>
            </c:spPr>
            <c:extLst>
              <c:ext xmlns:c16="http://schemas.microsoft.com/office/drawing/2014/chart" uri="{C3380CC4-5D6E-409C-BE32-E72D297353CC}">
                <c16:uniqueId val="{00000003-D440-4B19-9D8D-ED3AA70C2843}"/>
              </c:ext>
            </c:extLst>
          </c:dPt>
          <c:dPt>
            <c:idx val="4"/>
            <c:invertIfNegative val="0"/>
            <c:bubble3D val="0"/>
            <c:spPr>
              <a:solidFill>
                <a:srgbClr val="006600"/>
              </a:solidFill>
            </c:spPr>
            <c:extLst>
              <c:ext xmlns:c16="http://schemas.microsoft.com/office/drawing/2014/chart" uri="{C3380CC4-5D6E-409C-BE32-E72D297353CC}">
                <c16:uniqueId val="{00000004-D440-4B19-9D8D-ED3AA70C2843}"/>
              </c:ext>
            </c:extLst>
          </c:dPt>
          <c:dPt>
            <c:idx val="5"/>
            <c:invertIfNegative val="0"/>
            <c:bubble3D val="0"/>
            <c:spPr>
              <a:solidFill>
                <a:srgbClr val="00B050"/>
              </a:solidFill>
            </c:spPr>
            <c:extLst>
              <c:ext xmlns:c16="http://schemas.microsoft.com/office/drawing/2014/chart" uri="{C3380CC4-5D6E-409C-BE32-E72D297353CC}">
                <c16:uniqueId val="{00000005-D440-4B19-9D8D-ED3AA70C2843}"/>
              </c:ext>
            </c:extLst>
          </c:dPt>
          <c:dPt>
            <c:idx val="6"/>
            <c:invertIfNegative val="0"/>
            <c:bubble3D val="0"/>
            <c:spPr>
              <a:solidFill>
                <a:srgbClr val="FFFF00"/>
              </a:solidFill>
            </c:spPr>
            <c:extLst>
              <c:ext xmlns:c16="http://schemas.microsoft.com/office/drawing/2014/chart" uri="{C3380CC4-5D6E-409C-BE32-E72D297353CC}">
                <c16:uniqueId val="{00000006-D440-4B19-9D8D-ED3AA70C2843}"/>
              </c:ext>
            </c:extLst>
          </c:dPt>
          <c:cat>
            <c:strRef>
              <c:f>Fig!$B$145:$B$151</c:f>
              <c:strCache>
                <c:ptCount val="7"/>
                <c:pt idx="0">
                  <c:v>T1</c:v>
                </c:pt>
                <c:pt idx="1">
                  <c:v>T2</c:v>
                </c:pt>
                <c:pt idx="2">
                  <c:v>T3</c:v>
                </c:pt>
                <c:pt idx="3">
                  <c:v>T4</c:v>
                </c:pt>
                <c:pt idx="4">
                  <c:v>T5</c:v>
                </c:pt>
                <c:pt idx="5">
                  <c:v>T6</c:v>
                </c:pt>
                <c:pt idx="6">
                  <c:v>T7</c:v>
                </c:pt>
              </c:strCache>
            </c:strRef>
          </c:cat>
          <c:val>
            <c:numRef>
              <c:f>Fig!$C$145:$C$151</c:f>
              <c:numCache>
                <c:formatCode>0.00</c:formatCode>
                <c:ptCount val="7"/>
                <c:pt idx="0">
                  <c:v>4.7430000000000003</c:v>
                </c:pt>
                <c:pt idx="1">
                  <c:v>5.5169999999999995</c:v>
                </c:pt>
                <c:pt idx="2">
                  <c:v>6.2130000000000001</c:v>
                </c:pt>
                <c:pt idx="3">
                  <c:v>6.9130000000000003</c:v>
                </c:pt>
                <c:pt idx="4">
                  <c:v>7.5030000000000001</c:v>
                </c:pt>
                <c:pt idx="5">
                  <c:v>7.1069999999999975</c:v>
                </c:pt>
                <c:pt idx="6">
                  <c:v>7.2169999999999996</c:v>
                </c:pt>
              </c:numCache>
            </c:numRef>
          </c:val>
          <c:extLst>
            <c:ext xmlns:c16="http://schemas.microsoft.com/office/drawing/2014/chart" uri="{C3380CC4-5D6E-409C-BE32-E72D297353CC}">
              <c16:uniqueId val="{00000007-D440-4B19-9D8D-ED3AA70C2843}"/>
            </c:ext>
          </c:extLst>
        </c:ser>
        <c:dLbls>
          <c:showLegendKey val="0"/>
          <c:showVal val="0"/>
          <c:showCatName val="0"/>
          <c:showSerName val="0"/>
          <c:showPercent val="0"/>
          <c:showBubbleSize val="0"/>
        </c:dLbls>
        <c:gapWidth val="150"/>
        <c:axId val="95523968"/>
        <c:axId val="95525888"/>
      </c:barChart>
      <c:catAx>
        <c:axId val="95523968"/>
        <c:scaling>
          <c:orientation val="minMax"/>
        </c:scaling>
        <c:delete val="0"/>
        <c:axPos val="b"/>
        <c:numFmt formatCode="General" sourceLinked="0"/>
        <c:majorTickMark val="none"/>
        <c:minorTickMark val="none"/>
        <c:tickLblPos val="nextTo"/>
        <c:spPr>
          <a:ln w="19050">
            <a:solidFill>
              <a:srgbClr val="002060"/>
            </a:solidFill>
          </a:ln>
        </c:spPr>
        <c:crossAx val="95525888"/>
        <c:crosses val="autoZero"/>
        <c:auto val="1"/>
        <c:lblAlgn val="ctr"/>
        <c:lblOffset val="100"/>
        <c:noMultiLvlLbl val="0"/>
      </c:catAx>
      <c:valAx>
        <c:axId val="95525888"/>
        <c:scaling>
          <c:orientation val="minMax"/>
          <c:max val="10"/>
          <c:min val="0"/>
        </c:scaling>
        <c:delete val="0"/>
        <c:axPos val="l"/>
        <c:majorGridlines/>
        <c:title>
          <c:tx>
            <c:rich>
              <a:bodyPr rot="-5400000" vert="horz"/>
              <a:lstStyle/>
              <a:p>
                <a:pPr>
                  <a:defRPr/>
                </a:pPr>
                <a:r>
                  <a:rPr lang="en-US"/>
                  <a:t>N0. of  Spike/ Plant</a:t>
                </a:r>
              </a:p>
            </c:rich>
          </c:tx>
          <c:overlay val="0"/>
        </c:title>
        <c:numFmt formatCode="0" sourceLinked="0"/>
        <c:majorTickMark val="none"/>
        <c:minorTickMark val="none"/>
        <c:tickLblPos val="nextTo"/>
        <c:spPr>
          <a:ln w="19050">
            <a:solidFill>
              <a:srgbClr val="002060"/>
            </a:solidFill>
          </a:ln>
        </c:spPr>
        <c:crossAx val="95523968"/>
        <c:crosses val="autoZero"/>
        <c:crossBetween val="between"/>
        <c:majorUnit val="2"/>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Fig!$C$165</c:f>
              <c:strCache>
                <c:ptCount val="1"/>
                <c:pt idx="0">
                  <c:v>No. of seed / spike</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946D-4F45-89E5-1D18E4D10917}"/>
              </c:ext>
            </c:extLst>
          </c:dPt>
          <c:dPt>
            <c:idx val="1"/>
            <c:invertIfNegative val="0"/>
            <c:bubble3D val="0"/>
            <c:spPr>
              <a:solidFill>
                <a:srgbClr val="FFC000"/>
              </a:solidFill>
            </c:spPr>
            <c:extLst>
              <c:ext xmlns:c16="http://schemas.microsoft.com/office/drawing/2014/chart" uri="{C3380CC4-5D6E-409C-BE32-E72D297353CC}">
                <c16:uniqueId val="{00000001-946D-4F45-89E5-1D18E4D10917}"/>
              </c:ext>
            </c:extLst>
          </c:dPt>
          <c:dPt>
            <c:idx val="2"/>
            <c:invertIfNegative val="0"/>
            <c:bubble3D val="0"/>
            <c:spPr>
              <a:solidFill>
                <a:srgbClr val="002060"/>
              </a:solidFill>
            </c:spPr>
            <c:extLst>
              <c:ext xmlns:c16="http://schemas.microsoft.com/office/drawing/2014/chart" uri="{C3380CC4-5D6E-409C-BE32-E72D297353CC}">
                <c16:uniqueId val="{00000002-946D-4F45-89E5-1D18E4D10917}"/>
              </c:ext>
            </c:extLst>
          </c:dPt>
          <c:dPt>
            <c:idx val="3"/>
            <c:invertIfNegative val="0"/>
            <c:bubble3D val="0"/>
            <c:spPr>
              <a:solidFill>
                <a:srgbClr val="FF00FF"/>
              </a:solidFill>
            </c:spPr>
            <c:extLst>
              <c:ext xmlns:c16="http://schemas.microsoft.com/office/drawing/2014/chart" uri="{C3380CC4-5D6E-409C-BE32-E72D297353CC}">
                <c16:uniqueId val="{00000003-946D-4F45-89E5-1D18E4D10917}"/>
              </c:ext>
            </c:extLst>
          </c:dPt>
          <c:dPt>
            <c:idx val="4"/>
            <c:invertIfNegative val="0"/>
            <c:bubble3D val="0"/>
            <c:spPr>
              <a:solidFill>
                <a:srgbClr val="006600"/>
              </a:solidFill>
            </c:spPr>
            <c:extLst>
              <c:ext xmlns:c16="http://schemas.microsoft.com/office/drawing/2014/chart" uri="{C3380CC4-5D6E-409C-BE32-E72D297353CC}">
                <c16:uniqueId val="{00000004-946D-4F45-89E5-1D18E4D10917}"/>
              </c:ext>
            </c:extLst>
          </c:dPt>
          <c:dPt>
            <c:idx val="5"/>
            <c:invertIfNegative val="0"/>
            <c:bubble3D val="0"/>
            <c:spPr>
              <a:solidFill>
                <a:srgbClr val="00B050"/>
              </a:solidFill>
            </c:spPr>
            <c:extLst>
              <c:ext xmlns:c16="http://schemas.microsoft.com/office/drawing/2014/chart" uri="{C3380CC4-5D6E-409C-BE32-E72D297353CC}">
                <c16:uniqueId val="{00000005-946D-4F45-89E5-1D18E4D10917}"/>
              </c:ext>
            </c:extLst>
          </c:dPt>
          <c:dPt>
            <c:idx val="6"/>
            <c:invertIfNegative val="0"/>
            <c:bubble3D val="0"/>
            <c:spPr>
              <a:solidFill>
                <a:srgbClr val="FFFF00"/>
              </a:solidFill>
            </c:spPr>
            <c:extLst>
              <c:ext xmlns:c16="http://schemas.microsoft.com/office/drawing/2014/chart" uri="{C3380CC4-5D6E-409C-BE32-E72D297353CC}">
                <c16:uniqueId val="{00000006-946D-4F45-89E5-1D18E4D10917}"/>
              </c:ext>
            </c:extLst>
          </c:dPt>
          <c:cat>
            <c:strRef>
              <c:f>Fig!$B$166:$B$172</c:f>
              <c:strCache>
                <c:ptCount val="7"/>
                <c:pt idx="0">
                  <c:v>T1</c:v>
                </c:pt>
                <c:pt idx="1">
                  <c:v>T2</c:v>
                </c:pt>
                <c:pt idx="2">
                  <c:v>T3</c:v>
                </c:pt>
                <c:pt idx="3">
                  <c:v>T4</c:v>
                </c:pt>
                <c:pt idx="4">
                  <c:v>T5</c:v>
                </c:pt>
                <c:pt idx="5">
                  <c:v>T6</c:v>
                </c:pt>
                <c:pt idx="6">
                  <c:v>T7</c:v>
                </c:pt>
              </c:strCache>
            </c:strRef>
          </c:cat>
          <c:val>
            <c:numRef>
              <c:f>Fig!$C$166:$C$172</c:f>
              <c:numCache>
                <c:formatCode>0.00</c:formatCode>
                <c:ptCount val="7"/>
                <c:pt idx="0">
                  <c:v>16.399999999999999</c:v>
                </c:pt>
                <c:pt idx="1">
                  <c:v>16.982999999999979</c:v>
                </c:pt>
                <c:pt idx="2">
                  <c:v>17.933</c:v>
                </c:pt>
                <c:pt idx="3">
                  <c:v>18.510000000000005</c:v>
                </c:pt>
                <c:pt idx="4">
                  <c:v>19.696999999999999</c:v>
                </c:pt>
                <c:pt idx="5">
                  <c:v>18.553000000000001</c:v>
                </c:pt>
                <c:pt idx="6">
                  <c:v>17.959999999999987</c:v>
                </c:pt>
              </c:numCache>
            </c:numRef>
          </c:val>
          <c:extLst>
            <c:ext xmlns:c16="http://schemas.microsoft.com/office/drawing/2014/chart" uri="{C3380CC4-5D6E-409C-BE32-E72D297353CC}">
              <c16:uniqueId val="{00000007-946D-4F45-89E5-1D18E4D10917}"/>
            </c:ext>
          </c:extLst>
        </c:ser>
        <c:dLbls>
          <c:showLegendKey val="0"/>
          <c:showVal val="0"/>
          <c:showCatName val="0"/>
          <c:showSerName val="0"/>
          <c:showPercent val="0"/>
          <c:showBubbleSize val="0"/>
        </c:dLbls>
        <c:gapWidth val="150"/>
        <c:axId val="120089600"/>
        <c:axId val="95417088"/>
      </c:barChart>
      <c:catAx>
        <c:axId val="120089600"/>
        <c:scaling>
          <c:orientation val="minMax"/>
        </c:scaling>
        <c:delete val="0"/>
        <c:axPos val="b"/>
        <c:numFmt formatCode="General" sourceLinked="0"/>
        <c:majorTickMark val="none"/>
        <c:minorTickMark val="none"/>
        <c:tickLblPos val="nextTo"/>
        <c:spPr>
          <a:ln w="19050">
            <a:solidFill>
              <a:srgbClr val="002060"/>
            </a:solidFill>
          </a:ln>
        </c:spPr>
        <c:crossAx val="95417088"/>
        <c:crosses val="autoZero"/>
        <c:auto val="1"/>
        <c:lblAlgn val="ctr"/>
        <c:lblOffset val="100"/>
        <c:noMultiLvlLbl val="0"/>
      </c:catAx>
      <c:valAx>
        <c:axId val="95417088"/>
        <c:scaling>
          <c:orientation val="minMax"/>
          <c:max val="25"/>
        </c:scaling>
        <c:delete val="0"/>
        <c:axPos val="l"/>
        <c:majorGridlines/>
        <c:title>
          <c:tx>
            <c:rich>
              <a:bodyPr rot="-5400000" vert="horz"/>
              <a:lstStyle/>
              <a:p>
                <a:pPr>
                  <a:defRPr/>
                </a:pPr>
                <a:r>
                  <a:rPr lang="en-US"/>
                  <a:t>No. of seed / spike</a:t>
                </a:r>
              </a:p>
            </c:rich>
          </c:tx>
          <c:overlay val="0"/>
        </c:title>
        <c:numFmt formatCode="0" sourceLinked="0"/>
        <c:majorTickMark val="none"/>
        <c:minorTickMark val="none"/>
        <c:tickLblPos val="nextTo"/>
        <c:spPr>
          <a:ln w="19050">
            <a:solidFill>
              <a:srgbClr val="002060"/>
            </a:solidFill>
          </a:ln>
        </c:spPr>
        <c:crossAx val="120089600"/>
        <c:crosses val="autoZero"/>
        <c:crossBetween val="between"/>
        <c:majorUnit val="10"/>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barChart>
        <c:barDir val="col"/>
        <c:grouping val="clustered"/>
        <c:varyColors val="0"/>
        <c:ser>
          <c:idx val="0"/>
          <c:order val="0"/>
          <c:tx>
            <c:strRef>
              <c:f>Fig!$C$216</c:f>
              <c:strCache>
                <c:ptCount val="1"/>
                <c:pt idx="0">
                  <c:v>Seed yield / Plant (G)</c:v>
                </c:pt>
              </c:strCache>
            </c:strRef>
          </c:tx>
          <c:invertIfNegative val="0"/>
          <c:dPt>
            <c:idx val="0"/>
            <c:invertIfNegative val="0"/>
            <c:bubble3D val="0"/>
            <c:spPr>
              <a:solidFill>
                <a:schemeClr val="accent2"/>
              </a:solidFill>
            </c:spPr>
            <c:extLst>
              <c:ext xmlns:c16="http://schemas.microsoft.com/office/drawing/2014/chart" uri="{C3380CC4-5D6E-409C-BE32-E72D297353CC}">
                <c16:uniqueId val="{00000000-BFB9-4F53-9090-E50062B21317}"/>
              </c:ext>
            </c:extLst>
          </c:dPt>
          <c:dPt>
            <c:idx val="1"/>
            <c:invertIfNegative val="0"/>
            <c:bubble3D val="0"/>
            <c:spPr>
              <a:solidFill>
                <a:srgbClr val="FFC000"/>
              </a:solidFill>
            </c:spPr>
            <c:extLst>
              <c:ext xmlns:c16="http://schemas.microsoft.com/office/drawing/2014/chart" uri="{C3380CC4-5D6E-409C-BE32-E72D297353CC}">
                <c16:uniqueId val="{00000001-BFB9-4F53-9090-E50062B21317}"/>
              </c:ext>
            </c:extLst>
          </c:dPt>
          <c:dPt>
            <c:idx val="2"/>
            <c:invertIfNegative val="0"/>
            <c:bubble3D val="0"/>
            <c:spPr>
              <a:solidFill>
                <a:srgbClr val="002060"/>
              </a:solidFill>
            </c:spPr>
            <c:extLst>
              <c:ext xmlns:c16="http://schemas.microsoft.com/office/drawing/2014/chart" uri="{C3380CC4-5D6E-409C-BE32-E72D297353CC}">
                <c16:uniqueId val="{00000002-BFB9-4F53-9090-E50062B21317}"/>
              </c:ext>
            </c:extLst>
          </c:dPt>
          <c:dPt>
            <c:idx val="3"/>
            <c:invertIfNegative val="0"/>
            <c:bubble3D val="0"/>
            <c:spPr>
              <a:solidFill>
                <a:srgbClr val="FF00FF"/>
              </a:solidFill>
            </c:spPr>
            <c:extLst>
              <c:ext xmlns:c16="http://schemas.microsoft.com/office/drawing/2014/chart" uri="{C3380CC4-5D6E-409C-BE32-E72D297353CC}">
                <c16:uniqueId val="{00000003-BFB9-4F53-9090-E50062B21317}"/>
              </c:ext>
            </c:extLst>
          </c:dPt>
          <c:dPt>
            <c:idx val="4"/>
            <c:invertIfNegative val="0"/>
            <c:bubble3D val="0"/>
            <c:spPr>
              <a:solidFill>
                <a:srgbClr val="006600"/>
              </a:solidFill>
            </c:spPr>
            <c:extLst>
              <c:ext xmlns:c16="http://schemas.microsoft.com/office/drawing/2014/chart" uri="{C3380CC4-5D6E-409C-BE32-E72D297353CC}">
                <c16:uniqueId val="{00000004-BFB9-4F53-9090-E50062B21317}"/>
              </c:ext>
            </c:extLst>
          </c:dPt>
          <c:dPt>
            <c:idx val="5"/>
            <c:invertIfNegative val="0"/>
            <c:bubble3D val="0"/>
            <c:spPr>
              <a:solidFill>
                <a:srgbClr val="00B050"/>
              </a:solidFill>
            </c:spPr>
            <c:extLst>
              <c:ext xmlns:c16="http://schemas.microsoft.com/office/drawing/2014/chart" uri="{C3380CC4-5D6E-409C-BE32-E72D297353CC}">
                <c16:uniqueId val="{00000005-BFB9-4F53-9090-E50062B21317}"/>
              </c:ext>
            </c:extLst>
          </c:dPt>
          <c:dPt>
            <c:idx val="6"/>
            <c:invertIfNegative val="0"/>
            <c:bubble3D val="0"/>
            <c:spPr>
              <a:solidFill>
                <a:srgbClr val="FFFF00"/>
              </a:solidFill>
            </c:spPr>
            <c:extLst>
              <c:ext xmlns:c16="http://schemas.microsoft.com/office/drawing/2014/chart" uri="{C3380CC4-5D6E-409C-BE32-E72D297353CC}">
                <c16:uniqueId val="{00000006-BFB9-4F53-9090-E50062B21317}"/>
              </c:ext>
            </c:extLst>
          </c:dPt>
          <c:cat>
            <c:strRef>
              <c:f>Fig!$B$217:$B$223</c:f>
              <c:strCache>
                <c:ptCount val="7"/>
                <c:pt idx="0">
                  <c:v>T1</c:v>
                </c:pt>
                <c:pt idx="1">
                  <c:v>T2</c:v>
                </c:pt>
                <c:pt idx="2">
                  <c:v>T3</c:v>
                </c:pt>
                <c:pt idx="3">
                  <c:v>T4</c:v>
                </c:pt>
                <c:pt idx="4">
                  <c:v>T5</c:v>
                </c:pt>
                <c:pt idx="5">
                  <c:v>T6</c:v>
                </c:pt>
                <c:pt idx="6">
                  <c:v>T7</c:v>
                </c:pt>
              </c:strCache>
            </c:strRef>
          </c:cat>
          <c:val>
            <c:numRef>
              <c:f>Fig!$C$217:$C$223</c:f>
              <c:numCache>
                <c:formatCode>0.00</c:formatCode>
                <c:ptCount val="7"/>
                <c:pt idx="0">
                  <c:v>8.9170000000000016</c:v>
                </c:pt>
                <c:pt idx="1">
                  <c:v>9.8030000000000008</c:v>
                </c:pt>
                <c:pt idx="2">
                  <c:v>9.99</c:v>
                </c:pt>
                <c:pt idx="3">
                  <c:v>10.16</c:v>
                </c:pt>
                <c:pt idx="4">
                  <c:v>10.807</c:v>
                </c:pt>
                <c:pt idx="5">
                  <c:v>10.75</c:v>
                </c:pt>
                <c:pt idx="6">
                  <c:v>10.33</c:v>
                </c:pt>
              </c:numCache>
            </c:numRef>
          </c:val>
          <c:extLst>
            <c:ext xmlns:c16="http://schemas.microsoft.com/office/drawing/2014/chart" uri="{C3380CC4-5D6E-409C-BE32-E72D297353CC}">
              <c16:uniqueId val="{00000007-BFB9-4F53-9090-E50062B21317}"/>
            </c:ext>
          </c:extLst>
        </c:ser>
        <c:dLbls>
          <c:showLegendKey val="0"/>
          <c:showVal val="0"/>
          <c:showCatName val="0"/>
          <c:showSerName val="0"/>
          <c:showPercent val="0"/>
          <c:showBubbleSize val="0"/>
        </c:dLbls>
        <c:gapWidth val="150"/>
        <c:axId val="95564544"/>
        <c:axId val="95566080"/>
      </c:barChart>
      <c:catAx>
        <c:axId val="95564544"/>
        <c:scaling>
          <c:orientation val="minMax"/>
        </c:scaling>
        <c:delete val="0"/>
        <c:axPos val="b"/>
        <c:numFmt formatCode="General" sourceLinked="0"/>
        <c:majorTickMark val="none"/>
        <c:minorTickMark val="none"/>
        <c:tickLblPos val="nextTo"/>
        <c:spPr>
          <a:ln w="19050">
            <a:solidFill>
              <a:srgbClr val="002060"/>
            </a:solidFill>
          </a:ln>
        </c:spPr>
        <c:crossAx val="95566080"/>
        <c:crosses val="autoZero"/>
        <c:auto val="1"/>
        <c:lblAlgn val="ctr"/>
        <c:lblOffset val="100"/>
        <c:noMultiLvlLbl val="0"/>
      </c:catAx>
      <c:valAx>
        <c:axId val="95566080"/>
        <c:scaling>
          <c:orientation val="minMax"/>
          <c:max val="15"/>
        </c:scaling>
        <c:delete val="0"/>
        <c:axPos val="l"/>
        <c:majorGridlines/>
        <c:title>
          <c:tx>
            <c:rich>
              <a:bodyPr rot="-5400000" vert="horz"/>
              <a:lstStyle/>
              <a:p>
                <a:pPr>
                  <a:defRPr/>
                </a:pPr>
                <a:r>
                  <a:rPr lang="en-US"/>
                  <a:t>Seed yield / Plant</a:t>
                </a:r>
              </a:p>
            </c:rich>
          </c:tx>
          <c:overlay val="0"/>
        </c:title>
        <c:numFmt formatCode="0" sourceLinked="0"/>
        <c:majorTickMark val="none"/>
        <c:minorTickMark val="none"/>
        <c:tickLblPos val="nextTo"/>
        <c:spPr>
          <a:ln w="19050">
            <a:solidFill>
              <a:srgbClr val="002060"/>
            </a:solidFill>
          </a:ln>
        </c:spPr>
        <c:crossAx val="95564544"/>
        <c:crosses val="autoZero"/>
        <c:crossBetween val="between"/>
        <c:majorUnit val="3"/>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TotalTime>
  <Pages>14</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SDI 1166</cp:lastModifiedBy>
  <cp:revision>93</cp:revision>
  <dcterms:created xsi:type="dcterms:W3CDTF">2025-11-13T14:04:00Z</dcterms:created>
  <dcterms:modified xsi:type="dcterms:W3CDTF">2026-07-02T07:44:00Z</dcterms:modified>
</cp:coreProperties>
</file>