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7741" w14:textId="01E0B500" w:rsidR="00392F58" w:rsidRDefault="00392F58" w:rsidP="00392F5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92F58">
        <w:rPr>
          <w:rFonts w:ascii="Times New Roman" w:eastAsia="Times New Roman" w:hAnsi="Times New Roman" w:cs="Times New Roman"/>
          <w:b/>
          <w:bCs/>
          <w:sz w:val="36"/>
          <w:szCs w:val="36"/>
          <w:lang w:eastAsia="en-GB"/>
        </w:rPr>
        <w:t>Green Innovation Strategies and Organisational Performance of Tea Processing Firms in Kenya: An Empirical Literature Review</w:t>
      </w:r>
    </w:p>
    <w:p w14:paraId="248C60FF" w14:textId="77777777" w:rsidR="001437D3" w:rsidRPr="00392F58" w:rsidRDefault="001437D3" w:rsidP="00392F5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14:paraId="4AA1B00F"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Abstract</w:t>
      </w:r>
    </w:p>
    <w:p w14:paraId="37EC192D"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Tea processing is one of the most environmentally intensive branches of Kenyan agro-industry, consuming large volumes of thermal energy, fuelwood and water while generating effluent, fibre waste and greenhouse gas emissions. As global buyers, certification bodies and domestic regulators tighten expectations around environmental stewardship, tea processing firms face growing pressure to reconcile ecological responsibility with commercial viability. Green innovation, understood as the introduction of new or modified products, processes, organisational practices and human resource systems that reduce environmental harm, has been proposed as a strategic pathway through which firms can meet these pressures while sustaining or improving organisational performance. This review synthesises the empirical and theoretical literature on green innovation strategies and organisational performance, with particular attention to tea processing firms in Kenya and to closely related agro-industrial and manufacturing contexts in sub-Saharan Africa and other developing economies. Drawing on the natural resource-based view, institutional theory and the resource-based view of the firm, the review traces how green product innovation, green process innovation, green supply chain management, green human resource management and circular-economy waste valorisation relate to environmental, financial and competitive outcomes. The synthesis indicates a generally positive but heterogeneous relationship between green innovation and firm performance, moderated by firm size, certification status, regulatory stringency and the degree to which innovations are pursued in an integrated rather than piecemeal fashion. Kenyan tea-sector evidence remains thin relative to the wider international literature, is concentrated in a small number of counties, and relies heavily on cross-sectional survey designs. The review identifies research gaps around longitudinal evidence, waste-to-value pathways specific to tea by-products, and the institutional mechanisms that translate certification pressure into measurable performance gains, and it sets out an agenda for future empirical work in this sector.</w:t>
      </w:r>
    </w:p>
    <w:p w14:paraId="778E9222"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Keywords:</w:t>
      </w:r>
      <w:r w:rsidRPr="00392F58">
        <w:rPr>
          <w:rFonts w:ascii="Times New Roman" w:eastAsia="Times New Roman" w:hAnsi="Times New Roman" w:cs="Times New Roman"/>
          <w:sz w:val="24"/>
          <w:szCs w:val="24"/>
          <w:lang w:eastAsia="en-GB"/>
        </w:rPr>
        <w:t xml:space="preserve"> green innovation, organisational performance, tea processing, Kenya, natural resource-based view, sustainability, agribusiness</w:t>
      </w:r>
    </w:p>
    <w:p w14:paraId="33892ACC"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 Introduction</w:t>
      </w:r>
    </w:p>
    <w:p w14:paraId="303BA51C"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1.1 The environmental stakes of agro-industrial processing in developing economies</w:t>
      </w:r>
    </w:p>
    <w:p w14:paraId="7B39E435"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industries in developing economies sit at an uneasy intersection of economic necessity and ecological cost. Converting raw agricultural output into exportable commodities typically requires substantial thermal energy, water and land, and it generates waste streams that, left unmanaged, degrade soils, waterways and air quality (</w:t>
      </w:r>
      <w:proofErr w:type="spellStart"/>
      <w:r w:rsidRPr="00392F58">
        <w:rPr>
          <w:rFonts w:ascii="Times New Roman" w:eastAsia="Times New Roman" w:hAnsi="Times New Roman" w:cs="Times New Roman"/>
          <w:sz w:val="24"/>
          <w:szCs w:val="24"/>
          <w:lang w:eastAsia="en-GB"/>
        </w:rPr>
        <w:t>Yaashikaa</w:t>
      </w:r>
      <w:proofErr w:type="spellEnd"/>
      <w:r w:rsidRPr="00392F58">
        <w:rPr>
          <w:rFonts w:ascii="Times New Roman" w:eastAsia="Times New Roman" w:hAnsi="Times New Roman" w:cs="Times New Roman"/>
          <w:sz w:val="24"/>
          <w:szCs w:val="24"/>
          <w:lang w:eastAsia="en-GB"/>
        </w:rPr>
        <w:t xml:space="preserve"> et al., 2022). Firms in these industries face a widening set of external pressures: buyers in mature export markets increasingly demand verifiable environmental credentials, national governments tighten effluent and emissions standards, and financiers attach sustainability </w:t>
      </w:r>
      <w:r w:rsidRPr="00392F58">
        <w:rPr>
          <w:rFonts w:ascii="Times New Roman" w:eastAsia="Times New Roman" w:hAnsi="Times New Roman" w:cs="Times New Roman"/>
          <w:sz w:val="24"/>
          <w:szCs w:val="24"/>
          <w:lang w:eastAsia="en-GB"/>
        </w:rPr>
        <w:lastRenderedPageBreak/>
        <w:t>conditions to credit. Environmental economists have long debated whether such pressures necessarily impose a net cost on regulated firms, or whether they can, under the right conditions, stimulate innovation that offsets compliance costs and even improves competitiveness (Porter &amp; van der Linde, 1995). This debate, commonly known as the Porter hypothesis, has generated a large and still-growing empirical literature testing whether environmental regulation and voluntary environmental strategy translate into innovation gains rather than pure cost burdens (</w:t>
      </w:r>
      <w:proofErr w:type="spellStart"/>
      <w:r w:rsidRPr="00392F58">
        <w:rPr>
          <w:rFonts w:ascii="Times New Roman" w:eastAsia="Times New Roman" w:hAnsi="Times New Roman" w:cs="Times New Roman"/>
          <w:sz w:val="24"/>
          <w:szCs w:val="24"/>
          <w:lang w:eastAsia="en-GB"/>
        </w:rPr>
        <w:t>Ambec</w:t>
      </w:r>
      <w:proofErr w:type="spellEnd"/>
      <w:r w:rsidRPr="00392F58">
        <w:rPr>
          <w:rFonts w:ascii="Times New Roman" w:eastAsia="Times New Roman" w:hAnsi="Times New Roman" w:cs="Times New Roman"/>
          <w:sz w:val="24"/>
          <w:szCs w:val="24"/>
          <w:lang w:eastAsia="en-GB"/>
        </w:rPr>
        <w:t xml:space="preserve"> et al., 2013).</w:t>
      </w:r>
    </w:p>
    <w:p w14:paraId="76F4B891"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1.2 Green innovation as a strategic response</w:t>
      </w:r>
    </w:p>
    <w:p w14:paraId="2559817F"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innovation, sometimes labelled environmental or eco-innovation, refers broadly to the development and adoption of new or significantly improved products, processes, organisational methods and marketing approaches that reduce environmental risks, pollution and other negative impacts of resource use relative to available alternatives, a definition consistent with the framing adopted across the systematic review literature on this construct (Karimi Takalo et al., 2021). The construct is typically decomposed into green product innovation, which concerns the environmental attributes of goods and services, and green process innovation, which concerns the environmental footprint of production and delivery systems (Chen, 2008). A growing body of work also treats green organisational and managerial innovation, including green human resource management and green supply chain management, as distinct but interrelated strands of the same underlying strategic orientation (Renwick et al., 2013). Firms that pursue several of these strands simultaneously, rather than piecemeal, appear in recent meta-analytic evidence to capture a disproportionately larger performance benefit than firms pursuing product or process innovation alone (Zhao et al., 2026).</w:t>
      </w:r>
    </w:p>
    <w:p w14:paraId="75C9B17C"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Theoretical explanations for why green innovation might improve rather than erode firm performance draw principally on the natural resource-based view, which holds that a firm's relationship with the biophysical environment can itself become a source of valuable, rare and difficult-to-imitate capability (Hart, 1995). Complementary institutional accounts explain why firms operating under similar coercive, mimetic and normative pressures tend to converge on comparable environmental practices over time (DiMaggio &amp; Powell, 1983), while resource-based accounts more broadly explain how firm-specific capabilities, including environmental capabilities, translate into sustained competitive advantage (Barney, 1991). Empirical tests of these propositions span sectors as varied as automotive manufacturing, electronics, hospitality and food processing, generally reporting small-to-moderate positive associations between green innovation and financial, environmental and innovation performance, with considerable variation across industries, regulatory contexts and measurement approaches (Zhao et al., 2026).</w:t>
      </w:r>
    </w:p>
    <w:p w14:paraId="55AAE5C5"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1.3 Tea, Kenya and the case for a sector-specific review</w:t>
      </w:r>
    </w:p>
    <w:p w14:paraId="183D9CFF"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Kenya is among the world's leading producers and exporters of black tea, and the crop, harvested from the evergreen shrub </w:t>
      </w:r>
      <w:r w:rsidRPr="00392F58">
        <w:rPr>
          <w:rFonts w:ascii="Times New Roman" w:eastAsia="Times New Roman" w:hAnsi="Times New Roman" w:cs="Times New Roman"/>
          <w:i/>
          <w:iCs/>
          <w:sz w:val="24"/>
          <w:szCs w:val="24"/>
          <w:lang w:eastAsia="en-GB"/>
        </w:rPr>
        <w:t>Camellia sinensis</w:t>
      </w:r>
      <w:r w:rsidRPr="00392F58">
        <w:rPr>
          <w:rFonts w:ascii="Times New Roman" w:eastAsia="Times New Roman" w:hAnsi="Times New Roman" w:cs="Times New Roman"/>
          <w:sz w:val="24"/>
          <w:szCs w:val="24"/>
          <w:lang w:eastAsia="en-GB"/>
        </w:rPr>
        <w:t xml:space="preserve">, remains one of the country's principal sources of foreign exchange and rural livelihoods (Food and Agriculture Organization of the United Nations [FAO], 2024). Tea processing in Kenya is dominated by a mixture of smallholder-oriented factories affiliated with cooperative structures and larger multinational estates, both of which depend heavily on wood fuel and grid- or diesel-generated electricity to power withering, rolling, fermentation and drying operations. This energy intensity, combined with the generation of fibre waste, spent tea leaf and process effluent, places the </w:t>
      </w:r>
      <w:r w:rsidRPr="00392F58">
        <w:rPr>
          <w:rFonts w:ascii="Times New Roman" w:eastAsia="Times New Roman" w:hAnsi="Times New Roman" w:cs="Times New Roman"/>
          <w:sz w:val="24"/>
          <w:szCs w:val="24"/>
          <w:lang w:eastAsia="en-GB"/>
        </w:rPr>
        <w:lastRenderedPageBreak/>
        <w:t>sector squarely within the category of agro-industries for which green innovation carries material environmental and commercial stakes (Muoki et al., 2020). Kenyan tea processing firms are simultaneously exposed to climatic pressures on the crop itself, tightening certification requirements from international buyers, and domestic regulatory expectations around environmental management (Chepkoech et al., 2023). These conditions make the sector a useful, if under-examined, setting in which to test whether the broadly positive green innovation–performance relationship documented internationally also holds in a smallholder-dominated, resource-constrained agro-industrial economy.</w:t>
      </w:r>
    </w:p>
    <w:p w14:paraId="0EBCA1BB"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Despite this relevance, empirical literature focused specifically on green innovation and organisational performance among Kenyan tea processing firms remains sparse relative to the wider international literature on green innovation. Existing Kenyan studies tend to examine green supply chain management or ecological design in isolation, are concentrated in a handful of tea-growing counties, and rely almost exclusively on cross-sectional survey designs (Muma et al., 2014; Chepkoech et al., 2023). A synthesis that situates this narrower body of sector-specific evidence within the broader theoretical and empirical literature on green innovation and firm performance has not, to the knowledge of this review, previously been produced.</w:t>
      </w:r>
    </w:p>
    <w:p w14:paraId="75953429"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1.4 Scope, research gap and objectives</w:t>
      </w:r>
    </w:p>
    <w:p w14:paraId="77FEEFB1"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This review addresses that gap by synthesising empirical and theoretical literature on green innovation strategies and organisational performance, with a specific focus on tea processing firms in Kenya, supplemented by closely comparable evidence from other agro-industrial and manufacturing firms in Kenya, sub-Saharan Africa and other developing economies where sector-specific Kenyan evidence is thin. The review is organised around four objectives. The first is to outline the principal theoretical frameworks used to explain the relationship between green innovation and organisational performance. The second is to characterise the main forms of green innovation strategy relevant to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 xml:space="preserve">-processing firms, including product, process, supply chain, human resource and circular-economy dimensions. The third is to synthesise the empirical evidence, both sector-specific and comparative, on how these strategies relate to environmental, financial and competitive outcomes. The fourth is to identify the principal gaps in the existing evidence base and to set out priorities for future research. The research </w:t>
      </w:r>
      <w:proofErr w:type="gramStart"/>
      <w:r w:rsidRPr="00392F58">
        <w:rPr>
          <w:rFonts w:ascii="Times New Roman" w:eastAsia="Times New Roman" w:hAnsi="Times New Roman" w:cs="Times New Roman"/>
          <w:sz w:val="24"/>
          <w:szCs w:val="24"/>
          <w:lang w:eastAsia="en-GB"/>
        </w:rPr>
        <w:t>gap</w:t>
      </w:r>
      <w:proofErr w:type="gramEnd"/>
      <w:r w:rsidRPr="00392F58">
        <w:rPr>
          <w:rFonts w:ascii="Times New Roman" w:eastAsia="Times New Roman" w:hAnsi="Times New Roman" w:cs="Times New Roman"/>
          <w:sz w:val="24"/>
          <w:szCs w:val="24"/>
          <w:lang w:eastAsia="en-GB"/>
        </w:rPr>
        <w:t xml:space="preserve"> this review addresses is the absence of an integrative synthesis connecting the general green innovation–performance literature to the specific institutional, ecological and organisational conditions of Kenyan tea processing, a gap with practical relevance for managers, policymakers and certification bodies operating in this sector.</w:t>
      </w:r>
    </w:p>
    <w:p w14:paraId="0A3E6199"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2. Methods for Literature Selection</w:t>
      </w:r>
    </w:p>
    <w:p w14:paraId="1632EDA5"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2.1 Databases and indexing sources searched</w:t>
      </w:r>
    </w:p>
    <w:p w14:paraId="3AD39C3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Literature for this review was identified through structured searches of Web of Science, Scopus, Google Scholar and PubMed, supplemented by six field-specific indexing databases and repositories selected for their coverage of agribusiness, environmental management and African social science research: AGRIS, </w:t>
      </w:r>
      <w:proofErr w:type="spellStart"/>
      <w:r w:rsidRPr="00392F58">
        <w:rPr>
          <w:rFonts w:ascii="Times New Roman" w:eastAsia="Times New Roman" w:hAnsi="Times New Roman" w:cs="Times New Roman"/>
          <w:sz w:val="24"/>
          <w:szCs w:val="24"/>
          <w:lang w:eastAsia="en-GB"/>
        </w:rPr>
        <w:t>AgEcon</w:t>
      </w:r>
      <w:proofErr w:type="spellEnd"/>
      <w:r w:rsidRPr="00392F58">
        <w:rPr>
          <w:rFonts w:ascii="Times New Roman" w:eastAsia="Times New Roman" w:hAnsi="Times New Roman" w:cs="Times New Roman"/>
          <w:sz w:val="24"/>
          <w:szCs w:val="24"/>
          <w:lang w:eastAsia="en-GB"/>
        </w:rPr>
        <w:t xml:space="preserve"> Search, African Journals Online, CAB Abstracts, </w:t>
      </w:r>
      <w:proofErr w:type="spellStart"/>
      <w:r w:rsidRPr="00392F58">
        <w:rPr>
          <w:rFonts w:ascii="Times New Roman" w:eastAsia="Times New Roman" w:hAnsi="Times New Roman" w:cs="Times New Roman"/>
          <w:sz w:val="24"/>
          <w:szCs w:val="24"/>
          <w:lang w:eastAsia="en-GB"/>
        </w:rPr>
        <w:t>GreenFILE</w:t>
      </w:r>
      <w:proofErr w:type="spellEnd"/>
      <w:r w:rsidRPr="00392F58">
        <w:rPr>
          <w:rFonts w:ascii="Times New Roman" w:eastAsia="Times New Roman" w:hAnsi="Times New Roman" w:cs="Times New Roman"/>
          <w:sz w:val="24"/>
          <w:szCs w:val="24"/>
          <w:lang w:eastAsia="en-GB"/>
        </w:rPr>
        <w:t xml:space="preserve"> and the Directory of Open Access Journals. These sources were chosen to capture both mainstream management and environmental science literature and the regionally focused agribusiness and East African business-research output in which much of the tea-specific evidence is published.</w:t>
      </w:r>
    </w:p>
    <w:p w14:paraId="631D02E8"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lastRenderedPageBreak/>
        <w:t>2.2 Search strings and date range</w:t>
      </w:r>
    </w:p>
    <w:p w14:paraId="6B057411"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Search strings combined terms for the exposure construct, the outcome construct and the sectoral or geographic context, connected with Boolean operators. Representative strings included: ("green innovation" OR "eco-innovation" OR "environmental innovation") AND ("firm performance" OR "</w:t>
      </w:r>
      <w:proofErr w:type="spellStart"/>
      <w:r w:rsidRPr="00392F58">
        <w:rPr>
          <w:rFonts w:ascii="Times New Roman" w:eastAsia="Times New Roman" w:hAnsi="Times New Roman" w:cs="Times New Roman"/>
          <w:sz w:val="24"/>
          <w:szCs w:val="24"/>
          <w:lang w:eastAsia="en-GB"/>
        </w:rPr>
        <w:t>organi?ational</w:t>
      </w:r>
      <w:proofErr w:type="spellEnd"/>
      <w:r w:rsidRPr="00392F58">
        <w:rPr>
          <w:rFonts w:ascii="Times New Roman" w:eastAsia="Times New Roman" w:hAnsi="Times New Roman" w:cs="Times New Roman"/>
          <w:sz w:val="24"/>
          <w:szCs w:val="24"/>
          <w:lang w:eastAsia="en-GB"/>
        </w:rPr>
        <w:t xml:space="preserve"> performance" OR "financial performance" OR "environmental performance"); ("green supply chain management" OR "green human resource management" OR "green process innovation" OR "green product innovation") AND ("tea" OR "agribusiness" OR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OR "manufacturing"); and ("tea processing" OR "tea factory" OR "Camellia sinensis") AND ("Kenya" OR "Kericho" OR "Nandi" OR "</w:t>
      </w:r>
      <w:proofErr w:type="spellStart"/>
      <w:r w:rsidRPr="00392F58">
        <w:rPr>
          <w:rFonts w:ascii="Times New Roman" w:eastAsia="Times New Roman" w:hAnsi="Times New Roman" w:cs="Times New Roman"/>
          <w:sz w:val="24"/>
          <w:szCs w:val="24"/>
          <w:lang w:eastAsia="en-GB"/>
        </w:rPr>
        <w:t>Bomet</w:t>
      </w:r>
      <w:proofErr w:type="spellEnd"/>
      <w:r w:rsidRPr="00392F58">
        <w:rPr>
          <w:rFonts w:ascii="Times New Roman" w:eastAsia="Times New Roman" w:hAnsi="Times New Roman" w:cs="Times New Roman"/>
          <w:sz w:val="24"/>
          <w:szCs w:val="24"/>
          <w:lang w:eastAsia="en-GB"/>
        </w:rPr>
        <w:t>"). The literature search covered material published between January 2013 and 8 April 2026, a window chosen to capture the period during which green innovation emerged as a distinct and empirically tractable construct in the management literature, while a small number of foundational theoretical works published before this window were retained as classic supplementary references where they remain the primary source for a theoretical proposition still in active use.</w:t>
      </w:r>
    </w:p>
    <w:p w14:paraId="4B429EB2"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2.3 Inclusion and exclusion criteria</w:t>
      </w:r>
    </w:p>
    <w:p w14:paraId="55CEE981"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Studies were included if they reported original empirical evidence, systematic or bibliometric synthesis, or well-established theoretical propositions concerning green innovation, green organisational practices, or closely related constructs (eco-innovation, environmental strategy, green supply chain management, green human resource management) in relation to organisational, environmental or financial performance, and if they were published in a peer-reviewed academic journal. Studies concerning tea, other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sectors and manufacturing firms in Kenya and comparable developing-economy contexts were prioritised. Authoritative institutional reports from bodies such as the Food and Agriculture Organization of the United Nations were included where they provided verifiable sectoral or market data not otherwise available in the peer-reviewed literature. Books, unpublished theses, conference proceedings, trade magazines, preprints, patents and other grey literature were excluded, as were studies whose primary focus lay outside the environmental management and organisational performance domain, and any source subsequently identified as formally retracted by its publisher was excluded from the evidence base and substituted with a verified alternative.</w:t>
      </w:r>
    </w:p>
    <w:p w14:paraId="7DE0E7B4"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2.4 Rationale for a narrative rather than systematic review approach</w:t>
      </w:r>
    </w:p>
    <w:p w14:paraId="3825EF8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 narrative review approach was adopted in preference to a systematic review or meta-analysis. Sustainability-oriented management research spans multiple disciplinary traditions, uses heterogeneous outcome measures and rarely permits pooling of effect sizes without substantial loss of contextual nuance, particularly when the objective is to connect a broad international evidence base to a narrowly defined regional and sectoral case. Narrative synthesis suits this purpose because it allows the reviewer to draw on disciplinary expertise to identify patterns, contradictions and theoretical gaps across a heterogeneous literature, rather than being constrained to a fixed, protocol-driven set of comparable studies (</w:t>
      </w:r>
      <w:proofErr w:type="spellStart"/>
      <w:r w:rsidRPr="00392F58">
        <w:rPr>
          <w:rFonts w:ascii="Times New Roman" w:eastAsia="Times New Roman" w:hAnsi="Times New Roman" w:cs="Times New Roman"/>
          <w:sz w:val="24"/>
          <w:szCs w:val="24"/>
          <w:lang w:eastAsia="en-GB"/>
        </w:rPr>
        <w:t>Baethge</w:t>
      </w:r>
      <w:proofErr w:type="spellEnd"/>
      <w:r w:rsidRPr="00392F58">
        <w:rPr>
          <w:rFonts w:ascii="Times New Roman" w:eastAsia="Times New Roman" w:hAnsi="Times New Roman" w:cs="Times New Roman"/>
          <w:sz w:val="24"/>
          <w:szCs w:val="24"/>
          <w:lang w:eastAsia="en-GB"/>
        </w:rPr>
        <w:t xml:space="preserve"> et al., 2019). The approach followed recognised methodological guidance for the conduct and reporting of narrative reviews, including explicit justification of the review's importance and aims, transparent description of the literature search, and balanced representation of evidence and argument (</w:t>
      </w:r>
      <w:proofErr w:type="spellStart"/>
      <w:r w:rsidRPr="00392F58">
        <w:rPr>
          <w:rFonts w:ascii="Times New Roman" w:eastAsia="Times New Roman" w:hAnsi="Times New Roman" w:cs="Times New Roman"/>
          <w:sz w:val="24"/>
          <w:szCs w:val="24"/>
          <w:lang w:eastAsia="en-GB"/>
        </w:rPr>
        <w:t>Baethge</w:t>
      </w:r>
      <w:proofErr w:type="spellEnd"/>
      <w:r w:rsidRPr="00392F58">
        <w:rPr>
          <w:rFonts w:ascii="Times New Roman" w:eastAsia="Times New Roman" w:hAnsi="Times New Roman" w:cs="Times New Roman"/>
          <w:sz w:val="24"/>
          <w:szCs w:val="24"/>
          <w:lang w:eastAsia="en-GB"/>
        </w:rPr>
        <w:t xml:space="preserve"> et al., 2019).</w:t>
      </w:r>
    </w:p>
    <w:p w14:paraId="22631A16"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lastRenderedPageBreak/>
        <w:t>2.5 Screening workflow, duplicate handling and language restriction</w:t>
      </w:r>
    </w:p>
    <w:p w14:paraId="4EEC8420"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Records retrieved from each database were exported and screened first by title and abstract against the inclusion criteria, then by full text where relevance remained ambiguous. Duplicate records identified across databases were removed before full-text screening. The review was restricted to literature published in English, reflecting the dominant language of both the international green innovation literature and Kenyan academic publishing in this field. Screening gave particular weight to studies with clearly reported sampling frames, verifiable metadata and traceable digital object identifiers, and to studies published in journals indexed by Web of Science or Scopus or that had accumulated substantial citation counts, as markers of influence within the field.</w:t>
      </w:r>
    </w:p>
    <w:p w14:paraId="62959A10"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2.6 Search strategy summary</w:t>
      </w:r>
    </w:p>
    <w:p w14:paraId="20443ADF"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Table 1 summarises the search strategy applied across the principal databases consulted for this review.</w:t>
      </w:r>
    </w:p>
    <w:p w14:paraId="7493356E"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644"/>
        <w:gridCol w:w="7598"/>
      </w:tblGrid>
      <w:tr w:rsidR="00392F58" w:rsidRPr="00392F58" w14:paraId="4098B61A" w14:textId="77777777" w:rsidTr="00392F58">
        <w:tc>
          <w:tcPr>
            <w:tcW w:w="0" w:type="auto"/>
            <w:hideMark/>
          </w:tcPr>
          <w:p w14:paraId="4E75B48C"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Element</w:t>
            </w:r>
          </w:p>
        </w:tc>
        <w:tc>
          <w:tcPr>
            <w:tcW w:w="0" w:type="auto"/>
            <w:hideMark/>
          </w:tcPr>
          <w:p w14:paraId="149C34CE"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Description</w:t>
            </w:r>
          </w:p>
        </w:tc>
      </w:tr>
      <w:tr w:rsidR="00392F58" w:rsidRPr="00392F58" w14:paraId="35EDF9B2" w14:textId="77777777" w:rsidTr="00392F58">
        <w:tc>
          <w:tcPr>
            <w:tcW w:w="0" w:type="auto"/>
            <w:hideMark/>
          </w:tcPr>
          <w:p w14:paraId="3D8EE48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Core databases</w:t>
            </w:r>
          </w:p>
        </w:tc>
        <w:tc>
          <w:tcPr>
            <w:tcW w:w="0" w:type="auto"/>
            <w:hideMark/>
          </w:tcPr>
          <w:p w14:paraId="2DE2DEA6"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Web of Science, Scopus, Google Scholar, PubMed</w:t>
            </w:r>
          </w:p>
        </w:tc>
      </w:tr>
      <w:tr w:rsidR="00392F58" w:rsidRPr="00392F58" w14:paraId="46AEB123" w14:textId="77777777" w:rsidTr="00392F58">
        <w:tc>
          <w:tcPr>
            <w:tcW w:w="0" w:type="auto"/>
            <w:hideMark/>
          </w:tcPr>
          <w:p w14:paraId="0590F12B"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Field-specific databases</w:t>
            </w:r>
          </w:p>
        </w:tc>
        <w:tc>
          <w:tcPr>
            <w:tcW w:w="0" w:type="auto"/>
            <w:hideMark/>
          </w:tcPr>
          <w:p w14:paraId="2480A76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AGRIS, </w:t>
            </w:r>
            <w:proofErr w:type="spellStart"/>
            <w:r w:rsidRPr="00392F58">
              <w:rPr>
                <w:rFonts w:ascii="Times New Roman" w:eastAsia="Times New Roman" w:hAnsi="Times New Roman" w:cs="Times New Roman"/>
                <w:sz w:val="24"/>
                <w:szCs w:val="24"/>
                <w:lang w:eastAsia="en-GB"/>
              </w:rPr>
              <w:t>AgEcon</w:t>
            </w:r>
            <w:proofErr w:type="spellEnd"/>
            <w:r w:rsidRPr="00392F58">
              <w:rPr>
                <w:rFonts w:ascii="Times New Roman" w:eastAsia="Times New Roman" w:hAnsi="Times New Roman" w:cs="Times New Roman"/>
                <w:sz w:val="24"/>
                <w:szCs w:val="24"/>
                <w:lang w:eastAsia="en-GB"/>
              </w:rPr>
              <w:t xml:space="preserve"> Search, African Journals Online, CAB Abstracts, </w:t>
            </w:r>
            <w:proofErr w:type="spellStart"/>
            <w:r w:rsidRPr="00392F58">
              <w:rPr>
                <w:rFonts w:ascii="Times New Roman" w:eastAsia="Times New Roman" w:hAnsi="Times New Roman" w:cs="Times New Roman"/>
                <w:sz w:val="24"/>
                <w:szCs w:val="24"/>
                <w:lang w:eastAsia="en-GB"/>
              </w:rPr>
              <w:t>GreenFILE</w:t>
            </w:r>
            <w:proofErr w:type="spellEnd"/>
            <w:r w:rsidRPr="00392F58">
              <w:rPr>
                <w:rFonts w:ascii="Times New Roman" w:eastAsia="Times New Roman" w:hAnsi="Times New Roman" w:cs="Times New Roman"/>
                <w:sz w:val="24"/>
                <w:szCs w:val="24"/>
                <w:lang w:eastAsia="en-GB"/>
              </w:rPr>
              <w:t>, Directory of Open Access Journals</w:t>
            </w:r>
          </w:p>
        </w:tc>
      </w:tr>
      <w:tr w:rsidR="00392F58" w:rsidRPr="00392F58" w14:paraId="06170702" w14:textId="77777777" w:rsidTr="00392F58">
        <w:tc>
          <w:tcPr>
            <w:tcW w:w="0" w:type="auto"/>
            <w:hideMark/>
          </w:tcPr>
          <w:p w14:paraId="36CE713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Core search terms</w:t>
            </w:r>
          </w:p>
        </w:tc>
        <w:tc>
          <w:tcPr>
            <w:tcW w:w="0" w:type="auto"/>
            <w:hideMark/>
          </w:tcPr>
          <w:p w14:paraId="28DB3616"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green innovation; eco-innovation; environmental innovation; green supply chain management; green human resource management; </w:t>
            </w:r>
            <w:proofErr w:type="spellStart"/>
            <w:r w:rsidRPr="00392F58">
              <w:rPr>
                <w:rFonts w:ascii="Times New Roman" w:eastAsia="Times New Roman" w:hAnsi="Times New Roman" w:cs="Times New Roman"/>
                <w:sz w:val="24"/>
                <w:szCs w:val="24"/>
                <w:lang w:eastAsia="en-GB"/>
              </w:rPr>
              <w:t>organi</w:t>
            </w:r>
            <w:proofErr w:type="spellEnd"/>
            <w:r w:rsidRPr="00392F58">
              <w:rPr>
                <w:rFonts w:ascii="Times New Roman" w:eastAsia="Times New Roman" w:hAnsi="Times New Roman" w:cs="Times New Roman"/>
                <w:sz w:val="24"/>
                <w:szCs w:val="24"/>
                <w:lang w:eastAsia="en-GB"/>
              </w:rPr>
              <w:t>[s/</w:t>
            </w:r>
            <w:proofErr w:type="gramStart"/>
            <w:r w:rsidRPr="00392F58">
              <w:rPr>
                <w:rFonts w:ascii="Times New Roman" w:eastAsia="Times New Roman" w:hAnsi="Times New Roman" w:cs="Times New Roman"/>
                <w:sz w:val="24"/>
                <w:szCs w:val="24"/>
                <w:lang w:eastAsia="en-GB"/>
              </w:rPr>
              <w:t>z]</w:t>
            </w:r>
            <w:proofErr w:type="spellStart"/>
            <w:r w:rsidRPr="00392F58">
              <w:rPr>
                <w:rFonts w:ascii="Times New Roman" w:eastAsia="Times New Roman" w:hAnsi="Times New Roman" w:cs="Times New Roman"/>
                <w:sz w:val="24"/>
                <w:szCs w:val="24"/>
                <w:lang w:eastAsia="en-GB"/>
              </w:rPr>
              <w:t>ational</w:t>
            </w:r>
            <w:proofErr w:type="spellEnd"/>
            <w:proofErr w:type="gramEnd"/>
            <w:r w:rsidRPr="00392F58">
              <w:rPr>
                <w:rFonts w:ascii="Times New Roman" w:eastAsia="Times New Roman" w:hAnsi="Times New Roman" w:cs="Times New Roman"/>
                <w:sz w:val="24"/>
                <w:szCs w:val="24"/>
                <w:lang w:eastAsia="en-GB"/>
              </w:rPr>
              <w:t xml:space="preserve"> performance; financial performance; environmental performance</w:t>
            </w:r>
          </w:p>
        </w:tc>
      </w:tr>
      <w:tr w:rsidR="00392F58" w:rsidRPr="00392F58" w14:paraId="4CC2B40F" w14:textId="77777777" w:rsidTr="00392F58">
        <w:tc>
          <w:tcPr>
            <w:tcW w:w="0" w:type="auto"/>
            <w:hideMark/>
          </w:tcPr>
          <w:p w14:paraId="3C749731"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Contextual terms</w:t>
            </w:r>
          </w:p>
        </w:tc>
        <w:tc>
          <w:tcPr>
            <w:tcW w:w="0" w:type="auto"/>
            <w:hideMark/>
          </w:tcPr>
          <w:p w14:paraId="5FD906D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tea processing; tea factory; agribusiness;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 xml:space="preserve">-processing; manufacturing; Kenya; Kericho; Nandi; </w:t>
            </w:r>
            <w:proofErr w:type="spellStart"/>
            <w:r w:rsidRPr="00392F58">
              <w:rPr>
                <w:rFonts w:ascii="Times New Roman" w:eastAsia="Times New Roman" w:hAnsi="Times New Roman" w:cs="Times New Roman"/>
                <w:sz w:val="24"/>
                <w:szCs w:val="24"/>
                <w:lang w:eastAsia="en-GB"/>
              </w:rPr>
              <w:t>Bomet</w:t>
            </w:r>
            <w:proofErr w:type="spellEnd"/>
          </w:p>
        </w:tc>
      </w:tr>
      <w:tr w:rsidR="00392F58" w:rsidRPr="00392F58" w14:paraId="1E40B872" w14:textId="77777777" w:rsidTr="00392F58">
        <w:tc>
          <w:tcPr>
            <w:tcW w:w="0" w:type="auto"/>
            <w:hideMark/>
          </w:tcPr>
          <w:p w14:paraId="64827B30"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Date range</w:t>
            </w:r>
          </w:p>
        </w:tc>
        <w:tc>
          <w:tcPr>
            <w:tcW w:w="0" w:type="auto"/>
            <w:hideMark/>
          </w:tcPr>
          <w:p w14:paraId="7CBCD52C"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January 2013 to 8 April 2026, plus classic pre-2013 theoretical sources</w:t>
            </w:r>
          </w:p>
        </w:tc>
      </w:tr>
      <w:tr w:rsidR="00392F58" w:rsidRPr="00392F58" w14:paraId="30848834" w14:textId="77777777" w:rsidTr="00392F58">
        <w:tc>
          <w:tcPr>
            <w:tcW w:w="0" w:type="auto"/>
            <w:hideMark/>
          </w:tcPr>
          <w:p w14:paraId="33F0AFBA"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Language restriction</w:t>
            </w:r>
          </w:p>
        </w:tc>
        <w:tc>
          <w:tcPr>
            <w:tcW w:w="0" w:type="auto"/>
            <w:hideMark/>
          </w:tcPr>
          <w:p w14:paraId="339242E5"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English only</w:t>
            </w:r>
          </w:p>
        </w:tc>
      </w:tr>
      <w:tr w:rsidR="00392F58" w:rsidRPr="00392F58" w14:paraId="62737AE2" w14:textId="77777777" w:rsidTr="00392F58">
        <w:tc>
          <w:tcPr>
            <w:tcW w:w="0" w:type="auto"/>
            <w:hideMark/>
          </w:tcPr>
          <w:p w14:paraId="6769F7E6"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Sources included</w:t>
            </w:r>
          </w:p>
        </w:tc>
        <w:tc>
          <w:tcPr>
            <w:tcW w:w="0" w:type="auto"/>
            <w:hideMark/>
          </w:tcPr>
          <w:p w14:paraId="6758178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Peer-reviewed journal articles; authoritative institutional reports with verifiable metadata</w:t>
            </w:r>
          </w:p>
        </w:tc>
      </w:tr>
      <w:tr w:rsidR="00392F58" w:rsidRPr="00392F58" w14:paraId="5D0B3C20" w14:textId="77777777" w:rsidTr="00392F58">
        <w:tc>
          <w:tcPr>
            <w:tcW w:w="0" w:type="auto"/>
            <w:hideMark/>
          </w:tcPr>
          <w:p w14:paraId="033E0FCA"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Sources excluded</w:t>
            </w:r>
          </w:p>
        </w:tc>
        <w:tc>
          <w:tcPr>
            <w:tcW w:w="0" w:type="auto"/>
            <w:hideMark/>
          </w:tcPr>
          <w:p w14:paraId="7EF06A2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Books, theses, conference proceedings, trade magazines, preprints, patents, other grey literature, and formally retracted articles</w:t>
            </w:r>
          </w:p>
        </w:tc>
      </w:tr>
    </w:tbl>
    <w:p w14:paraId="130E7A8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i/>
          <w:iCs/>
          <w:sz w:val="24"/>
          <w:szCs w:val="24"/>
          <w:lang w:eastAsia="en-GB"/>
        </w:rPr>
        <w:t>Note. This table describes the review's own methodology and is not derived from external empirical sources.</w:t>
      </w:r>
    </w:p>
    <w:p w14:paraId="2D7F8441"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3. Theoretical Foundations of Green Innovation and Organisational Performance</w:t>
      </w:r>
    </w:p>
    <w:p w14:paraId="10018B15"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3.1 The natural resource-based view</w:t>
      </w:r>
    </w:p>
    <w:p w14:paraId="26415376"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The natural resource-based view extends conventional resource-based theory by treating a firm's relationship with the biophysical environment as a potential source of sustained competitive advantage rather than a purely regulatory constraint (Hart, 1995). The framework proposes three interlinked strategic capabilities: pollution prevention, which reduces waste </w:t>
      </w:r>
      <w:r w:rsidRPr="00392F58">
        <w:rPr>
          <w:rFonts w:ascii="Times New Roman" w:eastAsia="Times New Roman" w:hAnsi="Times New Roman" w:cs="Times New Roman"/>
          <w:sz w:val="24"/>
          <w:szCs w:val="24"/>
          <w:lang w:eastAsia="en-GB"/>
        </w:rPr>
        <w:lastRenderedPageBreak/>
        <w:t>and emissions ahead of regulatory mandate; product stewardship, which integrates the perspectives of external stakeholders into product design; and sustainable development, which orients the firm toward long-run environmental and social viability. Each capability is theorised to generate a distinct form of advantage, from cost reduction through waste minimisation to reputational and market differentiation benefits. Subsequent theoretical work integrating the natural resource-based view with dynamic capabilities theory has emphasised that the competitive value of pollution prevention and product stewardship depends heavily on a firm's capacity to reconfigure environmental resources as external conditions change, rather than accruing automatically from adoption alone (Zhao et al., 2026). Empirical support for the underlying "it pays to be green" proposition was established relatively early in the literature, with evidence that superior environmental performance is associated with higher profitability, particularly in high-growth industries (Russo &amp; Fouts, 1997).</w:t>
      </w:r>
    </w:p>
    <w:p w14:paraId="332B9D80"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3.2 Institutional theory and isomorphic pressure</w:t>
      </w:r>
    </w:p>
    <w:p w14:paraId="2B4603DB"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Institutional theory offers a complementary explanation for why firms operating in similar environments tend to converge on comparable environmental practices, even where the underlying business case for any single practice is unclear. Coercive isomorphism arises from regulatory and buyer-imposed requirements; mimetic isomorphism arises when firms imitate perceived industry leaders under conditions of uncertainty; and normative isomorphism arises through professional networks, certification bodies and shared standards of practice (DiMaggio &amp; Powell, 1983). In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-export sectors such as Kenyan tea, all three mechanisms operate simultaneously: government environmental regulation constitutes coercive pressure, the diffusion of certification schemes among competing estates constitutes mimetic pressure, and the standards embedded in buyer codes of conduct constitute normative pressure. Institutional theory therefore helps explain the observed pattern of green practice adoption in export-oriented agro-industries even where firm-level financial returns are uncertain or unevenly distributed.</w:t>
      </w:r>
    </w:p>
    <w:p w14:paraId="380E9F8F"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3.3 The resource-based view, dynamic capabilities and contingent environmental strategy</w:t>
      </w:r>
    </w:p>
    <w:p w14:paraId="240BF0DD"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The broader resource-based view holds that sustained competitive advantage derives from resources that are valuable, rare, imperfectly imitable and non-substitutable (Barney, 1991). Applied to environmental strategy, this logic implies that green capabilities generate advantage only to the extent that they are difficult for competitors to replicate, a condition more plausible for organisationally embedded capabilities such as green human resource systems or integrated environmental management routines than for easily copied product features. Building on this foundation, a contingent resource-based perspective on proactive environmental strategy proposed that the competitive value of environmental capability depends on characteristics of the general business environment, including uncertainty, complexity and resource munificence, such that the same environmental strategy can generate different performance outcomes across contexts (Aragón-Correa &amp; Sharma, 2003). Earlier empirical work similarly found that proactive environmental strategies were associated with the emergence of distinctive organisational capabilities, including stakeholder integration, higher-order learning and continuous innovation, that were themselves valuable independent of any immediate cost saving (Sharma &amp; Vredenburg, 1998). Together, these contributions imply that the strength and even the direction of the green innovation–performance relationship should be expected to vary by industry, institutional setting and the degree to which green capability is embedded rather than superficially adopted, a proposition with </w:t>
      </w:r>
      <w:r w:rsidRPr="00392F58">
        <w:rPr>
          <w:rFonts w:ascii="Times New Roman" w:eastAsia="Times New Roman" w:hAnsi="Times New Roman" w:cs="Times New Roman"/>
          <w:sz w:val="24"/>
          <w:szCs w:val="24"/>
          <w:lang w:eastAsia="en-GB"/>
        </w:rPr>
        <w:lastRenderedPageBreak/>
        <w:t>direct relevance for interpreting the more mixed findings reported for developing-economy agro-industrial firms.</w:t>
      </w:r>
    </w:p>
    <w:p w14:paraId="792425CC"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3.4 A bibliometric perspective on the maturity of the field</w:t>
      </w:r>
    </w:p>
    <w:p w14:paraId="7ACB094D"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Bibliometric analysis of the accumulated green innovation literature situates these theoretical strands within a rapidly maturing but still fragmented research field. A large-scale bibliometric review of green innovation as a strategic firm resource, drawing on close to a thousand articles, found that green supply chain management, green product design and corporate environmental responsibility formed among the dominant thematic clusters in the literature, with the resource-based and natural resource-based views remaining the most frequently invoked theoretical lenses (Khanra et al., 2022). This concentration of theoretical grounding around resource-based logic is echoed in the more narrowly focused systematic review evidence, which similarly identifies firm performance and competitive advantage among the principal outcome domains studied under the green innovation label (Karimi Takalo et al., 2021).</w:t>
      </w:r>
    </w:p>
    <w:p w14:paraId="5A30DB76"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Table 2 summarises the principal theoretical frameworks discussed in this section and their central propositions regarding the green innovation–performance relationship.</w:t>
      </w:r>
    </w:p>
    <w:p w14:paraId="1F602DE3"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2. Principal theoretical frameworks applied to green innovation and organisational performance</w:t>
      </w:r>
    </w:p>
    <w:tbl>
      <w:tblPr>
        <w:tblStyle w:val="TableGrid"/>
        <w:tblW w:w="0" w:type="auto"/>
        <w:tblLook w:val="04A0" w:firstRow="1" w:lastRow="0" w:firstColumn="1" w:lastColumn="0" w:noHBand="0" w:noVBand="1"/>
      </w:tblPr>
      <w:tblGrid>
        <w:gridCol w:w="2369"/>
        <w:gridCol w:w="2517"/>
        <w:gridCol w:w="2512"/>
        <w:gridCol w:w="1844"/>
      </w:tblGrid>
      <w:tr w:rsidR="00392F58" w:rsidRPr="00392F58" w14:paraId="42FE2FE1" w14:textId="77777777" w:rsidTr="00392F58">
        <w:tc>
          <w:tcPr>
            <w:tcW w:w="0" w:type="auto"/>
            <w:hideMark/>
          </w:tcPr>
          <w:p w14:paraId="47CD2625"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Framework</w:t>
            </w:r>
          </w:p>
        </w:tc>
        <w:tc>
          <w:tcPr>
            <w:tcW w:w="0" w:type="auto"/>
            <w:hideMark/>
          </w:tcPr>
          <w:p w14:paraId="243D3AA0"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Central proposition</w:t>
            </w:r>
          </w:p>
        </w:tc>
        <w:tc>
          <w:tcPr>
            <w:tcW w:w="0" w:type="auto"/>
            <w:hideMark/>
          </w:tcPr>
          <w:p w14:paraId="5BFED627"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Implication for tea processing firms</w:t>
            </w:r>
          </w:p>
        </w:tc>
        <w:tc>
          <w:tcPr>
            <w:tcW w:w="0" w:type="auto"/>
            <w:hideMark/>
          </w:tcPr>
          <w:p w14:paraId="5A6A81B0"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3B64BCE5" w14:textId="77777777" w:rsidTr="00392F58">
        <w:tc>
          <w:tcPr>
            <w:tcW w:w="0" w:type="auto"/>
            <w:hideMark/>
          </w:tcPr>
          <w:p w14:paraId="2C7F96A4"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Natural resource-based view</w:t>
            </w:r>
          </w:p>
        </w:tc>
        <w:tc>
          <w:tcPr>
            <w:tcW w:w="0" w:type="auto"/>
            <w:hideMark/>
          </w:tcPr>
          <w:p w14:paraId="35C2EB7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Pollution prevention, product stewardship and sustainable development generate distinct forms of competitive advantage</w:t>
            </w:r>
          </w:p>
        </w:tc>
        <w:tc>
          <w:tcPr>
            <w:tcW w:w="0" w:type="auto"/>
            <w:hideMark/>
          </w:tcPr>
          <w:p w14:paraId="11D1196B"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Waste and effluent reduction in processing can lower cost and strengthen buyer relationships</w:t>
            </w:r>
          </w:p>
        </w:tc>
        <w:tc>
          <w:tcPr>
            <w:tcW w:w="0" w:type="auto"/>
            <w:hideMark/>
          </w:tcPr>
          <w:p w14:paraId="1DC8CCC7"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Hart (1995)</w:t>
            </w:r>
          </w:p>
        </w:tc>
      </w:tr>
      <w:tr w:rsidR="00392F58" w:rsidRPr="00392F58" w14:paraId="19D30085" w14:textId="77777777" w:rsidTr="00392F58">
        <w:tc>
          <w:tcPr>
            <w:tcW w:w="0" w:type="auto"/>
            <w:hideMark/>
          </w:tcPr>
          <w:p w14:paraId="22AF656D"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Institutional theory</w:t>
            </w:r>
          </w:p>
        </w:tc>
        <w:tc>
          <w:tcPr>
            <w:tcW w:w="0" w:type="auto"/>
            <w:hideMark/>
          </w:tcPr>
          <w:p w14:paraId="3DD2BDF8"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Coercive, mimetic and normative pressures drive convergence on shared environmental practices</w:t>
            </w:r>
          </w:p>
        </w:tc>
        <w:tc>
          <w:tcPr>
            <w:tcW w:w="0" w:type="auto"/>
            <w:hideMark/>
          </w:tcPr>
          <w:p w14:paraId="58CEB5D9"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Certification schemes and regulation explain widespread but sometimes superficial adoption of green practice</w:t>
            </w:r>
          </w:p>
        </w:tc>
        <w:tc>
          <w:tcPr>
            <w:tcW w:w="0" w:type="auto"/>
            <w:hideMark/>
          </w:tcPr>
          <w:p w14:paraId="0D232F1C"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DiMaggio and Powell (1983)</w:t>
            </w:r>
          </w:p>
        </w:tc>
      </w:tr>
      <w:tr w:rsidR="00392F58" w:rsidRPr="00392F58" w14:paraId="0D0B7FDD" w14:textId="77777777" w:rsidTr="00392F58">
        <w:tc>
          <w:tcPr>
            <w:tcW w:w="0" w:type="auto"/>
            <w:hideMark/>
          </w:tcPr>
          <w:p w14:paraId="4EC79C66"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Resource-based view</w:t>
            </w:r>
          </w:p>
        </w:tc>
        <w:tc>
          <w:tcPr>
            <w:tcW w:w="0" w:type="auto"/>
            <w:hideMark/>
          </w:tcPr>
          <w:p w14:paraId="5AC7C3BA"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Advantage depends on resources that are valuable, rare, inimitable and non-substitutable</w:t>
            </w:r>
          </w:p>
        </w:tc>
        <w:tc>
          <w:tcPr>
            <w:tcW w:w="0" w:type="auto"/>
            <w:hideMark/>
          </w:tcPr>
          <w:p w14:paraId="3CACAC2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Embedded capabilities such as green human resource systems are harder to imitate than visible product features</w:t>
            </w:r>
          </w:p>
        </w:tc>
        <w:tc>
          <w:tcPr>
            <w:tcW w:w="0" w:type="auto"/>
            <w:hideMark/>
          </w:tcPr>
          <w:p w14:paraId="47546DF7"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Barney (1991)</w:t>
            </w:r>
          </w:p>
        </w:tc>
      </w:tr>
      <w:tr w:rsidR="00392F58" w:rsidRPr="00392F58" w14:paraId="16D05A92" w14:textId="77777777" w:rsidTr="00392F58">
        <w:tc>
          <w:tcPr>
            <w:tcW w:w="0" w:type="auto"/>
            <w:hideMark/>
          </w:tcPr>
          <w:p w14:paraId="0D3500A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Contingent/dynamic capability perspective</w:t>
            </w:r>
          </w:p>
        </w:tc>
        <w:tc>
          <w:tcPr>
            <w:tcW w:w="0" w:type="auto"/>
            <w:hideMark/>
          </w:tcPr>
          <w:p w14:paraId="4567B9F3"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performance value of environmental strategy depends on industry uncertainty, complexity and munificence</w:t>
            </w:r>
          </w:p>
        </w:tc>
        <w:tc>
          <w:tcPr>
            <w:tcW w:w="0" w:type="auto"/>
            <w:hideMark/>
          </w:tcPr>
          <w:p w14:paraId="37557598"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Smallholder-dominated, resource-constrained settings may generate different returns to green innovation than large industrial contexts</w:t>
            </w:r>
          </w:p>
        </w:tc>
        <w:tc>
          <w:tcPr>
            <w:tcW w:w="0" w:type="auto"/>
            <w:hideMark/>
          </w:tcPr>
          <w:p w14:paraId="648D2BA6"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Aragón-Correa and Sharma (2003); Sharma and Vredenburg (1998)</w:t>
            </w:r>
          </w:p>
        </w:tc>
      </w:tr>
    </w:tbl>
    <w:p w14:paraId="522F4FA8"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lastRenderedPageBreak/>
        <w:t xml:space="preserve">4. Conceptualising Green Innovation Strategies in </w:t>
      </w:r>
      <w:proofErr w:type="spellStart"/>
      <w:r w:rsidRPr="00392F58">
        <w:rPr>
          <w:rFonts w:ascii="Times New Roman" w:eastAsia="Times New Roman" w:hAnsi="Times New Roman" w:cs="Times New Roman"/>
          <w:b/>
          <w:bCs/>
          <w:sz w:val="27"/>
          <w:szCs w:val="27"/>
          <w:lang w:eastAsia="en-GB"/>
        </w:rPr>
        <w:t>Agro</w:t>
      </w:r>
      <w:proofErr w:type="spellEnd"/>
      <w:r w:rsidRPr="00392F58">
        <w:rPr>
          <w:rFonts w:ascii="Times New Roman" w:eastAsia="Times New Roman" w:hAnsi="Times New Roman" w:cs="Times New Roman"/>
          <w:b/>
          <w:bCs/>
          <w:sz w:val="27"/>
          <w:szCs w:val="27"/>
          <w:lang w:eastAsia="en-GB"/>
        </w:rPr>
        <w:t>-Processing Firms</w:t>
      </w:r>
    </w:p>
    <w:p w14:paraId="7C0FB7D8"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4.1 Green product innovation</w:t>
      </w:r>
    </w:p>
    <w:p w14:paraId="020CD52E"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product innovation concerns changes to the environmental attributes of goods and services, such as reduced material intensity, biodegradability or lower embedded carbon. In the tea context, this dimension manifests as ecological design practice, including reformulated packaging, reduced use of synthetic inputs and product lines marketed on the basis of certified sustainable origin. Kenyan evidence indicates that multinational tea firms adopting ecological design practices report improved sustainable performance outcomes, suggesting that product-level environmental attributes carry commercial as well as ecological value in export markets (Chepkoech et al., 2023). At a conceptual level, the foundational work establishing green core competence as a driver of green innovation and green image demonstrated that firms investing in environmentally oriented product capability could differentiate themselves in ways that customers recognised and rewarded, with the advantage most pronounced among larger firms possessing the resources to develop such competence (Chen, 2008).</w:t>
      </w:r>
    </w:p>
    <w:p w14:paraId="415AF4FE"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4.2 Green process innovation</w:t>
      </w:r>
    </w:p>
    <w:p w14:paraId="59757F5A"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process innovation concerns changes to production and delivery processes that reduce environmental impact, including energy efficiency, water conservation and emissions reduction during withering, rolling, fermentation and drying. Because tea processing is thermally intensive, process-level innovation carries particular weight in this sector; research on the Kenyan tea industry documents that climate variability affects both crop quality and processing continuity, and identifies adaptation strategies, including multi-stakeholder collaboration on climate risk management, as central to sustaining the sector's operations (Muoki et al., 2020). Comparative international evidence suggests that green process innovation tends to generate its financial returns primarily through internal operational efficiency, including reduced input costs and waste, distinguishing it from green product innovation, which tends to generate returns through external market differentiation (Zhao et al., 2026).</w:t>
      </w:r>
    </w:p>
    <w:p w14:paraId="0BA390B1"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4.3 Green supply chain management</w:t>
      </w:r>
    </w:p>
    <w:p w14:paraId="1CF2867B"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 extends environmental consideration across procurement, production, distribution and reverse logistics, integrating suppliers, processors and downstream partners into a coordinated environmental strategy. The construct is among the most extensively studied green organisational practices in the Kenyan manufacturing literature, with evidence from tea processing firms in Kericho County showing that green supply chain management practices are positively associated with environmental performance (Muma et al., 2014). Comparable evidence from other developing-economy manufacturing contexts finds that green supply chain management practices, such as green purchasing, green manufacturing and eco-design, are associated with improved organisational performance, although the strength of individual practices varies (</w:t>
      </w:r>
      <w:r w:rsidRPr="00392F58">
        <w:rPr>
          <w:rFonts w:ascii="Times New Roman" w:eastAsia="Times New Roman" w:hAnsi="Times New Roman" w:cs="Times New Roman"/>
          <w:b/>
          <w:bCs/>
          <w:sz w:val="24"/>
          <w:szCs w:val="24"/>
          <w:lang w:eastAsia="en-GB"/>
        </w:rPr>
        <w:t>Ahmed, Ahmed, &amp; Najmi, 2018</w:t>
      </w:r>
      <w:r w:rsidRPr="00392F58">
        <w:rPr>
          <w:rFonts w:ascii="Times New Roman" w:eastAsia="Times New Roman" w:hAnsi="Times New Roman" w:cs="Times New Roman"/>
          <w:sz w:val="24"/>
          <w:szCs w:val="24"/>
          <w:lang w:eastAsia="en-GB"/>
        </w:rPr>
        <w:t>). Collaborative dimensions of supply chain management, including leadership and followership behaviour among supply chain partners, have also been shown to stimulate green innovation and, through it, improved firm performance, indicating that the benefits of green supply chain management are partly mediated through innovation rather than accruing directly (Fontoura &amp; Coelho, 2022).</w:t>
      </w:r>
    </w:p>
    <w:p w14:paraId="1F1DEEA8"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lastRenderedPageBreak/>
        <w:t>4.4 Green human resource management</w:t>
      </w:r>
    </w:p>
    <w:p w14:paraId="5A5971EE"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human resource management embeds environmental objectives into recruitment, training, performance appraisal and reward systems, aligning employee behaviour with organisational environmental strategy. The foundational review of this literature characterised green human resource management as the integration of environmental management and human resource management research traditions, organised around the ability–motivation–opportunity framework, in which firms build employee environmental ability, motivate pro-environmental effort and provide opportunities for environmental engagement (Renwick et al., 2013). Subsequent empirical work in developing-economy manufacturing settings found that green human resource management improves environmental performance both directly and indirectly, through green innovation and employee pro-environmental behaviour, with environmental strategy moderating the strength of this relationship (Aftab et al., 2023). A large-scale meta-analysis of employee green behaviour further confirmed that pro-environmental attitudes, workplace norms and green psychological climate are consistently associated with employee-level environmental engagement, reinforcing the proposition that human resource systems constitute a distinct and consequential channel through which organisational environmental strategy is realised (Katz et al., 2022), a conclusion reaffirmed in a subsequent review situating employee green behaviour as a core mechanism of environmentally sustainable organisations (Zacher et al., 2023).</w:t>
      </w:r>
    </w:p>
    <w:p w14:paraId="34749B91"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Table 3 summarises this fourfold typology of green innovation strategy relevant to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firms.</w:t>
      </w:r>
    </w:p>
    <w:p w14:paraId="7880D6EC"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3. Typology of green innovation strategies relevant to tea processing firms</w:t>
      </w:r>
    </w:p>
    <w:tbl>
      <w:tblPr>
        <w:tblStyle w:val="TableGrid"/>
        <w:tblW w:w="0" w:type="auto"/>
        <w:tblLook w:val="04A0" w:firstRow="1" w:lastRow="0" w:firstColumn="1" w:lastColumn="0" w:noHBand="0" w:noVBand="1"/>
      </w:tblPr>
      <w:tblGrid>
        <w:gridCol w:w="1928"/>
        <w:gridCol w:w="2522"/>
        <w:gridCol w:w="2537"/>
        <w:gridCol w:w="2255"/>
      </w:tblGrid>
      <w:tr w:rsidR="00392F58" w:rsidRPr="00392F58" w14:paraId="426AB6A1" w14:textId="77777777" w:rsidTr="00392F58">
        <w:tc>
          <w:tcPr>
            <w:tcW w:w="0" w:type="auto"/>
            <w:hideMark/>
          </w:tcPr>
          <w:p w14:paraId="01C2265B"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Strategy dimension</w:t>
            </w:r>
          </w:p>
        </w:tc>
        <w:tc>
          <w:tcPr>
            <w:tcW w:w="0" w:type="auto"/>
            <w:hideMark/>
          </w:tcPr>
          <w:p w14:paraId="10462609"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Core focus</w:t>
            </w:r>
          </w:p>
        </w:tc>
        <w:tc>
          <w:tcPr>
            <w:tcW w:w="0" w:type="auto"/>
            <w:hideMark/>
          </w:tcPr>
          <w:p w14:paraId="6E2DEADB"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Illustrative practice in tea processing</w:t>
            </w:r>
          </w:p>
        </w:tc>
        <w:tc>
          <w:tcPr>
            <w:tcW w:w="0" w:type="auto"/>
            <w:hideMark/>
          </w:tcPr>
          <w:p w14:paraId="7297BE41"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2B619154" w14:textId="77777777" w:rsidTr="00392F58">
        <w:tc>
          <w:tcPr>
            <w:tcW w:w="0" w:type="auto"/>
            <w:hideMark/>
          </w:tcPr>
          <w:p w14:paraId="12ED1170"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product innovation</w:t>
            </w:r>
          </w:p>
        </w:tc>
        <w:tc>
          <w:tcPr>
            <w:tcW w:w="0" w:type="auto"/>
            <w:hideMark/>
          </w:tcPr>
          <w:p w14:paraId="2BC2AC16"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Environmental attributes of goods and services</w:t>
            </w:r>
          </w:p>
        </w:tc>
        <w:tc>
          <w:tcPr>
            <w:tcW w:w="0" w:type="auto"/>
            <w:hideMark/>
          </w:tcPr>
          <w:p w14:paraId="66509CE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Ecological packaging, certified sustainable product lines</w:t>
            </w:r>
          </w:p>
        </w:tc>
        <w:tc>
          <w:tcPr>
            <w:tcW w:w="0" w:type="auto"/>
            <w:hideMark/>
          </w:tcPr>
          <w:p w14:paraId="3D9F8296"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Chen (2008); Chepkoech et al. (2023)</w:t>
            </w:r>
          </w:p>
        </w:tc>
      </w:tr>
      <w:tr w:rsidR="00392F58" w:rsidRPr="00392F58" w14:paraId="4DF3A56B" w14:textId="77777777" w:rsidTr="00392F58">
        <w:tc>
          <w:tcPr>
            <w:tcW w:w="0" w:type="auto"/>
            <w:hideMark/>
          </w:tcPr>
          <w:p w14:paraId="59111F60"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process innovation</w:t>
            </w:r>
          </w:p>
        </w:tc>
        <w:tc>
          <w:tcPr>
            <w:tcW w:w="0" w:type="auto"/>
            <w:hideMark/>
          </w:tcPr>
          <w:p w14:paraId="00ED9A3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Environmental footprint of production processes</w:t>
            </w:r>
          </w:p>
        </w:tc>
        <w:tc>
          <w:tcPr>
            <w:tcW w:w="0" w:type="auto"/>
            <w:hideMark/>
          </w:tcPr>
          <w:p w14:paraId="3642F35F"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Adaptation to climate variability, energy and process efficiency</w:t>
            </w:r>
          </w:p>
        </w:tc>
        <w:tc>
          <w:tcPr>
            <w:tcW w:w="0" w:type="auto"/>
            <w:hideMark/>
          </w:tcPr>
          <w:p w14:paraId="417F5BDB"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Muoki et al. (2020)</w:t>
            </w:r>
          </w:p>
        </w:tc>
      </w:tr>
      <w:tr w:rsidR="00392F58" w:rsidRPr="00392F58" w14:paraId="6C5D3FA1" w14:textId="77777777" w:rsidTr="00392F58">
        <w:tc>
          <w:tcPr>
            <w:tcW w:w="0" w:type="auto"/>
            <w:hideMark/>
          </w:tcPr>
          <w:p w14:paraId="171DD0F1"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w:t>
            </w:r>
          </w:p>
        </w:tc>
        <w:tc>
          <w:tcPr>
            <w:tcW w:w="0" w:type="auto"/>
            <w:hideMark/>
          </w:tcPr>
          <w:p w14:paraId="6DE5639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Environmental coordination across the value chain</w:t>
            </w:r>
          </w:p>
        </w:tc>
        <w:tc>
          <w:tcPr>
            <w:tcW w:w="0" w:type="auto"/>
            <w:hideMark/>
          </w:tcPr>
          <w:p w14:paraId="1429D6D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procurement, reverse logistics, supplier collaboration</w:t>
            </w:r>
          </w:p>
        </w:tc>
        <w:tc>
          <w:tcPr>
            <w:tcW w:w="0" w:type="auto"/>
            <w:hideMark/>
          </w:tcPr>
          <w:p w14:paraId="2422F6A8"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Muma et al. (2014); </w:t>
            </w:r>
            <w:r w:rsidRPr="00392F58">
              <w:rPr>
                <w:rFonts w:ascii="Times New Roman" w:eastAsia="Times New Roman" w:hAnsi="Times New Roman" w:cs="Times New Roman"/>
                <w:b/>
                <w:bCs/>
                <w:sz w:val="24"/>
                <w:szCs w:val="24"/>
                <w:lang w:eastAsia="en-GB"/>
              </w:rPr>
              <w:t>Ahmed, Ahmed, and Najmi (2018)</w:t>
            </w:r>
          </w:p>
        </w:tc>
      </w:tr>
      <w:tr w:rsidR="00392F58" w:rsidRPr="00392F58" w14:paraId="693C8727" w14:textId="77777777" w:rsidTr="00392F58">
        <w:tc>
          <w:tcPr>
            <w:tcW w:w="0" w:type="auto"/>
            <w:hideMark/>
          </w:tcPr>
          <w:p w14:paraId="505EF0F5"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human resource management</w:t>
            </w:r>
          </w:p>
        </w:tc>
        <w:tc>
          <w:tcPr>
            <w:tcW w:w="0" w:type="auto"/>
            <w:hideMark/>
          </w:tcPr>
          <w:p w14:paraId="654ECF61"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Employee-level environmental capability and motivation</w:t>
            </w:r>
          </w:p>
        </w:tc>
        <w:tc>
          <w:tcPr>
            <w:tcW w:w="0" w:type="auto"/>
            <w:hideMark/>
          </w:tcPr>
          <w:p w14:paraId="1B76970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training, appraisal and reward systems</w:t>
            </w:r>
          </w:p>
        </w:tc>
        <w:tc>
          <w:tcPr>
            <w:tcW w:w="0" w:type="auto"/>
            <w:hideMark/>
          </w:tcPr>
          <w:p w14:paraId="2F8DAD4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Renwick et al. (2013)</w:t>
            </w:r>
          </w:p>
        </w:tc>
      </w:tr>
    </w:tbl>
    <w:p w14:paraId="5219DCA0"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5. The Kenyan Tea Processing Sector: Structure and Sustainability Pressures</w:t>
      </w:r>
    </w:p>
    <w:p w14:paraId="4531D0D3"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5.1 Sectoral structure and economic significance</w:t>
      </w:r>
    </w:p>
    <w:p w14:paraId="2324FB4E"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Kenya remains one of the world's leading exporters of black tea, with production organised around a dual structure of smallholder-affiliated factories, many operating under cooperative arrangements historically linked to the Kenya Tea Development Agency, and larger multinational estates that combine cultivation with processing. Recent global market </w:t>
      </w:r>
      <w:r w:rsidRPr="00392F58">
        <w:rPr>
          <w:rFonts w:ascii="Times New Roman" w:eastAsia="Times New Roman" w:hAnsi="Times New Roman" w:cs="Times New Roman"/>
          <w:sz w:val="24"/>
          <w:szCs w:val="24"/>
          <w:lang w:eastAsia="en-GB"/>
        </w:rPr>
        <w:lastRenderedPageBreak/>
        <w:t>assessment confirms that Kenya continues to expand its share of world black tea exports even as the broader market shifts toward diversification and value addition, with international buyers placing increasing weight on product quality, traceability and interest in specialty and premium products (FAO, 2024). This structure creates a heterogeneous population of processing firms with widely varying access to capital, technical expertise and market power, a heterogeneity with direct implications for the capacity of individual firms to invest in green innovation.</w:t>
      </w:r>
    </w:p>
    <w:p w14:paraId="5CC9B235"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5.2 Environmental pressures on tea processing</w:t>
      </w:r>
    </w:p>
    <w:p w14:paraId="40C6710C"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Tea processing is energy-intensive relative to many other agro-industrial activities, owing to the thermal demands of withering and drying, and Kenyan factories have historically relied heavily on fuelwood, a dependence associated with localised pressure on surrounding forest resources. Climate change compounds these pressures from the production side, since tea cultivation is highly sensitive to temperature and rainfall variability, with documented impacts on both yield and leaf quality across Kenya's principal tea-growing regions and a corresponding need for coordinated adaptation strategies among growers, processors and research institutions (Muoki et al., 2020). Processing operations also generate solid waste in the form of fibre, dust and spent leaf, alongside process effluent requiring treatment before discharge, both of which represent underexploited opportunities for circular-economy value recovery, discussed further in Section 9.</w:t>
      </w:r>
    </w:p>
    <w:p w14:paraId="17EBB261"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5.3 Policy, regulatory and certification context</w:t>
      </w:r>
    </w:p>
    <w:p w14:paraId="4826DE9F"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Kenyan tea processing firms operate within a layered regulatory and voluntary governance environment. Domestic environmental regulation imposes standards on effluent discharge, air emissions and waste management, while international buyers increasingly condition purchasing relationships on certification against schemes addressing environmental, labour and governance standards. At the level of the global market, sector-wide guidance emphasises diversification, value addition and adaptation to climate risk, including drought-tolerant cultivars and water-conservation measures, as central to the tea sector's long-run environmental, social and economic sustainability (FAO, 2024). This layered governance context aligns closely with the institutional theory account of coercive, mimetic and normative isomorphism outlined in Section 3.2, and it provides the immediate backdrop against which the empirical evidence reviewed in the following section should be interpreted.</w:t>
      </w:r>
    </w:p>
    <w:p w14:paraId="16375A1F"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 xml:space="preserve">6. Empirical Evidence on Green Innovation and Performance Among Kenyan Tea and </w:t>
      </w:r>
      <w:proofErr w:type="spellStart"/>
      <w:r w:rsidRPr="00392F58">
        <w:rPr>
          <w:rFonts w:ascii="Times New Roman" w:eastAsia="Times New Roman" w:hAnsi="Times New Roman" w:cs="Times New Roman"/>
          <w:b/>
          <w:bCs/>
          <w:sz w:val="27"/>
          <w:szCs w:val="27"/>
          <w:lang w:eastAsia="en-GB"/>
        </w:rPr>
        <w:t>Agro</w:t>
      </w:r>
      <w:proofErr w:type="spellEnd"/>
      <w:r w:rsidRPr="00392F58">
        <w:rPr>
          <w:rFonts w:ascii="Times New Roman" w:eastAsia="Times New Roman" w:hAnsi="Times New Roman" w:cs="Times New Roman"/>
          <w:b/>
          <w:bCs/>
          <w:sz w:val="27"/>
          <w:szCs w:val="27"/>
          <w:lang w:eastAsia="en-GB"/>
        </w:rPr>
        <w:t>-Processing Firms</w:t>
      </w:r>
    </w:p>
    <w:p w14:paraId="6489215D"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6.1 Green supply chain management and environmental performance</w:t>
      </w:r>
    </w:p>
    <w:p w14:paraId="7BD1DF46"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earliest and most direct empirical evidence on green practice and performance among Kenyan tea processing firms concerns green supply chain management. A correlational study of tea processing firms in Kericho County found that green supply chain management practices, including green procurement and green distribution, exerted a statistically significant positive effect on environmental performance, and the authors explicitly called for further research extending beyond environmental outcomes to other dimensions of organisational performance (Muma et al., 2014). This early study established both a substantive finding and a research agenda that subsequent Kenyan literature has only partially fulfilled.</w:t>
      </w:r>
    </w:p>
    <w:p w14:paraId="3D6F6F40"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lastRenderedPageBreak/>
        <w:t>6.2 Ecological design and sustainable performance</w:t>
      </w:r>
    </w:p>
    <w:p w14:paraId="770BB69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More recent evidence extends the outcome variable beyond environmental performance to encompass broader sustainable performance. A study of multinational tea firms operating in Kenya found that ecological design practice, encompassing environmentally informed product and packaging decisions, was positively associated with sustainable performance outcomes, drawing on and extending the natural resource-based view to argue that design-stage environmental consideration constitutes a strategically valuable capability distinct from downstream process efficiency (Chepkoech et al., 2023). This finding is consistent with the broader theoretical proposition that green product innovation confers external market differentiation benefits distinguishable from the internal efficiency benefits more closely associated with process innovation (Zhao et al., 2026).</w:t>
      </w:r>
    </w:p>
    <w:p w14:paraId="17690F4F"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6.3 Climate exposure and operational resilience</w:t>
      </w:r>
    </w:p>
    <w:p w14:paraId="347D09C4"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 further strand of Kenyan tea-sector evidence addresses the climatic dimension of green process innovation. Research on the Kenyan tea industry's exposure to climate variability documents both direct agronomic risk to the crop and indirect risk to processing operations through disrupted supply and quality variability, while identifying coordinated adaptation strategies, including multi-stakeholder collaboration on climate risk management, as central to sustaining processing operations (Muoki et al., 2020). Although this literature is framed primarily in agronomic and environmental science terms rather than organisational performance terms, it nonetheless documents a direct mechanism through which climate-related green process innovation can be expected to affect operational continuity, itself a proximate driver of firm-level financial performance.</w:t>
      </w:r>
    </w:p>
    <w:p w14:paraId="3BEC634B"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6.4 The narrow evidence base beyond tea-specific studies</w:t>
      </w:r>
    </w:p>
    <w:p w14:paraId="76AA0BD6"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Kenyan evidence on green innovation and organisational performance outside the tea sector remains limited relative to the broader international literature, and few peer-reviewed studies extend the three tea-specific findings summarised above to other Kenyan manufacturing or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sub-sectors with comparable methodological rigour. Where such studies exist, they tend to apply the same resource-based and institutional logics documented for tea processing, reinforcing the theoretical coherence of the wider green innovation literature even where sector-specific empirical density remains low (Hart, 1995; DiMaggio &amp; Powell, 1983). Section 7 draws on the substantially larger international literature to test whether the patterns observed in Kenyan tea processing are consistent with evidence from comparable developing-economy manufacturing and agribusiness contexts.</w:t>
      </w:r>
    </w:p>
    <w:p w14:paraId="7494F78A"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Table 4 summarises the principal empirical studies specific to green innovation and performance among Kenyan tea processing firms.</w:t>
      </w:r>
    </w:p>
    <w:p w14:paraId="11E9716E"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4. Summary of empirical studies on green innovation and performance in Kenyan tea processing</w:t>
      </w:r>
    </w:p>
    <w:tbl>
      <w:tblPr>
        <w:tblStyle w:val="TableGrid"/>
        <w:tblW w:w="0" w:type="auto"/>
        <w:tblLook w:val="04A0" w:firstRow="1" w:lastRow="0" w:firstColumn="1" w:lastColumn="0" w:noHBand="0" w:noVBand="1"/>
      </w:tblPr>
      <w:tblGrid>
        <w:gridCol w:w="1805"/>
        <w:gridCol w:w="1872"/>
        <w:gridCol w:w="1843"/>
        <w:gridCol w:w="2233"/>
        <w:gridCol w:w="1489"/>
      </w:tblGrid>
      <w:tr w:rsidR="00392F58" w:rsidRPr="00392F58" w14:paraId="0809853C" w14:textId="77777777" w:rsidTr="00392F58">
        <w:tc>
          <w:tcPr>
            <w:tcW w:w="0" w:type="auto"/>
            <w:hideMark/>
          </w:tcPr>
          <w:p w14:paraId="43B14C06"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Study focus</w:t>
            </w:r>
          </w:p>
        </w:tc>
        <w:tc>
          <w:tcPr>
            <w:tcW w:w="0" w:type="auto"/>
            <w:hideMark/>
          </w:tcPr>
          <w:p w14:paraId="03BE4B77"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Green innovation dimension examined</w:t>
            </w:r>
          </w:p>
        </w:tc>
        <w:tc>
          <w:tcPr>
            <w:tcW w:w="0" w:type="auto"/>
            <w:hideMark/>
          </w:tcPr>
          <w:p w14:paraId="3661BA12"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Performance outcome</w:t>
            </w:r>
          </w:p>
        </w:tc>
        <w:tc>
          <w:tcPr>
            <w:tcW w:w="0" w:type="auto"/>
            <w:hideMark/>
          </w:tcPr>
          <w:p w14:paraId="5E2C13F6"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Principal finding</w:t>
            </w:r>
          </w:p>
        </w:tc>
        <w:tc>
          <w:tcPr>
            <w:tcW w:w="0" w:type="auto"/>
            <w:hideMark/>
          </w:tcPr>
          <w:p w14:paraId="5C06B2E3"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75B3F19A" w14:textId="77777777" w:rsidTr="00392F58">
        <w:tc>
          <w:tcPr>
            <w:tcW w:w="0" w:type="auto"/>
            <w:hideMark/>
          </w:tcPr>
          <w:p w14:paraId="70490F4F"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Tea processing, </w:t>
            </w:r>
            <w:r w:rsidRPr="00392F58">
              <w:rPr>
                <w:rFonts w:ascii="Times New Roman" w:eastAsia="Times New Roman" w:hAnsi="Times New Roman" w:cs="Times New Roman"/>
                <w:sz w:val="24"/>
                <w:szCs w:val="24"/>
                <w:lang w:eastAsia="en-GB"/>
              </w:rPr>
              <w:lastRenderedPageBreak/>
              <w:t>Kericho County</w:t>
            </w:r>
          </w:p>
        </w:tc>
        <w:tc>
          <w:tcPr>
            <w:tcW w:w="0" w:type="auto"/>
            <w:hideMark/>
          </w:tcPr>
          <w:p w14:paraId="3DDD3299"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Green supply </w:t>
            </w:r>
            <w:r w:rsidRPr="00392F58">
              <w:rPr>
                <w:rFonts w:ascii="Times New Roman" w:eastAsia="Times New Roman" w:hAnsi="Times New Roman" w:cs="Times New Roman"/>
                <w:sz w:val="24"/>
                <w:szCs w:val="24"/>
                <w:lang w:eastAsia="en-GB"/>
              </w:rPr>
              <w:lastRenderedPageBreak/>
              <w:t>chain management</w:t>
            </w:r>
          </w:p>
        </w:tc>
        <w:tc>
          <w:tcPr>
            <w:tcW w:w="0" w:type="auto"/>
            <w:hideMark/>
          </w:tcPr>
          <w:p w14:paraId="69EAFCCF"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Environmental </w:t>
            </w:r>
            <w:r w:rsidRPr="00392F58">
              <w:rPr>
                <w:rFonts w:ascii="Times New Roman" w:eastAsia="Times New Roman" w:hAnsi="Times New Roman" w:cs="Times New Roman"/>
                <w:sz w:val="24"/>
                <w:szCs w:val="24"/>
                <w:lang w:eastAsia="en-GB"/>
              </w:rPr>
              <w:lastRenderedPageBreak/>
              <w:t>performance</w:t>
            </w:r>
          </w:p>
        </w:tc>
        <w:tc>
          <w:tcPr>
            <w:tcW w:w="0" w:type="auto"/>
            <w:hideMark/>
          </w:tcPr>
          <w:p w14:paraId="76F17A3F"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Positive and </w:t>
            </w:r>
            <w:r w:rsidRPr="00392F58">
              <w:rPr>
                <w:rFonts w:ascii="Times New Roman" w:eastAsia="Times New Roman" w:hAnsi="Times New Roman" w:cs="Times New Roman"/>
                <w:sz w:val="24"/>
                <w:szCs w:val="24"/>
                <w:lang w:eastAsia="en-GB"/>
              </w:rPr>
              <w:lastRenderedPageBreak/>
              <w:t>significant effect</w:t>
            </w:r>
          </w:p>
        </w:tc>
        <w:tc>
          <w:tcPr>
            <w:tcW w:w="0" w:type="auto"/>
            <w:hideMark/>
          </w:tcPr>
          <w:p w14:paraId="28EBB60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Muma et al. </w:t>
            </w:r>
            <w:r w:rsidRPr="00392F58">
              <w:rPr>
                <w:rFonts w:ascii="Times New Roman" w:eastAsia="Times New Roman" w:hAnsi="Times New Roman" w:cs="Times New Roman"/>
                <w:sz w:val="24"/>
                <w:szCs w:val="24"/>
                <w:lang w:eastAsia="en-GB"/>
              </w:rPr>
              <w:lastRenderedPageBreak/>
              <w:t>(2014)</w:t>
            </w:r>
          </w:p>
        </w:tc>
      </w:tr>
      <w:tr w:rsidR="00392F58" w:rsidRPr="00392F58" w14:paraId="276B5EB3" w14:textId="77777777" w:rsidTr="00392F58">
        <w:tc>
          <w:tcPr>
            <w:tcW w:w="0" w:type="auto"/>
            <w:hideMark/>
          </w:tcPr>
          <w:p w14:paraId="13489BD5"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Multinational tea firms, Kenya</w:t>
            </w:r>
          </w:p>
        </w:tc>
        <w:tc>
          <w:tcPr>
            <w:tcW w:w="0" w:type="auto"/>
            <w:hideMark/>
          </w:tcPr>
          <w:p w14:paraId="638EE9A8"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Ecological design practice</w:t>
            </w:r>
          </w:p>
        </w:tc>
        <w:tc>
          <w:tcPr>
            <w:tcW w:w="0" w:type="auto"/>
            <w:hideMark/>
          </w:tcPr>
          <w:p w14:paraId="7CA6C378"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Sustainable performance</w:t>
            </w:r>
          </w:p>
        </w:tc>
        <w:tc>
          <w:tcPr>
            <w:tcW w:w="0" w:type="auto"/>
            <w:hideMark/>
          </w:tcPr>
          <w:p w14:paraId="24A5D2F3"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Positive association</w:t>
            </w:r>
          </w:p>
        </w:tc>
        <w:tc>
          <w:tcPr>
            <w:tcW w:w="0" w:type="auto"/>
            <w:hideMark/>
          </w:tcPr>
          <w:p w14:paraId="089A6D9A"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Chepkoech et al. (2023)</w:t>
            </w:r>
          </w:p>
        </w:tc>
      </w:tr>
      <w:tr w:rsidR="00392F58" w:rsidRPr="00392F58" w14:paraId="5CE5EF3D" w14:textId="77777777" w:rsidTr="00392F58">
        <w:tc>
          <w:tcPr>
            <w:tcW w:w="0" w:type="auto"/>
            <w:hideMark/>
          </w:tcPr>
          <w:p w14:paraId="5D1CC3E1"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Kenyan tea industry (national)</w:t>
            </w:r>
          </w:p>
        </w:tc>
        <w:tc>
          <w:tcPr>
            <w:tcW w:w="0" w:type="auto"/>
            <w:hideMark/>
          </w:tcPr>
          <w:p w14:paraId="33937A30"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Climate adaptation</w:t>
            </w:r>
          </w:p>
        </w:tc>
        <w:tc>
          <w:tcPr>
            <w:tcW w:w="0" w:type="auto"/>
            <w:hideMark/>
          </w:tcPr>
          <w:p w14:paraId="3BC3490C"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Operational resilience</w:t>
            </w:r>
          </w:p>
        </w:tc>
        <w:tc>
          <w:tcPr>
            <w:tcW w:w="0" w:type="auto"/>
            <w:hideMark/>
          </w:tcPr>
          <w:p w14:paraId="4DD6216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Coordinated multi-stakeholder adaptation identified as key strategy</w:t>
            </w:r>
          </w:p>
        </w:tc>
        <w:tc>
          <w:tcPr>
            <w:tcW w:w="0" w:type="auto"/>
            <w:hideMark/>
          </w:tcPr>
          <w:p w14:paraId="2ACB8624"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Muoki et al. (2020)</w:t>
            </w:r>
          </w:p>
        </w:tc>
      </w:tr>
    </w:tbl>
    <w:p w14:paraId="7C17E108"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7. Cross-Sectoral and International Evidence on the Green Innovation–Performance Nexus</w:t>
      </w:r>
    </w:p>
    <w:p w14:paraId="3B20E2FF"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7.1 Systematic and bibliometric evidence</w:t>
      </w:r>
    </w:p>
    <w:p w14:paraId="77B12A7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Systematic review evidence on green innovation confirms that the relationship with firm performance is among the most frequently studied outcome domains in the literature (Karimi Takalo et al., 2021). Bibliometric analysis of the field similarly confirms the centrality of resource-based theorising, noting that green supply chain management, green product design and organisational capability constitute prominent thematic clusters within the accumulated literature (Khanra et al., 2022). Together, these syntheses indicate a field that has matured considerably in theoretical grounding while remaining geographically concentrated in East Asian and Western European empirical settings, underscoring the value of sector- and region-specific evidence such as that reviewed in Section 6.</w:t>
      </w:r>
    </w:p>
    <w:p w14:paraId="62B75BFE"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7.2 Meta-analytic evidence on green innovation and firm performance</w:t>
      </w:r>
    </w:p>
    <w:p w14:paraId="2F50F8D0"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most recent and methodologically rigorous synthesis available pools effect sizes from forty-eight empirical studies published between 2012 and 2025, applying a random-effects meta-analytic model with adjustment for publication bias (Zhao et al., 2026). This synthesis reports small-to-moderate positive pooled correlations between green innovation and environmental performance, financial performance and innovation performance respectively, with the association considerably stronger where firms adopt integrated green product and process innovation rather than either dimension in isolation, a finding interpreted through the lens of dynamic capability and asset-orchestration theory (Zhao et al., 2026). The same synthesis finds that the green innovation–performance association is stronger in low-pollution industries, where green innovation functions as a differentiation strategy, than in high-pollution industries, where compliance-driven adoption tends to standardise practice and erode the potential for competitive differentiation (Zhao et al., 2026). This distinction carries direct relevance for tea processing, an industry that, while not conventionally classified among the most heavily polluting manufacturing sectors, nonetheless faces meaningful regulatory and buyer-driven compliance pressure that may constrain the differentiation value of green practice adoption relative to voluntary, reputation-driven contexts.</w:t>
      </w:r>
    </w:p>
    <w:p w14:paraId="50661FB9"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7.3 Evidence on green supply chain management and firm performance</w:t>
      </w:r>
    </w:p>
    <w:p w14:paraId="78DBE614"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Beyond the general green innovation literature, a substantial body of evidence addresses green supply chain management specifically. A study of manufacturing firms' green supply chain management practices in Pakistan found that four of five practice dimensions — green manufacturing, green information systems, cooperation with customers and eco-design — </w:t>
      </w:r>
      <w:r w:rsidRPr="00392F58">
        <w:rPr>
          <w:rFonts w:ascii="Times New Roman" w:eastAsia="Times New Roman" w:hAnsi="Times New Roman" w:cs="Times New Roman"/>
          <w:sz w:val="24"/>
          <w:szCs w:val="24"/>
          <w:lang w:eastAsia="en-GB"/>
        </w:rPr>
        <w:lastRenderedPageBreak/>
        <w:t>significantly predicted organisational performance, with eco-design showing the strongest effect, while green purchasing alone showed no significant effect (Khan &amp; Qianli, 2017). This pattern is consistent with the natural resource-based view's proposition that environmentally oriented supply chain capability constitutes a valuable and difficult-to-imitate organisational resource, though it also suggests that the performance returns to green supply chain management are not uniform across practice types (Hart, 1995). Complementary evidence from a developing-country manufacturing context finds that green supply chain management practices, including green purchasing and eco-design, are similarly associated with improved organisational performance (Ahmed, Ahmed, &amp; Najmi, 2018).</w:t>
      </w:r>
    </w:p>
    <w:p w14:paraId="2716805B"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7.4 Evidence on green human resource management and environmental performance</w:t>
      </w:r>
    </w:p>
    <w:p w14:paraId="2546FCE6"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Evidence on green human resource management corroborates the theoretical proposition, discussed in Section 4.4, that employee-level environmental engagement constitutes a distinct performance channel. Research among manufacturing firms in a developing-economy setting demonstrates that green human resource management improves environmental performance both directly and indirectly through green innovation and employee pro-environmental behaviour, with environmental strategy moderating this relationship (Aftab et al., 2023). At a broader level, meta-analytic evidence on employee green behaviour confirms consistent positive associations between pro-environmental attitudes, workplace green climate and employee environmental engagement across a very large pooled sample, lending empirical weight to the ability–motivation–opportunity logic first articulated in the foundational review of green human resource management research (Renwick et al., 2013; Katz et al., 2022).</w:t>
      </w:r>
    </w:p>
    <w:p w14:paraId="2F60D53A"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7.5 Environmental, social and governance considerations and green innovation</w:t>
      </w:r>
    </w:p>
    <w:p w14:paraId="3FB5DC18" w14:textId="6146B9B3"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 further relevant strand of the international literature examines the relationship between environmental, social and governance disclosure, green innovation and financial performance. Evidence from European firms indicates that green innovation can fully mediate the relationship between environmental, social and governance practice and financial performance, suggesting that voluntary sustainability disclosure alone is insufficient to generate financial returns unless it is accompanied by substantive innovation activity (</w:t>
      </w:r>
      <w:proofErr w:type="spellStart"/>
      <w:r w:rsidRPr="00392F58">
        <w:rPr>
          <w:rFonts w:ascii="Times New Roman" w:eastAsia="Times New Roman" w:hAnsi="Times New Roman" w:cs="Times New Roman"/>
          <w:sz w:val="24"/>
          <w:szCs w:val="24"/>
          <w:lang w:eastAsia="en-GB"/>
        </w:rPr>
        <w:t>Chouaibi</w:t>
      </w:r>
      <w:proofErr w:type="spellEnd"/>
      <w:r w:rsidRPr="00392F58">
        <w:rPr>
          <w:rFonts w:ascii="Times New Roman" w:eastAsia="Times New Roman" w:hAnsi="Times New Roman" w:cs="Times New Roman"/>
          <w:sz w:val="24"/>
          <w:szCs w:val="24"/>
          <w:lang w:eastAsia="en-GB"/>
        </w:rPr>
        <w:t xml:space="preserve"> et al., 2022). This finding carries a cautionary implication for Kenyan tea processing firms pursuing certification primarily as a disclosure or reputational exercise: absent accompanying investment in genuine product, process or organisational innovation, certification-driven environmental, social and governance signalling may generate limited independent performance benefit.</w:t>
      </w:r>
      <w:r>
        <w:rPr>
          <w:rFonts w:ascii="Times New Roman" w:eastAsia="Times New Roman" w:hAnsi="Times New Roman" w:cs="Times New Roman"/>
          <w:sz w:val="24"/>
          <w:szCs w:val="24"/>
          <w:lang w:eastAsia="en-GB"/>
        </w:rPr>
        <w:t xml:space="preserve"> </w:t>
      </w:r>
      <w:r w:rsidRPr="00392F58">
        <w:rPr>
          <w:rFonts w:ascii="Times New Roman" w:eastAsia="Times New Roman" w:hAnsi="Times New Roman" w:cs="Times New Roman"/>
          <w:sz w:val="24"/>
          <w:szCs w:val="24"/>
          <w:lang w:eastAsia="en-GB"/>
        </w:rPr>
        <w:t>Table 5 summarises the principal cross-sectoral and international syntheses discussed in this section.</w:t>
      </w:r>
    </w:p>
    <w:p w14:paraId="3EC9507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5. Summary of cross-sectoral and international synthesis evidence on the green innovation–performance nexus</w:t>
      </w:r>
    </w:p>
    <w:tbl>
      <w:tblPr>
        <w:tblStyle w:val="TableGridLight"/>
        <w:tblW w:w="0" w:type="auto"/>
        <w:tblLook w:val="04A0" w:firstRow="1" w:lastRow="0" w:firstColumn="1" w:lastColumn="0" w:noHBand="0" w:noVBand="1"/>
      </w:tblPr>
      <w:tblGrid>
        <w:gridCol w:w="2243"/>
        <w:gridCol w:w="1973"/>
        <w:gridCol w:w="3210"/>
        <w:gridCol w:w="1816"/>
      </w:tblGrid>
      <w:tr w:rsidR="00392F58" w:rsidRPr="00392F58" w14:paraId="485260FB" w14:textId="77777777" w:rsidTr="00392F58">
        <w:tc>
          <w:tcPr>
            <w:tcW w:w="0" w:type="auto"/>
            <w:hideMark/>
          </w:tcPr>
          <w:p w14:paraId="4C20FDEF"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 of synthesis</w:t>
            </w:r>
          </w:p>
        </w:tc>
        <w:tc>
          <w:tcPr>
            <w:tcW w:w="0" w:type="auto"/>
            <w:hideMark/>
          </w:tcPr>
          <w:p w14:paraId="28BA9AB5"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Scope</w:t>
            </w:r>
          </w:p>
        </w:tc>
        <w:tc>
          <w:tcPr>
            <w:tcW w:w="0" w:type="auto"/>
            <w:hideMark/>
          </w:tcPr>
          <w:p w14:paraId="19CDE647"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Principal finding relevant to tea processing</w:t>
            </w:r>
          </w:p>
        </w:tc>
        <w:tc>
          <w:tcPr>
            <w:tcW w:w="0" w:type="auto"/>
            <w:hideMark/>
          </w:tcPr>
          <w:p w14:paraId="0B07E114" w14:textId="77777777" w:rsidR="00392F58" w:rsidRPr="00392F58" w:rsidRDefault="00392F58" w:rsidP="00392F58">
            <w:pPr>
              <w:jc w:val="center"/>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562F7355" w14:textId="77777777" w:rsidTr="00392F58">
        <w:tc>
          <w:tcPr>
            <w:tcW w:w="0" w:type="auto"/>
            <w:hideMark/>
          </w:tcPr>
          <w:p w14:paraId="1B5F572D"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Systematic literature review of green innovation</w:t>
            </w:r>
          </w:p>
        </w:tc>
        <w:tc>
          <w:tcPr>
            <w:tcW w:w="0" w:type="auto"/>
            <w:hideMark/>
          </w:tcPr>
          <w:p w14:paraId="33A01298"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Cross-industry, multiple regions</w:t>
            </w:r>
          </w:p>
        </w:tc>
        <w:tc>
          <w:tcPr>
            <w:tcW w:w="0" w:type="auto"/>
            <w:hideMark/>
          </w:tcPr>
          <w:p w14:paraId="1EF6225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Firm performance is among the most frequently studied outcomes</w:t>
            </w:r>
          </w:p>
        </w:tc>
        <w:tc>
          <w:tcPr>
            <w:tcW w:w="0" w:type="auto"/>
            <w:hideMark/>
          </w:tcPr>
          <w:p w14:paraId="63913F1F"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Karimi Takalo et al. (2021)</w:t>
            </w:r>
          </w:p>
        </w:tc>
      </w:tr>
      <w:tr w:rsidR="00392F58" w:rsidRPr="00392F58" w14:paraId="35176573" w14:textId="77777777" w:rsidTr="00392F58">
        <w:tc>
          <w:tcPr>
            <w:tcW w:w="0" w:type="auto"/>
            <w:hideMark/>
          </w:tcPr>
          <w:p w14:paraId="7568735F"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Bibliometric review of green innovation as a strategic </w:t>
            </w:r>
            <w:r w:rsidRPr="00392F58">
              <w:rPr>
                <w:rFonts w:ascii="Times New Roman" w:eastAsia="Times New Roman" w:hAnsi="Times New Roman" w:cs="Times New Roman"/>
                <w:sz w:val="24"/>
                <w:szCs w:val="24"/>
                <w:lang w:eastAsia="en-GB"/>
              </w:rPr>
              <w:lastRenderedPageBreak/>
              <w:t>resource</w:t>
            </w:r>
          </w:p>
        </w:tc>
        <w:tc>
          <w:tcPr>
            <w:tcW w:w="0" w:type="auto"/>
            <w:hideMark/>
          </w:tcPr>
          <w:p w14:paraId="431EE824"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Cross-industry, near 1,000 articles</w:t>
            </w:r>
          </w:p>
        </w:tc>
        <w:tc>
          <w:tcPr>
            <w:tcW w:w="0" w:type="auto"/>
            <w:hideMark/>
          </w:tcPr>
          <w:p w14:paraId="13BC84D2"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Green supply chain management and product design are prominent thematic </w:t>
            </w:r>
            <w:r w:rsidRPr="00392F58">
              <w:rPr>
                <w:rFonts w:ascii="Times New Roman" w:eastAsia="Times New Roman" w:hAnsi="Times New Roman" w:cs="Times New Roman"/>
                <w:sz w:val="24"/>
                <w:szCs w:val="24"/>
                <w:lang w:eastAsia="en-GB"/>
              </w:rPr>
              <w:lastRenderedPageBreak/>
              <w:t>clusters</w:t>
            </w:r>
          </w:p>
        </w:tc>
        <w:tc>
          <w:tcPr>
            <w:tcW w:w="0" w:type="auto"/>
            <w:hideMark/>
          </w:tcPr>
          <w:p w14:paraId="42403AAA"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Khanra et al. (2022)</w:t>
            </w:r>
          </w:p>
        </w:tc>
      </w:tr>
      <w:tr w:rsidR="00392F58" w:rsidRPr="00392F58" w14:paraId="08D2D9D7" w14:textId="77777777" w:rsidTr="00392F58">
        <w:tc>
          <w:tcPr>
            <w:tcW w:w="0" w:type="auto"/>
            <w:hideMark/>
          </w:tcPr>
          <w:p w14:paraId="5D9BB083"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Meta-analytic review of green product and process innovation</w:t>
            </w:r>
          </w:p>
        </w:tc>
        <w:tc>
          <w:tcPr>
            <w:tcW w:w="0" w:type="auto"/>
            <w:hideMark/>
          </w:tcPr>
          <w:p w14:paraId="38CF7339"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48 studies, 2012–2025</w:t>
            </w:r>
          </w:p>
        </w:tc>
        <w:tc>
          <w:tcPr>
            <w:tcW w:w="0" w:type="auto"/>
            <w:hideMark/>
          </w:tcPr>
          <w:p w14:paraId="09841F30"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Small-to-moderate positive pooled effects; integrated green innovation outperforms isolated dimensions</w:t>
            </w:r>
          </w:p>
        </w:tc>
        <w:tc>
          <w:tcPr>
            <w:tcW w:w="0" w:type="auto"/>
            <w:hideMark/>
          </w:tcPr>
          <w:p w14:paraId="2CAD20DF"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Zhao et al. (2026)</w:t>
            </w:r>
          </w:p>
        </w:tc>
      </w:tr>
      <w:tr w:rsidR="00392F58" w:rsidRPr="00392F58" w14:paraId="3C1D7F94" w14:textId="77777777" w:rsidTr="00392F58">
        <w:tc>
          <w:tcPr>
            <w:tcW w:w="0" w:type="auto"/>
            <w:hideMark/>
          </w:tcPr>
          <w:p w14:paraId="1BFBC3E1"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 and firm performance studies</w:t>
            </w:r>
          </w:p>
        </w:tc>
        <w:tc>
          <w:tcPr>
            <w:tcW w:w="0" w:type="auto"/>
            <w:hideMark/>
          </w:tcPr>
          <w:p w14:paraId="2496601D"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Developing-economy manufacturing</w:t>
            </w:r>
          </w:p>
        </w:tc>
        <w:tc>
          <w:tcPr>
            <w:tcW w:w="0" w:type="auto"/>
            <w:hideMark/>
          </w:tcPr>
          <w:p w14:paraId="37F1F60D"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Positive but practice-dependent association with organisational performance</w:t>
            </w:r>
          </w:p>
        </w:tc>
        <w:tc>
          <w:tcPr>
            <w:tcW w:w="0" w:type="auto"/>
            <w:hideMark/>
          </w:tcPr>
          <w:p w14:paraId="58792F6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Khan and Qianli (2017); Ahmed, Ahmed, and Najmi (2018)</w:t>
            </w:r>
          </w:p>
        </w:tc>
      </w:tr>
      <w:tr w:rsidR="00392F58" w:rsidRPr="00392F58" w14:paraId="5F51FA59" w14:textId="77777777" w:rsidTr="00392F58">
        <w:tc>
          <w:tcPr>
            <w:tcW w:w="0" w:type="auto"/>
            <w:hideMark/>
          </w:tcPr>
          <w:p w14:paraId="52B42AD4"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Employee green behaviour meta-analysis</w:t>
            </w:r>
          </w:p>
        </w:tc>
        <w:tc>
          <w:tcPr>
            <w:tcW w:w="0" w:type="auto"/>
            <w:hideMark/>
          </w:tcPr>
          <w:p w14:paraId="64DBED97"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135 samples, over 47,000 employees</w:t>
            </w:r>
          </w:p>
        </w:tc>
        <w:tc>
          <w:tcPr>
            <w:tcW w:w="0" w:type="auto"/>
            <w:hideMark/>
          </w:tcPr>
          <w:p w14:paraId="6436AD3E"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Consistent positive associations between pro-environmental attitude, workplace climate and employee engagement</w:t>
            </w:r>
          </w:p>
        </w:tc>
        <w:tc>
          <w:tcPr>
            <w:tcW w:w="0" w:type="auto"/>
            <w:hideMark/>
          </w:tcPr>
          <w:p w14:paraId="20A1193D" w14:textId="77777777" w:rsidR="00392F58" w:rsidRPr="00392F58" w:rsidRDefault="00392F58" w:rsidP="00392F58">
            <w:pPr>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Katz et al. (2022)</w:t>
            </w:r>
          </w:p>
        </w:tc>
      </w:tr>
    </w:tbl>
    <w:p w14:paraId="66FE0338"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8. Mediating and Moderating Mechanisms Linking Green Innovation to Performance</w:t>
      </w:r>
    </w:p>
    <w:p w14:paraId="39CE61D9"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8.1 Competitive advantage and reputational mechanisms</w:t>
      </w:r>
    </w:p>
    <w:p w14:paraId="3D8C87E4"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Much of the accumulated evidence indicates that green innovation does not translate into performance directly but rather operates through intervening mechanisms, chief among them competitive advantage and corporate reputation. Firms that develop strong green core competence tend to generate favourable green image among customers, which in turn supports willingness to pay premium prices and, consequently, improved market performance (Chen, 2008). More recent evidence extends this logic to enterprise reputation value more broadly, finding that green innovation strengthens corporate reputation in ways that generate durable, difficult-to-imitate advantage relative to competitors that pursue environmental compliance without corresponding innovation investment (Chen et al., 2023).</w:t>
      </w:r>
    </w:p>
    <w:p w14:paraId="5346094C"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8.2 Certification, market access and institutional legitimacy</w:t>
      </w:r>
    </w:p>
    <w:p w14:paraId="40DF8FC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For export-oriented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firms such as Kenyan tea producers, certification against internationally recognised sustainability standards functions as a particularly consequential mediating mechanism, converting internal green practice into externally verifiable legitimacy that buyers can observe and reward. This mechanism aligns closely with the normative isomorphism strand of institutional theory, whereby adherence to shared professional and market standards, rather than any single practice in isolation, becomes the basis on which firms are judged by external stakeholders (DiMaggio &amp; Powell, 1983). The broader environmental, social and governance evidence reviewed in Section 7.5 suggests, however, that certification and disclosure generate financial returns primarily when they are underpinned by genuine innovation activity rather than functioning as a standalone signalling exercise (</w:t>
      </w:r>
      <w:proofErr w:type="spellStart"/>
      <w:r w:rsidRPr="00392F58">
        <w:rPr>
          <w:rFonts w:ascii="Times New Roman" w:eastAsia="Times New Roman" w:hAnsi="Times New Roman" w:cs="Times New Roman"/>
          <w:sz w:val="24"/>
          <w:szCs w:val="24"/>
          <w:lang w:eastAsia="en-GB"/>
        </w:rPr>
        <w:t>Chouaibi</w:t>
      </w:r>
      <w:proofErr w:type="spellEnd"/>
      <w:r w:rsidRPr="00392F58">
        <w:rPr>
          <w:rFonts w:ascii="Times New Roman" w:eastAsia="Times New Roman" w:hAnsi="Times New Roman" w:cs="Times New Roman"/>
          <w:sz w:val="24"/>
          <w:szCs w:val="24"/>
          <w:lang w:eastAsia="en-GB"/>
        </w:rPr>
        <w:t xml:space="preserve"> et al., 2022).</w:t>
      </w:r>
    </w:p>
    <w:p w14:paraId="5B9BF06E"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8.3 Institutional pressure and regulatory stringency as moderators</w:t>
      </w:r>
    </w:p>
    <w:p w14:paraId="086380B5"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The strength of the green innovation–performance relationship also appears to depend on the intensity and design of the surrounding regulatory environment. The Porter hypothesis literature suggests that well-designed environmental regulation can trigger innovation offsets sufficient to outweigh compliance costs, though the empirical evidence supporting this </w:t>
      </w:r>
      <w:r w:rsidRPr="00392F58">
        <w:rPr>
          <w:rFonts w:ascii="Times New Roman" w:eastAsia="Times New Roman" w:hAnsi="Times New Roman" w:cs="Times New Roman"/>
          <w:sz w:val="24"/>
          <w:szCs w:val="24"/>
          <w:lang w:eastAsia="en-GB"/>
        </w:rPr>
        <w:lastRenderedPageBreak/>
        <w:t xml:space="preserve">proposition remains mixed and context-dependent (Porter &amp; van der Linde, 1995; </w:t>
      </w:r>
      <w:proofErr w:type="spellStart"/>
      <w:r w:rsidRPr="00392F58">
        <w:rPr>
          <w:rFonts w:ascii="Times New Roman" w:eastAsia="Times New Roman" w:hAnsi="Times New Roman" w:cs="Times New Roman"/>
          <w:sz w:val="24"/>
          <w:szCs w:val="24"/>
          <w:lang w:eastAsia="en-GB"/>
        </w:rPr>
        <w:t>Ambec</w:t>
      </w:r>
      <w:proofErr w:type="spellEnd"/>
      <w:r w:rsidRPr="00392F58">
        <w:rPr>
          <w:rFonts w:ascii="Times New Roman" w:eastAsia="Times New Roman" w:hAnsi="Times New Roman" w:cs="Times New Roman"/>
          <w:sz w:val="24"/>
          <w:szCs w:val="24"/>
          <w:lang w:eastAsia="en-GB"/>
        </w:rPr>
        <w:t xml:space="preserve"> et al., 2013). Kenyan tea processing firms operate under a regulatory regime that, while less stringent than that of major industrialised export markets, is nonetheless layered with buyer-imposed certification requirements that function analogously to formal regulation in shaping firm incentives. The meta-analytic finding that green innovation returns are stronger in low-pollution, differentiation-oriented industries than in high-pollution, compliance-driven industries (Zhao et al., 2026) suggests that the performance returns available to Kenyan tea processors may depend heavily on whether green innovation is pursued as a differentiation strategy targeted at premium, sustainability-conscious buyers, or merely as a defensive response to minimum certification thresholds.</w:t>
      </w:r>
    </w:p>
    <w:p w14:paraId="6C4D63F0"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8.4 Organisational capability and firm size</w:t>
      </w:r>
    </w:p>
    <w:p w14:paraId="6FFFD343"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Firm size and organisational capability recur throughout the literature as moderators of the green innovation–performance relationship, with larger, better-resourced firms generally better positioned to develop the organisational capabilities, including green core competence and integrated green human resource systems, required to convert green innovation investment into measurable performance gain (Chen, 2008). This has direct relevance for the Kenyan tea sector's dual structure of smallholder-affiliated factories and larger multinational estates: the resource asymmetry between these firm types suggests that the performance returns to green innovation documented for multinational tea firms (Chepkoech et al., 2023) may not generalise straightforwardly to smaller, cooperative-affiliated processing units operating with tighter capital and technical constraints.</w:t>
      </w:r>
    </w:p>
    <w:p w14:paraId="4458B2E4"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9. Circular Economy and Waste Valorisation Pathways in Tea Processing</w:t>
      </w:r>
    </w:p>
    <w:p w14:paraId="19D3B0EB"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9.1 Agro-industrial waste as an underexploited resource</w:t>
      </w:r>
    </w:p>
    <w:p w14:paraId="6936E3E9"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Tea processing generates substantial volumes of fibre, dust and spent leaf, alongside process effluent, much of which is currently treated as waste for disposal rather than as a resource for value recovery. The wider agro-industrial waste literature demonstrates that residues of this kind can, through appropriate biorefinery processes, be converted into fuels, chemicals, energy and other value-added products, contributing simultaneously to environmental risk reduction and to circular bioeconomy objectives (</w:t>
      </w:r>
      <w:proofErr w:type="spellStart"/>
      <w:r w:rsidRPr="00392F58">
        <w:rPr>
          <w:rFonts w:ascii="Times New Roman" w:eastAsia="Times New Roman" w:hAnsi="Times New Roman" w:cs="Times New Roman"/>
          <w:sz w:val="24"/>
          <w:szCs w:val="24"/>
          <w:lang w:eastAsia="en-GB"/>
        </w:rPr>
        <w:t>Yaashikaa</w:t>
      </w:r>
      <w:proofErr w:type="spellEnd"/>
      <w:r w:rsidRPr="00392F58">
        <w:rPr>
          <w:rFonts w:ascii="Times New Roman" w:eastAsia="Times New Roman" w:hAnsi="Times New Roman" w:cs="Times New Roman"/>
          <w:sz w:val="24"/>
          <w:szCs w:val="24"/>
          <w:lang w:eastAsia="en-GB"/>
        </w:rPr>
        <w:t xml:space="preserve"> et al., 2022). Applied to the tea sector, this literature implies that the fibrous and organic by-products of processing represent an underexploited category of green process innovation, distinct from but complementary to the operational adaptation strategies discussed in Section 6.3.</w:t>
      </w:r>
    </w:p>
    <w:p w14:paraId="79D258DA" w14:textId="77777777" w:rsidR="00392F58" w:rsidRPr="00392F58" w:rsidRDefault="00392F58" w:rsidP="0039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9.2 Circular economy practice and corporate environmental management</w:t>
      </w:r>
    </w:p>
    <w:p w14:paraId="15A7A307"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Beyond waste-to-energy conversion specifically, the broader circular economy literature situates waste valorisation within a wider framework connecting policy design and corporate environmental management across supply chains (</w:t>
      </w:r>
      <w:proofErr w:type="spellStart"/>
      <w:r w:rsidRPr="00392F58">
        <w:rPr>
          <w:rFonts w:ascii="Times New Roman" w:eastAsia="Times New Roman" w:hAnsi="Times New Roman" w:cs="Times New Roman"/>
          <w:sz w:val="24"/>
          <w:szCs w:val="24"/>
          <w:lang w:eastAsia="en-GB"/>
        </w:rPr>
        <w:t>Kazancoglu</w:t>
      </w:r>
      <w:proofErr w:type="spellEnd"/>
      <w:r w:rsidRPr="00392F58">
        <w:rPr>
          <w:rFonts w:ascii="Times New Roman" w:eastAsia="Times New Roman" w:hAnsi="Times New Roman" w:cs="Times New Roman"/>
          <w:sz w:val="24"/>
          <w:szCs w:val="24"/>
          <w:lang w:eastAsia="en-GB"/>
        </w:rPr>
        <w:t xml:space="preserve"> et al., 2021). For Kenyan tea processing firms, this framing suggests that circular-economy adoption is unlikely to occur through isolated technical investment alone; rather, it is likely to require coordinated supply chain and organisational commitment of the kind associated, in Section 7.3, with the strongest observed performance returns to green supply chain management. Given the current absence of tea-specific circular bioeconomy studies in the Kenyan literature, this represents one of the more tractable and commercially promising avenues for future sector-specific empirical research, discussed further in Section 11.</w:t>
      </w:r>
    </w:p>
    <w:p w14:paraId="5B25F286"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lastRenderedPageBreak/>
        <w:t>10. Synthesis and Critical Discussion</w:t>
      </w:r>
    </w:p>
    <w:p w14:paraId="59D5D43F"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evidence reviewed across Sections 6 through 9 supports three broad conclusions. First, the limited body of Kenyan tea-specific evidence is directionally consistent with the much larger international literature: green supply chain management, ecological design and coordinated climate adaptation are each associated with improved environmental or sustainable performance outcomes among Kenyan tea processing firms, mirroring the generally positive, if modest, pooled effects reported in international meta-analytic synthesis (Muma et al., 2014; Chepkoech et al., 2023; Zhao et al., 2026). Second, the mechanisms through which green innovation translates into performance in the Kenyan tea context, including certification-driven market access, reputational differentiation and employee-level engagement, correspond closely to the mediating and moderating mechanisms identified in the broader theoretical and empirical literature, lending credibility to the transferability of resource-based and institutional theorising to this sector (Chen, 2008; DiMaggio &amp; Powell, 1983; Katz et al., 2022). Third, and most consequentially for future research and practice, the Kenyan tea-specific evidence base remains narrow, geographically concentrated and methodologically homogeneous relative to the sophistication of the wider international literature, a gap addressed in the recommendations that follow.</w:t>
      </w:r>
    </w:p>
    <w:p w14:paraId="7B3C5F5B"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 further point of synthesis concerns the distinction, established in the meta-analytic literature, between integrated and isolated green innovation (Zhao et al., 2026). Much of the existing Kenyan tea evidence examines single practices, such as green supply chain management or ecological design, in isolation from one another, whereas the strongest performance returns internationally appear to accrue to firms that combine product, process, supply chain and human resource dimensions of green innovation into a coherent strategic programme. The Pakistan-based evidence on differential returns across individual green supply chain practices (Khan &amp; Qianli, 2017) reinforces this point at a finer grain: even within a single green innovation strategy, not every constituent practice contributes equally to performance, underscoring the need for Kenyan tea-sector research that disaggregates practice-level effects rather than treating green supply chain management as a single undifferentiated construct. Kenyan tea processing firms currently pursuing green practices in a fragmented, compliance-driven manner may therefore be leaving available performance gains unrealised, a proposition that future integrative empirical work in this sector could usefully test directly.</w:t>
      </w:r>
    </w:p>
    <w:p w14:paraId="56232A88"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11. Future Directions</w:t>
      </w:r>
    </w:p>
    <w:p w14:paraId="1E2382A4"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Future research should prioritise longitudinal designs capable of establishing temporal precedence between green innovation investment and performance outcomes among Kenyan tea processing firms, since the existing evidence base relies almost exclusively on cross-sectional survey data that cannot distinguish genuine causal influence from reverse causation or common-method artefact. Comparative research disaggregating smallholder-affiliated cooperative factories from larger multinational estates would help clarify whether the resource asymmetries identified in Section 8.4 produce systematically different returns to green innovation across these two dominant organisational forms within the sector. There is also a clear opportunity for sector-specific circular bioeconomy research examining the technical and commercial feasibility of converting tea fibre, dust and effluent into energy, soil amendment or other value-added products, extending the general agro-industrial waste valorisation literature into a domain where Kenyan tea-specific evidence is currently absent. Further work should examine whether certification-driven environmental, social and </w:t>
      </w:r>
      <w:r w:rsidRPr="00392F58">
        <w:rPr>
          <w:rFonts w:ascii="Times New Roman" w:eastAsia="Times New Roman" w:hAnsi="Times New Roman" w:cs="Times New Roman"/>
          <w:sz w:val="24"/>
          <w:szCs w:val="24"/>
          <w:lang w:eastAsia="en-GB"/>
        </w:rPr>
        <w:lastRenderedPageBreak/>
        <w:t>governance disclosure among Kenyan tea firms is accompanied by substantive innovation investment or functions primarily as reputational signalling, given the finding from the international literature that innovation, rather than disclosure alone, mediates the relationship between sustainability practice and financial performance. Finally, integrative studies examining combined green product, process, supply chain and human resource strategies within single Kenyan tea processing firms would help establish whether the synergy premium documented internationally for integrated green innovation also holds in this specific institutional and resource setting.</w:t>
      </w:r>
    </w:p>
    <w:p w14:paraId="5357A23F"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12. Conclusions</w:t>
      </w:r>
    </w:p>
    <w:p w14:paraId="63F82E77" w14:textId="7777777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This review has synthesised theoretical and empirical literature on green innovation strategies and organisational performance, situating a still-narrow body of Kenyan tea-specific evidence within a much larger international literature grounded in the natural resource-based view, institutional theory and the resource-based view of the firm. The available evidence indicates that green supply chain management, ecological design and coordinated climate adaptation are each associated with improved environmental or sustainable performance among Kenyan tea processing firms, a pattern consistent with the generally positive, though modest and context-dependent, relationship between green innovation and firm performance documented in the broader international literature. Mechanisms of certification-driven market access, reputational differentiation and employee engagement appear to mediate this relationship in ways consistent with established theory. At the same time, the Kenyan tea-specific evidence base remains limited in geographic coverage, methodological sophistication and integration across the different dimensions of green innovation strategy. Addressing these gaps through longitudinal, comparative and circular-economy-focused research would strengthen the empirical foundation available to managers, certification bodies and policymakers seeking to align environmental stewardship with commercial viability in this economically significant sector.</w:t>
      </w:r>
    </w:p>
    <w:p w14:paraId="431B746E"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13. Limitations</w:t>
      </w:r>
    </w:p>
    <w:p w14:paraId="0F4E7AB4" w14:textId="780C17DA" w:rsid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This review is subject to several limitations. As a narrative rather than systematic review, the selection and synthesis of literature, while conducted according to a transparent search strategy, necessarily reflects judgement regarding relevance and quality that a fully protocol-driven systematic review would constrain more tightly. The Kenyan tea-specific evidence base available for synthesis is small, meaning that conclusions specific to this sector rest on a limited number of studies concentrated in particular counties and time periods, and generalisation to the sector as a whole should be made cautiously. The review draws extensively on comparative evidence from other agro-industrial and manufacturing contexts to compensate for this thinness, but the transferability of findings from these adjacent contexts to Kenyan tea processing cannot be assumed and warrants direct empirical testing. Finally, the review is restricted to English-language, peer-reviewed sources, which may exclude relevant Kenyan policy or industry evidence published in other formats or languages.</w:t>
      </w:r>
    </w:p>
    <w:p w14:paraId="02FBFC96" w14:textId="1815B9AC" w:rsidR="00693932" w:rsidRDefault="00693932" w:rsidP="00392F58">
      <w:pPr>
        <w:spacing w:before="100" w:beforeAutospacing="1" w:after="100" w:afterAutospacing="1" w:line="240" w:lineRule="auto"/>
        <w:rPr>
          <w:rFonts w:ascii="Times New Roman" w:eastAsia="Times New Roman" w:hAnsi="Times New Roman" w:cs="Times New Roman"/>
          <w:sz w:val="24"/>
          <w:szCs w:val="24"/>
          <w:lang w:eastAsia="en-GB"/>
        </w:rPr>
      </w:pPr>
    </w:p>
    <w:p w14:paraId="7172F720" w14:textId="77777777" w:rsidR="00693932" w:rsidRDefault="00693932" w:rsidP="00693932">
      <w:pPr>
        <w:shd w:val="clear" w:color="auto" w:fill="FFFFFF"/>
        <w:spacing w:after="0" w:line="240" w:lineRule="auto"/>
        <w:rPr>
          <w:rFonts w:ascii="Arial" w:eastAsia="Times New Roman" w:hAnsi="Arial" w:cs="Arial"/>
          <w:color w:val="222222"/>
          <w:sz w:val="24"/>
          <w:szCs w:val="24"/>
          <w:lang w:val="en-IN" w:eastAsia="en-IN"/>
        </w:rPr>
      </w:pPr>
      <w:bookmarkStart w:id="0" w:name="_Hlk232854992"/>
    </w:p>
    <w:p w14:paraId="627F7F55" w14:textId="77777777" w:rsidR="00693932" w:rsidRPr="000839CE" w:rsidRDefault="00693932" w:rsidP="00693932">
      <w:pPr>
        <w:spacing w:after="0" w:line="240" w:lineRule="auto"/>
        <w:rPr>
          <w:rFonts w:ascii="Times New Roman" w:hAnsi="Times New Roman" w:cs="Times New Roman"/>
          <w:b/>
        </w:rPr>
      </w:pPr>
      <w:bookmarkStart w:id="1" w:name="_Hlk234486585"/>
      <w:bookmarkStart w:id="2" w:name="_Hlk234075571"/>
      <w:bookmarkStart w:id="3" w:name="_Hlk232755622"/>
      <w:r w:rsidRPr="000839CE">
        <w:rPr>
          <w:rFonts w:ascii="Times New Roman" w:hAnsi="Times New Roman" w:cs="Times New Roman"/>
          <w:b/>
        </w:rPr>
        <w:t>Declaration of AI Use</w:t>
      </w:r>
    </w:p>
    <w:p w14:paraId="5044D1B2" w14:textId="77777777" w:rsidR="00693932" w:rsidRPr="000839CE" w:rsidRDefault="00693932" w:rsidP="00693932">
      <w:pPr>
        <w:spacing w:after="0" w:line="240" w:lineRule="auto"/>
        <w:rPr>
          <w:rFonts w:ascii="Times New Roman" w:hAnsi="Times New Roman" w:cs="Times New Roman"/>
        </w:rPr>
      </w:pPr>
      <w:bookmarkStart w:id="4" w:name="_Hlk234486575"/>
      <w:bookmarkEnd w:id="1"/>
    </w:p>
    <w:p w14:paraId="7B2D7021" w14:textId="77777777" w:rsidR="00693932" w:rsidRPr="000839CE" w:rsidRDefault="00693932" w:rsidP="00693932">
      <w:pPr>
        <w:spacing w:after="0" w:line="240" w:lineRule="auto"/>
        <w:jc w:val="both"/>
        <w:rPr>
          <w:rFonts w:ascii="Times New Roman" w:hAnsi="Times New Roman" w:cs="Times New Roman"/>
        </w:rPr>
      </w:pPr>
      <w:r w:rsidRPr="00C56790">
        <w:rPr>
          <w:rFonts w:ascii="Times New Roman" w:hAnsi="Times New Roman" w:cs="Times New Roma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rPr>
          <w:rFonts w:ascii="Times New Roman" w:hAnsi="Times New Roman" w:cs="Times New Roman"/>
        </w:rPr>
        <w:t>.</w:t>
      </w:r>
    </w:p>
    <w:bookmarkEnd w:id="0"/>
    <w:bookmarkEnd w:id="3"/>
    <w:bookmarkEnd w:id="4"/>
    <w:p w14:paraId="1480B14A" w14:textId="77777777" w:rsidR="00693932" w:rsidRPr="00392F58" w:rsidRDefault="00693932" w:rsidP="00392F58">
      <w:pPr>
        <w:spacing w:before="100" w:beforeAutospacing="1" w:after="100" w:afterAutospacing="1" w:line="240" w:lineRule="auto"/>
        <w:rPr>
          <w:rFonts w:ascii="Times New Roman" w:eastAsia="Times New Roman" w:hAnsi="Times New Roman" w:cs="Times New Roman"/>
          <w:sz w:val="24"/>
          <w:szCs w:val="24"/>
          <w:lang w:eastAsia="en-GB"/>
        </w:rPr>
      </w:pPr>
    </w:p>
    <w:p w14:paraId="50C5FD98" w14:textId="77777777" w:rsidR="00392F58" w:rsidRPr="00392F58" w:rsidRDefault="00392F58" w:rsidP="0039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References</w:t>
      </w:r>
    </w:p>
    <w:p w14:paraId="569E7E85" w14:textId="07A8796B"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Aftab, J., Abid, N., </w:t>
      </w:r>
      <w:proofErr w:type="spellStart"/>
      <w:r w:rsidRPr="00392F58">
        <w:rPr>
          <w:rFonts w:ascii="Times New Roman" w:eastAsia="Times New Roman" w:hAnsi="Times New Roman" w:cs="Times New Roman"/>
          <w:sz w:val="24"/>
          <w:szCs w:val="24"/>
          <w:lang w:eastAsia="en-GB"/>
        </w:rPr>
        <w:t>Cucari</w:t>
      </w:r>
      <w:proofErr w:type="spellEnd"/>
      <w:r w:rsidRPr="00392F58">
        <w:rPr>
          <w:rFonts w:ascii="Times New Roman" w:eastAsia="Times New Roman" w:hAnsi="Times New Roman" w:cs="Times New Roman"/>
          <w:sz w:val="24"/>
          <w:szCs w:val="24"/>
          <w:lang w:eastAsia="en-GB"/>
        </w:rPr>
        <w:t xml:space="preserve">, N., &amp; Savastano, M. (2023). Green human resource management and environmental performance: The role of green innovation and environmental strategy in a developing country. </w:t>
      </w:r>
      <w:r w:rsidRPr="00392F58">
        <w:rPr>
          <w:rFonts w:ascii="Times New Roman" w:eastAsia="Times New Roman" w:hAnsi="Times New Roman" w:cs="Times New Roman"/>
          <w:i/>
          <w:iCs/>
          <w:sz w:val="24"/>
          <w:szCs w:val="24"/>
          <w:lang w:eastAsia="en-GB"/>
        </w:rPr>
        <w:t>Business Strategy and the Environment, 32</w:t>
      </w:r>
      <w:r w:rsidRPr="00392F58">
        <w:rPr>
          <w:rFonts w:ascii="Times New Roman" w:eastAsia="Times New Roman" w:hAnsi="Times New Roman" w:cs="Times New Roman"/>
          <w:sz w:val="24"/>
          <w:szCs w:val="24"/>
          <w:lang w:eastAsia="en-GB"/>
        </w:rPr>
        <w:t xml:space="preserve">(4), 1782–1798. </w:t>
      </w:r>
      <w:r w:rsidRPr="00392F58">
        <w:rPr>
          <w:rFonts w:ascii="Times New Roman" w:eastAsia="Times New Roman" w:hAnsi="Times New Roman" w:cs="Times New Roman"/>
          <w:color w:val="0000FF"/>
          <w:sz w:val="24"/>
          <w:szCs w:val="24"/>
          <w:u w:val="single"/>
          <w:lang w:eastAsia="en-GB"/>
        </w:rPr>
        <w:t>https://doi.org/10.1002/bse.3219</w:t>
      </w:r>
    </w:p>
    <w:p w14:paraId="1968870A" w14:textId="25134F28"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Ahmed, W., Ahmed, W., &amp; Najmi, A. (2018). Developing and </w:t>
      </w:r>
      <w:proofErr w:type="spellStart"/>
      <w:r w:rsidRPr="00392F58">
        <w:rPr>
          <w:rFonts w:ascii="Times New Roman" w:eastAsia="Times New Roman" w:hAnsi="Times New Roman" w:cs="Times New Roman"/>
          <w:sz w:val="24"/>
          <w:szCs w:val="24"/>
          <w:lang w:eastAsia="en-GB"/>
        </w:rPr>
        <w:t>analyzing</w:t>
      </w:r>
      <w:proofErr w:type="spellEnd"/>
      <w:r w:rsidRPr="00392F58">
        <w:rPr>
          <w:rFonts w:ascii="Times New Roman" w:eastAsia="Times New Roman" w:hAnsi="Times New Roman" w:cs="Times New Roman"/>
          <w:sz w:val="24"/>
          <w:szCs w:val="24"/>
          <w:lang w:eastAsia="en-GB"/>
        </w:rPr>
        <w:t xml:space="preserve"> framework for understanding the effects of GSCM on green and economic performance: Perspective of a developing country. </w:t>
      </w:r>
      <w:r w:rsidRPr="00392F58">
        <w:rPr>
          <w:rFonts w:ascii="Times New Roman" w:eastAsia="Times New Roman" w:hAnsi="Times New Roman" w:cs="Times New Roman"/>
          <w:i/>
          <w:iCs/>
          <w:sz w:val="24"/>
          <w:szCs w:val="24"/>
          <w:lang w:eastAsia="en-GB"/>
        </w:rPr>
        <w:t>Management of Environmental Quality: An International Journal, 29</w:t>
      </w:r>
      <w:r w:rsidRPr="00392F58">
        <w:rPr>
          <w:rFonts w:ascii="Times New Roman" w:eastAsia="Times New Roman" w:hAnsi="Times New Roman" w:cs="Times New Roman"/>
          <w:sz w:val="24"/>
          <w:szCs w:val="24"/>
          <w:lang w:eastAsia="en-GB"/>
        </w:rPr>
        <w:t xml:space="preserve">(4), 740–758. </w:t>
      </w:r>
      <w:r w:rsidRPr="00392F58">
        <w:rPr>
          <w:rFonts w:ascii="Times New Roman" w:eastAsia="Times New Roman" w:hAnsi="Times New Roman" w:cs="Times New Roman"/>
          <w:color w:val="0000FF"/>
          <w:sz w:val="24"/>
          <w:szCs w:val="24"/>
          <w:u w:val="single"/>
          <w:lang w:eastAsia="en-GB"/>
        </w:rPr>
        <w:t>https://doi.org/10.1108/MEQ-11-2017-0140</w:t>
      </w:r>
    </w:p>
    <w:p w14:paraId="5A11527D" w14:textId="325BDEAA"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92F58">
        <w:rPr>
          <w:rFonts w:ascii="Times New Roman" w:eastAsia="Times New Roman" w:hAnsi="Times New Roman" w:cs="Times New Roman"/>
          <w:sz w:val="24"/>
          <w:szCs w:val="24"/>
          <w:lang w:eastAsia="en-GB"/>
        </w:rPr>
        <w:t>Ambec</w:t>
      </w:r>
      <w:proofErr w:type="spellEnd"/>
      <w:r w:rsidRPr="00392F58">
        <w:rPr>
          <w:rFonts w:ascii="Times New Roman" w:eastAsia="Times New Roman" w:hAnsi="Times New Roman" w:cs="Times New Roman"/>
          <w:sz w:val="24"/>
          <w:szCs w:val="24"/>
          <w:lang w:eastAsia="en-GB"/>
        </w:rPr>
        <w:t xml:space="preserve">, S., Cohen, M. A., Elgie, S., &amp; Lanoie, P. (2013). The Porter hypothesis at 20: Can environmental regulation enhance innovation and competitiveness? </w:t>
      </w:r>
      <w:r w:rsidRPr="00392F58">
        <w:rPr>
          <w:rFonts w:ascii="Times New Roman" w:eastAsia="Times New Roman" w:hAnsi="Times New Roman" w:cs="Times New Roman"/>
          <w:i/>
          <w:iCs/>
          <w:sz w:val="24"/>
          <w:szCs w:val="24"/>
          <w:lang w:eastAsia="en-GB"/>
        </w:rPr>
        <w:t>Review of Environmental Economics and Policy, 7</w:t>
      </w:r>
      <w:r w:rsidRPr="00392F58">
        <w:rPr>
          <w:rFonts w:ascii="Times New Roman" w:eastAsia="Times New Roman" w:hAnsi="Times New Roman" w:cs="Times New Roman"/>
          <w:sz w:val="24"/>
          <w:szCs w:val="24"/>
          <w:lang w:eastAsia="en-GB"/>
        </w:rPr>
        <w:t xml:space="preserve">(1), 2–22. </w:t>
      </w:r>
      <w:r w:rsidRPr="00392F58">
        <w:rPr>
          <w:rFonts w:ascii="Times New Roman" w:eastAsia="Times New Roman" w:hAnsi="Times New Roman" w:cs="Times New Roman"/>
          <w:color w:val="0000FF"/>
          <w:sz w:val="24"/>
          <w:szCs w:val="24"/>
          <w:u w:val="single"/>
          <w:lang w:eastAsia="en-GB"/>
        </w:rPr>
        <w:t>https://doi.org/10.1093/reep/res016</w:t>
      </w:r>
    </w:p>
    <w:p w14:paraId="659666AA" w14:textId="2AE00989"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Aragón-Correa, J. A., &amp; Sharma, S. (2003). A contingent resource-based view of proactive corporate environmental strategy. </w:t>
      </w:r>
      <w:r w:rsidRPr="00392F58">
        <w:rPr>
          <w:rFonts w:ascii="Times New Roman" w:eastAsia="Times New Roman" w:hAnsi="Times New Roman" w:cs="Times New Roman"/>
          <w:i/>
          <w:iCs/>
          <w:sz w:val="24"/>
          <w:szCs w:val="24"/>
          <w:lang w:eastAsia="en-GB"/>
        </w:rPr>
        <w:t>Academy of Management Review, 28</w:t>
      </w:r>
      <w:r w:rsidRPr="00392F58">
        <w:rPr>
          <w:rFonts w:ascii="Times New Roman" w:eastAsia="Times New Roman" w:hAnsi="Times New Roman" w:cs="Times New Roman"/>
          <w:sz w:val="24"/>
          <w:szCs w:val="24"/>
          <w:lang w:eastAsia="en-GB"/>
        </w:rPr>
        <w:t xml:space="preserve">(1), 71–88. </w:t>
      </w:r>
      <w:r w:rsidRPr="00392F58">
        <w:rPr>
          <w:rFonts w:ascii="Times New Roman" w:eastAsia="Times New Roman" w:hAnsi="Times New Roman" w:cs="Times New Roman"/>
          <w:color w:val="0000FF"/>
          <w:sz w:val="24"/>
          <w:szCs w:val="24"/>
          <w:u w:val="single"/>
          <w:lang w:eastAsia="en-GB"/>
        </w:rPr>
        <w:t>https://doi.org/10.5465/amr.2003.8925233</w:t>
      </w:r>
    </w:p>
    <w:p w14:paraId="55ED7F1E" w14:textId="52D88D78"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92F58">
        <w:rPr>
          <w:rFonts w:ascii="Times New Roman" w:eastAsia="Times New Roman" w:hAnsi="Times New Roman" w:cs="Times New Roman"/>
          <w:sz w:val="24"/>
          <w:szCs w:val="24"/>
          <w:lang w:eastAsia="en-GB"/>
        </w:rPr>
        <w:t>Baethge</w:t>
      </w:r>
      <w:proofErr w:type="spellEnd"/>
      <w:r w:rsidRPr="00392F58">
        <w:rPr>
          <w:rFonts w:ascii="Times New Roman" w:eastAsia="Times New Roman" w:hAnsi="Times New Roman" w:cs="Times New Roman"/>
          <w:sz w:val="24"/>
          <w:szCs w:val="24"/>
          <w:lang w:eastAsia="en-GB"/>
        </w:rPr>
        <w:t xml:space="preserve">, C., Goldbeck-Wood, S., &amp; Mertens, S. (2019). SANRA—a scale for the quality assessment of narrative review articles. </w:t>
      </w:r>
      <w:r w:rsidRPr="00392F58">
        <w:rPr>
          <w:rFonts w:ascii="Times New Roman" w:eastAsia="Times New Roman" w:hAnsi="Times New Roman" w:cs="Times New Roman"/>
          <w:i/>
          <w:iCs/>
          <w:sz w:val="24"/>
          <w:szCs w:val="24"/>
          <w:lang w:eastAsia="en-GB"/>
        </w:rPr>
        <w:t>Research Integrity and Peer Review, 4</w:t>
      </w:r>
      <w:r w:rsidRPr="00392F58">
        <w:rPr>
          <w:rFonts w:ascii="Times New Roman" w:eastAsia="Times New Roman" w:hAnsi="Times New Roman" w:cs="Times New Roman"/>
          <w:sz w:val="24"/>
          <w:szCs w:val="24"/>
          <w:lang w:eastAsia="en-GB"/>
        </w:rPr>
        <w:t xml:space="preserve">, 5. </w:t>
      </w:r>
      <w:r w:rsidRPr="00392F58">
        <w:rPr>
          <w:rFonts w:ascii="Times New Roman" w:eastAsia="Times New Roman" w:hAnsi="Times New Roman" w:cs="Times New Roman"/>
          <w:color w:val="0000FF"/>
          <w:sz w:val="24"/>
          <w:szCs w:val="24"/>
          <w:u w:val="single"/>
          <w:lang w:eastAsia="en-GB"/>
        </w:rPr>
        <w:t>https://doi.org/10.1186/s41073-019-0064-8</w:t>
      </w:r>
    </w:p>
    <w:p w14:paraId="1332894D" w14:textId="2CC2C15C"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Barney, J. B. (1991). Firm resources and sustained competitive advantage. </w:t>
      </w:r>
      <w:r w:rsidRPr="00392F58">
        <w:rPr>
          <w:rFonts w:ascii="Times New Roman" w:eastAsia="Times New Roman" w:hAnsi="Times New Roman" w:cs="Times New Roman"/>
          <w:i/>
          <w:iCs/>
          <w:sz w:val="24"/>
          <w:szCs w:val="24"/>
          <w:lang w:eastAsia="en-GB"/>
        </w:rPr>
        <w:t>Journal of Management, 17</w:t>
      </w:r>
      <w:r w:rsidRPr="00392F58">
        <w:rPr>
          <w:rFonts w:ascii="Times New Roman" w:eastAsia="Times New Roman" w:hAnsi="Times New Roman" w:cs="Times New Roman"/>
          <w:sz w:val="24"/>
          <w:szCs w:val="24"/>
          <w:lang w:eastAsia="en-GB"/>
        </w:rPr>
        <w:t xml:space="preserve">(1), 99–120. </w:t>
      </w:r>
      <w:r w:rsidRPr="00392F58">
        <w:rPr>
          <w:rFonts w:ascii="Times New Roman" w:eastAsia="Times New Roman" w:hAnsi="Times New Roman" w:cs="Times New Roman"/>
          <w:color w:val="0000FF"/>
          <w:sz w:val="24"/>
          <w:szCs w:val="24"/>
          <w:u w:val="single"/>
          <w:lang w:eastAsia="en-GB"/>
        </w:rPr>
        <w:t>https://doi.org/10.1177/014920639101700108</w:t>
      </w:r>
    </w:p>
    <w:p w14:paraId="14CA1BED" w14:textId="4F582BD8"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Chen, Y. S. (2008). The driver of green innovation and green image—Green core competence. </w:t>
      </w:r>
      <w:r w:rsidRPr="00392F58">
        <w:rPr>
          <w:rFonts w:ascii="Times New Roman" w:eastAsia="Times New Roman" w:hAnsi="Times New Roman" w:cs="Times New Roman"/>
          <w:i/>
          <w:iCs/>
          <w:sz w:val="24"/>
          <w:szCs w:val="24"/>
          <w:lang w:eastAsia="en-GB"/>
        </w:rPr>
        <w:t>Journal of Business Ethics, 81</w:t>
      </w:r>
      <w:r w:rsidRPr="00392F58">
        <w:rPr>
          <w:rFonts w:ascii="Times New Roman" w:eastAsia="Times New Roman" w:hAnsi="Times New Roman" w:cs="Times New Roman"/>
          <w:sz w:val="24"/>
          <w:szCs w:val="24"/>
          <w:lang w:eastAsia="en-GB"/>
        </w:rPr>
        <w:t xml:space="preserve">(3), 531–543. </w:t>
      </w:r>
      <w:r w:rsidRPr="00392F58">
        <w:rPr>
          <w:rFonts w:ascii="Times New Roman" w:eastAsia="Times New Roman" w:hAnsi="Times New Roman" w:cs="Times New Roman"/>
          <w:color w:val="0000FF"/>
          <w:sz w:val="24"/>
          <w:szCs w:val="24"/>
          <w:u w:val="single"/>
          <w:lang w:eastAsia="en-GB"/>
        </w:rPr>
        <w:t>https://doi.org/10.1007/s10551-007-9522-1</w:t>
      </w:r>
    </w:p>
    <w:p w14:paraId="289E1B7B" w14:textId="057FBE48"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Chen, Z., Hao, X., &amp; Chen, F. (2023). Green innovation and enterprise reputation value. </w:t>
      </w:r>
      <w:r w:rsidRPr="00392F58">
        <w:rPr>
          <w:rFonts w:ascii="Times New Roman" w:eastAsia="Times New Roman" w:hAnsi="Times New Roman" w:cs="Times New Roman"/>
          <w:i/>
          <w:iCs/>
          <w:sz w:val="24"/>
          <w:szCs w:val="24"/>
          <w:lang w:eastAsia="en-GB"/>
        </w:rPr>
        <w:t>Business Strategy and the Environment, 32</w:t>
      </w:r>
      <w:r w:rsidRPr="00392F58">
        <w:rPr>
          <w:rFonts w:ascii="Times New Roman" w:eastAsia="Times New Roman" w:hAnsi="Times New Roman" w:cs="Times New Roman"/>
          <w:sz w:val="24"/>
          <w:szCs w:val="24"/>
          <w:lang w:eastAsia="en-GB"/>
        </w:rPr>
        <w:t xml:space="preserve">(4), 1698–1718. </w:t>
      </w:r>
      <w:r w:rsidRPr="00392F58">
        <w:rPr>
          <w:rFonts w:ascii="Times New Roman" w:eastAsia="Times New Roman" w:hAnsi="Times New Roman" w:cs="Times New Roman"/>
          <w:color w:val="0000FF"/>
          <w:sz w:val="24"/>
          <w:szCs w:val="24"/>
          <w:u w:val="single"/>
          <w:lang w:eastAsia="en-GB"/>
        </w:rPr>
        <w:t>https://doi.org/10.1002/bse.3213</w:t>
      </w:r>
    </w:p>
    <w:p w14:paraId="549102FE" w14:textId="5607F01F"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Chepkoech, R., Keitany, P., &amp; Bett, A. (2023). Ecological design practice and sustainable performance of multinational tea firms in Kenya. </w:t>
      </w:r>
      <w:r w:rsidRPr="00392F58">
        <w:rPr>
          <w:rFonts w:ascii="Times New Roman" w:eastAsia="Times New Roman" w:hAnsi="Times New Roman" w:cs="Times New Roman"/>
          <w:i/>
          <w:iCs/>
          <w:sz w:val="24"/>
          <w:szCs w:val="24"/>
          <w:lang w:eastAsia="en-GB"/>
        </w:rPr>
        <w:t>East African Journal of Business and Economics, 6</w:t>
      </w:r>
      <w:r w:rsidRPr="00392F58">
        <w:rPr>
          <w:rFonts w:ascii="Times New Roman" w:eastAsia="Times New Roman" w:hAnsi="Times New Roman" w:cs="Times New Roman"/>
          <w:sz w:val="24"/>
          <w:szCs w:val="24"/>
          <w:lang w:eastAsia="en-GB"/>
        </w:rPr>
        <w:t xml:space="preserve">(1), 442–455. </w:t>
      </w:r>
      <w:r w:rsidRPr="00392F58">
        <w:rPr>
          <w:rFonts w:ascii="Times New Roman" w:eastAsia="Times New Roman" w:hAnsi="Times New Roman" w:cs="Times New Roman"/>
          <w:color w:val="0000FF"/>
          <w:sz w:val="24"/>
          <w:szCs w:val="24"/>
          <w:u w:val="single"/>
          <w:lang w:eastAsia="en-GB"/>
        </w:rPr>
        <w:t>https://doi.org/10.37284/eajbe.6.1.1496</w:t>
      </w:r>
    </w:p>
    <w:p w14:paraId="5A2CA4C9" w14:textId="721F0600"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92F58">
        <w:rPr>
          <w:rFonts w:ascii="Times New Roman" w:eastAsia="Times New Roman" w:hAnsi="Times New Roman" w:cs="Times New Roman"/>
          <w:sz w:val="24"/>
          <w:szCs w:val="24"/>
          <w:lang w:eastAsia="en-GB"/>
        </w:rPr>
        <w:lastRenderedPageBreak/>
        <w:t>Chouaibi</w:t>
      </w:r>
      <w:proofErr w:type="spellEnd"/>
      <w:r w:rsidRPr="00392F58">
        <w:rPr>
          <w:rFonts w:ascii="Times New Roman" w:eastAsia="Times New Roman" w:hAnsi="Times New Roman" w:cs="Times New Roman"/>
          <w:sz w:val="24"/>
          <w:szCs w:val="24"/>
          <w:lang w:eastAsia="en-GB"/>
        </w:rPr>
        <w:t xml:space="preserve">, S., </w:t>
      </w:r>
      <w:proofErr w:type="spellStart"/>
      <w:r w:rsidRPr="00392F58">
        <w:rPr>
          <w:rFonts w:ascii="Times New Roman" w:eastAsia="Times New Roman" w:hAnsi="Times New Roman" w:cs="Times New Roman"/>
          <w:sz w:val="24"/>
          <w:szCs w:val="24"/>
          <w:lang w:eastAsia="en-GB"/>
        </w:rPr>
        <w:t>Chouaibi</w:t>
      </w:r>
      <w:proofErr w:type="spellEnd"/>
      <w:r w:rsidRPr="00392F58">
        <w:rPr>
          <w:rFonts w:ascii="Times New Roman" w:eastAsia="Times New Roman" w:hAnsi="Times New Roman" w:cs="Times New Roman"/>
          <w:sz w:val="24"/>
          <w:szCs w:val="24"/>
          <w:lang w:eastAsia="en-GB"/>
        </w:rPr>
        <w:t xml:space="preserve">, J., &amp; Rossi, M. (2022). ESG and corporate financial performance: The mediating role of green innovation: UK common law versus Germany civil law. </w:t>
      </w:r>
      <w:proofErr w:type="spellStart"/>
      <w:r w:rsidRPr="00392F58">
        <w:rPr>
          <w:rFonts w:ascii="Times New Roman" w:eastAsia="Times New Roman" w:hAnsi="Times New Roman" w:cs="Times New Roman"/>
          <w:i/>
          <w:iCs/>
          <w:sz w:val="24"/>
          <w:szCs w:val="24"/>
          <w:lang w:eastAsia="en-GB"/>
        </w:rPr>
        <w:t>EuroMed</w:t>
      </w:r>
      <w:proofErr w:type="spellEnd"/>
      <w:r w:rsidRPr="00392F58">
        <w:rPr>
          <w:rFonts w:ascii="Times New Roman" w:eastAsia="Times New Roman" w:hAnsi="Times New Roman" w:cs="Times New Roman"/>
          <w:i/>
          <w:iCs/>
          <w:sz w:val="24"/>
          <w:szCs w:val="24"/>
          <w:lang w:eastAsia="en-GB"/>
        </w:rPr>
        <w:t xml:space="preserve"> Journal of Business, 17</w:t>
      </w:r>
      <w:r w:rsidRPr="00392F58">
        <w:rPr>
          <w:rFonts w:ascii="Times New Roman" w:eastAsia="Times New Roman" w:hAnsi="Times New Roman" w:cs="Times New Roman"/>
          <w:sz w:val="24"/>
          <w:szCs w:val="24"/>
          <w:lang w:eastAsia="en-GB"/>
        </w:rPr>
        <w:t xml:space="preserve">(1), 46–71. </w:t>
      </w:r>
      <w:r w:rsidRPr="00392F58">
        <w:rPr>
          <w:rFonts w:ascii="Times New Roman" w:eastAsia="Times New Roman" w:hAnsi="Times New Roman" w:cs="Times New Roman"/>
          <w:color w:val="0000FF"/>
          <w:sz w:val="24"/>
          <w:szCs w:val="24"/>
          <w:u w:val="single"/>
          <w:lang w:eastAsia="en-GB"/>
        </w:rPr>
        <w:t>https://doi.org/10.1108/EMJB-09-2020-0101</w:t>
      </w:r>
    </w:p>
    <w:p w14:paraId="7DBA9D0A" w14:textId="6E70C86B"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DiMaggio, P. J., &amp; Powell, W. W. (1983). The iron cage revisited: Institutional isomorphism and collective rationality in organizational fields. </w:t>
      </w:r>
      <w:r w:rsidRPr="00392F58">
        <w:rPr>
          <w:rFonts w:ascii="Times New Roman" w:eastAsia="Times New Roman" w:hAnsi="Times New Roman" w:cs="Times New Roman"/>
          <w:i/>
          <w:iCs/>
          <w:sz w:val="24"/>
          <w:szCs w:val="24"/>
          <w:lang w:eastAsia="en-GB"/>
        </w:rPr>
        <w:t>American Sociological Review, 48</w:t>
      </w:r>
      <w:r w:rsidRPr="00392F58">
        <w:rPr>
          <w:rFonts w:ascii="Times New Roman" w:eastAsia="Times New Roman" w:hAnsi="Times New Roman" w:cs="Times New Roman"/>
          <w:sz w:val="24"/>
          <w:szCs w:val="24"/>
          <w:lang w:eastAsia="en-GB"/>
        </w:rPr>
        <w:t xml:space="preserve">(2), 147–160. </w:t>
      </w:r>
      <w:r w:rsidRPr="00392F58">
        <w:rPr>
          <w:rFonts w:ascii="Times New Roman" w:eastAsia="Times New Roman" w:hAnsi="Times New Roman" w:cs="Times New Roman"/>
          <w:color w:val="0000FF"/>
          <w:sz w:val="24"/>
          <w:szCs w:val="24"/>
          <w:u w:val="single"/>
          <w:lang w:eastAsia="en-GB"/>
        </w:rPr>
        <w:t>https://doi.org/10.2307/2095101</w:t>
      </w:r>
    </w:p>
    <w:p w14:paraId="7B2789A8" w14:textId="19A07AF4"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Fontoura, P., &amp; Coelho, A. (2022). How to boost green innovation and performance through collaboration in the supply chain: Insights into a more sustainable economy. </w:t>
      </w:r>
      <w:r w:rsidRPr="00392F58">
        <w:rPr>
          <w:rFonts w:ascii="Times New Roman" w:eastAsia="Times New Roman" w:hAnsi="Times New Roman" w:cs="Times New Roman"/>
          <w:i/>
          <w:iCs/>
          <w:sz w:val="24"/>
          <w:szCs w:val="24"/>
          <w:lang w:eastAsia="en-GB"/>
        </w:rPr>
        <w:t>Journal of Cleaner Production, 359</w:t>
      </w:r>
      <w:r w:rsidRPr="00392F58">
        <w:rPr>
          <w:rFonts w:ascii="Times New Roman" w:eastAsia="Times New Roman" w:hAnsi="Times New Roman" w:cs="Times New Roman"/>
          <w:sz w:val="24"/>
          <w:szCs w:val="24"/>
          <w:lang w:eastAsia="en-GB"/>
        </w:rPr>
        <w:t xml:space="preserve">, 132005. </w:t>
      </w:r>
      <w:r w:rsidRPr="00392F58">
        <w:rPr>
          <w:rFonts w:ascii="Times New Roman" w:eastAsia="Times New Roman" w:hAnsi="Times New Roman" w:cs="Times New Roman"/>
          <w:color w:val="0000FF"/>
          <w:sz w:val="24"/>
          <w:szCs w:val="24"/>
          <w:u w:val="single"/>
          <w:lang w:eastAsia="en-GB"/>
        </w:rPr>
        <w:t>https://doi.org/10.1016/j.jclepro.2022.132005</w:t>
      </w:r>
    </w:p>
    <w:p w14:paraId="36D8EA24" w14:textId="5CC9B4D1"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Food and Agriculture Organization of the United Nations. (2024). </w:t>
      </w:r>
      <w:r w:rsidRPr="00392F58">
        <w:rPr>
          <w:rFonts w:ascii="Times New Roman" w:eastAsia="Times New Roman" w:hAnsi="Times New Roman" w:cs="Times New Roman"/>
          <w:i/>
          <w:iCs/>
          <w:sz w:val="24"/>
          <w:szCs w:val="24"/>
          <w:lang w:eastAsia="en-GB"/>
        </w:rPr>
        <w:t>Current global market situation and medium-term outlook</w:t>
      </w:r>
      <w:r w:rsidRPr="00392F58">
        <w:rPr>
          <w:rFonts w:ascii="Times New Roman" w:eastAsia="Times New Roman" w:hAnsi="Times New Roman" w:cs="Times New Roman"/>
          <w:sz w:val="24"/>
          <w:szCs w:val="24"/>
          <w:lang w:eastAsia="en-GB"/>
        </w:rPr>
        <w:t xml:space="preserve"> (CCP:TE/24/2). Twenty-Fifth Session of the Intergovernmental Group on Tea, Guwahati, India. </w:t>
      </w:r>
      <w:r w:rsidRPr="00392F58">
        <w:rPr>
          <w:rFonts w:ascii="Times New Roman" w:eastAsia="Times New Roman" w:hAnsi="Times New Roman" w:cs="Times New Roman"/>
          <w:color w:val="0000FF"/>
          <w:sz w:val="24"/>
          <w:szCs w:val="24"/>
          <w:u w:val="single"/>
          <w:lang w:eastAsia="en-GB"/>
        </w:rPr>
        <w:t>https://openknowledge.fao.org/server/api/core/bitstreams/f912481a-3666-46e7-965e-30b227a19994/content</w:t>
      </w:r>
    </w:p>
    <w:p w14:paraId="3A9B4783" w14:textId="0747D45F"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Hart, S. L. (1995). A natural-resource-based view of the firm. </w:t>
      </w:r>
      <w:r w:rsidRPr="00392F58">
        <w:rPr>
          <w:rFonts w:ascii="Times New Roman" w:eastAsia="Times New Roman" w:hAnsi="Times New Roman" w:cs="Times New Roman"/>
          <w:i/>
          <w:iCs/>
          <w:sz w:val="24"/>
          <w:szCs w:val="24"/>
          <w:lang w:eastAsia="en-GB"/>
        </w:rPr>
        <w:t>Academy of Management Review, 20</w:t>
      </w:r>
      <w:r w:rsidRPr="00392F58">
        <w:rPr>
          <w:rFonts w:ascii="Times New Roman" w:eastAsia="Times New Roman" w:hAnsi="Times New Roman" w:cs="Times New Roman"/>
          <w:sz w:val="24"/>
          <w:szCs w:val="24"/>
          <w:lang w:eastAsia="en-GB"/>
        </w:rPr>
        <w:t xml:space="preserve">(4), 986–1014. </w:t>
      </w:r>
      <w:r w:rsidRPr="00392F58">
        <w:rPr>
          <w:rFonts w:ascii="Times New Roman" w:eastAsia="Times New Roman" w:hAnsi="Times New Roman" w:cs="Times New Roman"/>
          <w:color w:val="0000FF"/>
          <w:sz w:val="24"/>
          <w:szCs w:val="24"/>
          <w:u w:val="single"/>
          <w:lang w:eastAsia="en-GB"/>
        </w:rPr>
        <w:t>https://doi.org/10.5465/AMR.1995.9512280033</w:t>
      </w:r>
    </w:p>
    <w:p w14:paraId="72133DA9" w14:textId="2FA2AF05"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Karimi Takalo, S., Sayyadi </w:t>
      </w:r>
      <w:proofErr w:type="spellStart"/>
      <w:r w:rsidRPr="00392F58">
        <w:rPr>
          <w:rFonts w:ascii="Times New Roman" w:eastAsia="Times New Roman" w:hAnsi="Times New Roman" w:cs="Times New Roman"/>
          <w:sz w:val="24"/>
          <w:szCs w:val="24"/>
          <w:lang w:eastAsia="en-GB"/>
        </w:rPr>
        <w:t>Tooranloo</w:t>
      </w:r>
      <w:proofErr w:type="spellEnd"/>
      <w:r w:rsidRPr="00392F58">
        <w:rPr>
          <w:rFonts w:ascii="Times New Roman" w:eastAsia="Times New Roman" w:hAnsi="Times New Roman" w:cs="Times New Roman"/>
          <w:sz w:val="24"/>
          <w:szCs w:val="24"/>
          <w:lang w:eastAsia="en-GB"/>
        </w:rPr>
        <w:t xml:space="preserve">, H., &amp; </w:t>
      </w:r>
      <w:proofErr w:type="spellStart"/>
      <w:r w:rsidRPr="00392F58">
        <w:rPr>
          <w:rFonts w:ascii="Times New Roman" w:eastAsia="Times New Roman" w:hAnsi="Times New Roman" w:cs="Times New Roman"/>
          <w:sz w:val="24"/>
          <w:szCs w:val="24"/>
          <w:lang w:eastAsia="en-GB"/>
        </w:rPr>
        <w:t>Shahabaldini</w:t>
      </w:r>
      <w:proofErr w:type="spellEnd"/>
      <w:r w:rsidRPr="00392F58">
        <w:rPr>
          <w:rFonts w:ascii="Times New Roman" w:eastAsia="Times New Roman" w:hAnsi="Times New Roman" w:cs="Times New Roman"/>
          <w:sz w:val="24"/>
          <w:szCs w:val="24"/>
          <w:lang w:eastAsia="en-GB"/>
        </w:rPr>
        <w:t xml:space="preserve"> </w:t>
      </w:r>
      <w:proofErr w:type="spellStart"/>
      <w:r w:rsidRPr="00392F58">
        <w:rPr>
          <w:rFonts w:ascii="Times New Roman" w:eastAsia="Times New Roman" w:hAnsi="Times New Roman" w:cs="Times New Roman"/>
          <w:sz w:val="24"/>
          <w:szCs w:val="24"/>
          <w:lang w:eastAsia="en-GB"/>
        </w:rPr>
        <w:t>Parizi</w:t>
      </w:r>
      <w:proofErr w:type="spellEnd"/>
      <w:r w:rsidRPr="00392F58">
        <w:rPr>
          <w:rFonts w:ascii="Times New Roman" w:eastAsia="Times New Roman" w:hAnsi="Times New Roman" w:cs="Times New Roman"/>
          <w:sz w:val="24"/>
          <w:szCs w:val="24"/>
          <w:lang w:eastAsia="en-GB"/>
        </w:rPr>
        <w:t xml:space="preserve">, Z. (2021). Green innovation: A systematic literature review. </w:t>
      </w:r>
      <w:r w:rsidRPr="00392F58">
        <w:rPr>
          <w:rFonts w:ascii="Times New Roman" w:eastAsia="Times New Roman" w:hAnsi="Times New Roman" w:cs="Times New Roman"/>
          <w:i/>
          <w:iCs/>
          <w:sz w:val="24"/>
          <w:szCs w:val="24"/>
          <w:lang w:eastAsia="en-GB"/>
        </w:rPr>
        <w:t>Journal of Cleaner Production, 279</w:t>
      </w:r>
      <w:r w:rsidRPr="00392F58">
        <w:rPr>
          <w:rFonts w:ascii="Times New Roman" w:eastAsia="Times New Roman" w:hAnsi="Times New Roman" w:cs="Times New Roman"/>
          <w:sz w:val="24"/>
          <w:szCs w:val="24"/>
          <w:lang w:eastAsia="en-GB"/>
        </w:rPr>
        <w:t xml:space="preserve">, 122474. </w:t>
      </w:r>
      <w:r w:rsidRPr="00392F58">
        <w:rPr>
          <w:rFonts w:ascii="Times New Roman" w:eastAsia="Times New Roman" w:hAnsi="Times New Roman" w:cs="Times New Roman"/>
          <w:color w:val="0000FF"/>
          <w:sz w:val="24"/>
          <w:szCs w:val="24"/>
          <w:u w:val="single"/>
          <w:lang w:eastAsia="en-GB"/>
        </w:rPr>
        <w:t>https://doi.org/10.1016/j.jclepro.2020.122474</w:t>
      </w:r>
    </w:p>
    <w:p w14:paraId="67316AC3" w14:textId="23FEF9B6"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Katz, I. M., </w:t>
      </w:r>
      <w:proofErr w:type="spellStart"/>
      <w:r w:rsidRPr="00392F58">
        <w:rPr>
          <w:rFonts w:ascii="Times New Roman" w:eastAsia="Times New Roman" w:hAnsi="Times New Roman" w:cs="Times New Roman"/>
          <w:sz w:val="24"/>
          <w:szCs w:val="24"/>
          <w:lang w:eastAsia="en-GB"/>
        </w:rPr>
        <w:t>Rauvola</w:t>
      </w:r>
      <w:proofErr w:type="spellEnd"/>
      <w:r w:rsidRPr="00392F58">
        <w:rPr>
          <w:rFonts w:ascii="Times New Roman" w:eastAsia="Times New Roman" w:hAnsi="Times New Roman" w:cs="Times New Roman"/>
          <w:sz w:val="24"/>
          <w:szCs w:val="24"/>
          <w:lang w:eastAsia="en-GB"/>
        </w:rPr>
        <w:t xml:space="preserve">, R. S., Rudolph, C. W., &amp; Zacher, H. (2022). Employee green </w:t>
      </w:r>
      <w:proofErr w:type="spellStart"/>
      <w:r w:rsidRPr="00392F58">
        <w:rPr>
          <w:rFonts w:ascii="Times New Roman" w:eastAsia="Times New Roman" w:hAnsi="Times New Roman" w:cs="Times New Roman"/>
          <w:sz w:val="24"/>
          <w:szCs w:val="24"/>
          <w:lang w:eastAsia="en-GB"/>
        </w:rPr>
        <w:t>behavior</w:t>
      </w:r>
      <w:proofErr w:type="spellEnd"/>
      <w:r w:rsidRPr="00392F58">
        <w:rPr>
          <w:rFonts w:ascii="Times New Roman" w:eastAsia="Times New Roman" w:hAnsi="Times New Roman" w:cs="Times New Roman"/>
          <w:sz w:val="24"/>
          <w:szCs w:val="24"/>
          <w:lang w:eastAsia="en-GB"/>
        </w:rPr>
        <w:t xml:space="preserve">: A meta-analysis. </w:t>
      </w:r>
      <w:r w:rsidRPr="00392F58">
        <w:rPr>
          <w:rFonts w:ascii="Times New Roman" w:eastAsia="Times New Roman" w:hAnsi="Times New Roman" w:cs="Times New Roman"/>
          <w:i/>
          <w:iCs/>
          <w:sz w:val="24"/>
          <w:szCs w:val="24"/>
          <w:lang w:eastAsia="en-GB"/>
        </w:rPr>
        <w:t>Corporate Social Responsibility and Environmental Management, 29</w:t>
      </w:r>
      <w:r w:rsidRPr="00392F58">
        <w:rPr>
          <w:rFonts w:ascii="Times New Roman" w:eastAsia="Times New Roman" w:hAnsi="Times New Roman" w:cs="Times New Roman"/>
          <w:sz w:val="24"/>
          <w:szCs w:val="24"/>
          <w:lang w:eastAsia="en-GB"/>
        </w:rPr>
        <w:t xml:space="preserve">(5), 1146–1157. </w:t>
      </w:r>
      <w:r w:rsidRPr="00392F58">
        <w:rPr>
          <w:rFonts w:ascii="Times New Roman" w:eastAsia="Times New Roman" w:hAnsi="Times New Roman" w:cs="Times New Roman"/>
          <w:color w:val="0000FF"/>
          <w:sz w:val="24"/>
          <w:szCs w:val="24"/>
          <w:u w:val="single"/>
          <w:lang w:eastAsia="en-GB"/>
        </w:rPr>
        <w:t>https://doi.org/10.1002/csr.2260</w:t>
      </w:r>
    </w:p>
    <w:p w14:paraId="6DD9AA1B" w14:textId="5AE6E5CD"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92F58">
        <w:rPr>
          <w:rFonts w:ascii="Times New Roman" w:eastAsia="Times New Roman" w:hAnsi="Times New Roman" w:cs="Times New Roman"/>
          <w:sz w:val="24"/>
          <w:szCs w:val="24"/>
          <w:lang w:eastAsia="en-GB"/>
        </w:rPr>
        <w:t>Kazancoglu</w:t>
      </w:r>
      <w:proofErr w:type="spellEnd"/>
      <w:r w:rsidRPr="00392F58">
        <w:rPr>
          <w:rFonts w:ascii="Times New Roman" w:eastAsia="Times New Roman" w:hAnsi="Times New Roman" w:cs="Times New Roman"/>
          <w:sz w:val="24"/>
          <w:szCs w:val="24"/>
          <w:lang w:eastAsia="en-GB"/>
        </w:rPr>
        <w:t xml:space="preserve">, I., </w:t>
      </w:r>
      <w:proofErr w:type="spellStart"/>
      <w:r w:rsidRPr="00392F58">
        <w:rPr>
          <w:rFonts w:ascii="Times New Roman" w:eastAsia="Times New Roman" w:hAnsi="Times New Roman" w:cs="Times New Roman"/>
          <w:sz w:val="24"/>
          <w:szCs w:val="24"/>
          <w:lang w:eastAsia="en-GB"/>
        </w:rPr>
        <w:t>Sagnak</w:t>
      </w:r>
      <w:proofErr w:type="spellEnd"/>
      <w:r w:rsidRPr="00392F58">
        <w:rPr>
          <w:rFonts w:ascii="Times New Roman" w:eastAsia="Times New Roman" w:hAnsi="Times New Roman" w:cs="Times New Roman"/>
          <w:sz w:val="24"/>
          <w:szCs w:val="24"/>
          <w:lang w:eastAsia="en-GB"/>
        </w:rPr>
        <w:t xml:space="preserve">, M., Kumar Mangla, S., &amp; </w:t>
      </w:r>
      <w:proofErr w:type="spellStart"/>
      <w:r w:rsidRPr="00392F58">
        <w:rPr>
          <w:rFonts w:ascii="Times New Roman" w:eastAsia="Times New Roman" w:hAnsi="Times New Roman" w:cs="Times New Roman"/>
          <w:sz w:val="24"/>
          <w:szCs w:val="24"/>
          <w:lang w:eastAsia="en-GB"/>
        </w:rPr>
        <w:t>Kazancoglu</w:t>
      </w:r>
      <w:proofErr w:type="spellEnd"/>
      <w:r w:rsidRPr="00392F58">
        <w:rPr>
          <w:rFonts w:ascii="Times New Roman" w:eastAsia="Times New Roman" w:hAnsi="Times New Roman" w:cs="Times New Roman"/>
          <w:sz w:val="24"/>
          <w:szCs w:val="24"/>
          <w:lang w:eastAsia="en-GB"/>
        </w:rPr>
        <w:t xml:space="preserve">, Y. (2021). Circular economy and the policy: A framework for improving the corporate environmental management in supply chains. </w:t>
      </w:r>
      <w:r w:rsidRPr="00392F58">
        <w:rPr>
          <w:rFonts w:ascii="Times New Roman" w:eastAsia="Times New Roman" w:hAnsi="Times New Roman" w:cs="Times New Roman"/>
          <w:i/>
          <w:iCs/>
          <w:sz w:val="24"/>
          <w:szCs w:val="24"/>
          <w:lang w:eastAsia="en-GB"/>
        </w:rPr>
        <w:t>Business Strategy and the Environment, 30</w:t>
      </w:r>
      <w:r w:rsidRPr="00392F58">
        <w:rPr>
          <w:rFonts w:ascii="Times New Roman" w:eastAsia="Times New Roman" w:hAnsi="Times New Roman" w:cs="Times New Roman"/>
          <w:sz w:val="24"/>
          <w:szCs w:val="24"/>
          <w:lang w:eastAsia="en-GB"/>
        </w:rPr>
        <w:t xml:space="preserve">(1), 590–608. </w:t>
      </w:r>
      <w:r w:rsidRPr="00392F58">
        <w:rPr>
          <w:rFonts w:ascii="Times New Roman" w:eastAsia="Times New Roman" w:hAnsi="Times New Roman" w:cs="Times New Roman"/>
          <w:color w:val="0000FF"/>
          <w:sz w:val="24"/>
          <w:szCs w:val="24"/>
          <w:u w:val="single"/>
          <w:lang w:eastAsia="en-GB"/>
        </w:rPr>
        <w:t>https://doi.org/10.1002/bse.2641</w:t>
      </w:r>
    </w:p>
    <w:p w14:paraId="525FC3E5" w14:textId="33298E90"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Khan, S. A. R., &amp; Qianli, D. (2017). Impact of green supply chain management practices on firms' performance: An empirical study from the perspective of Pakistan. </w:t>
      </w:r>
      <w:r w:rsidRPr="00392F58">
        <w:rPr>
          <w:rFonts w:ascii="Times New Roman" w:eastAsia="Times New Roman" w:hAnsi="Times New Roman" w:cs="Times New Roman"/>
          <w:i/>
          <w:iCs/>
          <w:sz w:val="24"/>
          <w:szCs w:val="24"/>
          <w:lang w:eastAsia="en-GB"/>
        </w:rPr>
        <w:t>Environmental Science and Pollution Research, 24</w:t>
      </w:r>
      <w:r w:rsidRPr="00392F58">
        <w:rPr>
          <w:rFonts w:ascii="Times New Roman" w:eastAsia="Times New Roman" w:hAnsi="Times New Roman" w:cs="Times New Roman"/>
          <w:sz w:val="24"/>
          <w:szCs w:val="24"/>
          <w:lang w:eastAsia="en-GB"/>
        </w:rPr>
        <w:t xml:space="preserve">(20), 16829–16844. </w:t>
      </w:r>
      <w:r w:rsidRPr="00392F58">
        <w:rPr>
          <w:rFonts w:ascii="Times New Roman" w:eastAsia="Times New Roman" w:hAnsi="Times New Roman" w:cs="Times New Roman"/>
          <w:color w:val="0000FF"/>
          <w:sz w:val="24"/>
          <w:szCs w:val="24"/>
          <w:u w:val="single"/>
          <w:lang w:eastAsia="en-GB"/>
        </w:rPr>
        <w:t>https://doi.org/10.1007/s11356-017-9172-5</w:t>
      </w:r>
    </w:p>
    <w:p w14:paraId="3EEB0C39" w14:textId="4AB8F30F"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Khanra, S., Kaur, P., Joseph, R. P., Malik, A., &amp; Dhir, A. (2022). A resource-based view of green innovation as a strategic firm resource: Present status and future directions. </w:t>
      </w:r>
      <w:r w:rsidRPr="00392F58">
        <w:rPr>
          <w:rFonts w:ascii="Times New Roman" w:eastAsia="Times New Roman" w:hAnsi="Times New Roman" w:cs="Times New Roman"/>
          <w:i/>
          <w:iCs/>
          <w:sz w:val="24"/>
          <w:szCs w:val="24"/>
          <w:lang w:eastAsia="en-GB"/>
        </w:rPr>
        <w:t>Business Strategy and the Environment, 31</w:t>
      </w:r>
      <w:r w:rsidRPr="00392F58">
        <w:rPr>
          <w:rFonts w:ascii="Times New Roman" w:eastAsia="Times New Roman" w:hAnsi="Times New Roman" w:cs="Times New Roman"/>
          <w:sz w:val="24"/>
          <w:szCs w:val="24"/>
          <w:lang w:eastAsia="en-GB"/>
        </w:rPr>
        <w:t xml:space="preserve">(4), 1395–1413. </w:t>
      </w:r>
      <w:r w:rsidRPr="00392F58">
        <w:rPr>
          <w:rFonts w:ascii="Times New Roman" w:eastAsia="Times New Roman" w:hAnsi="Times New Roman" w:cs="Times New Roman"/>
          <w:color w:val="0000FF"/>
          <w:sz w:val="24"/>
          <w:szCs w:val="24"/>
          <w:u w:val="single"/>
          <w:lang w:eastAsia="en-GB"/>
        </w:rPr>
        <w:t>https://doi.org/10.1002/bse.2961</w:t>
      </w:r>
    </w:p>
    <w:p w14:paraId="5A40ACFD" w14:textId="7F3467B3"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Muma, B. O., </w:t>
      </w:r>
      <w:proofErr w:type="spellStart"/>
      <w:r w:rsidRPr="00392F58">
        <w:rPr>
          <w:rFonts w:ascii="Times New Roman" w:eastAsia="Times New Roman" w:hAnsi="Times New Roman" w:cs="Times New Roman"/>
          <w:sz w:val="24"/>
          <w:szCs w:val="24"/>
          <w:lang w:eastAsia="en-GB"/>
        </w:rPr>
        <w:t>Nyaoga</w:t>
      </w:r>
      <w:proofErr w:type="spellEnd"/>
      <w:r w:rsidRPr="00392F58">
        <w:rPr>
          <w:rFonts w:ascii="Times New Roman" w:eastAsia="Times New Roman" w:hAnsi="Times New Roman" w:cs="Times New Roman"/>
          <w:sz w:val="24"/>
          <w:szCs w:val="24"/>
          <w:lang w:eastAsia="en-GB"/>
        </w:rPr>
        <w:t xml:space="preserve">, R. B., </w:t>
      </w:r>
      <w:proofErr w:type="spellStart"/>
      <w:r w:rsidRPr="00392F58">
        <w:rPr>
          <w:rFonts w:ascii="Times New Roman" w:eastAsia="Times New Roman" w:hAnsi="Times New Roman" w:cs="Times New Roman"/>
          <w:sz w:val="24"/>
          <w:szCs w:val="24"/>
          <w:lang w:eastAsia="en-GB"/>
        </w:rPr>
        <w:t>Matwere</w:t>
      </w:r>
      <w:proofErr w:type="spellEnd"/>
      <w:r w:rsidRPr="00392F58">
        <w:rPr>
          <w:rFonts w:ascii="Times New Roman" w:eastAsia="Times New Roman" w:hAnsi="Times New Roman" w:cs="Times New Roman"/>
          <w:sz w:val="24"/>
          <w:szCs w:val="24"/>
          <w:lang w:eastAsia="en-GB"/>
        </w:rPr>
        <w:t xml:space="preserve">, R. B., &amp; </w:t>
      </w:r>
      <w:proofErr w:type="spellStart"/>
      <w:r w:rsidRPr="00392F58">
        <w:rPr>
          <w:rFonts w:ascii="Times New Roman" w:eastAsia="Times New Roman" w:hAnsi="Times New Roman" w:cs="Times New Roman"/>
          <w:sz w:val="24"/>
          <w:szCs w:val="24"/>
          <w:lang w:eastAsia="en-GB"/>
        </w:rPr>
        <w:t>Nyambega</w:t>
      </w:r>
      <w:proofErr w:type="spellEnd"/>
      <w:r w:rsidRPr="00392F58">
        <w:rPr>
          <w:rFonts w:ascii="Times New Roman" w:eastAsia="Times New Roman" w:hAnsi="Times New Roman" w:cs="Times New Roman"/>
          <w:sz w:val="24"/>
          <w:szCs w:val="24"/>
          <w:lang w:eastAsia="en-GB"/>
        </w:rPr>
        <w:t xml:space="preserve">, E. (2014). Green supply chain management and environmental performance among tea processing firms in Kericho County-Kenya. </w:t>
      </w:r>
      <w:r w:rsidRPr="00392F58">
        <w:rPr>
          <w:rFonts w:ascii="Times New Roman" w:eastAsia="Times New Roman" w:hAnsi="Times New Roman" w:cs="Times New Roman"/>
          <w:i/>
          <w:iCs/>
          <w:sz w:val="24"/>
          <w:szCs w:val="24"/>
          <w:lang w:eastAsia="en-GB"/>
        </w:rPr>
        <w:t>International Journal of Economics, Finance and Management Sciences, 2</w:t>
      </w:r>
      <w:r w:rsidRPr="00392F58">
        <w:rPr>
          <w:rFonts w:ascii="Times New Roman" w:eastAsia="Times New Roman" w:hAnsi="Times New Roman" w:cs="Times New Roman"/>
          <w:sz w:val="24"/>
          <w:szCs w:val="24"/>
          <w:lang w:eastAsia="en-GB"/>
        </w:rPr>
        <w:t xml:space="preserve">(5), 270–276. </w:t>
      </w:r>
      <w:r w:rsidRPr="00392F58">
        <w:rPr>
          <w:rFonts w:ascii="Times New Roman" w:eastAsia="Times New Roman" w:hAnsi="Times New Roman" w:cs="Times New Roman"/>
          <w:color w:val="0000FF"/>
          <w:sz w:val="24"/>
          <w:szCs w:val="24"/>
          <w:u w:val="single"/>
          <w:lang w:eastAsia="en-GB"/>
        </w:rPr>
        <w:t>https://doi.org/10.11648/j.ijefm.20140205.11</w:t>
      </w:r>
    </w:p>
    <w:p w14:paraId="7E394E48" w14:textId="5A2DF0EF"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Muoki, C. R., Maritim, T. K., Oluoch, W. A., </w:t>
      </w:r>
      <w:proofErr w:type="spellStart"/>
      <w:r w:rsidRPr="00392F58">
        <w:rPr>
          <w:rFonts w:ascii="Times New Roman" w:eastAsia="Times New Roman" w:hAnsi="Times New Roman" w:cs="Times New Roman"/>
          <w:sz w:val="24"/>
          <w:szCs w:val="24"/>
          <w:lang w:eastAsia="en-GB"/>
        </w:rPr>
        <w:t>Kamunya</w:t>
      </w:r>
      <w:proofErr w:type="spellEnd"/>
      <w:r w:rsidRPr="00392F58">
        <w:rPr>
          <w:rFonts w:ascii="Times New Roman" w:eastAsia="Times New Roman" w:hAnsi="Times New Roman" w:cs="Times New Roman"/>
          <w:sz w:val="24"/>
          <w:szCs w:val="24"/>
          <w:lang w:eastAsia="en-GB"/>
        </w:rPr>
        <w:t xml:space="preserve">, S. M., &amp; Bore, J. K. (2020). Combating climate change in the Kenyan tea industry. </w:t>
      </w:r>
      <w:r w:rsidRPr="00392F58">
        <w:rPr>
          <w:rFonts w:ascii="Times New Roman" w:eastAsia="Times New Roman" w:hAnsi="Times New Roman" w:cs="Times New Roman"/>
          <w:i/>
          <w:iCs/>
          <w:sz w:val="24"/>
          <w:szCs w:val="24"/>
          <w:lang w:eastAsia="en-GB"/>
        </w:rPr>
        <w:t>Frontiers in Plant Science, 11</w:t>
      </w:r>
      <w:r w:rsidRPr="00392F58">
        <w:rPr>
          <w:rFonts w:ascii="Times New Roman" w:eastAsia="Times New Roman" w:hAnsi="Times New Roman" w:cs="Times New Roman"/>
          <w:sz w:val="24"/>
          <w:szCs w:val="24"/>
          <w:lang w:eastAsia="en-GB"/>
        </w:rPr>
        <w:t xml:space="preserve">, 339. </w:t>
      </w:r>
      <w:r w:rsidRPr="00392F58">
        <w:rPr>
          <w:rFonts w:ascii="Times New Roman" w:eastAsia="Times New Roman" w:hAnsi="Times New Roman" w:cs="Times New Roman"/>
          <w:color w:val="0000FF"/>
          <w:sz w:val="24"/>
          <w:szCs w:val="24"/>
          <w:u w:val="single"/>
          <w:lang w:eastAsia="en-GB"/>
        </w:rPr>
        <w:t>https://doi.org/10.3389/fpls.2020.00339</w:t>
      </w:r>
    </w:p>
    <w:p w14:paraId="777D2154" w14:textId="763C0DCE"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Porter, M. E., &amp; van der Linde, C. (1995). Toward a new conception of the environment-competitiveness relationship. </w:t>
      </w:r>
      <w:r w:rsidRPr="00392F58">
        <w:rPr>
          <w:rFonts w:ascii="Times New Roman" w:eastAsia="Times New Roman" w:hAnsi="Times New Roman" w:cs="Times New Roman"/>
          <w:i/>
          <w:iCs/>
          <w:sz w:val="24"/>
          <w:szCs w:val="24"/>
          <w:lang w:eastAsia="en-GB"/>
        </w:rPr>
        <w:t>Journal of Economic Perspectives, 9</w:t>
      </w:r>
      <w:r w:rsidRPr="00392F58">
        <w:rPr>
          <w:rFonts w:ascii="Times New Roman" w:eastAsia="Times New Roman" w:hAnsi="Times New Roman" w:cs="Times New Roman"/>
          <w:sz w:val="24"/>
          <w:szCs w:val="24"/>
          <w:lang w:eastAsia="en-GB"/>
        </w:rPr>
        <w:t xml:space="preserve">(4), 97–118. </w:t>
      </w:r>
      <w:r w:rsidRPr="00392F58">
        <w:rPr>
          <w:rFonts w:ascii="Times New Roman" w:eastAsia="Times New Roman" w:hAnsi="Times New Roman" w:cs="Times New Roman"/>
          <w:color w:val="0000FF"/>
          <w:sz w:val="24"/>
          <w:szCs w:val="24"/>
          <w:u w:val="single"/>
          <w:lang w:eastAsia="en-GB"/>
        </w:rPr>
        <w:t>https://doi.org/10.1257/jep.9.4.97</w:t>
      </w:r>
    </w:p>
    <w:p w14:paraId="1674996A" w14:textId="0300AC84"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Renwick, D. W. S., Redman, T., &amp; Maguire, S. (2013). Green human resource management: A review and research agenda. </w:t>
      </w:r>
      <w:r w:rsidRPr="00392F58">
        <w:rPr>
          <w:rFonts w:ascii="Times New Roman" w:eastAsia="Times New Roman" w:hAnsi="Times New Roman" w:cs="Times New Roman"/>
          <w:i/>
          <w:iCs/>
          <w:sz w:val="24"/>
          <w:szCs w:val="24"/>
          <w:lang w:eastAsia="en-GB"/>
        </w:rPr>
        <w:t>International Journal of Management Reviews, 15</w:t>
      </w:r>
      <w:r w:rsidRPr="00392F58">
        <w:rPr>
          <w:rFonts w:ascii="Times New Roman" w:eastAsia="Times New Roman" w:hAnsi="Times New Roman" w:cs="Times New Roman"/>
          <w:sz w:val="24"/>
          <w:szCs w:val="24"/>
          <w:lang w:eastAsia="en-GB"/>
        </w:rPr>
        <w:t xml:space="preserve">(1), 1–14. </w:t>
      </w:r>
      <w:r w:rsidRPr="00392F58">
        <w:rPr>
          <w:rFonts w:ascii="Times New Roman" w:eastAsia="Times New Roman" w:hAnsi="Times New Roman" w:cs="Times New Roman"/>
          <w:color w:val="0000FF"/>
          <w:sz w:val="24"/>
          <w:szCs w:val="24"/>
          <w:u w:val="single"/>
          <w:lang w:eastAsia="en-GB"/>
        </w:rPr>
        <w:t>https://doi.org/10.1111/j.1468-2370.2011.00328.x</w:t>
      </w:r>
    </w:p>
    <w:p w14:paraId="122E41C4" w14:textId="674BC427"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Russo, M. V., &amp; Fouts, P. A. (1997). A resource-based perspective on corporate environmental performance and profitability. </w:t>
      </w:r>
      <w:r w:rsidRPr="00392F58">
        <w:rPr>
          <w:rFonts w:ascii="Times New Roman" w:eastAsia="Times New Roman" w:hAnsi="Times New Roman" w:cs="Times New Roman"/>
          <w:i/>
          <w:iCs/>
          <w:sz w:val="24"/>
          <w:szCs w:val="24"/>
          <w:lang w:eastAsia="en-GB"/>
        </w:rPr>
        <w:t>Academy of Management Journal, 40</w:t>
      </w:r>
      <w:r w:rsidRPr="00392F58">
        <w:rPr>
          <w:rFonts w:ascii="Times New Roman" w:eastAsia="Times New Roman" w:hAnsi="Times New Roman" w:cs="Times New Roman"/>
          <w:sz w:val="24"/>
          <w:szCs w:val="24"/>
          <w:lang w:eastAsia="en-GB"/>
        </w:rPr>
        <w:t xml:space="preserve">(3), 534–559. </w:t>
      </w:r>
      <w:r w:rsidRPr="00392F58">
        <w:rPr>
          <w:rFonts w:ascii="Times New Roman" w:eastAsia="Times New Roman" w:hAnsi="Times New Roman" w:cs="Times New Roman"/>
          <w:color w:val="0000FF"/>
          <w:sz w:val="24"/>
          <w:szCs w:val="24"/>
          <w:u w:val="single"/>
          <w:lang w:eastAsia="en-GB"/>
        </w:rPr>
        <w:t>https://doi.org/10.5465/257052</w:t>
      </w:r>
    </w:p>
    <w:p w14:paraId="139DAFE8" w14:textId="003C1CA2"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Sharma, S., &amp; Vredenburg, H. (1998). Proactive corporate environmental strategy and the development of competitively valuable organizational capabilities. </w:t>
      </w:r>
      <w:r w:rsidRPr="00392F58">
        <w:rPr>
          <w:rFonts w:ascii="Times New Roman" w:eastAsia="Times New Roman" w:hAnsi="Times New Roman" w:cs="Times New Roman"/>
          <w:i/>
          <w:iCs/>
          <w:sz w:val="24"/>
          <w:szCs w:val="24"/>
          <w:lang w:eastAsia="en-GB"/>
        </w:rPr>
        <w:t>Strategic Management Journal, 19</w:t>
      </w:r>
      <w:r w:rsidRPr="00392F58">
        <w:rPr>
          <w:rFonts w:ascii="Times New Roman" w:eastAsia="Times New Roman" w:hAnsi="Times New Roman" w:cs="Times New Roman"/>
          <w:sz w:val="24"/>
          <w:szCs w:val="24"/>
          <w:lang w:eastAsia="en-GB"/>
        </w:rPr>
        <w:t xml:space="preserve">(8), 729–753. </w:t>
      </w:r>
      <w:r w:rsidRPr="00392F58">
        <w:rPr>
          <w:rFonts w:ascii="Times New Roman" w:eastAsia="Times New Roman" w:hAnsi="Times New Roman" w:cs="Times New Roman"/>
          <w:color w:val="0000FF"/>
          <w:sz w:val="24"/>
          <w:szCs w:val="24"/>
          <w:u w:val="single"/>
          <w:lang w:eastAsia="en-GB"/>
        </w:rPr>
        <w:t>https://doi.org/10.1002/(SICI)1097-0266(199808)19:8</w:t>
      </w:r>
      <w:r w:rsidRPr="00392F58">
        <w:rPr>
          <w:rFonts w:ascii="Times New Roman" w:eastAsia="Times New Roman" w:hAnsi="Times New Roman" w:cs="Times New Roman"/>
          <w:sz w:val="24"/>
          <w:szCs w:val="24"/>
          <w:lang w:eastAsia="en-GB"/>
        </w:rPr>
        <w:t>&lt;</w:t>
      </w:r>
      <w:proofErr w:type="gramStart"/>
      <w:r w:rsidRPr="00392F58">
        <w:rPr>
          <w:rFonts w:ascii="Times New Roman" w:eastAsia="Times New Roman" w:hAnsi="Times New Roman" w:cs="Times New Roman"/>
          <w:sz w:val="24"/>
          <w:szCs w:val="24"/>
          <w:lang w:eastAsia="en-GB"/>
        </w:rPr>
        <w:t>729::</w:t>
      </w:r>
      <w:proofErr w:type="gramEnd"/>
      <w:r w:rsidRPr="00392F58">
        <w:rPr>
          <w:rFonts w:ascii="Times New Roman" w:eastAsia="Times New Roman" w:hAnsi="Times New Roman" w:cs="Times New Roman"/>
          <w:sz w:val="24"/>
          <w:szCs w:val="24"/>
          <w:lang w:eastAsia="en-GB"/>
        </w:rPr>
        <w:t>AID-SMJ967&gt;3.0.CO;2-4</w:t>
      </w:r>
    </w:p>
    <w:p w14:paraId="2372177F" w14:textId="1E59D6EF"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92F58">
        <w:rPr>
          <w:rFonts w:ascii="Times New Roman" w:eastAsia="Times New Roman" w:hAnsi="Times New Roman" w:cs="Times New Roman"/>
          <w:sz w:val="24"/>
          <w:szCs w:val="24"/>
          <w:lang w:eastAsia="en-GB"/>
        </w:rPr>
        <w:t>Yaashikaa</w:t>
      </w:r>
      <w:proofErr w:type="spellEnd"/>
      <w:r w:rsidRPr="00392F58">
        <w:rPr>
          <w:rFonts w:ascii="Times New Roman" w:eastAsia="Times New Roman" w:hAnsi="Times New Roman" w:cs="Times New Roman"/>
          <w:sz w:val="24"/>
          <w:szCs w:val="24"/>
          <w:lang w:eastAsia="en-GB"/>
        </w:rPr>
        <w:t xml:space="preserve">, P. R., Senthil Kumar, P., &amp; </w:t>
      </w:r>
      <w:proofErr w:type="spellStart"/>
      <w:r w:rsidRPr="00392F58">
        <w:rPr>
          <w:rFonts w:ascii="Times New Roman" w:eastAsia="Times New Roman" w:hAnsi="Times New Roman" w:cs="Times New Roman"/>
          <w:sz w:val="24"/>
          <w:szCs w:val="24"/>
          <w:lang w:eastAsia="en-GB"/>
        </w:rPr>
        <w:t>Varjani</w:t>
      </w:r>
      <w:proofErr w:type="spellEnd"/>
      <w:r w:rsidRPr="00392F58">
        <w:rPr>
          <w:rFonts w:ascii="Times New Roman" w:eastAsia="Times New Roman" w:hAnsi="Times New Roman" w:cs="Times New Roman"/>
          <w:sz w:val="24"/>
          <w:szCs w:val="24"/>
          <w:lang w:eastAsia="en-GB"/>
        </w:rPr>
        <w:t xml:space="preserve">, S. (2022). </w:t>
      </w:r>
      <w:proofErr w:type="spellStart"/>
      <w:r w:rsidRPr="00392F58">
        <w:rPr>
          <w:rFonts w:ascii="Times New Roman" w:eastAsia="Times New Roman" w:hAnsi="Times New Roman" w:cs="Times New Roman"/>
          <w:sz w:val="24"/>
          <w:szCs w:val="24"/>
          <w:lang w:eastAsia="en-GB"/>
        </w:rPr>
        <w:t>Valorization</w:t>
      </w:r>
      <w:proofErr w:type="spellEnd"/>
      <w:r w:rsidRPr="00392F58">
        <w:rPr>
          <w:rFonts w:ascii="Times New Roman" w:eastAsia="Times New Roman" w:hAnsi="Times New Roman" w:cs="Times New Roman"/>
          <w:sz w:val="24"/>
          <w:szCs w:val="24"/>
          <w:lang w:eastAsia="en-GB"/>
        </w:rPr>
        <w:t xml:space="preserve"> of agro-industrial wastes for biorefinery process and circular bioeconomy: A critical review. </w:t>
      </w:r>
      <w:r w:rsidRPr="00392F58">
        <w:rPr>
          <w:rFonts w:ascii="Times New Roman" w:eastAsia="Times New Roman" w:hAnsi="Times New Roman" w:cs="Times New Roman"/>
          <w:i/>
          <w:iCs/>
          <w:sz w:val="24"/>
          <w:szCs w:val="24"/>
          <w:lang w:eastAsia="en-GB"/>
        </w:rPr>
        <w:t>Bioresource Technology, 343</w:t>
      </w:r>
      <w:r w:rsidRPr="00392F58">
        <w:rPr>
          <w:rFonts w:ascii="Times New Roman" w:eastAsia="Times New Roman" w:hAnsi="Times New Roman" w:cs="Times New Roman"/>
          <w:sz w:val="24"/>
          <w:szCs w:val="24"/>
          <w:lang w:eastAsia="en-GB"/>
        </w:rPr>
        <w:t xml:space="preserve">, 126126. </w:t>
      </w:r>
      <w:r w:rsidRPr="00392F58">
        <w:rPr>
          <w:rFonts w:ascii="Times New Roman" w:eastAsia="Times New Roman" w:hAnsi="Times New Roman" w:cs="Times New Roman"/>
          <w:color w:val="0000FF"/>
          <w:sz w:val="24"/>
          <w:szCs w:val="24"/>
          <w:u w:val="single"/>
          <w:lang w:eastAsia="en-GB"/>
        </w:rPr>
        <w:t>https://doi.org/10.1016/j.biortech.2021.126126</w:t>
      </w:r>
    </w:p>
    <w:p w14:paraId="6AFC3029" w14:textId="726A39DE"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Zacher, H., Rudolph, C. W., &amp; Katz, I. M. (2023). Employee green </w:t>
      </w:r>
      <w:proofErr w:type="spellStart"/>
      <w:r w:rsidRPr="00392F58">
        <w:rPr>
          <w:rFonts w:ascii="Times New Roman" w:eastAsia="Times New Roman" w:hAnsi="Times New Roman" w:cs="Times New Roman"/>
          <w:sz w:val="24"/>
          <w:szCs w:val="24"/>
          <w:lang w:eastAsia="en-GB"/>
        </w:rPr>
        <w:t>behavior</w:t>
      </w:r>
      <w:proofErr w:type="spellEnd"/>
      <w:r w:rsidRPr="00392F58">
        <w:rPr>
          <w:rFonts w:ascii="Times New Roman" w:eastAsia="Times New Roman" w:hAnsi="Times New Roman" w:cs="Times New Roman"/>
          <w:sz w:val="24"/>
          <w:szCs w:val="24"/>
          <w:lang w:eastAsia="en-GB"/>
        </w:rPr>
        <w:t xml:space="preserve"> as the core of environmentally sustainable organizations. </w:t>
      </w:r>
      <w:r w:rsidRPr="00392F58">
        <w:rPr>
          <w:rFonts w:ascii="Times New Roman" w:eastAsia="Times New Roman" w:hAnsi="Times New Roman" w:cs="Times New Roman"/>
          <w:i/>
          <w:iCs/>
          <w:sz w:val="24"/>
          <w:szCs w:val="24"/>
          <w:lang w:eastAsia="en-GB"/>
        </w:rPr>
        <w:t xml:space="preserve">Annual Review of Organizational Psychology and Organizational </w:t>
      </w:r>
      <w:proofErr w:type="spellStart"/>
      <w:r w:rsidRPr="00392F58">
        <w:rPr>
          <w:rFonts w:ascii="Times New Roman" w:eastAsia="Times New Roman" w:hAnsi="Times New Roman" w:cs="Times New Roman"/>
          <w:i/>
          <w:iCs/>
          <w:sz w:val="24"/>
          <w:szCs w:val="24"/>
          <w:lang w:eastAsia="en-GB"/>
        </w:rPr>
        <w:t>Behavior</w:t>
      </w:r>
      <w:proofErr w:type="spellEnd"/>
      <w:r w:rsidRPr="00392F58">
        <w:rPr>
          <w:rFonts w:ascii="Times New Roman" w:eastAsia="Times New Roman" w:hAnsi="Times New Roman" w:cs="Times New Roman"/>
          <w:i/>
          <w:iCs/>
          <w:sz w:val="24"/>
          <w:szCs w:val="24"/>
          <w:lang w:eastAsia="en-GB"/>
        </w:rPr>
        <w:t>, 10</w:t>
      </w:r>
      <w:r w:rsidRPr="00392F58">
        <w:rPr>
          <w:rFonts w:ascii="Times New Roman" w:eastAsia="Times New Roman" w:hAnsi="Times New Roman" w:cs="Times New Roman"/>
          <w:sz w:val="24"/>
          <w:szCs w:val="24"/>
          <w:lang w:eastAsia="en-GB"/>
        </w:rPr>
        <w:t xml:space="preserve">, 465–494. </w:t>
      </w:r>
      <w:r w:rsidRPr="00392F58">
        <w:rPr>
          <w:rFonts w:ascii="Times New Roman" w:eastAsia="Times New Roman" w:hAnsi="Times New Roman" w:cs="Times New Roman"/>
          <w:color w:val="0000FF"/>
          <w:sz w:val="24"/>
          <w:szCs w:val="24"/>
          <w:u w:val="single"/>
          <w:lang w:eastAsia="en-GB"/>
        </w:rPr>
        <w:t>https://doi.org/10.1146/annurev-orgpsych-120920-050421</w:t>
      </w:r>
    </w:p>
    <w:p w14:paraId="67D08A9B" w14:textId="4E2E7506" w:rsidR="00392F58" w:rsidRPr="00392F58" w:rsidRDefault="00392F58" w:rsidP="00392F58">
      <w:pPr>
        <w:spacing w:before="100" w:beforeAutospacing="1" w:after="100" w:afterAutospacing="1" w:line="240" w:lineRule="auto"/>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Zhao, F., Li, M., Xie, X., &amp; He, L. (2026). Green product and process innovation and firm performance: A meta-analytic review. </w:t>
      </w:r>
      <w:r w:rsidRPr="00392F58">
        <w:rPr>
          <w:rFonts w:ascii="Times New Roman" w:eastAsia="Times New Roman" w:hAnsi="Times New Roman" w:cs="Times New Roman"/>
          <w:i/>
          <w:iCs/>
          <w:sz w:val="24"/>
          <w:szCs w:val="24"/>
          <w:lang w:eastAsia="en-GB"/>
        </w:rPr>
        <w:t>Sustainability, 18</w:t>
      </w:r>
      <w:r w:rsidRPr="00392F58">
        <w:rPr>
          <w:rFonts w:ascii="Times New Roman" w:eastAsia="Times New Roman" w:hAnsi="Times New Roman" w:cs="Times New Roman"/>
          <w:sz w:val="24"/>
          <w:szCs w:val="24"/>
          <w:lang w:eastAsia="en-GB"/>
        </w:rPr>
        <w:t xml:space="preserve">(3), 1640. </w:t>
      </w:r>
      <w:r w:rsidRPr="00392F58">
        <w:rPr>
          <w:rFonts w:ascii="Times New Roman" w:eastAsia="Times New Roman" w:hAnsi="Times New Roman" w:cs="Times New Roman"/>
          <w:color w:val="0000FF"/>
          <w:sz w:val="24"/>
          <w:szCs w:val="24"/>
          <w:u w:val="single"/>
          <w:lang w:eastAsia="en-GB"/>
        </w:rPr>
        <w:t>https://doi.org/10.3390/su18031640</w:t>
      </w:r>
    </w:p>
    <w:p w14:paraId="7B2E0455"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55AE8" w14:textId="77777777" w:rsidR="008A381F" w:rsidRDefault="008A381F" w:rsidP="00EA0329">
      <w:pPr>
        <w:spacing w:after="0" w:line="240" w:lineRule="auto"/>
      </w:pPr>
      <w:r>
        <w:separator/>
      </w:r>
    </w:p>
  </w:endnote>
  <w:endnote w:type="continuationSeparator" w:id="0">
    <w:p w14:paraId="4EA487DB" w14:textId="77777777" w:rsidR="008A381F" w:rsidRDefault="008A381F" w:rsidP="00EA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96D0" w14:textId="77777777" w:rsidR="00EA0329" w:rsidRDefault="00EA0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6E56" w14:textId="77777777" w:rsidR="00EA0329" w:rsidRDefault="00EA0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4B74" w14:textId="77777777" w:rsidR="00EA0329" w:rsidRDefault="00EA0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8D60" w14:textId="77777777" w:rsidR="008A381F" w:rsidRDefault="008A381F" w:rsidP="00EA0329">
      <w:pPr>
        <w:spacing w:after="0" w:line="240" w:lineRule="auto"/>
      </w:pPr>
      <w:r>
        <w:separator/>
      </w:r>
    </w:p>
  </w:footnote>
  <w:footnote w:type="continuationSeparator" w:id="0">
    <w:p w14:paraId="55B00284" w14:textId="77777777" w:rsidR="008A381F" w:rsidRDefault="008A381F" w:rsidP="00EA0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901C" w14:textId="64D26B4A" w:rsidR="00EA0329" w:rsidRDefault="00EA0329">
    <w:pPr>
      <w:pStyle w:val="Header"/>
    </w:pPr>
    <w:r>
      <w:rPr>
        <w:noProof/>
      </w:rPr>
      <w:pict w14:anchorId="1A3E58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5376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8D96" w14:textId="29A45BC9" w:rsidR="00EA0329" w:rsidRDefault="00EA0329">
    <w:pPr>
      <w:pStyle w:val="Header"/>
    </w:pPr>
    <w:r>
      <w:rPr>
        <w:noProof/>
      </w:rPr>
      <w:pict w14:anchorId="1166A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5376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61BD" w14:textId="7C5153CC" w:rsidR="00EA0329" w:rsidRDefault="00EA0329">
    <w:pPr>
      <w:pStyle w:val="Header"/>
    </w:pPr>
    <w:r>
      <w:rPr>
        <w:noProof/>
      </w:rPr>
      <w:pict w14:anchorId="6E9F9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5376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86F41"/>
    <w:rsid w:val="001437D3"/>
    <w:rsid w:val="00345F3B"/>
    <w:rsid w:val="00392F58"/>
    <w:rsid w:val="003A7B7D"/>
    <w:rsid w:val="004841B3"/>
    <w:rsid w:val="00686F41"/>
    <w:rsid w:val="00693932"/>
    <w:rsid w:val="00795086"/>
    <w:rsid w:val="00824882"/>
    <w:rsid w:val="008A381F"/>
    <w:rsid w:val="00EA0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9450"/>
  <w15:chartTrackingRefBased/>
  <w15:docId w15:val="{AE770233-1F47-4AA0-8AFD-E4F408E6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686F4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86F4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86F4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86F4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86F4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86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686F4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86F4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86F4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86F4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86F4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86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F41"/>
    <w:rPr>
      <w:rFonts w:eastAsiaTheme="majorEastAsia" w:cstheme="majorBidi"/>
      <w:color w:val="272727" w:themeColor="text1" w:themeTint="D8"/>
    </w:rPr>
  </w:style>
  <w:style w:type="paragraph" w:styleId="Title">
    <w:name w:val="Title"/>
    <w:basedOn w:val="Normal"/>
    <w:next w:val="Normal"/>
    <w:link w:val="TitleChar"/>
    <w:uiPriority w:val="10"/>
    <w:qFormat/>
    <w:rsid w:val="00686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F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F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6F41"/>
    <w:rPr>
      <w:i/>
      <w:iCs/>
      <w:color w:val="404040" w:themeColor="text1" w:themeTint="BF"/>
    </w:rPr>
  </w:style>
  <w:style w:type="paragraph" w:styleId="ListParagraph">
    <w:name w:val="List Paragraph"/>
    <w:basedOn w:val="Normal"/>
    <w:uiPriority w:val="34"/>
    <w:qFormat/>
    <w:rsid w:val="00686F41"/>
    <w:pPr>
      <w:ind w:left="720"/>
      <w:contextualSpacing/>
    </w:pPr>
  </w:style>
  <w:style w:type="character" w:styleId="IntenseEmphasis">
    <w:name w:val="Intense Emphasis"/>
    <w:basedOn w:val="DefaultParagraphFont"/>
    <w:uiPriority w:val="21"/>
    <w:qFormat/>
    <w:rsid w:val="00686F41"/>
    <w:rPr>
      <w:i/>
      <w:iCs/>
      <w:color w:val="365F91" w:themeColor="accent1" w:themeShade="BF"/>
    </w:rPr>
  </w:style>
  <w:style w:type="paragraph" w:styleId="IntenseQuote">
    <w:name w:val="Intense Quote"/>
    <w:basedOn w:val="Normal"/>
    <w:next w:val="Normal"/>
    <w:link w:val="IntenseQuoteChar"/>
    <w:uiPriority w:val="30"/>
    <w:qFormat/>
    <w:rsid w:val="00686F4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86F41"/>
    <w:rPr>
      <w:i/>
      <w:iCs/>
      <w:color w:val="365F91" w:themeColor="accent1" w:themeShade="BF"/>
    </w:rPr>
  </w:style>
  <w:style w:type="character" w:styleId="IntenseReference">
    <w:name w:val="Intense Reference"/>
    <w:basedOn w:val="DefaultParagraphFont"/>
    <w:uiPriority w:val="32"/>
    <w:qFormat/>
    <w:rsid w:val="00686F41"/>
    <w:rPr>
      <w:b/>
      <w:bCs/>
      <w:smallCaps/>
      <w:color w:val="365F91" w:themeColor="accent1" w:themeShade="BF"/>
      <w:spacing w:val="5"/>
    </w:rPr>
  </w:style>
  <w:style w:type="table" w:styleId="TableGridLight">
    <w:name w:val="Grid Table Light"/>
    <w:basedOn w:val="TableNormal"/>
    <w:uiPriority w:val="40"/>
    <w:rsid w:val="00392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39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329"/>
  </w:style>
  <w:style w:type="paragraph" w:styleId="Footer">
    <w:name w:val="footer"/>
    <w:basedOn w:val="Normal"/>
    <w:link w:val="FooterChar"/>
    <w:uiPriority w:val="99"/>
    <w:unhideWhenUsed/>
    <w:rsid w:val="00EA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9584</Words>
  <Characters>54631</Characters>
  <Application>Microsoft Office Word</Application>
  <DocSecurity>0</DocSecurity>
  <Lines>455</Lines>
  <Paragraphs>128</Paragraphs>
  <ScaleCrop>false</ScaleCrop>
  <Company>HP</Company>
  <LinksUpToDate>false</LinksUpToDate>
  <CharactersWithSpaces>64087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1084</cp:lastModifiedBy>
  <cp:revision>6</cp:revision>
  <dcterms:created xsi:type="dcterms:W3CDTF">2026-07-17T17:25:00Z</dcterms:created>
  <dcterms:modified xsi:type="dcterms:W3CDTF">2026-07-18T11:19:00Z</dcterms:modified>
</cp:coreProperties>
</file>